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DA3EE">
      <w:pPr>
        <w:snapToGrid w:val="0"/>
        <w:spacing w:line="200" w:lineRule="exact"/>
        <w:ind w:left="160" w:hanging="160"/>
        <w:outlineLvl w:val="0"/>
        <w:rPr>
          <w:rFonts w:ascii="Times New Roman" w:hAnsi="Times New Roman"/>
          <w:snapToGrid w:val="0"/>
          <w:sz w:val="32"/>
          <w:szCs w:val="32"/>
        </w:rPr>
      </w:pPr>
      <w:bookmarkStart w:id="0" w:name="_Hlk44924442"/>
      <w:bookmarkEnd w:id="0"/>
      <w:bookmarkStart w:id="1" w:name="_Toc45092777"/>
      <w:bookmarkStart w:id="2" w:name="_Toc182487915"/>
      <w:bookmarkStart w:id="3" w:name="_Toc128989090"/>
      <w:bookmarkStart w:id="4" w:name="_Toc171955086"/>
      <w:bookmarkStart w:id="5" w:name="_Toc171585062"/>
      <w:bookmarkStart w:id="6" w:name="_Toc44618519"/>
      <w:bookmarkStart w:id="7" w:name="_Toc174544411"/>
      <w:bookmarkStart w:id="8" w:name="_Toc182215400"/>
      <w:bookmarkStart w:id="9" w:name="_Toc128988439"/>
      <w:bookmarkStart w:id="10" w:name="_Toc129075170"/>
      <w:bookmarkStart w:id="11" w:name="_Toc182215620"/>
      <w:bookmarkStart w:id="12" w:name="_Toc164867749"/>
      <w:bookmarkStart w:id="13" w:name="_Toc56517635"/>
      <w:r>
        <w:rPr>
          <w:rFonts w:ascii="Times New Roman" w:hAnsi="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-332105</wp:posOffset>
                </wp:positionV>
                <wp:extent cx="395605" cy="351790"/>
                <wp:effectExtent l="1270" t="0" r="3175" b="3175"/>
                <wp:wrapNone/>
                <wp:docPr id="427" name="文本框 427"/>
                <wp:cNvGraphicFramePr/>
                <a:graphic xmlns:a="http://schemas.openxmlformats.org/drawingml/2006/main">
                  <a:graphicData uri="http://schemas.microsoft.com/office/word/2010/wordprocessingShape">
                    <wps:wsp>
                      <wps:cNvSpPr txBox="1">
                        <a:spLocks noChangeArrowheads="1"/>
                      </wps:cNvSpPr>
                      <wps:spPr bwMode="auto">
                        <a:xfrm>
                          <a:off x="0" y="0"/>
                          <a:ext cx="395605" cy="351790"/>
                        </a:xfrm>
                        <a:prstGeom prst="rect">
                          <a:avLst/>
                        </a:prstGeom>
                        <a:noFill/>
                        <a:ln>
                          <a:noFill/>
                        </a:ln>
                        <a:effectLst/>
                      </wps:spPr>
                      <wps:txbx>
                        <w:txbxContent>
                          <w:p w14:paraId="7099DD28">
                            <w:pPr>
                              <w:adjustRightInd w:val="0"/>
                              <w:snapToGrid w:val="0"/>
                              <w:ind w:left="140" w:hanging="140"/>
                              <w:rPr>
                                <w:rFonts w:ascii="方正小标宋_GBK" w:eastAsia="方正小标宋_GBK"/>
                              </w:rPr>
                            </w:pPr>
                            <w:r>
                              <w:rPr>
                                <w:rFonts w:hint="eastAsia" w:ascii="方正小标宋_GBK" w:hAnsi="黑体" w:eastAsia="方正小标宋_GBK"/>
                                <w:b/>
                                <w:bCs/>
                                <w:sz w:val="28"/>
                                <w:szCs w:val="28"/>
                              </w:rPr>
                              <w:t>UDCC</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5pt;margin-top:-26.15pt;height:27.7pt;width:31.15pt;z-index:251666432;mso-width-relative:page;mso-height-relative:page;" filled="f" stroked="f" coordsize="21600,21600" o:gfxdata="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SqLwdYAAAAHAQAADwAAAAAA&#10;AAABACAAAAAiAAAAZHJzL2Rvd25yZXYueG1sUEsBAhQAFAAAAAgAh07iQHa89IQVAgAAFgQAAA4A&#10;AAAAAAAAAQAgAAAAJQEAAGRycy9lMm9Eb2MueG1sUEsFBgAAAAAGAAYAWQEAAKwFAAAAAA==&#10;">
                <v:fill on="f" focussize="0,0"/>
                <v:stroke on="f"/>
                <v:imagedata o:title=""/>
                <o:lock v:ext="edit" aspectratio="f"/>
                <v:textbox inset="0mm,0mm,0mm,0mm">
                  <w:txbxContent>
                    <w:p w14:paraId="7099DD28">
                      <w:pPr>
                        <w:adjustRightInd w:val="0"/>
                        <w:snapToGrid w:val="0"/>
                        <w:ind w:left="140" w:hanging="140"/>
                        <w:rPr>
                          <w:rFonts w:ascii="方正小标宋_GBK" w:eastAsia="方正小标宋_GBK"/>
                        </w:rPr>
                      </w:pPr>
                      <w:r>
                        <w:rPr>
                          <w:rFonts w:hint="eastAsia" w:ascii="方正小标宋_GBK" w:hAnsi="黑体" w:eastAsia="方正小标宋_GBK"/>
                          <w:b/>
                          <w:bCs/>
                          <w:sz w:val="28"/>
                          <w:szCs w:val="28"/>
                        </w:rPr>
                        <w:t>UDCC</w:t>
                      </w:r>
                    </w:p>
                  </w:txbxContent>
                </v:textbox>
              </v:shape>
            </w:pict>
          </mc:Fallback>
        </mc:AlternateContent>
      </w:r>
      <w:r>
        <w:rPr>
          <w:rFonts w:ascii="Times New Roman" w:hAnsi="Times New Roman"/>
          <w:sz w:val="32"/>
          <w:szCs w:val="3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1215390</wp:posOffset>
                </wp:positionV>
                <wp:extent cx="4319905" cy="0"/>
                <wp:effectExtent l="17145" t="11430" r="15875" b="17145"/>
                <wp:wrapNone/>
                <wp:docPr id="426" name="直接连接符 426"/>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15875">
                          <a:solidFill>
                            <a:srgbClr val="000000"/>
                          </a:solidFill>
                          <a:round/>
                        </a:ln>
                        <a:effectLst/>
                      </wps:spPr>
                      <wps:bodyPr/>
                    </wps:wsp>
                  </a:graphicData>
                </a:graphic>
              </wp:anchor>
            </w:drawing>
          </mc:Choice>
          <mc:Fallback>
            <w:pict>
              <v:line id="_x0000_s1026" o:spid="_x0000_s1026" o:spt="20" style="position:absolute;left:0pt;margin-left:0pt;margin-top:95.7pt;height:0pt;width:340.15pt;z-index:251664384;mso-width-relative:page;mso-height-relative:page;" filled="f" stroked="t" coordsize="21600,21600" o:gfxdata="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8&#10;84651gAAAAgBAAAPAAAAAAAAAAEAIAAAACIAAABkcnMvZG93bnJldi54bWxQSwECFAAUAAAACACH&#10;TuJAADbgA+0BAAC9AwAADgAAAAAAAAABACAAAAAlAQAAZHJzL2Uyb0RvYy54bWxQSwUGAAAAAAYA&#10;BgBZAQAAhAUAAAAA&#10;">
                <v:fill on="f" focussize="0,0"/>
                <v:stroke weight="1.25pt" color="#000000" joinstyle="round"/>
                <v:imagedata o:title=""/>
                <o:lock v:ext="edit" aspectratio="f"/>
              </v:line>
            </w:pict>
          </mc:Fallback>
        </mc:AlternateContent>
      </w:r>
      <w:r>
        <w:rPr>
          <w:rFonts w:ascii="Times New Roman" w:hAnsi="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3660775</wp:posOffset>
                </wp:positionH>
                <wp:positionV relativeFrom="paragraph">
                  <wp:posOffset>-113030</wp:posOffset>
                </wp:positionV>
                <wp:extent cx="661035" cy="525780"/>
                <wp:effectExtent l="1270" t="0" r="4445" b="635"/>
                <wp:wrapNone/>
                <wp:docPr id="361"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661035" cy="525780"/>
                        </a:xfrm>
                        <a:prstGeom prst="rect">
                          <a:avLst/>
                        </a:prstGeom>
                        <a:noFill/>
                        <a:ln>
                          <a:noFill/>
                        </a:ln>
                        <a:effectLst/>
                      </wps:spPr>
                      <wps:txbx>
                        <w:txbxContent>
                          <w:p w14:paraId="275BC1CE">
                            <w:pPr>
                              <w:ind w:left="361" w:hanging="361"/>
                              <w:rPr>
                                <w:rFonts w:ascii="Times New Roman" w:hAnsi="Times New Roman" w:eastAsia="黑体"/>
                                <w:b/>
                                <w:bCs/>
                                <w:sz w:val="72"/>
                                <w:szCs w:val="72"/>
                              </w:rPr>
                            </w:pPr>
                            <w:r>
                              <w:rPr>
                                <w:rFonts w:ascii="Times New Roman" w:hAnsi="Times New Roman" w:eastAsia="黑体"/>
                                <w:b/>
                                <w:bCs/>
                                <w:sz w:val="72"/>
                                <w:szCs w:val="72"/>
                              </w:rPr>
                              <w:t>DB</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8.25pt;margin-top:-8.9pt;height:41.4pt;width:52.05pt;z-index:251663360;mso-width-relative:page;mso-height-relative:page;" filled="f" stroked="f" coordsize="21600,21600" o:gfxdata="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qiBm9kAAAAKAQAADwAA&#10;AAAAAAABACAAAAAiAAAAZHJzL2Rvd25yZXYueG1sUEsBAhQAFAAAAAgAh07iQG9o5EUVAgAAFgQA&#10;AA4AAAAAAAAAAQAgAAAAKAEAAGRycy9lMm9Eb2MueG1sUEsFBgAAAAAGAAYAWQEAAK8FAAAAAA==&#10;">
                <v:fill on="f" focussize="0,0"/>
                <v:stroke on="f"/>
                <v:imagedata o:title=""/>
                <o:lock v:ext="edit" aspectratio="f"/>
                <v:textbox inset="0mm,0mm,0mm,0mm">
                  <w:txbxContent>
                    <w:p w14:paraId="275BC1CE">
                      <w:pPr>
                        <w:ind w:left="361" w:hanging="361"/>
                        <w:rPr>
                          <w:rFonts w:ascii="Times New Roman" w:hAnsi="Times New Roman" w:eastAsia="黑体"/>
                          <w:b/>
                          <w:bCs/>
                          <w:sz w:val="72"/>
                          <w:szCs w:val="72"/>
                        </w:rPr>
                      </w:pPr>
                      <w:r>
                        <w:rPr>
                          <w:rFonts w:ascii="Times New Roman" w:hAnsi="Times New Roman" w:eastAsia="黑体"/>
                          <w:b/>
                          <w:bCs/>
                          <w:sz w:val="72"/>
                          <w:szCs w:val="72"/>
                        </w:rPr>
                        <w:t>DB</w:t>
                      </w:r>
                    </w:p>
                  </w:txbxContent>
                </v:textbox>
              </v:shape>
            </w:pict>
          </mc:Fallback>
        </mc:AlternateContent>
      </w:r>
      <w:bookmarkEnd w:id="1"/>
      <w:bookmarkEnd w:id="2"/>
      <w:bookmarkEnd w:id="3"/>
      <w:bookmarkEnd w:id="4"/>
      <w:bookmarkEnd w:id="5"/>
      <w:bookmarkEnd w:id="6"/>
      <w:bookmarkEnd w:id="7"/>
      <w:bookmarkEnd w:id="8"/>
      <w:bookmarkEnd w:id="9"/>
      <w:bookmarkEnd w:id="10"/>
      <w:bookmarkEnd w:id="11"/>
      <w:bookmarkEnd w:id="12"/>
      <w:bookmarkEnd w:id="13"/>
    </w:p>
    <w:p w14:paraId="6896AA84">
      <w:pPr>
        <w:pStyle w:val="191"/>
        <w:adjustRightInd w:val="0"/>
        <w:snapToGrid w:val="0"/>
        <w:ind w:firstLine="640" w:firstLineChars="200"/>
        <w:jc w:val="both"/>
        <w:rPr>
          <w:snapToGrid w:val="0"/>
          <w:sz w:val="32"/>
          <w:szCs w:val="32"/>
        </w:rPr>
      </w:pPr>
      <w:r>
        <w:rPr>
          <w:snapToGrid w:val="0"/>
          <w:sz w:val="32"/>
          <w:szCs w:val="32"/>
        </w:rPr>
        <w:t>广西壮族自治区工程建设地方标准</w:t>
      </w:r>
    </w:p>
    <w:p w14:paraId="7718679C">
      <w:pPr>
        <w:pStyle w:val="191"/>
        <w:adjustRightInd w:val="0"/>
        <w:snapToGrid w:val="0"/>
        <w:spacing w:line="120" w:lineRule="exact"/>
        <w:ind w:left="105" w:hanging="105"/>
        <w:jc w:val="right"/>
        <w:rPr>
          <w:bCs/>
          <w:snapToGrid w:val="0"/>
          <w:szCs w:val="28"/>
        </w:rPr>
      </w:pPr>
    </w:p>
    <w:p w14:paraId="7E4BCDD2">
      <w:pPr>
        <w:adjustRightInd w:val="0"/>
        <w:snapToGrid w:val="0"/>
        <w:spacing w:line="400" w:lineRule="exact"/>
        <w:ind w:right="281" w:firstLine="140" w:firstLineChars="50"/>
        <w:jc w:val="right"/>
        <w:rPr>
          <w:rFonts w:ascii="Times New Roman" w:hAnsi="Times New Roman" w:eastAsia="黑体"/>
          <w:snapToGrid w:val="0"/>
          <w:kern w:val="0"/>
          <w:sz w:val="28"/>
          <w:szCs w:val="28"/>
        </w:rPr>
      </w:pPr>
      <w:r>
        <w:rPr>
          <w:rFonts w:ascii="Times New Roman" w:hAnsi="Times New Roman" w:eastAsia="黑体"/>
          <w:snapToGrid w:val="0"/>
          <w:kern w:val="0"/>
          <w:sz w:val="28"/>
          <w:szCs w:val="28"/>
        </w:rPr>
        <w:t>DBJ/T45-***-20**</w:t>
      </w:r>
    </w:p>
    <w:p w14:paraId="3D23DEC3">
      <w:pPr>
        <w:adjustRightInd w:val="0"/>
        <w:snapToGrid w:val="0"/>
        <w:spacing w:line="400" w:lineRule="exact"/>
        <w:ind w:firstLine="160" w:firstLineChars="50"/>
        <w:rPr>
          <w:rFonts w:ascii="Times New Roman" w:hAnsi="Times New Roman" w:eastAsia="黑体"/>
          <w:snapToGrid w:val="0"/>
          <w:kern w:val="0"/>
          <w:sz w:val="28"/>
          <w:szCs w:val="28"/>
        </w:rPr>
      </w:pPr>
      <w:r>
        <w:rPr>
          <w:rFonts w:ascii="Times New Roman" w:hAnsi="Times New Roman" w:eastAsia="方正小标宋_GBK"/>
          <w:snapToGrid w:val="0"/>
          <w:kern w:val="0"/>
          <w:sz w:val="32"/>
          <w:szCs w:val="32"/>
        </w:rPr>
        <w:t>P</w:t>
      </w:r>
      <w:r>
        <w:rPr>
          <w:rFonts w:ascii="Times New Roman" w:hAnsi="Times New Roman" w:eastAsia="黑体"/>
          <w:snapToGrid w:val="0"/>
          <w:kern w:val="0"/>
          <w:sz w:val="28"/>
          <w:szCs w:val="28"/>
        </w:rPr>
        <w:t>　　　　　　　　　　　　  备案号：J*****-20**</w:t>
      </w:r>
    </w:p>
    <w:p w14:paraId="2425A0DB">
      <w:pPr>
        <w:spacing w:line="480" w:lineRule="auto"/>
        <w:ind w:left="105" w:hanging="105"/>
        <w:rPr>
          <w:rFonts w:ascii="Times New Roman" w:hAnsi="Times New Roman" w:eastAsia="黑体"/>
        </w:rPr>
      </w:pPr>
    </w:p>
    <w:p w14:paraId="5298A602">
      <w:pPr>
        <w:spacing w:line="520" w:lineRule="exact"/>
        <w:ind w:left="105" w:hanging="105"/>
        <w:rPr>
          <w:rFonts w:ascii="Times New Roman" w:hAnsi="Times New Roman" w:eastAsia="黑体"/>
        </w:rPr>
      </w:pPr>
    </w:p>
    <w:p w14:paraId="45257A43">
      <w:pPr>
        <w:adjustRightInd w:val="0"/>
        <w:snapToGrid w:val="0"/>
        <w:spacing w:line="520" w:lineRule="exact"/>
        <w:ind w:left="221" w:hanging="221"/>
        <w:jc w:val="center"/>
        <w:rPr>
          <w:rFonts w:ascii="Times New Roman" w:hAnsi="Times New Roman" w:eastAsia="黑体"/>
          <w:b/>
          <w:bCs/>
          <w:snapToGrid w:val="0"/>
          <w:kern w:val="0"/>
          <w:sz w:val="44"/>
          <w:szCs w:val="44"/>
        </w:rPr>
      </w:pPr>
    </w:p>
    <w:p w14:paraId="49D02685">
      <w:pPr>
        <w:adjustRightInd w:val="0"/>
        <w:snapToGrid w:val="0"/>
        <w:spacing w:line="520" w:lineRule="exact"/>
        <w:ind w:left="220" w:hanging="220"/>
        <w:jc w:val="center"/>
        <w:rPr>
          <w:rFonts w:ascii="Times New Roman" w:hAnsi="Times New Roman" w:eastAsia="黑体"/>
          <w:b/>
          <w:bCs/>
          <w:snapToGrid w:val="0"/>
          <w:kern w:val="0"/>
          <w:sz w:val="44"/>
          <w:szCs w:val="44"/>
        </w:rPr>
      </w:pPr>
      <w:r>
        <w:rPr>
          <w:rFonts w:ascii="Times New Roman" w:hAnsi="Times New Roman" w:eastAsia="黑体"/>
          <w:snapToGrid w:val="0"/>
          <w:kern w:val="0"/>
          <w:sz w:val="44"/>
          <w:szCs w:val="44"/>
        </w:rPr>
        <w:t>智能建筑工程施工工艺规程</w:t>
      </w:r>
    </w:p>
    <w:p w14:paraId="51628F69">
      <w:pPr>
        <w:snapToGrid w:val="0"/>
        <w:spacing w:line="520" w:lineRule="exact"/>
        <w:ind w:left="140" w:hanging="140"/>
        <w:jc w:val="center"/>
        <w:rPr>
          <w:rFonts w:ascii="Times New Roman" w:hAnsi="Times New Roman" w:eastAsia="黑体"/>
          <w:bCs/>
          <w:snapToGrid w:val="0"/>
          <w:kern w:val="0"/>
          <w:sz w:val="28"/>
          <w:szCs w:val="28"/>
        </w:rPr>
      </w:pPr>
      <w:r>
        <w:rPr>
          <w:rFonts w:ascii="Times New Roman" w:hAnsi="Times New Roman"/>
          <w:sz w:val="28"/>
          <w:szCs w:val="28"/>
        </w:rPr>
        <w:t>Technical specification for construction of</w:t>
      </w:r>
    </w:p>
    <w:p w14:paraId="4D2499D8">
      <w:pPr>
        <w:snapToGrid w:val="0"/>
        <w:spacing w:line="520" w:lineRule="exact"/>
        <w:ind w:left="140" w:hanging="140"/>
        <w:jc w:val="center"/>
        <w:rPr>
          <w:rFonts w:ascii="Times New Roman" w:hAnsi="Times New Roman" w:eastAsia="黑体"/>
          <w:bCs/>
          <w:snapToGrid w:val="0"/>
          <w:kern w:val="0"/>
          <w:sz w:val="28"/>
          <w:szCs w:val="28"/>
        </w:rPr>
      </w:pPr>
      <w:r>
        <w:rPr>
          <w:rFonts w:ascii="Times New Roman" w:hAnsi="Times New Roman"/>
          <w:sz w:val="28"/>
          <w:szCs w:val="28"/>
        </w:rPr>
        <w:t>Intelligent building engineering</w:t>
      </w:r>
      <w:r>
        <w:rPr>
          <w:rFonts w:ascii="Times New Roman" w:hAnsi="Times New Roman" w:eastAsia="黑体"/>
          <w:bCs/>
          <w:snapToGrid w:val="0"/>
          <w:kern w:val="0"/>
          <w:sz w:val="28"/>
          <w:szCs w:val="28"/>
        </w:rPr>
        <w:t xml:space="preserve"> </w:t>
      </w:r>
    </w:p>
    <w:p w14:paraId="102EC020">
      <w:pPr>
        <w:snapToGrid w:val="0"/>
        <w:spacing w:line="520" w:lineRule="exact"/>
        <w:ind w:left="140" w:hanging="140"/>
        <w:jc w:val="center"/>
        <w:rPr>
          <w:rFonts w:ascii="Times New Roman" w:hAnsi="Times New Roman" w:eastAsia="黑体"/>
          <w:snapToGrid w:val="0"/>
          <w:kern w:val="0"/>
          <w:sz w:val="28"/>
          <w:szCs w:val="28"/>
        </w:rPr>
      </w:pPr>
    </w:p>
    <w:p w14:paraId="6C8D3821">
      <w:pPr>
        <w:adjustRightInd w:val="0"/>
        <w:snapToGrid w:val="0"/>
        <w:spacing w:line="520" w:lineRule="exact"/>
        <w:ind w:left="140" w:hanging="140"/>
        <w:jc w:val="center"/>
        <w:rPr>
          <w:rFonts w:ascii="Times New Roman" w:hAnsi="Times New Roman" w:eastAsia="楷体"/>
          <w:snapToGrid w:val="0"/>
          <w:kern w:val="0"/>
          <w:sz w:val="28"/>
          <w:szCs w:val="28"/>
        </w:rPr>
      </w:pPr>
      <w:r>
        <w:rPr>
          <w:rFonts w:ascii="Times New Roman" w:hAnsi="Times New Roman" w:eastAsia="楷体"/>
          <w:snapToGrid w:val="0"/>
          <w:kern w:val="0"/>
          <w:sz w:val="28"/>
          <w:szCs w:val="28"/>
        </w:rPr>
        <w:t>（</w:t>
      </w:r>
      <w:r>
        <w:rPr>
          <w:rFonts w:hint="eastAsia" w:ascii="Times New Roman" w:hAnsi="Times New Roman" w:eastAsia="楷体"/>
          <w:snapToGrid w:val="0"/>
          <w:kern w:val="0"/>
          <w:sz w:val="28"/>
          <w:szCs w:val="28"/>
          <w:lang w:val="en-US" w:eastAsia="zh-CN"/>
        </w:rPr>
        <w:t>征求意见</w:t>
      </w:r>
      <w:r>
        <w:rPr>
          <w:rFonts w:ascii="Times New Roman" w:hAnsi="Times New Roman" w:eastAsia="楷体"/>
          <w:snapToGrid w:val="0"/>
          <w:kern w:val="0"/>
          <w:sz w:val="28"/>
          <w:szCs w:val="28"/>
        </w:rPr>
        <w:t>稿）</w:t>
      </w:r>
    </w:p>
    <w:p w14:paraId="00AF4626">
      <w:pPr>
        <w:snapToGrid w:val="0"/>
        <w:spacing w:line="520" w:lineRule="exact"/>
        <w:ind w:left="105" w:hanging="105"/>
        <w:rPr>
          <w:rFonts w:ascii="Times New Roman" w:hAnsi="Times New Roman" w:eastAsia="黑体"/>
        </w:rPr>
      </w:pPr>
    </w:p>
    <w:p w14:paraId="5F22D288">
      <w:pPr>
        <w:snapToGrid w:val="0"/>
        <w:spacing w:line="450" w:lineRule="exact"/>
        <w:ind w:left="105" w:hanging="105"/>
        <w:rPr>
          <w:rFonts w:ascii="Times New Roman" w:hAnsi="Times New Roman" w:eastAsia="黑体"/>
          <w:b/>
        </w:rPr>
      </w:pPr>
    </w:p>
    <w:p w14:paraId="55F3841F">
      <w:pPr>
        <w:snapToGrid w:val="0"/>
        <w:spacing w:line="450" w:lineRule="exact"/>
        <w:ind w:left="105" w:hanging="105"/>
        <w:rPr>
          <w:rFonts w:ascii="Times New Roman" w:hAnsi="Times New Roman" w:eastAsia="黑体"/>
          <w:b/>
        </w:rPr>
      </w:pPr>
    </w:p>
    <w:p w14:paraId="7A2080F6">
      <w:pPr>
        <w:snapToGrid w:val="0"/>
        <w:spacing w:line="450" w:lineRule="exact"/>
        <w:ind w:left="105" w:hanging="105"/>
        <w:rPr>
          <w:rFonts w:ascii="Times New Roman" w:hAnsi="Times New Roman" w:eastAsia="黑体"/>
          <w:b/>
        </w:rPr>
      </w:pPr>
    </w:p>
    <w:p w14:paraId="4C004631">
      <w:pPr>
        <w:snapToGrid w:val="0"/>
        <w:spacing w:line="400" w:lineRule="exact"/>
        <w:ind w:left="140" w:hanging="140"/>
        <w:rPr>
          <w:rFonts w:ascii="Times New Roman" w:hAnsi="Times New Roman" w:eastAsia="黑体"/>
          <w:bCs/>
          <w:sz w:val="28"/>
          <w:szCs w:val="28"/>
        </w:rPr>
      </w:pPr>
      <w:r>
        <w:rPr>
          <w:rFonts w:ascii="Times New Roman" w:hAnsi="Times New Roman" w:eastAsia="黑体"/>
          <w:bCs/>
          <w:sz w:val="28"/>
          <w:szCs w:val="28"/>
        </w:rPr>
        <w:t>20**-**–**　发布　 　　　　　　20**-**-**  实施</w:t>
      </w:r>
    </w:p>
    <w:p w14:paraId="4191A423">
      <w:pPr>
        <w:snapToGrid w:val="0"/>
        <w:spacing w:line="240" w:lineRule="exact"/>
        <w:ind w:left="105" w:hanging="105"/>
        <w:rPr>
          <w:rFonts w:ascii="Times New Roman" w:hAnsi="Times New Roman" w:eastAsia="黑体"/>
          <w:sz w:val="28"/>
          <w:szCs w:val="28"/>
        </w:rPr>
      </w:pPr>
      <w:r>
        <w:rPr>
          <w:rFonts w:ascii="Times New Roman" w:hAnsi="Times New Roman" w:eastAsia="黑体"/>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98425</wp:posOffset>
                </wp:positionV>
                <wp:extent cx="4319905" cy="0"/>
                <wp:effectExtent l="17145" t="13970" r="15875" b="14605"/>
                <wp:wrapNone/>
                <wp:docPr id="359" name="直接连接符 359"/>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15875">
                          <a:solidFill>
                            <a:srgbClr val="000000"/>
                          </a:solidFill>
                          <a:round/>
                        </a:ln>
                        <a:effectLst/>
                      </wps:spPr>
                      <wps:bodyPr/>
                    </wps:wsp>
                  </a:graphicData>
                </a:graphic>
              </wp:anchor>
            </w:drawing>
          </mc:Choice>
          <mc:Fallback>
            <w:pict>
              <v:line id="_x0000_s1026" o:spid="_x0000_s1026" o:spt="20" style="position:absolute;left:0pt;margin-left:0pt;margin-top:7.75pt;height:0pt;width:340.15pt;z-index:251665408;mso-width-relative:page;mso-height-relative:page;" filled="f" stroked="t" coordsize="21600,21600" o:gfxdata="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Hm&#10;/efVAAAABgEAAA8AAAAAAAAAAQAgAAAAIgAAAGRycy9kb3ducmV2LnhtbFBLAQIUABQAAAAIAIdO&#10;4kCUnSdC7QEAAL0DAAAOAAAAAAAAAAEAIAAAACQBAABkcnMvZTJvRG9jLnhtbFBLBQYAAAAABgAG&#10;AFkBAACDBQAAAAA=&#10;">
                <v:fill on="f" focussize="0,0"/>
                <v:stroke weight="1.25pt" color="#000000" joinstyle="round"/>
                <v:imagedata o:title=""/>
                <o:lock v:ext="edit" aspectratio="f"/>
              </v:line>
            </w:pict>
          </mc:Fallback>
        </mc:AlternateContent>
      </w:r>
    </w:p>
    <w:p w14:paraId="0B52A07E">
      <w:pPr>
        <w:snapToGrid w:val="0"/>
        <w:spacing w:line="240" w:lineRule="exact"/>
        <w:ind w:left="140" w:hanging="140"/>
        <w:rPr>
          <w:rFonts w:ascii="Times New Roman" w:hAnsi="Times New Roman" w:eastAsia="黑体"/>
          <w:sz w:val="28"/>
          <w:szCs w:val="28"/>
        </w:rPr>
      </w:pPr>
    </w:p>
    <w:p w14:paraId="7BE3CA13">
      <w:pPr>
        <w:snapToGrid w:val="0"/>
        <w:spacing w:line="240" w:lineRule="exact"/>
        <w:ind w:left="140" w:hanging="140"/>
        <w:rPr>
          <w:rFonts w:ascii="Times New Roman" w:hAnsi="Times New Roman" w:eastAsia="黑体"/>
          <w:sz w:val="28"/>
          <w:szCs w:val="28"/>
        </w:rPr>
      </w:pPr>
    </w:p>
    <w:p w14:paraId="6CCC45F8">
      <w:pPr>
        <w:snapToGrid w:val="0"/>
        <w:spacing w:line="240" w:lineRule="exact"/>
        <w:ind w:left="140" w:hanging="140"/>
        <w:rPr>
          <w:rFonts w:ascii="Times New Roman" w:hAnsi="Times New Roman" w:eastAsia="黑体"/>
          <w:sz w:val="28"/>
          <w:szCs w:val="28"/>
        </w:rPr>
      </w:pPr>
    </w:p>
    <w:p w14:paraId="73A519BA">
      <w:pPr>
        <w:snapToGrid w:val="0"/>
        <w:spacing w:line="240" w:lineRule="exact"/>
        <w:ind w:left="140" w:hanging="140"/>
        <w:rPr>
          <w:rFonts w:ascii="Times New Roman" w:hAnsi="Times New Roman" w:eastAsia="黑体"/>
          <w:sz w:val="28"/>
          <w:szCs w:val="28"/>
        </w:rPr>
      </w:pPr>
    </w:p>
    <w:p w14:paraId="478843C4">
      <w:pPr>
        <w:spacing w:line="440" w:lineRule="exact"/>
        <w:ind w:left="160" w:hanging="160"/>
        <w:jc w:val="center"/>
        <w:rPr>
          <w:rFonts w:ascii="Times New Roman" w:hAnsi="Times New Roman" w:eastAsia="黑体"/>
          <w:sz w:val="32"/>
          <w:szCs w:val="32"/>
        </w:rPr>
        <w:sectPr>
          <w:headerReference r:id="rId7" w:type="first"/>
          <w:footerReference r:id="rId10" w:type="first"/>
          <w:headerReference r:id="rId5" w:type="default"/>
          <w:footerReference r:id="rId8" w:type="default"/>
          <w:headerReference r:id="rId6" w:type="even"/>
          <w:footerReference r:id="rId9" w:type="even"/>
          <w:type w:val="continuous"/>
          <w:pgSz w:w="7938" w:h="11510"/>
          <w:pgMar w:top="879" w:right="567" w:bottom="680" w:left="567" w:header="284" w:footer="284" w:gutter="0"/>
          <w:pgNumType w:fmt="upperRoman"/>
          <w:cols w:space="425" w:num="1"/>
          <w:formProt w:val="0"/>
          <w:docGrid w:linePitch="312" w:charSpace="0"/>
        </w:sectPr>
      </w:pPr>
      <w:r>
        <w:rPr>
          <w:rFonts w:ascii="Times New Roman" w:hAnsi="Times New Roman" w:eastAsia="黑体"/>
          <w:sz w:val="32"/>
          <w:szCs w:val="32"/>
        </w:rPr>
        <w:t>广西壮族自治区住房和城乡建设厅　</w:t>
      </w:r>
    </w:p>
    <w:p w14:paraId="5DD4C879">
      <w:pPr>
        <w:snapToGrid w:val="0"/>
        <w:spacing w:line="416" w:lineRule="exact"/>
        <w:ind w:left="140" w:hanging="140"/>
        <w:jc w:val="center"/>
        <w:rPr>
          <w:rFonts w:ascii="Times New Roman" w:hAnsi="Times New Roman" w:eastAsia="黑体"/>
          <w:kern w:val="0"/>
          <w:sz w:val="28"/>
          <w:szCs w:val="28"/>
        </w:rPr>
      </w:pPr>
    </w:p>
    <w:p w14:paraId="471BB302">
      <w:pPr>
        <w:snapToGrid w:val="0"/>
        <w:spacing w:line="416" w:lineRule="exact"/>
        <w:ind w:left="140" w:hanging="140"/>
        <w:jc w:val="center"/>
        <w:rPr>
          <w:rFonts w:ascii="Times New Roman" w:hAnsi="Times New Roman" w:eastAsia="黑体"/>
          <w:kern w:val="0"/>
          <w:sz w:val="28"/>
          <w:szCs w:val="28"/>
        </w:rPr>
      </w:pPr>
      <w:r>
        <w:rPr>
          <w:rFonts w:ascii="Times New Roman" w:hAnsi="Times New Roman" w:eastAsia="黑体"/>
          <w:kern w:val="0"/>
          <w:sz w:val="28"/>
          <w:szCs w:val="28"/>
        </w:rPr>
        <w:t>广西壮族自治区工程建设地方标准</w:t>
      </w:r>
    </w:p>
    <w:p w14:paraId="0CAF2088">
      <w:pPr>
        <w:snapToGrid w:val="0"/>
        <w:spacing w:line="440" w:lineRule="exact"/>
        <w:ind w:left="141" w:hanging="141"/>
        <w:jc w:val="center"/>
        <w:rPr>
          <w:rFonts w:ascii="Times New Roman" w:hAnsi="Times New Roman" w:eastAsia="黑体"/>
          <w:b/>
          <w:kern w:val="0"/>
          <w:sz w:val="28"/>
          <w:szCs w:val="28"/>
        </w:rPr>
      </w:pPr>
    </w:p>
    <w:p w14:paraId="357FBBDA">
      <w:pPr>
        <w:adjustRightInd w:val="0"/>
        <w:snapToGrid w:val="0"/>
        <w:spacing w:line="420" w:lineRule="exact"/>
        <w:ind w:left="161" w:hanging="161"/>
        <w:jc w:val="center"/>
        <w:rPr>
          <w:rFonts w:ascii="Times New Roman" w:hAnsi="Times New Roman" w:eastAsia="黑体"/>
          <w:b/>
          <w:bCs/>
          <w:snapToGrid w:val="0"/>
          <w:kern w:val="0"/>
          <w:sz w:val="32"/>
          <w:szCs w:val="32"/>
        </w:rPr>
      </w:pPr>
      <w:r>
        <w:rPr>
          <w:rFonts w:ascii="Times New Roman" w:hAnsi="Times New Roman" w:eastAsia="黑体"/>
          <w:b/>
          <w:bCs/>
          <w:snapToGrid w:val="0"/>
          <w:kern w:val="0"/>
          <w:sz w:val="32"/>
          <w:szCs w:val="32"/>
        </w:rPr>
        <w:t>智能建筑工程施工工艺规程</w:t>
      </w:r>
    </w:p>
    <w:p w14:paraId="005667C0">
      <w:pPr>
        <w:snapToGrid w:val="0"/>
        <w:spacing w:line="140" w:lineRule="exact"/>
        <w:ind w:left="105" w:hanging="105"/>
        <w:jc w:val="center"/>
        <w:rPr>
          <w:rFonts w:ascii="Times New Roman" w:hAnsi="Times New Roman" w:eastAsia="黑体"/>
          <w:bCs/>
        </w:rPr>
      </w:pPr>
    </w:p>
    <w:p w14:paraId="0DD6E427">
      <w:pPr>
        <w:snapToGrid w:val="0"/>
        <w:spacing w:line="140" w:lineRule="exact"/>
        <w:ind w:left="105" w:hanging="105"/>
        <w:jc w:val="center"/>
        <w:rPr>
          <w:rFonts w:ascii="Times New Roman" w:hAnsi="Times New Roman" w:eastAsia="黑体"/>
          <w:bCs/>
          <w:snapToGrid w:val="0"/>
          <w:kern w:val="0"/>
          <w:szCs w:val="21"/>
        </w:rPr>
      </w:pPr>
    </w:p>
    <w:p w14:paraId="07FB76E0">
      <w:pPr>
        <w:snapToGrid w:val="0"/>
        <w:spacing w:line="520" w:lineRule="exact"/>
        <w:ind w:left="105" w:hanging="105"/>
        <w:jc w:val="center"/>
        <w:rPr>
          <w:rFonts w:ascii="Times New Roman" w:hAnsi="Times New Roman" w:eastAsia="黑体"/>
          <w:bCs/>
          <w:snapToGrid w:val="0"/>
          <w:kern w:val="0"/>
          <w:szCs w:val="21"/>
        </w:rPr>
      </w:pPr>
      <w:r>
        <w:rPr>
          <w:rFonts w:ascii="Times New Roman" w:hAnsi="Times New Roman" w:eastAsia="黑体"/>
          <w:bCs/>
          <w:snapToGrid w:val="0"/>
          <w:kern w:val="0"/>
          <w:szCs w:val="21"/>
        </w:rPr>
        <w:t>Technical specification for construction of</w:t>
      </w:r>
    </w:p>
    <w:p w14:paraId="550C34E4">
      <w:pPr>
        <w:snapToGrid w:val="0"/>
        <w:spacing w:line="420" w:lineRule="exact"/>
        <w:ind w:left="105" w:hanging="105"/>
        <w:jc w:val="center"/>
        <w:rPr>
          <w:rFonts w:ascii="Times New Roman" w:hAnsi="Times New Roman" w:eastAsia="黑体"/>
          <w:snapToGrid w:val="0"/>
          <w:kern w:val="0"/>
          <w:sz w:val="28"/>
          <w:szCs w:val="28"/>
        </w:rPr>
      </w:pPr>
      <w:r>
        <w:rPr>
          <w:rFonts w:ascii="Times New Roman" w:hAnsi="Times New Roman" w:eastAsia="黑体"/>
          <w:bCs/>
          <w:snapToGrid w:val="0"/>
          <w:kern w:val="0"/>
          <w:szCs w:val="21"/>
        </w:rPr>
        <w:t xml:space="preserve">Intelligent building engineering </w:t>
      </w:r>
    </w:p>
    <w:p w14:paraId="5055DFBB">
      <w:pPr>
        <w:autoSpaceDE w:val="0"/>
        <w:autoSpaceDN w:val="0"/>
        <w:adjustRightInd w:val="0"/>
        <w:snapToGrid w:val="0"/>
        <w:spacing w:line="416" w:lineRule="exact"/>
        <w:ind w:left="140" w:hanging="140" w:firstLineChars="0"/>
        <w:jc w:val="center"/>
        <w:rPr>
          <w:rFonts w:ascii="Times New Roman" w:hAnsi="Times New Roman" w:eastAsia="黑体"/>
          <w:b/>
          <w:bCs/>
          <w:szCs w:val="21"/>
        </w:rPr>
      </w:pPr>
      <w:r>
        <w:rPr>
          <w:rFonts w:ascii="Times New Roman" w:hAnsi="Times New Roman" w:eastAsia="黑体"/>
          <w:b/>
          <w:bCs/>
          <w:szCs w:val="21"/>
        </w:rPr>
        <w:t>DBJ/T45-***-****</w:t>
      </w:r>
    </w:p>
    <w:p w14:paraId="0974F13D">
      <w:pPr>
        <w:snapToGrid w:val="0"/>
        <w:spacing w:line="416" w:lineRule="exact"/>
        <w:ind w:left="105" w:hanging="105"/>
        <w:jc w:val="center"/>
        <w:rPr>
          <w:rFonts w:ascii="Times New Roman" w:hAnsi="Times New Roman" w:eastAsia="黑体"/>
          <w:bCs/>
          <w:szCs w:val="21"/>
        </w:rPr>
      </w:pPr>
    </w:p>
    <w:p w14:paraId="66575EA4">
      <w:pPr>
        <w:snapToGrid w:val="0"/>
        <w:spacing w:line="120" w:lineRule="exact"/>
        <w:ind w:left="105" w:hanging="105"/>
        <w:jc w:val="center"/>
        <w:rPr>
          <w:rFonts w:ascii="Times New Roman" w:hAnsi="Times New Roman" w:eastAsia="黑体"/>
          <w:bCs/>
          <w:szCs w:val="21"/>
        </w:rPr>
      </w:pPr>
    </w:p>
    <w:p w14:paraId="40D69D3C">
      <w:pPr>
        <w:snapToGrid w:val="0"/>
        <w:spacing w:line="416" w:lineRule="exact"/>
        <w:ind w:firstLine="525" w:firstLineChars="250"/>
        <w:rPr>
          <w:rFonts w:ascii="Times New Roman" w:hAnsi="Times New Roman"/>
          <w:bCs/>
          <w:szCs w:val="21"/>
        </w:rPr>
      </w:pPr>
      <w:r>
        <w:rPr>
          <w:rFonts w:ascii="Times New Roman" w:hAnsi="Times New Roman"/>
          <w:bCs/>
          <w:szCs w:val="21"/>
        </w:rPr>
        <w:t>批准部门：广西壮族自治区住房和城乡建设厅</w:t>
      </w:r>
    </w:p>
    <w:p w14:paraId="045AD09B">
      <w:pPr>
        <w:snapToGrid w:val="0"/>
        <w:spacing w:line="416" w:lineRule="exact"/>
        <w:ind w:firstLine="525" w:firstLineChars="250"/>
        <w:rPr>
          <w:rFonts w:ascii="Times New Roman" w:hAnsi="Times New Roman"/>
          <w:bCs/>
          <w:szCs w:val="21"/>
        </w:rPr>
      </w:pPr>
      <w:r>
        <w:rPr>
          <w:rFonts w:ascii="Times New Roman" w:hAnsi="Times New Roman"/>
          <w:bCs/>
          <w:szCs w:val="21"/>
        </w:rPr>
        <w:t>主编单位：广西建工集团有限责任公司</w:t>
      </w:r>
    </w:p>
    <w:p w14:paraId="2B017A90">
      <w:pPr>
        <w:snapToGrid w:val="0"/>
        <w:spacing w:line="416" w:lineRule="exact"/>
        <w:ind w:firstLine="1575" w:firstLineChars="750"/>
        <w:rPr>
          <w:rFonts w:ascii="Times New Roman" w:hAnsi="Times New Roman"/>
          <w:bCs/>
          <w:szCs w:val="21"/>
        </w:rPr>
      </w:pPr>
      <w:r>
        <w:rPr>
          <w:rFonts w:ascii="Times New Roman" w:hAnsi="Times New Roman"/>
          <w:bCs/>
          <w:szCs w:val="21"/>
        </w:rPr>
        <w:t>广西工程建设标准化协会</w:t>
      </w:r>
    </w:p>
    <w:p w14:paraId="72C7BF40">
      <w:pPr>
        <w:snapToGrid w:val="0"/>
        <w:spacing w:line="416" w:lineRule="exact"/>
        <w:ind w:firstLine="1575" w:firstLineChars="750"/>
        <w:rPr>
          <w:rFonts w:ascii="Times New Roman" w:hAnsi="Times New Roman"/>
          <w:bCs/>
          <w:szCs w:val="21"/>
        </w:rPr>
      </w:pPr>
      <w:r>
        <w:rPr>
          <w:rFonts w:ascii="Times New Roman" w:hAnsi="Times New Roman"/>
          <w:bCs/>
          <w:szCs w:val="21"/>
        </w:rPr>
        <w:t>广西建工集团智慧制造有限公司</w:t>
      </w:r>
    </w:p>
    <w:p w14:paraId="7400EB64">
      <w:pPr>
        <w:snapToGrid w:val="0"/>
        <w:spacing w:line="416" w:lineRule="exact"/>
        <w:ind w:firstLine="525" w:firstLineChars="250"/>
        <w:rPr>
          <w:rFonts w:ascii="Times New Roman" w:hAnsi="Times New Roman"/>
          <w:bCs/>
          <w:szCs w:val="21"/>
        </w:rPr>
      </w:pPr>
      <w:r>
        <w:rPr>
          <w:rFonts w:ascii="Times New Roman" w:hAnsi="Times New Roman"/>
          <w:bCs/>
          <w:szCs w:val="21"/>
        </w:rPr>
        <w:t>施行日期：20**年**月**日</w:t>
      </w:r>
    </w:p>
    <w:p w14:paraId="62533FF4">
      <w:pPr>
        <w:snapToGrid w:val="0"/>
        <w:spacing w:line="400" w:lineRule="exact"/>
        <w:ind w:left="105" w:hanging="105"/>
        <w:jc w:val="center"/>
        <w:rPr>
          <w:rFonts w:ascii="Times New Roman" w:hAnsi="Times New Roman"/>
          <w:kern w:val="0"/>
          <w:szCs w:val="21"/>
        </w:rPr>
      </w:pPr>
    </w:p>
    <w:p w14:paraId="2EC971BF">
      <w:pPr>
        <w:snapToGrid w:val="0"/>
        <w:spacing w:line="400" w:lineRule="exact"/>
        <w:ind w:left="105" w:hanging="105"/>
        <w:jc w:val="center"/>
        <w:rPr>
          <w:rFonts w:ascii="Times New Roman" w:hAnsi="Times New Roman" w:eastAsia="黑体"/>
          <w:kern w:val="0"/>
          <w:szCs w:val="21"/>
        </w:rPr>
      </w:pPr>
    </w:p>
    <w:p w14:paraId="011D7AC4">
      <w:pPr>
        <w:snapToGrid w:val="0"/>
        <w:spacing w:line="400" w:lineRule="exact"/>
        <w:ind w:left="105" w:hanging="105"/>
        <w:jc w:val="center"/>
        <w:rPr>
          <w:rFonts w:ascii="Times New Roman" w:hAnsi="Times New Roman" w:eastAsia="黑体"/>
          <w:kern w:val="0"/>
          <w:szCs w:val="21"/>
        </w:rPr>
      </w:pPr>
    </w:p>
    <w:p w14:paraId="62FB6487">
      <w:pPr>
        <w:snapToGrid w:val="0"/>
        <w:spacing w:line="400" w:lineRule="exact"/>
        <w:ind w:left="105" w:hanging="105"/>
        <w:jc w:val="center"/>
        <w:rPr>
          <w:rFonts w:ascii="Times New Roman" w:hAnsi="Times New Roman" w:eastAsia="黑体"/>
          <w:kern w:val="0"/>
          <w:szCs w:val="21"/>
        </w:rPr>
      </w:pPr>
    </w:p>
    <w:p w14:paraId="614C7924">
      <w:pPr>
        <w:snapToGrid w:val="0"/>
        <w:spacing w:line="416" w:lineRule="exact"/>
        <w:ind w:left="105" w:hanging="105"/>
        <w:jc w:val="center"/>
        <w:rPr>
          <w:rFonts w:ascii="Times New Roman" w:hAnsi="Times New Roman" w:eastAsia="黑体"/>
          <w:kern w:val="0"/>
          <w:szCs w:val="21"/>
        </w:rPr>
      </w:pPr>
      <w:r>
        <w:rPr>
          <w:rFonts w:ascii="Times New Roman" w:hAnsi="Times New Roman" w:eastAsia="黑体"/>
          <w:kern w:val="0"/>
          <w:szCs w:val="21"/>
        </w:rPr>
        <w:t>20** 广 西</w:t>
      </w:r>
    </w:p>
    <w:p w14:paraId="4DD0472C">
      <w:pPr>
        <w:ind w:left="120" w:hanging="120"/>
        <w:jc w:val="center"/>
        <w:rPr>
          <w:rFonts w:ascii="Times New Roman" w:hAnsi="Times New Roman"/>
          <w:bCs/>
          <w:sz w:val="24"/>
        </w:rPr>
      </w:pPr>
    </w:p>
    <w:p w14:paraId="4A474ECE">
      <w:pPr>
        <w:ind w:left="120" w:hanging="120"/>
        <w:jc w:val="center"/>
        <w:rPr>
          <w:rFonts w:ascii="Times New Roman" w:hAnsi="Times New Roman"/>
          <w:bCs/>
          <w:sz w:val="24"/>
        </w:rPr>
      </w:pPr>
    </w:p>
    <w:p w14:paraId="2CA71D4A">
      <w:pPr>
        <w:ind w:left="120" w:hanging="120"/>
        <w:jc w:val="center"/>
        <w:rPr>
          <w:rFonts w:ascii="Times New Roman" w:hAnsi="Times New Roman"/>
          <w:bCs/>
          <w:sz w:val="24"/>
        </w:rPr>
      </w:pPr>
    </w:p>
    <w:p w14:paraId="221B5B4E">
      <w:pPr>
        <w:ind w:left="120" w:hanging="120"/>
        <w:jc w:val="center"/>
        <w:rPr>
          <w:rFonts w:ascii="Times New Roman" w:hAnsi="Times New Roman"/>
          <w:bCs/>
          <w:sz w:val="24"/>
        </w:rPr>
      </w:pPr>
    </w:p>
    <w:p w14:paraId="0E8A7463">
      <w:pPr>
        <w:adjustRightInd w:val="0"/>
        <w:snapToGrid w:val="0"/>
        <w:spacing w:line="440" w:lineRule="exact"/>
        <w:ind w:left="140" w:hanging="140"/>
        <w:jc w:val="center"/>
        <w:rPr>
          <w:rFonts w:ascii="Times New Roman" w:hAnsi="Times New Roman" w:eastAsia="黑体"/>
          <w:snapToGrid w:val="0"/>
          <w:kern w:val="0"/>
          <w:sz w:val="28"/>
          <w:szCs w:val="28"/>
        </w:rPr>
      </w:pPr>
      <w:r>
        <w:rPr>
          <w:rFonts w:ascii="Times New Roman" w:hAnsi="Times New Roman" w:eastAsia="黑体"/>
          <w:snapToGrid w:val="0"/>
          <w:kern w:val="0"/>
          <w:sz w:val="28"/>
          <w:szCs w:val="28"/>
        </w:rPr>
        <w:t>自治区住房城乡建设厅关于批准发布广西</w:t>
      </w:r>
    </w:p>
    <w:p w14:paraId="709FC484">
      <w:pPr>
        <w:adjustRightInd w:val="0"/>
        <w:snapToGrid w:val="0"/>
        <w:spacing w:line="440" w:lineRule="exact"/>
        <w:ind w:left="140" w:hanging="140"/>
        <w:jc w:val="center"/>
        <w:rPr>
          <w:rFonts w:ascii="Times New Roman" w:hAnsi="Times New Roman" w:eastAsia="黑体"/>
          <w:bCs/>
          <w:snapToGrid w:val="0"/>
          <w:kern w:val="0"/>
          <w:sz w:val="28"/>
          <w:szCs w:val="28"/>
        </w:rPr>
      </w:pPr>
      <w:r>
        <w:rPr>
          <w:rFonts w:ascii="Times New Roman" w:hAnsi="Times New Roman" w:eastAsia="黑体"/>
          <w:snapToGrid w:val="0"/>
          <w:kern w:val="0"/>
          <w:sz w:val="28"/>
          <w:szCs w:val="28"/>
        </w:rPr>
        <w:t>工程建设地方标准《</w:t>
      </w:r>
      <w:r>
        <w:rPr>
          <w:rFonts w:ascii="Times New Roman" w:hAnsi="Times New Roman" w:eastAsia="黑体"/>
          <w:bCs/>
          <w:snapToGrid w:val="0"/>
          <w:kern w:val="0"/>
          <w:sz w:val="28"/>
          <w:szCs w:val="28"/>
        </w:rPr>
        <w:t>智能建筑工程施工</w:t>
      </w:r>
    </w:p>
    <w:p w14:paraId="3C42F1E4">
      <w:pPr>
        <w:adjustRightInd w:val="0"/>
        <w:snapToGrid w:val="0"/>
        <w:spacing w:line="440" w:lineRule="exact"/>
        <w:ind w:left="140" w:hanging="140"/>
        <w:jc w:val="center"/>
        <w:rPr>
          <w:rFonts w:ascii="Times New Roman" w:hAnsi="Times New Roman" w:eastAsia="黑体"/>
          <w:snapToGrid w:val="0"/>
          <w:kern w:val="0"/>
          <w:sz w:val="28"/>
          <w:szCs w:val="28"/>
        </w:rPr>
      </w:pPr>
      <w:r>
        <w:rPr>
          <w:rFonts w:ascii="Times New Roman" w:hAnsi="Times New Roman" w:eastAsia="黑体"/>
          <w:bCs/>
          <w:snapToGrid w:val="0"/>
          <w:kern w:val="0"/>
          <w:sz w:val="28"/>
          <w:szCs w:val="28"/>
        </w:rPr>
        <w:t>工艺规程</w:t>
      </w:r>
      <w:r>
        <w:rPr>
          <w:rFonts w:ascii="Times New Roman" w:hAnsi="Times New Roman" w:eastAsia="黑体"/>
          <w:snapToGrid w:val="0"/>
          <w:kern w:val="0"/>
          <w:sz w:val="28"/>
          <w:szCs w:val="28"/>
        </w:rPr>
        <w:t>》的通知</w:t>
      </w:r>
    </w:p>
    <w:p w14:paraId="6F468E11">
      <w:pPr>
        <w:adjustRightInd w:val="0"/>
        <w:snapToGrid w:val="0"/>
        <w:spacing w:line="440" w:lineRule="exact"/>
        <w:ind w:left="140" w:hanging="140"/>
        <w:jc w:val="center"/>
        <w:rPr>
          <w:rFonts w:ascii="Times New Roman" w:hAnsi="Times New Roman" w:eastAsia="黑体"/>
          <w:snapToGrid w:val="0"/>
          <w:kern w:val="0"/>
          <w:sz w:val="28"/>
          <w:szCs w:val="28"/>
        </w:rPr>
      </w:pPr>
    </w:p>
    <w:p w14:paraId="00C52501">
      <w:pPr>
        <w:adjustRightInd w:val="0"/>
        <w:snapToGrid w:val="0"/>
        <w:spacing w:line="440" w:lineRule="exact"/>
        <w:ind w:left="140" w:hanging="140"/>
        <w:jc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桂建标〔20**〕** 号</w:t>
      </w:r>
    </w:p>
    <w:p w14:paraId="26295089">
      <w:pPr>
        <w:adjustRightInd w:val="0"/>
        <w:snapToGrid w:val="0"/>
        <w:spacing w:line="440" w:lineRule="exact"/>
        <w:ind w:left="120" w:hanging="120"/>
        <w:jc w:val="center"/>
        <w:rPr>
          <w:rFonts w:ascii="Times New Roman" w:hAnsi="Times New Roman" w:eastAsia="黑体"/>
          <w:bCs/>
          <w:sz w:val="24"/>
        </w:rPr>
      </w:pPr>
      <w:r>
        <w:rPr>
          <w:rFonts w:ascii="Times New Roman" w:hAnsi="Times New Roman" w:eastAsia="黑体"/>
          <w:bCs/>
          <w:sz w:val="24"/>
        </w:rPr>
        <w:t xml:space="preserve"> </w:t>
      </w:r>
    </w:p>
    <w:p w14:paraId="1A0361F4">
      <w:pPr>
        <w:ind w:left="210" w:leftChars="100" w:firstLine="315" w:firstLineChars="150"/>
        <w:rPr>
          <w:rFonts w:ascii="Times New Roman" w:hAnsi="Times New Roman"/>
          <w:szCs w:val="21"/>
        </w:rPr>
      </w:pPr>
      <w:r>
        <w:rPr>
          <w:rFonts w:ascii="Times New Roman" w:hAnsi="Times New Roman"/>
          <w:szCs w:val="21"/>
        </w:rPr>
        <w:t>各设区市住房城乡建设局，各有关单位：</w:t>
      </w:r>
    </w:p>
    <w:p w14:paraId="0ED185E1">
      <w:pPr>
        <w:ind w:left="210" w:leftChars="100" w:firstLine="315" w:firstLineChars="150"/>
        <w:rPr>
          <w:rFonts w:ascii="Times New Roman" w:hAnsi="Times New Roman"/>
          <w:szCs w:val="21"/>
        </w:rPr>
      </w:pPr>
      <w:r>
        <w:rPr>
          <w:rFonts w:ascii="Times New Roman" w:hAnsi="Times New Roman"/>
          <w:szCs w:val="21"/>
        </w:rPr>
        <w:t>由我厅批准立项，广西建工集团有限责任公司、广西工程建设标准化协会、广西建工集团智慧制造有限公司主编的《智能建筑工程施工工艺规程》广西工程建设地方标准已获专家评审通过，现予以批准发布。标准编号如下：</w:t>
      </w:r>
    </w:p>
    <w:p w14:paraId="1709B55C">
      <w:pPr>
        <w:ind w:left="210" w:leftChars="100" w:firstLine="315" w:firstLineChars="150"/>
        <w:rPr>
          <w:rFonts w:ascii="Times New Roman" w:hAnsi="Times New Roman"/>
          <w:szCs w:val="21"/>
        </w:rPr>
      </w:pPr>
      <w:r>
        <w:rPr>
          <w:rFonts w:ascii="Times New Roman" w:hAnsi="Times New Roman"/>
          <w:szCs w:val="21"/>
        </w:rPr>
        <w:t>DBJ/T45-***-**** 《智能建筑工程施工工艺规程》</w:t>
      </w:r>
    </w:p>
    <w:p w14:paraId="6A7F577C">
      <w:pPr>
        <w:ind w:left="210" w:leftChars="100" w:firstLine="315" w:firstLineChars="150"/>
        <w:rPr>
          <w:rFonts w:ascii="Times New Roman" w:hAnsi="Times New Roman"/>
          <w:szCs w:val="21"/>
        </w:rPr>
      </w:pPr>
      <w:r>
        <w:rPr>
          <w:rFonts w:ascii="Times New Roman" w:hAnsi="Times New Roman"/>
          <w:szCs w:val="21"/>
        </w:rPr>
        <w:t>上述标准于 20**年**月**日发布，自 20**年**月**日起实施。</w:t>
      </w:r>
    </w:p>
    <w:p w14:paraId="324C1610">
      <w:pPr>
        <w:ind w:left="210" w:leftChars="100" w:firstLine="315" w:firstLineChars="150"/>
        <w:rPr>
          <w:rFonts w:ascii="Times New Roman" w:hAnsi="Times New Roman"/>
          <w:szCs w:val="21"/>
        </w:rPr>
      </w:pPr>
      <w:r>
        <w:rPr>
          <w:rFonts w:ascii="Times New Roman" w:hAnsi="Times New Roman"/>
          <w:szCs w:val="21"/>
        </w:rPr>
        <w:t>上述标准由广西壮族自治区住房和城乡建设厅负责管理，由</w:t>
      </w:r>
    </w:p>
    <w:p w14:paraId="2BF73616">
      <w:pPr>
        <w:ind w:left="210" w:leftChars="100" w:firstLine="315" w:firstLineChars="150"/>
        <w:rPr>
          <w:rFonts w:ascii="Times New Roman" w:hAnsi="Times New Roman"/>
          <w:szCs w:val="21"/>
        </w:rPr>
      </w:pPr>
      <w:r>
        <w:rPr>
          <w:rFonts w:ascii="Times New Roman" w:hAnsi="Times New Roman"/>
          <w:szCs w:val="21"/>
        </w:rPr>
        <w:t>主编单位负责具体技术内容解释。</w:t>
      </w:r>
    </w:p>
    <w:p w14:paraId="45E2AE67">
      <w:pPr>
        <w:ind w:left="210" w:leftChars="100" w:firstLine="315" w:firstLineChars="150"/>
        <w:rPr>
          <w:rFonts w:ascii="Times New Roman" w:hAnsi="Times New Roman"/>
          <w:szCs w:val="21"/>
        </w:rPr>
      </w:pPr>
    </w:p>
    <w:p w14:paraId="2449790A">
      <w:pPr>
        <w:ind w:left="210" w:leftChars="100" w:firstLine="315" w:firstLineChars="150"/>
        <w:jc w:val="right"/>
        <w:rPr>
          <w:rFonts w:ascii="Times New Roman" w:hAnsi="Times New Roman"/>
          <w:szCs w:val="21"/>
        </w:rPr>
      </w:pPr>
      <w:r>
        <w:rPr>
          <w:rFonts w:ascii="Times New Roman" w:hAnsi="Times New Roman"/>
          <w:szCs w:val="21"/>
        </w:rPr>
        <w:t>广西壮族自治区住房和城乡建设厅</w:t>
      </w:r>
    </w:p>
    <w:p w14:paraId="31B54362">
      <w:pPr>
        <w:ind w:firstLine="1260" w:firstLineChars="600"/>
        <w:jc w:val="right"/>
        <w:rPr>
          <w:rFonts w:ascii="Times New Roman" w:hAnsi="Times New Roman"/>
          <w:szCs w:val="21"/>
        </w:rPr>
      </w:pPr>
      <w:r>
        <w:rPr>
          <w:rFonts w:ascii="Times New Roman" w:hAnsi="Times New Roman"/>
          <w:szCs w:val="21"/>
        </w:rPr>
        <w:t xml:space="preserve">  20**年**月**日</w:t>
      </w:r>
    </w:p>
    <w:p w14:paraId="11E6DCC6">
      <w:pPr>
        <w:autoSpaceDE w:val="0"/>
        <w:autoSpaceDN w:val="0"/>
        <w:adjustRightInd w:val="0"/>
        <w:ind w:left="140" w:hanging="140"/>
        <w:jc w:val="center"/>
        <w:rPr>
          <w:rFonts w:ascii="Times New Roman" w:hAnsi="Times New Roman" w:eastAsia="黑体"/>
          <w:bCs/>
          <w:sz w:val="24"/>
        </w:rPr>
      </w:pPr>
      <w:r>
        <w:rPr>
          <w:rFonts w:ascii="Times New Roman" w:hAnsi="Times New Roman" w:eastAsia="黑体"/>
          <w:bCs/>
          <w:sz w:val="28"/>
        </w:rPr>
        <w:t xml:space="preserve"> </w:t>
      </w:r>
      <w:r>
        <w:rPr>
          <w:rFonts w:ascii="Times New Roman" w:hAnsi="Times New Roman" w:eastAsia="黑体"/>
          <w:bCs/>
          <w:sz w:val="24"/>
        </w:rPr>
        <w:t xml:space="preserve"> </w:t>
      </w:r>
    </w:p>
    <w:p w14:paraId="60B0470F">
      <w:pPr>
        <w:ind w:firstLine="1800" w:firstLineChars="600"/>
        <w:rPr>
          <w:rFonts w:ascii="Times New Roman" w:hAnsi="Times New Roman"/>
          <w:sz w:val="30"/>
          <w:szCs w:val="30"/>
        </w:rPr>
      </w:pPr>
    </w:p>
    <w:p w14:paraId="65A2EDF4">
      <w:pPr>
        <w:ind w:firstLine="1800" w:firstLineChars="600"/>
        <w:rPr>
          <w:rFonts w:ascii="Times New Roman" w:hAnsi="Times New Roman"/>
          <w:sz w:val="30"/>
          <w:szCs w:val="30"/>
        </w:rPr>
      </w:pPr>
    </w:p>
    <w:p w14:paraId="368F8BDF">
      <w:pPr>
        <w:spacing w:line="440" w:lineRule="exact"/>
        <w:ind w:left="150" w:hanging="150"/>
        <w:jc w:val="center"/>
        <w:rPr>
          <w:rFonts w:ascii="Times New Roman" w:hAnsi="Times New Roman"/>
          <w:sz w:val="30"/>
          <w:szCs w:val="30"/>
        </w:rPr>
      </w:pPr>
    </w:p>
    <w:p w14:paraId="3BF5C8DF">
      <w:pPr>
        <w:spacing w:line="440" w:lineRule="exact"/>
        <w:ind w:left="0" w:firstLine="0" w:firstLineChars="0"/>
        <w:rPr>
          <w:rFonts w:ascii="Times New Roman" w:hAnsi="Times New Roman" w:eastAsia="黑体"/>
          <w:b/>
          <w:sz w:val="30"/>
          <w:szCs w:val="30"/>
        </w:rPr>
      </w:pPr>
    </w:p>
    <w:p w14:paraId="1EB865C1">
      <w:pPr>
        <w:spacing w:line="440" w:lineRule="exact"/>
        <w:ind w:left="58" w:hanging="58" w:hangingChars="16"/>
        <w:jc w:val="center"/>
        <w:rPr>
          <w:rFonts w:ascii="Times New Roman" w:hAnsi="Times New Roman"/>
          <w:b/>
          <w:sz w:val="36"/>
          <w:szCs w:val="36"/>
        </w:rPr>
        <w:sectPr>
          <w:headerReference r:id="rId13" w:type="first"/>
          <w:footerReference r:id="rId16" w:type="first"/>
          <w:headerReference r:id="rId11" w:type="default"/>
          <w:footerReference r:id="rId14" w:type="default"/>
          <w:headerReference r:id="rId12" w:type="even"/>
          <w:footerReference r:id="rId15" w:type="even"/>
          <w:type w:val="continuous"/>
          <w:pgSz w:w="7938" w:h="11510"/>
          <w:pgMar w:top="1134" w:right="1021" w:bottom="1134" w:left="1021" w:header="284" w:footer="737" w:gutter="0"/>
          <w:pgNumType w:fmt="upperRoman"/>
          <w:cols w:space="720" w:num="1"/>
          <w:docGrid w:type="lines" w:linePitch="312" w:charSpace="0"/>
        </w:sectPr>
      </w:pPr>
    </w:p>
    <w:p w14:paraId="1976FBB7">
      <w:pPr>
        <w:spacing w:line="384" w:lineRule="exact"/>
        <w:ind w:left="45" w:hanging="44" w:hangingChars="16"/>
        <w:jc w:val="center"/>
        <w:rPr>
          <w:rFonts w:ascii="Times New Roman" w:hAnsi="Times New Roman" w:eastAsia="黑体"/>
          <w:bCs/>
          <w:sz w:val="28"/>
          <w:szCs w:val="28"/>
        </w:rPr>
      </w:pPr>
      <w:r>
        <w:rPr>
          <w:rFonts w:ascii="Times New Roman" w:hAnsi="Times New Roman" w:eastAsia="黑体"/>
          <w:bCs/>
          <w:sz w:val="28"/>
          <w:szCs w:val="28"/>
        </w:rPr>
        <w:t>前    言</w:t>
      </w:r>
    </w:p>
    <w:p w14:paraId="04A35C72">
      <w:pPr>
        <w:spacing w:line="384" w:lineRule="exact"/>
        <w:ind w:left="151" w:hanging="151"/>
        <w:jc w:val="center"/>
        <w:rPr>
          <w:rFonts w:ascii="Times New Roman" w:hAnsi="Times New Roman"/>
          <w:b/>
          <w:sz w:val="30"/>
          <w:szCs w:val="30"/>
        </w:rPr>
      </w:pPr>
    </w:p>
    <w:p w14:paraId="0A1E4767">
      <w:pPr>
        <w:spacing w:line="384" w:lineRule="exact"/>
        <w:ind w:firstLine="420" w:firstLineChars="200"/>
        <w:jc w:val="left"/>
        <w:rPr>
          <w:rFonts w:ascii="Times New Roman" w:hAnsi="Times New Roman"/>
          <w:szCs w:val="21"/>
        </w:rPr>
      </w:pPr>
      <w:r>
        <w:rPr>
          <w:rFonts w:ascii="Times New Roman" w:hAnsi="Times New Roman"/>
          <w:szCs w:val="21"/>
        </w:rPr>
        <w:t>根据广西壮族自治区住房和城乡建设厅《关于下达2019年度全区工程建设地方标准、图集制（修）订项目计划的通知》（桂建标〔2019〕21号）的要求，</w:t>
      </w:r>
      <w:r>
        <w:rPr>
          <w:rFonts w:ascii="Times New Roman" w:hAnsi="Times New Roman"/>
        </w:rPr>
        <w:t>规程编制组经广泛调查研究，借鉴近年来国内建筑工程施工的实践经验，结合广西实际，并在广泛征求意见的基础上，编制了本规程</w:t>
      </w:r>
      <w:r>
        <w:rPr>
          <w:rFonts w:ascii="Times New Roman" w:hAnsi="Times New Roman"/>
          <w:szCs w:val="21"/>
        </w:rPr>
        <w:t>。</w:t>
      </w:r>
    </w:p>
    <w:p w14:paraId="46A5E08E">
      <w:pPr>
        <w:spacing w:line="384" w:lineRule="exact"/>
        <w:ind w:firstLine="420" w:firstLineChars="200"/>
        <w:jc w:val="left"/>
        <w:rPr>
          <w:rFonts w:ascii="Times New Roman" w:hAnsi="Times New Roman"/>
          <w:szCs w:val="21"/>
        </w:rPr>
      </w:pPr>
      <w:r>
        <w:rPr>
          <w:rFonts w:ascii="Times New Roman" w:hAnsi="Times New Roman"/>
          <w:szCs w:val="21"/>
        </w:rPr>
        <w:t>本规程共分为23章，主要内容包括：</w:t>
      </w:r>
      <w:bookmarkStart w:id="14" w:name="_Hlk182216349"/>
      <w:bookmarkStart w:id="15" w:name="_Hlk182216709"/>
      <w:r>
        <w:rPr>
          <w:rFonts w:ascii="Times New Roman" w:hAnsi="Times New Roman"/>
          <w:szCs w:val="21"/>
        </w:rPr>
        <w:t>总则、术语、基本规定、智能化集成系统、信息接入系统、用户电话交换系统、信息网络系统、综合布线系统、移动通信室内信号覆盖系统、卫星通信系统、有线电视及卫星电视接收系统、公共广播系统、会议系统、信息引导及发布系统、时钟系统、信息化应用系统、建筑设备监控系统、火灾自动报警系统、安全技术防范系统、应急响应系统、机房工程、防雷与接地</w:t>
      </w:r>
      <w:bookmarkEnd w:id="14"/>
      <w:r>
        <w:rPr>
          <w:rFonts w:ascii="Times New Roman" w:hAnsi="Times New Roman"/>
          <w:szCs w:val="21"/>
        </w:rPr>
        <w:t>。</w:t>
      </w:r>
      <w:bookmarkEnd w:id="15"/>
    </w:p>
    <w:p w14:paraId="64A492E2">
      <w:pPr>
        <w:spacing w:line="384" w:lineRule="exact"/>
        <w:ind w:firstLine="420" w:firstLineChars="200"/>
        <w:jc w:val="left"/>
        <w:rPr>
          <w:rFonts w:ascii="Times New Roman" w:hAnsi="Times New Roman"/>
          <w:szCs w:val="21"/>
        </w:rPr>
      </w:pPr>
      <w:r>
        <w:rPr>
          <w:rFonts w:ascii="Times New Roman" w:hAnsi="Times New Roman"/>
        </w:rPr>
        <w:t>本规程由广西壮族自治区住房和城乡建设厅负责管理，由广西建工集团有限责任公司负责具体内容的解释</w:t>
      </w:r>
      <w:r>
        <w:rPr>
          <w:rFonts w:ascii="Times New Roman" w:hAnsi="Times New Roman"/>
          <w:szCs w:val="21"/>
        </w:rPr>
        <w:t>。</w:t>
      </w:r>
    </w:p>
    <w:p w14:paraId="18A3C624">
      <w:pPr>
        <w:spacing w:line="384" w:lineRule="exact"/>
        <w:ind w:firstLine="420" w:firstLineChars="200"/>
        <w:jc w:val="left"/>
        <w:rPr>
          <w:rFonts w:ascii="Times New Roman" w:hAnsi="Times New Roman"/>
          <w:szCs w:val="21"/>
        </w:rPr>
      </w:pPr>
      <w:r>
        <w:rPr>
          <w:rFonts w:ascii="Times New Roman" w:hAnsi="Times New Roman"/>
          <w:szCs w:val="21"/>
        </w:rPr>
        <w:t>本规程在执行过程中，如有意见和建议，请反馈给</w:t>
      </w:r>
      <w:bookmarkStart w:id="433" w:name="_GoBack"/>
      <w:bookmarkEnd w:id="433"/>
      <w:r>
        <w:rPr>
          <w:rFonts w:ascii="Times New Roman" w:hAnsi="Times New Roman"/>
          <w:szCs w:val="21"/>
        </w:rPr>
        <w:t>广西建工集团有限责任公司（地址：南宁市良庆区平乐大道19号，邮编：530201，联系电话：0771-2815093，E-mail：etrc@gxjgjt.com）或广西建工集团智慧制造有限公司（地址：广西南宁市青秀区伶俐镇民兴路10号，邮编：530211，E-mail：ddwl@dadusteel.com），以供今后修订时参考。</w:t>
      </w:r>
    </w:p>
    <w:p w14:paraId="5DF504FB">
      <w:pPr>
        <w:snapToGrid w:val="0"/>
        <w:spacing w:line="400" w:lineRule="exact"/>
        <w:ind w:left="0" w:firstLine="420" w:firstLineChars="200"/>
        <w:rPr>
          <w:rFonts w:ascii="Times New Roman" w:hAnsi="Times New Roman"/>
          <w:sz w:val="24"/>
        </w:rPr>
      </w:pPr>
      <w:r>
        <w:rPr>
          <w:rFonts w:ascii="Times New Roman" w:hAnsi="Times New Roman" w:eastAsia="黑体"/>
          <w:szCs w:val="21"/>
        </w:rPr>
        <w:t>本 规 程 主 编 单 位：</w:t>
      </w:r>
      <w:r>
        <w:rPr>
          <w:rFonts w:ascii="Times New Roman" w:hAnsi="Times New Roman"/>
          <w:szCs w:val="21"/>
        </w:rPr>
        <w:t>广西建工集团有限责任公司</w:t>
      </w:r>
    </w:p>
    <w:p w14:paraId="1BCCE9FA">
      <w:pPr>
        <w:snapToGrid w:val="0"/>
        <w:spacing w:line="400" w:lineRule="exact"/>
        <w:ind w:left="0" w:firstLine="2730" w:firstLineChars="1300"/>
        <w:rPr>
          <w:rFonts w:ascii="Times New Roman" w:hAnsi="Times New Roman"/>
          <w:szCs w:val="21"/>
        </w:rPr>
      </w:pPr>
      <w:r>
        <w:rPr>
          <w:rFonts w:ascii="Times New Roman" w:hAnsi="Times New Roman"/>
          <w:bCs/>
          <w:szCs w:val="21"/>
        </w:rPr>
        <w:t>广西工程建设标准化协会</w:t>
      </w:r>
    </w:p>
    <w:p w14:paraId="3DEA6DC1">
      <w:pPr>
        <w:snapToGrid w:val="0"/>
        <w:spacing w:line="400" w:lineRule="exact"/>
        <w:ind w:left="0" w:firstLine="2730" w:firstLineChars="1300"/>
        <w:rPr>
          <w:rFonts w:hint="eastAsia" w:ascii="Times New Roman" w:hAnsi="Times New Roman"/>
          <w:bCs/>
          <w:szCs w:val="21"/>
        </w:rPr>
      </w:pPr>
      <w:r>
        <w:rPr>
          <w:rFonts w:hint="eastAsia" w:ascii="Times New Roman" w:hAnsi="Times New Roman"/>
          <w:bCs/>
          <w:szCs w:val="21"/>
        </w:rPr>
        <w:t>广西建工集团智慧制造有限公司</w:t>
      </w:r>
    </w:p>
    <w:p w14:paraId="7B1CE2ED">
      <w:pPr>
        <w:snapToGrid w:val="0"/>
        <w:spacing w:line="400" w:lineRule="exact"/>
        <w:rPr>
          <w:rFonts w:hint="eastAsia" w:ascii="Times New Roman" w:hAnsi="Times New Roman"/>
          <w:szCs w:val="21"/>
        </w:rPr>
      </w:pPr>
      <w:r>
        <w:rPr>
          <w:rFonts w:ascii="Times New Roman" w:hAnsi="Times New Roman" w:eastAsia="黑体"/>
          <w:szCs w:val="21"/>
        </w:rPr>
        <w:t>本 规 程 参 编 单 位：</w:t>
      </w:r>
      <w:r>
        <w:rPr>
          <w:rFonts w:hint="eastAsia" w:ascii="Times New Roman" w:hAnsi="Times New Roman"/>
          <w:szCs w:val="21"/>
        </w:rPr>
        <w:t>广西建工第五建筑工程集团有限公司设计研究院</w:t>
      </w:r>
    </w:p>
    <w:p w14:paraId="51FD51AA">
      <w:pPr>
        <w:snapToGrid w:val="0"/>
        <w:spacing w:line="400" w:lineRule="exact"/>
        <w:ind w:leftChars="1100"/>
        <w:rPr>
          <w:rFonts w:hint="eastAsia" w:ascii="Times New Roman" w:hAnsi="Times New Roman"/>
          <w:szCs w:val="21"/>
        </w:rPr>
      </w:pPr>
      <w:r>
        <w:rPr>
          <w:rFonts w:hint="eastAsia" w:ascii="Times New Roman" w:hAnsi="Times New Roman"/>
          <w:szCs w:val="21"/>
        </w:rPr>
        <w:t>南宁市思索科贸有限公司</w:t>
      </w:r>
    </w:p>
    <w:p w14:paraId="2B1C2032">
      <w:pPr>
        <w:snapToGrid w:val="0"/>
        <w:spacing w:line="400" w:lineRule="exact"/>
        <w:ind w:leftChars="1100"/>
        <w:rPr>
          <w:rFonts w:hint="eastAsia" w:ascii="Times New Roman" w:hAnsi="Times New Roman"/>
          <w:szCs w:val="21"/>
        </w:rPr>
      </w:pPr>
      <w:r>
        <w:rPr>
          <w:rFonts w:hint="eastAsia" w:ascii="Times New Roman" w:hAnsi="Times New Roman"/>
          <w:szCs w:val="21"/>
        </w:rPr>
        <w:t>广西鼎汇建设集团有限公司</w:t>
      </w:r>
    </w:p>
    <w:p w14:paraId="672C56C3">
      <w:pPr>
        <w:snapToGrid w:val="0"/>
        <w:spacing w:line="400" w:lineRule="exact"/>
        <w:ind w:leftChars="1100"/>
        <w:rPr>
          <w:rFonts w:hint="eastAsia" w:ascii="Times New Roman" w:hAnsi="Times New Roman"/>
          <w:szCs w:val="21"/>
        </w:rPr>
      </w:pPr>
      <w:r>
        <w:rPr>
          <w:rFonts w:hint="eastAsia" w:ascii="Times New Roman" w:hAnsi="Times New Roman"/>
          <w:szCs w:val="21"/>
        </w:rPr>
        <w:t xml:space="preserve">兴华建工集团股份有限公司 </w:t>
      </w:r>
    </w:p>
    <w:p w14:paraId="47472005">
      <w:pPr>
        <w:snapToGrid w:val="0"/>
        <w:spacing w:line="400" w:lineRule="exact"/>
        <w:ind w:leftChars="1100"/>
        <w:rPr>
          <w:rFonts w:hint="eastAsia" w:ascii="Times New Roman" w:hAnsi="Times New Roman"/>
          <w:szCs w:val="21"/>
        </w:rPr>
      </w:pPr>
      <w:r>
        <w:rPr>
          <w:rFonts w:hint="eastAsia" w:ascii="Times New Roman" w:hAnsi="Times New Roman"/>
          <w:szCs w:val="21"/>
        </w:rPr>
        <w:t>广西启盛建设集团有限公司</w:t>
      </w:r>
    </w:p>
    <w:p w14:paraId="652648DE">
      <w:pPr>
        <w:snapToGrid w:val="0"/>
        <w:spacing w:line="400" w:lineRule="exact"/>
        <w:ind w:leftChars="1100"/>
        <w:rPr>
          <w:rFonts w:ascii="Times New Roman" w:hAnsi="Times New Roman"/>
          <w:sz w:val="24"/>
          <w:szCs w:val="21"/>
        </w:rPr>
      </w:pPr>
      <w:r>
        <w:rPr>
          <w:rFonts w:hint="eastAsia" w:ascii="Times New Roman" w:hAnsi="Times New Roman"/>
          <w:szCs w:val="21"/>
        </w:rPr>
        <w:t>广西建工集团第一安装工程有限公司</w:t>
      </w:r>
    </w:p>
    <w:p w14:paraId="7E25699D">
      <w:pPr>
        <w:spacing w:line="384" w:lineRule="exact"/>
        <w:ind w:firstLine="420" w:firstLineChars="200"/>
        <w:jc w:val="left"/>
        <w:rPr>
          <w:rFonts w:hint="eastAsia" w:ascii="Times New Roman" w:hAnsi="Times New Roman"/>
          <w:szCs w:val="21"/>
        </w:rPr>
      </w:pPr>
      <w:r>
        <w:rPr>
          <w:rFonts w:ascii="Times New Roman" w:hAnsi="Times New Roman" w:eastAsia="黑体"/>
          <w:szCs w:val="21"/>
        </w:rPr>
        <w:t>本规程主要起草人员：</w:t>
      </w:r>
      <w:r>
        <w:rPr>
          <w:rFonts w:hint="eastAsia" w:ascii="Times New Roman" w:hAnsi="Times New Roman" w:eastAsia="黑体"/>
          <w:szCs w:val="21"/>
          <w:lang w:val="en-US" w:eastAsia="zh-CN"/>
        </w:rPr>
        <w:t xml:space="preserve"> </w:t>
      </w:r>
      <w:r>
        <w:rPr>
          <w:rFonts w:hint="eastAsia" w:ascii="Times New Roman" w:hAnsi="Times New Roman"/>
          <w:szCs w:val="21"/>
        </w:rPr>
        <w:t>林</w:t>
      </w:r>
      <w:r>
        <w:rPr>
          <w:rFonts w:hint="eastAsia" w:ascii="Times New Roman" w:hAnsi="Times New Roman"/>
          <w:szCs w:val="21"/>
          <w:lang w:val="en-US" w:eastAsia="zh-CN"/>
        </w:rPr>
        <w:t xml:space="preserve"> </w:t>
      </w:r>
      <w:r>
        <w:rPr>
          <w:rFonts w:hint="eastAsia" w:ascii="Times New Roman" w:hAnsi="Times New Roman"/>
          <w:szCs w:val="21"/>
        </w:rPr>
        <w:t xml:space="preserve">永 </w:t>
      </w:r>
      <w:r>
        <w:rPr>
          <w:rFonts w:hint="eastAsia" w:ascii="Times New Roman" w:hAnsi="Times New Roman"/>
          <w:szCs w:val="21"/>
          <w:lang w:val="en-US" w:eastAsia="zh-CN"/>
        </w:rPr>
        <w:t xml:space="preserve"> </w:t>
      </w:r>
      <w:r>
        <w:rPr>
          <w:rFonts w:hint="eastAsia" w:ascii="Times New Roman" w:hAnsi="Times New Roman"/>
          <w:szCs w:val="21"/>
        </w:rPr>
        <w:t xml:space="preserve">肖玉明  梁志明 </w:t>
      </w:r>
      <w:r>
        <w:rPr>
          <w:rFonts w:hint="eastAsia" w:ascii="Times New Roman" w:hAnsi="Times New Roman"/>
          <w:szCs w:val="21"/>
          <w:lang w:val="en-US" w:eastAsia="zh-CN"/>
        </w:rPr>
        <w:t xml:space="preserve">  </w:t>
      </w:r>
      <w:r>
        <w:rPr>
          <w:rFonts w:hint="eastAsia" w:ascii="Times New Roman" w:hAnsi="Times New Roman"/>
          <w:szCs w:val="21"/>
        </w:rPr>
        <w:t xml:space="preserve">李日红 </w:t>
      </w:r>
    </w:p>
    <w:p w14:paraId="01190E9B">
      <w:pPr>
        <w:spacing w:line="384" w:lineRule="exact"/>
        <w:ind w:leftChars="1100" w:firstLine="420" w:firstLineChars="200"/>
        <w:jc w:val="left"/>
        <w:rPr>
          <w:rFonts w:hint="eastAsia" w:ascii="Times New Roman" w:hAnsi="Times New Roman"/>
          <w:szCs w:val="21"/>
          <w:lang w:val="en-US" w:eastAsia="zh-CN"/>
        </w:rPr>
      </w:pPr>
      <w:r>
        <w:rPr>
          <w:rFonts w:hint="eastAsia" w:ascii="Times New Roman" w:hAnsi="Times New Roman"/>
          <w:szCs w:val="21"/>
        </w:rPr>
        <w:t xml:space="preserve">郑玉洁  </w:t>
      </w:r>
      <w:r>
        <w:rPr>
          <w:rFonts w:hint="eastAsia" w:ascii="Times New Roman" w:hAnsi="Times New Roman"/>
          <w:szCs w:val="21"/>
          <w:lang w:val="en-US" w:eastAsia="zh-CN"/>
        </w:rPr>
        <w:t xml:space="preserve">袁  波  </w:t>
      </w:r>
      <w:r>
        <w:rPr>
          <w:rFonts w:hint="eastAsia" w:ascii="Times New Roman" w:hAnsi="Times New Roman"/>
          <w:szCs w:val="21"/>
        </w:rPr>
        <w:t xml:space="preserve">米小丽 </w:t>
      </w:r>
      <w:r>
        <w:rPr>
          <w:rFonts w:hint="eastAsia" w:ascii="Times New Roman" w:hAnsi="Times New Roman"/>
          <w:szCs w:val="21"/>
          <w:lang w:val="en-US" w:eastAsia="zh-CN"/>
        </w:rPr>
        <w:t xml:space="preserve"> </w:t>
      </w:r>
      <w:r>
        <w:rPr>
          <w:rFonts w:hint="eastAsia" w:ascii="Times New Roman" w:hAnsi="Times New Roman"/>
          <w:szCs w:val="21"/>
        </w:rPr>
        <w:t xml:space="preserve">易诗焱 </w:t>
      </w:r>
      <w:r>
        <w:rPr>
          <w:rFonts w:hint="eastAsia" w:ascii="Times New Roman" w:hAnsi="Times New Roman"/>
          <w:szCs w:val="21"/>
          <w:lang w:val="en-US" w:eastAsia="zh-CN"/>
        </w:rPr>
        <w:t xml:space="preserve"> </w:t>
      </w:r>
    </w:p>
    <w:p w14:paraId="475A695A">
      <w:pPr>
        <w:spacing w:line="384" w:lineRule="exact"/>
        <w:ind w:leftChars="1100" w:firstLine="420" w:firstLineChars="200"/>
        <w:jc w:val="left"/>
        <w:rPr>
          <w:rFonts w:hint="eastAsia" w:ascii="Times New Roman" w:hAnsi="Times New Roman"/>
          <w:szCs w:val="21"/>
          <w:lang w:val="en-US" w:eastAsia="zh-CN"/>
        </w:rPr>
      </w:pPr>
      <w:r>
        <w:rPr>
          <w:rFonts w:hint="eastAsia" w:ascii="Times New Roman" w:hAnsi="Times New Roman"/>
          <w:szCs w:val="21"/>
        </w:rPr>
        <w:t>林铁坤  黄彦章</w:t>
      </w:r>
      <w:r>
        <w:rPr>
          <w:rFonts w:hint="eastAsia" w:ascii="Times New Roman" w:hAnsi="Times New Roman"/>
          <w:szCs w:val="21"/>
          <w:lang w:val="en-US" w:eastAsia="zh-CN"/>
        </w:rPr>
        <w:t xml:space="preserve">  </w:t>
      </w:r>
      <w:r>
        <w:rPr>
          <w:rFonts w:hint="eastAsia" w:ascii="Times New Roman" w:hAnsi="Times New Roman"/>
          <w:szCs w:val="21"/>
        </w:rPr>
        <w:t xml:space="preserve">林有超  苏以琨 </w:t>
      </w:r>
      <w:r>
        <w:rPr>
          <w:rFonts w:hint="eastAsia" w:ascii="Times New Roman" w:hAnsi="Times New Roman"/>
          <w:szCs w:val="21"/>
          <w:lang w:val="en-US" w:eastAsia="zh-CN"/>
        </w:rPr>
        <w:t xml:space="preserve"> </w:t>
      </w:r>
    </w:p>
    <w:p w14:paraId="72D0507C">
      <w:pPr>
        <w:spacing w:line="384" w:lineRule="exact"/>
        <w:ind w:leftChars="1100" w:firstLine="420" w:firstLineChars="200"/>
        <w:jc w:val="left"/>
        <w:rPr>
          <w:rFonts w:hint="eastAsia" w:ascii="Times New Roman" w:hAnsi="Times New Roman"/>
          <w:szCs w:val="21"/>
          <w:lang w:val="en-US" w:eastAsia="zh-CN"/>
        </w:rPr>
      </w:pPr>
      <w:r>
        <w:rPr>
          <w:rFonts w:hint="eastAsia" w:ascii="Times New Roman" w:hAnsi="Times New Roman"/>
          <w:szCs w:val="21"/>
        </w:rPr>
        <w:t>马晓华  李灯昂</w:t>
      </w:r>
      <w:r>
        <w:rPr>
          <w:rFonts w:hint="eastAsia" w:ascii="Times New Roman" w:hAnsi="Times New Roman"/>
          <w:szCs w:val="21"/>
          <w:lang w:val="en-US" w:eastAsia="zh-CN"/>
        </w:rPr>
        <w:t xml:space="preserve">  </w:t>
      </w:r>
      <w:r>
        <w:rPr>
          <w:rFonts w:hint="eastAsia" w:ascii="Times New Roman" w:hAnsi="Times New Roman"/>
          <w:szCs w:val="21"/>
        </w:rPr>
        <w:t xml:space="preserve">刘德志 </w:t>
      </w:r>
      <w:r>
        <w:rPr>
          <w:rFonts w:hint="eastAsia" w:ascii="Times New Roman" w:hAnsi="Times New Roman"/>
          <w:szCs w:val="21"/>
          <w:lang w:val="en-US" w:eastAsia="zh-CN"/>
        </w:rPr>
        <w:t xml:space="preserve"> </w:t>
      </w:r>
      <w:r>
        <w:rPr>
          <w:rFonts w:hint="eastAsia" w:ascii="Times New Roman" w:hAnsi="Times New Roman"/>
          <w:szCs w:val="21"/>
        </w:rPr>
        <w:t>李德岗</w:t>
      </w:r>
      <w:r>
        <w:rPr>
          <w:rFonts w:hint="eastAsia" w:ascii="Times New Roman" w:hAnsi="Times New Roman"/>
          <w:szCs w:val="21"/>
          <w:lang w:val="en-US" w:eastAsia="zh-CN"/>
        </w:rPr>
        <w:t xml:space="preserve">  </w:t>
      </w:r>
    </w:p>
    <w:p w14:paraId="7F90C184">
      <w:pPr>
        <w:spacing w:line="384" w:lineRule="exact"/>
        <w:ind w:leftChars="1100" w:firstLine="420" w:firstLineChars="200"/>
        <w:jc w:val="left"/>
        <w:rPr>
          <w:rFonts w:hint="eastAsia" w:ascii="Times New Roman" w:hAnsi="Times New Roman"/>
          <w:szCs w:val="21"/>
          <w:lang w:val="en-US" w:eastAsia="zh-CN"/>
        </w:rPr>
      </w:pPr>
      <w:r>
        <w:rPr>
          <w:rFonts w:hint="eastAsia" w:ascii="Times New Roman" w:hAnsi="Times New Roman"/>
          <w:szCs w:val="21"/>
        </w:rPr>
        <w:t>陆雪莲  邓国璋</w:t>
      </w:r>
      <w:r>
        <w:rPr>
          <w:rFonts w:hint="eastAsia" w:ascii="Times New Roman" w:hAnsi="Times New Roman"/>
          <w:szCs w:val="21"/>
          <w:lang w:val="en-US" w:eastAsia="zh-CN"/>
        </w:rPr>
        <w:t xml:space="preserve">  </w:t>
      </w:r>
      <w:r>
        <w:rPr>
          <w:rFonts w:hint="eastAsia" w:ascii="Times New Roman" w:hAnsi="Times New Roman"/>
          <w:szCs w:val="21"/>
        </w:rPr>
        <w:t xml:space="preserve">谢洁波 </w:t>
      </w:r>
      <w:r>
        <w:rPr>
          <w:rFonts w:hint="eastAsia" w:ascii="Times New Roman" w:hAnsi="Times New Roman"/>
          <w:szCs w:val="21"/>
          <w:lang w:val="en-US" w:eastAsia="zh-CN"/>
        </w:rPr>
        <w:t xml:space="preserve"> </w:t>
      </w:r>
      <w:r>
        <w:rPr>
          <w:rFonts w:hint="eastAsia" w:ascii="Times New Roman" w:hAnsi="Times New Roman"/>
          <w:szCs w:val="21"/>
        </w:rPr>
        <w:t>黄永学</w:t>
      </w:r>
      <w:r>
        <w:rPr>
          <w:rFonts w:hint="eastAsia" w:ascii="Times New Roman" w:hAnsi="Times New Roman"/>
          <w:szCs w:val="21"/>
          <w:lang w:val="en-US" w:eastAsia="zh-CN"/>
        </w:rPr>
        <w:t xml:space="preserve"> </w:t>
      </w:r>
    </w:p>
    <w:p w14:paraId="77878435">
      <w:pPr>
        <w:spacing w:line="384" w:lineRule="exact"/>
        <w:ind w:leftChars="1100" w:firstLine="420" w:firstLineChars="200"/>
        <w:jc w:val="left"/>
        <w:rPr>
          <w:rFonts w:ascii="Times New Roman" w:hAnsi="Times New Roman"/>
          <w:sz w:val="24"/>
        </w:rPr>
      </w:pPr>
      <w:r>
        <w:rPr>
          <w:rFonts w:hint="eastAsia" w:ascii="Times New Roman" w:hAnsi="Times New Roman"/>
          <w:szCs w:val="21"/>
        </w:rPr>
        <w:t>黄</w:t>
      </w:r>
      <w:r>
        <w:rPr>
          <w:rFonts w:hint="eastAsia" w:ascii="Times New Roman" w:hAnsi="Times New Roman"/>
          <w:szCs w:val="21"/>
          <w:lang w:val="en-US" w:eastAsia="zh-CN"/>
        </w:rPr>
        <w:t xml:space="preserve"> </w:t>
      </w:r>
      <w:r>
        <w:rPr>
          <w:rFonts w:hint="eastAsia" w:ascii="Times New Roman" w:hAnsi="Times New Roman"/>
          <w:szCs w:val="21"/>
        </w:rPr>
        <w:t>增</w:t>
      </w:r>
      <w:r>
        <w:rPr>
          <w:rFonts w:hint="eastAsia" w:ascii="Times New Roman" w:hAnsi="Times New Roman"/>
          <w:szCs w:val="21"/>
          <w:lang w:val="en-US" w:eastAsia="zh-CN"/>
        </w:rPr>
        <w:t xml:space="preserve">   苏  霞  周逸然  温卓颖</w:t>
      </w:r>
    </w:p>
    <w:p w14:paraId="24E7EAC7">
      <w:pPr>
        <w:snapToGrid w:val="0"/>
        <w:spacing w:line="400" w:lineRule="exact"/>
        <w:ind w:firstLine="420" w:firstLineChars="200"/>
        <w:rPr>
          <w:rFonts w:ascii="Times New Roman" w:hAnsi="Times New Roman" w:eastAsia="黑体"/>
          <w:szCs w:val="21"/>
        </w:rPr>
      </w:pPr>
      <w:r>
        <w:rPr>
          <w:rFonts w:ascii="Times New Roman" w:hAnsi="Times New Roman" w:eastAsia="黑体"/>
          <w:szCs w:val="21"/>
        </w:rPr>
        <w:t xml:space="preserve">本规程主要审查人员： </w:t>
      </w:r>
    </w:p>
    <w:p w14:paraId="7026A224">
      <w:pPr>
        <w:snapToGrid w:val="0"/>
        <w:spacing w:line="400" w:lineRule="exact"/>
        <w:ind w:firstLine="480" w:firstLineChars="200"/>
        <w:rPr>
          <w:rFonts w:ascii="Times New Roman" w:hAnsi="Times New Roman"/>
          <w:sz w:val="24"/>
        </w:rPr>
      </w:pPr>
    </w:p>
    <w:p w14:paraId="152734B8">
      <w:pPr>
        <w:snapToGrid w:val="0"/>
        <w:spacing w:line="400" w:lineRule="exact"/>
        <w:ind w:firstLine="480" w:firstLineChars="200"/>
        <w:rPr>
          <w:rFonts w:ascii="Times New Roman" w:hAnsi="Times New Roman"/>
          <w:sz w:val="24"/>
        </w:rPr>
      </w:pPr>
    </w:p>
    <w:p w14:paraId="55CB8D6D">
      <w:pPr>
        <w:snapToGrid w:val="0"/>
        <w:spacing w:line="400" w:lineRule="exact"/>
        <w:ind w:firstLine="480" w:firstLineChars="200"/>
        <w:rPr>
          <w:rFonts w:ascii="Times New Roman" w:hAnsi="Times New Roman"/>
          <w:sz w:val="24"/>
        </w:rPr>
        <w:sectPr>
          <w:pgSz w:w="11907" w:h="16840"/>
          <w:pgMar w:top="1440" w:right="1800" w:bottom="1440" w:left="1800" w:header="851" w:footer="992" w:gutter="0"/>
          <w:pgNumType w:start="0"/>
          <w:cols w:space="720" w:num="1"/>
          <w:docGrid w:linePitch="312" w:charSpace="0"/>
        </w:sectPr>
      </w:pPr>
    </w:p>
    <w:p w14:paraId="4D52D190">
      <w:pPr>
        <w:snapToGrid w:val="0"/>
        <w:spacing w:line="400" w:lineRule="exact"/>
        <w:ind w:firstLine="420" w:firstLineChars="200"/>
        <w:rPr>
          <w:rFonts w:ascii="Times New Roman" w:hAnsi="Times New Roman"/>
        </w:rPr>
      </w:pPr>
    </w:p>
    <w:sdt>
      <w:sdtPr>
        <w:rPr>
          <w:rFonts w:ascii="黑体" w:hAnsi="黑体" w:eastAsiaTheme="minorEastAsia"/>
          <w:b w:val="0"/>
          <w:bCs w:val="0"/>
          <w:kern w:val="2"/>
          <w:sz w:val="21"/>
          <w:szCs w:val="22"/>
          <w:lang w:val="en-US"/>
        </w:rPr>
        <w:id w:val="-2099712502"/>
        <w:docPartObj>
          <w:docPartGallery w:val="Table of Contents"/>
          <w:docPartUnique/>
        </w:docPartObj>
      </w:sdtPr>
      <w:sdtEndPr>
        <w:rPr>
          <w:rFonts w:ascii="黑体" w:hAnsi="黑体" w:eastAsiaTheme="minorEastAsia"/>
          <w:b w:val="0"/>
          <w:bCs w:val="0"/>
          <w:kern w:val="2"/>
          <w:sz w:val="24"/>
          <w:szCs w:val="24"/>
          <w:lang w:val="en-US"/>
        </w:rPr>
      </w:sdtEndPr>
      <w:sdtContent>
        <w:p w14:paraId="7D3E5F32">
          <w:pPr>
            <w:pStyle w:val="2"/>
            <w:spacing w:before="0" w:beforeLines="0" w:after="0" w:afterLines="0" w:line="240" w:lineRule="auto"/>
            <w:rPr>
              <w:rFonts w:eastAsiaTheme="minorEastAsia"/>
              <w:szCs w:val="24"/>
            </w:rPr>
          </w:pPr>
          <w:bookmarkStart w:id="16" w:name="_Toc45092778"/>
          <w:bookmarkStart w:id="17" w:name="_Toc128988440"/>
          <w:bookmarkStart w:id="18" w:name="_Toc129075171"/>
          <w:bookmarkStart w:id="19" w:name="_Toc56517636"/>
          <w:bookmarkStart w:id="20" w:name="_Toc182215621"/>
          <w:bookmarkStart w:id="21" w:name="_Toc171955087"/>
          <w:bookmarkStart w:id="22" w:name="_Toc164867750"/>
          <w:bookmarkStart w:id="23" w:name="_Toc27530"/>
          <w:bookmarkStart w:id="24" w:name="_Toc44618520"/>
          <w:bookmarkStart w:id="25" w:name="_Toc171585063"/>
          <w:bookmarkStart w:id="26" w:name="_Toc182487916"/>
          <w:bookmarkStart w:id="27" w:name="_Toc174544412"/>
          <w:bookmarkStart w:id="28" w:name="_Toc182215401"/>
          <w:bookmarkStart w:id="29" w:name="_Toc128989091"/>
          <w:bookmarkStart w:id="30" w:name="_Toc39597011"/>
          <w:r>
            <w:rPr>
              <w:rFonts w:eastAsiaTheme="minorEastAsia"/>
              <w:szCs w:val="24"/>
            </w:rPr>
            <w:t>目  次</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3CB246F">
          <w:pPr>
            <w:pStyle w:val="28"/>
            <w:rPr>
              <w:rFonts w:eastAsiaTheme="minorEastAsia"/>
            </w:rPr>
          </w:pPr>
          <w:r>
            <w:rPr>
              <w:rFonts w:eastAsiaTheme="minorEastAsia"/>
            </w:rPr>
            <w:fldChar w:fldCharType="begin"/>
          </w:r>
          <w:r>
            <w:rPr>
              <w:rFonts w:eastAsiaTheme="minorEastAsia"/>
            </w:rPr>
            <w:instrText xml:space="preserve"> TOC \o "1-3" \h \z \u </w:instrText>
          </w:r>
          <w:r>
            <w:rPr>
              <w:rFonts w:eastAsiaTheme="minorEastAsia"/>
            </w:rPr>
            <w:fldChar w:fldCharType="separate"/>
          </w:r>
          <w:r>
            <w:fldChar w:fldCharType="begin"/>
          </w:r>
          <w:r>
            <w:instrText xml:space="preserve"> HYPERLINK \l "_Toc182487917" </w:instrText>
          </w:r>
          <w:r>
            <w:fldChar w:fldCharType="separate"/>
          </w:r>
          <w:r>
            <w:rPr>
              <w:rFonts w:eastAsiaTheme="minorEastAsia"/>
            </w:rPr>
            <w:t>1 总   则</w:t>
          </w:r>
          <w:r>
            <w:rPr>
              <w:rFonts w:eastAsiaTheme="minorEastAsia"/>
            </w:rPr>
            <w:tab/>
          </w:r>
          <w:r>
            <w:rPr>
              <w:rFonts w:eastAsiaTheme="minorEastAsia"/>
            </w:rPr>
            <w:fldChar w:fldCharType="begin"/>
          </w:r>
          <w:r>
            <w:rPr>
              <w:rFonts w:eastAsiaTheme="minorEastAsia"/>
            </w:rPr>
            <w:instrText xml:space="preserve"> PAGEREF _Toc182487917 \h </w:instrText>
          </w:r>
          <w:r>
            <w:rPr>
              <w:rFonts w:eastAsiaTheme="minorEastAsia"/>
            </w:rPr>
            <w:fldChar w:fldCharType="separate"/>
          </w:r>
          <w:r>
            <w:rPr>
              <w:rFonts w:eastAsiaTheme="minorEastAsia"/>
            </w:rPr>
            <w:t>7</w:t>
          </w:r>
          <w:r>
            <w:rPr>
              <w:rFonts w:eastAsiaTheme="minorEastAsia"/>
            </w:rPr>
            <w:fldChar w:fldCharType="end"/>
          </w:r>
          <w:r>
            <w:rPr>
              <w:rFonts w:eastAsiaTheme="minorEastAsia"/>
            </w:rPr>
            <w:fldChar w:fldCharType="end"/>
          </w:r>
        </w:p>
        <w:p w14:paraId="0341B57B">
          <w:pPr>
            <w:pStyle w:val="28"/>
            <w:rPr>
              <w:rFonts w:eastAsiaTheme="minorEastAsia"/>
            </w:rPr>
          </w:pPr>
          <w:r>
            <w:fldChar w:fldCharType="begin"/>
          </w:r>
          <w:r>
            <w:instrText xml:space="preserve"> HYPERLINK \l "_Toc182487918" </w:instrText>
          </w:r>
          <w:r>
            <w:fldChar w:fldCharType="separate"/>
          </w:r>
          <w:r>
            <w:rPr>
              <w:rFonts w:eastAsiaTheme="minorEastAsia"/>
            </w:rPr>
            <w:t>2 术   语</w:t>
          </w:r>
          <w:r>
            <w:rPr>
              <w:rFonts w:eastAsiaTheme="minorEastAsia"/>
            </w:rPr>
            <w:tab/>
          </w:r>
          <w:r>
            <w:rPr>
              <w:rFonts w:eastAsiaTheme="minorEastAsia"/>
            </w:rPr>
            <w:fldChar w:fldCharType="begin"/>
          </w:r>
          <w:r>
            <w:rPr>
              <w:rFonts w:eastAsiaTheme="minorEastAsia"/>
            </w:rPr>
            <w:instrText xml:space="preserve"> PAGEREF _Toc182487918 \h </w:instrText>
          </w:r>
          <w:r>
            <w:rPr>
              <w:rFonts w:eastAsiaTheme="minorEastAsia"/>
            </w:rPr>
            <w:fldChar w:fldCharType="separate"/>
          </w:r>
          <w:r>
            <w:rPr>
              <w:rFonts w:eastAsiaTheme="minorEastAsia"/>
            </w:rPr>
            <w:t>8</w:t>
          </w:r>
          <w:r>
            <w:rPr>
              <w:rFonts w:eastAsiaTheme="minorEastAsia"/>
            </w:rPr>
            <w:fldChar w:fldCharType="end"/>
          </w:r>
          <w:r>
            <w:rPr>
              <w:rFonts w:eastAsiaTheme="minorEastAsia"/>
            </w:rPr>
            <w:fldChar w:fldCharType="end"/>
          </w:r>
        </w:p>
        <w:p w14:paraId="0ADBEC87">
          <w:pPr>
            <w:pStyle w:val="28"/>
            <w:rPr>
              <w:rFonts w:eastAsiaTheme="minorEastAsia"/>
            </w:rPr>
          </w:pPr>
          <w:r>
            <w:fldChar w:fldCharType="begin"/>
          </w:r>
          <w:r>
            <w:instrText xml:space="preserve"> HYPERLINK \l "_Toc182487919" </w:instrText>
          </w:r>
          <w:r>
            <w:fldChar w:fldCharType="separate"/>
          </w:r>
          <w:r>
            <w:rPr>
              <w:rFonts w:eastAsiaTheme="minorEastAsia"/>
            </w:rPr>
            <w:t>3 基 本 规 定</w:t>
          </w:r>
          <w:r>
            <w:rPr>
              <w:rFonts w:eastAsiaTheme="minorEastAsia"/>
            </w:rPr>
            <w:tab/>
          </w:r>
          <w:r>
            <w:rPr>
              <w:rFonts w:eastAsiaTheme="minorEastAsia"/>
            </w:rPr>
            <w:fldChar w:fldCharType="begin"/>
          </w:r>
          <w:r>
            <w:rPr>
              <w:rFonts w:eastAsiaTheme="minorEastAsia"/>
            </w:rPr>
            <w:instrText xml:space="preserve"> PAGEREF _Toc182487919 \h </w:instrText>
          </w:r>
          <w:r>
            <w:rPr>
              <w:rFonts w:eastAsiaTheme="minorEastAsia"/>
            </w:rPr>
            <w:fldChar w:fldCharType="separate"/>
          </w:r>
          <w:r>
            <w:rPr>
              <w:rFonts w:eastAsiaTheme="minorEastAsia"/>
            </w:rPr>
            <w:t>9</w:t>
          </w:r>
          <w:r>
            <w:rPr>
              <w:rFonts w:eastAsiaTheme="minorEastAsia"/>
            </w:rPr>
            <w:fldChar w:fldCharType="end"/>
          </w:r>
          <w:r>
            <w:rPr>
              <w:rFonts w:eastAsiaTheme="minorEastAsia"/>
            </w:rPr>
            <w:fldChar w:fldCharType="end"/>
          </w:r>
        </w:p>
        <w:p w14:paraId="320DBD67">
          <w:pPr>
            <w:pStyle w:val="28"/>
            <w:rPr>
              <w:rFonts w:eastAsiaTheme="minorEastAsia"/>
            </w:rPr>
          </w:pPr>
          <w:r>
            <w:fldChar w:fldCharType="begin"/>
          </w:r>
          <w:r>
            <w:instrText xml:space="preserve"> HYPERLINK \l "_Toc182487920" </w:instrText>
          </w:r>
          <w:r>
            <w:fldChar w:fldCharType="separate"/>
          </w:r>
          <w:r>
            <w:rPr>
              <w:rFonts w:eastAsiaTheme="minorEastAsia"/>
            </w:rPr>
            <w:t>3.1施工管理</w:t>
          </w:r>
          <w:r>
            <w:rPr>
              <w:rFonts w:eastAsiaTheme="minorEastAsia"/>
            </w:rPr>
            <w:tab/>
          </w:r>
          <w:r>
            <w:rPr>
              <w:rFonts w:eastAsiaTheme="minorEastAsia"/>
            </w:rPr>
            <w:fldChar w:fldCharType="begin"/>
          </w:r>
          <w:r>
            <w:rPr>
              <w:rFonts w:eastAsiaTheme="minorEastAsia"/>
            </w:rPr>
            <w:instrText xml:space="preserve"> PAGEREF _Toc182487920 \h </w:instrText>
          </w:r>
          <w:r>
            <w:rPr>
              <w:rFonts w:eastAsiaTheme="minorEastAsia"/>
            </w:rPr>
            <w:fldChar w:fldCharType="separate"/>
          </w:r>
          <w:r>
            <w:rPr>
              <w:rFonts w:eastAsiaTheme="minorEastAsia"/>
            </w:rPr>
            <w:t>9</w:t>
          </w:r>
          <w:r>
            <w:rPr>
              <w:rFonts w:eastAsiaTheme="minorEastAsia"/>
            </w:rPr>
            <w:fldChar w:fldCharType="end"/>
          </w:r>
          <w:r>
            <w:rPr>
              <w:rFonts w:eastAsiaTheme="minorEastAsia"/>
            </w:rPr>
            <w:fldChar w:fldCharType="end"/>
          </w:r>
        </w:p>
        <w:p w14:paraId="5427F864">
          <w:pPr>
            <w:pStyle w:val="28"/>
            <w:rPr>
              <w:rFonts w:eastAsiaTheme="minorEastAsia"/>
            </w:rPr>
          </w:pPr>
          <w:r>
            <w:fldChar w:fldCharType="begin"/>
          </w:r>
          <w:r>
            <w:instrText xml:space="preserve"> HYPERLINK \l "_Toc182487921" </w:instrText>
          </w:r>
          <w:r>
            <w:fldChar w:fldCharType="separate"/>
          </w:r>
          <w:r>
            <w:rPr>
              <w:rFonts w:eastAsiaTheme="minorEastAsia"/>
            </w:rPr>
            <w:t>3.2质量管理</w:t>
          </w:r>
          <w:r>
            <w:rPr>
              <w:rFonts w:eastAsiaTheme="minorEastAsia"/>
            </w:rPr>
            <w:tab/>
          </w:r>
          <w:r>
            <w:rPr>
              <w:rFonts w:eastAsiaTheme="minorEastAsia"/>
            </w:rPr>
            <w:fldChar w:fldCharType="begin"/>
          </w:r>
          <w:r>
            <w:rPr>
              <w:rFonts w:eastAsiaTheme="minorEastAsia"/>
            </w:rPr>
            <w:instrText xml:space="preserve"> PAGEREF _Toc182487921 \h </w:instrText>
          </w:r>
          <w:r>
            <w:rPr>
              <w:rFonts w:eastAsiaTheme="minorEastAsia"/>
            </w:rPr>
            <w:fldChar w:fldCharType="separate"/>
          </w:r>
          <w:r>
            <w:rPr>
              <w:rFonts w:eastAsiaTheme="minorEastAsia"/>
            </w:rPr>
            <w:t>9</w:t>
          </w:r>
          <w:r>
            <w:rPr>
              <w:rFonts w:eastAsiaTheme="minorEastAsia"/>
            </w:rPr>
            <w:fldChar w:fldCharType="end"/>
          </w:r>
          <w:r>
            <w:rPr>
              <w:rFonts w:eastAsiaTheme="minorEastAsia"/>
            </w:rPr>
            <w:fldChar w:fldCharType="end"/>
          </w:r>
        </w:p>
        <w:p w14:paraId="1C70F912">
          <w:pPr>
            <w:pStyle w:val="28"/>
            <w:rPr>
              <w:rFonts w:eastAsiaTheme="minorEastAsia"/>
            </w:rPr>
          </w:pPr>
          <w:r>
            <w:fldChar w:fldCharType="begin"/>
          </w:r>
          <w:r>
            <w:instrText xml:space="preserve"> HYPERLINK \l "_Toc182487922" </w:instrText>
          </w:r>
          <w:r>
            <w:fldChar w:fldCharType="separate"/>
          </w:r>
          <w:r>
            <w:rPr>
              <w:rFonts w:eastAsiaTheme="minorEastAsia"/>
            </w:rPr>
            <w:t>3.3成品保护</w:t>
          </w:r>
          <w:r>
            <w:rPr>
              <w:rFonts w:eastAsiaTheme="minorEastAsia"/>
            </w:rPr>
            <w:tab/>
          </w:r>
          <w:r>
            <w:rPr>
              <w:rFonts w:eastAsiaTheme="minorEastAsia"/>
            </w:rPr>
            <w:fldChar w:fldCharType="begin"/>
          </w:r>
          <w:r>
            <w:rPr>
              <w:rFonts w:eastAsiaTheme="minorEastAsia"/>
            </w:rPr>
            <w:instrText xml:space="preserve"> PAGEREF _Toc182487922 \h </w:instrText>
          </w:r>
          <w:r>
            <w:rPr>
              <w:rFonts w:eastAsiaTheme="minorEastAsia"/>
            </w:rPr>
            <w:fldChar w:fldCharType="separate"/>
          </w:r>
          <w:r>
            <w:rPr>
              <w:rFonts w:eastAsiaTheme="minorEastAsia"/>
            </w:rPr>
            <w:t>10</w:t>
          </w:r>
          <w:r>
            <w:rPr>
              <w:rFonts w:eastAsiaTheme="minorEastAsia"/>
            </w:rPr>
            <w:fldChar w:fldCharType="end"/>
          </w:r>
          <w:r>
            <w:rPr>
              <w:rFonts w:eastAsiaTheme="minorEastAsia"/>
            </w:rPr>
            <w:fldChar w:fldCharType="end"/>
          </w:r>
        </w:p>
        <w:p w14:paraId="350FF684">
          <w:pPr>
            <w:pStyle w:val="28"/>
            <w:rPr>
              <w:rFonts w:eastAsiaTheme="minorEastAsia"/>
            </w:rPr>
          </w:pPr>
          <w:r>
            <w:fldChar w:fldCharType="begin"/>
          </w:r>
          <w:r>
            <w:instrText xml:space="preserve"> HYPERLINK \l "_Toc182487923" </w:instrText>
          </w:r>
          <w:r>
            <w:fldChar w:fldCharType="separate"/>
          </w:r>
          <w:r>
            <w:rPr>
              <w:rFonts w:eastAsiaTheme="minorEastAsia"/>
            </w:rPr>
            <w:t>3.4施工注意事项</w:t>
          </w:r>
          <w:r>
            <w:rPr>
              <w:rFonts w:eastAsiaTheme="minorEastAsia"/>
            </w:rPr>
            <w:tab/>
          </w:r>
          <w:r>
            <w:rPr>
              <w:rFonts w:eastAsiaTheme="minorEastAsia"/>
            </w:rPr>
            <w:fldChar w:fldCharType="begin"/>
          </w:r>
          <w:r>
            <w:rPr>
              <w:rFonts w:eastAsiaTheme="minorEastAsia"/>
            </w:rPr>
            <w:instrText xml:space="preserve"> PAGEREF _Toc182487923 \h </w:instrText>
          </w:r>
          <w:r>
            <w:rPr>
              <w:rFonts w:eastAsiaTheme="minorEastAsia"/>
            </w:rPr>
            <w:fldChar w:fldCharType="separate"/>
          </w:r>
          <w:r>
            <w:rPr>
              <w:rFonts w:eastAsiaTheme="minorEastAsia"/>
            </w:rPr>
            <w:t>10</w:t>
          </w:r>
          <w:r>
            <w:rPr>
              <w:rFonts w:eastAsiaTheme="minorEastAsia"/>
            </w:rPr>
            <w:fldChar w:fldCharType="end"/>
          </w:r>
          <w:r>
            <w:rPr>
              <w:rFonts w:eastAsiaTheme="minorEastAsia"/>
            </w:rPr>
            <w:fldChar w:fldCharType="end"/>
          </w:r>
        </w:p>
        <w:p w14:paraId="4070EAAA">
          <w:pPr>
            <w:pStyle w:val="28"/>
            <w:rPr>
              <w:rFonts w:eastAsiaTheme="minorEastAsia"/>
            </w:rPr>
          </w:pPr>
          <w:r>
            <w:fldChar w:fldCharType="begin"/>
          </w:r>
          <w:r>
            <w:instrText xml:space="preserve"> HYPERLINK \l "_Toc182487924" </w:instrText>
          </w:r>
          <w:r>
            <w:fldChar w:fldCharType="separate"/>
          </w:r>
          <w:r>
            <w:rPr>
              <w:rFonts w:eastAsiaTheme="minorEastAsia"/>
            </w:rPr>
            <w:t>4 智能化集成系统</w:t>
          </w:r>
          <w:r>
            <w:rPr>
              <w:rFonts w:eastAsiaTheme="minorEastAsia"/>
            </w:rPr>
            <w:tab/>
          </w:r>
          <w:r>
            <w:rPr>
              <w:rFonts w:eastAsiaTheme="minorEastAsia"/>
            </w:rPr>
            <w:fldChar w:fldCharType="begin"/>
          </w:r>
          <w:r>
            <w:rPr>
              <w:rFonts w:eastAsiaTheme="minorEastAsia"/>
            </w:rPr>
            <w:instrText xml:space="preserve"> PAGEREF _Toc182487924 \h </w:instrText>
          </w:r>
          <w:r>
            <w:rPr>
              <w:rFonts w:eastAsiaTheme="minorEastAsia"/>
            </w:rPr>
            <w:fldChar w:fldCharType="separate"/>
          </w:r>
          <w:r>
            <w:rPr>
              <w:rFonts w:eastAsiaTheme="minorEastAsia"/>
            </w:rPr>
            <w:t>12</w:t>
          </w:r>
          <w:r>
            <w:rPr>
              <w:rFonts w:eastAsiaTheme="minorEastAsia"/>
            </w:rPr>
            <w:fldChar w:fldCharType="end"/>
          </w:r>
          <w:r>
            <w:rPr>
              <w:rFonts w:eastAsiaTheme="minorEastAsia"/>
            </w:rPr>
            <w:fldChar w:fldCharType="end"/>
          </w:r>
        </w:p>
        <w:p w14:paraId="46E744E3">
          <w:pPr>
            <w:pStyle w:val="28"/>
            <w:rPr>
              <w:rFonts w:eastAsiaTheme="minorEastAsia"/>
            </w:rPr>
          </w:pPr>
          <w:r>
            <w:fldChar w:fldCharType="begin"/>
          </w:r>
          <w:r>
            <w:instrText xml:space="preserve"> HYPERLINK \l "_Toc182487925" </w:instrText>
          </w:r>
          <w:r>
            <w:fldChar w:fldCharType="separate"/>
          </w:r>
          <w:r>
            <w:rPr>
              <w:rFonts w:eastAsiaTheme="minorEastAsia"/>
            </w:rPr>
            <w:t>4.1 一般规定</w:t>
          </w:r>
          <w:r>
            <w:rPr>
              <w:rFonts w:eastAsiaTheme="minorEastAsia"/>
            </w:rPr>
            <w:tab/>
          </w:r>
          <w:r>
            <w:rPr>
              <w:rFonts w:eastAsiaTheme="minorEastAsia"/>
            </w:rPr>
            <w:fldChar w:fldCharType="begin"/>
          </w:r>
          <w:r>
            <w:rPr>
              <w:rFonts w:eastAsiaTheme="minorEastAsia"/>
            </w:rPr>
            <w:instrText xml:space="preserve"> PAGEREF _Toc182487925 \h </w:instrText>
          </w:r>
          <w:r>
            <w:rPr>
              <w:rFonts w:eastAsiaTheme="minorEastAsia"/>
            </w:rPr>
            <w:fldChar w:fldCharType="separate"/>
          </w:r>
          <w:r>
            <w:rPr>
              <w:rFonts w:eastAsiaTheme="minorEastAsia"/>
            </w:rPr>
            <w:t>12</w:t>
          </w:r>
          <w:r>
            <w:rPr>
              <w:rFonts w:eastAsiaTheme="minorEastAsia"/>
            </w:rPr>
            <w:fldChar w:fldCharType="end"/>
          </w:r>
          <w:r>
            <w:rPr>
              <w:rFonts w:eastAsiaTheme="minorEastAsia"/>
            </w:rPr>
            <w:fldChar w:fldCharType="end"/>
          </w:r>
        </w:p>
        <w:p w14:paraId="314A9D18">
          <w:pPr>
            <w:pStyle w:val="28"/>
            <w:rPr>
              <w:rFonts w:eastAsiaTheme="minorEastAsia"/>
            </w:rPr>
          </w:pPr>
          <w:r>
            <w:fldChar w:fldCharType="begin"/>
          </w:r>
          <w:r>
            <w:instrText xml:space="preserve"> HYPERLINK \l "_Toc182487926" </w:instrText>
          </w:r>
          <w:r>
            <w:fldChar w:fldCharType="separate"/>
          </w:r>
          <w:r>
            <w:rPr>
              <w:rFonts w:eastAsiaTheme="minorEastAsia"/>
            </w:rPr>
            <w:t>4.2 施工准备</w:t>
          </w:r>
          <w:r>
            <w:rPr>
              <w:rFonts w:eastAsiaTheme="minorEastAsia"/>
            </w:rPr>
            <w:tab/>
          </w:r>
          <w:r>
            <w:rPr>
              <w:rFonts w:eastAsiaTheme="minorEastAsia"/>
            </w:rPr>
            <w:fldChar w:fldCharType="begin"/>
          </w:r>
          <w:r>
            <w:rPr>
              <w:rFonts w:eastAsiaTheme="minorEastAsia"/>
            </w:rPr>
            <w:instrText xml:space="preserve"> PAGEREF _Toc182487926 \h </w:instrText>
          </w:r>
          <w:r>
            <w:rPr>
              <w:rFonts w:eastAsiaTheme="minorEastAsia"/>
            </w:rPr>
            <w:fldChar w:fldCharType="separate"/>
          </w:r>
          <w:r>
            <w:rPr>
              <w:rFonts w:eastAsiaTheme="minorEastAsia"/>
            </w:rPr>
            <w:t>12</w:t>
          </w:r>
          <w:r>
            <w:rPr>
              <w:rFonts w:eastAsiaTheme="minorEastAsia"/>
            </w:rPr>
            <w:fldChar w:fldCharType="end"/>
          </w:r>
          <w:r>
            <w:rPr>
              <w:rFonts w:eastAsiaTheme="minorEastAsia"/>
            </w:rPr>
            <w:fldChar w:fldCharType="end"/>
          </w:r>
        </w:p>
        <w:p w14:paraId="16797963">
          <w:pPr>
            <w:pStyle w:val="28"/>
            <w:rPr>
              <w:rFonts w:eastAsiaTheme="minorEastAsia"/>
            </w:rPr>
          </w:pPr>
          <w:r>
            <w:fldChar w:fldCharType="begin"/>
          </w:r>
          <w:r>
            <w:instrText xml:space="preserve"> HYPERLINK \l "_Toc182487927" </w:instrText>
          </w:r>
          <w:r>
            <w:fldChar w:fldCharType="separate"/>
          </w:r>
          <w:r>
            <w:rPr>
              <w:rFonts w:eastAsiaTheme="minorEastAsia"/>
            </w:rPr>
            <w:t>4.3 施工工艺</w:t>
          </w:r>
          <w:r>
            <w:rPr>
              <w:rFonts w:eastAsiaTheme="minorEastAsia"/>
            </w:rPr>
            <w:tab/>
          </w:r>
          <w:r>
            <w:rPr>
              <w:rFonts w:eastAsiaTheme="minorEastAsia"/>
            </w:rPr>
            <w:fldChar w:fldCharType="begin"/>
          </w:r>
          <w:r>
            <w:rPr>
              <w:rFonts w:eastAsiaTheme="minorEastAsia"/>
            </w:rPr>
            <w:instrText xml:space="preserve"> PAGEREF _Toc182487927 \h </w:instrText>
          </w:r>
          <w:r>
            <w:rPr>
              <w:rFonts w:eastAsiaTheme="minorEastAsia"/>
            </w:rPr>
            <w:fldChar w:fldCharType="separate"/>
          </w:r>
          <w:r>
            <w:rPr>
              <w:rFonts w:eastAsiaTheme="minorEastAsia"/>
            </w:rPr>
            <w:t>12</w:t>
          </w:r>
          <w:r>
            <w:rPr>
              <w:rFonts w:eastAsiaTheme="minorEastAsia"/>
            </w:rPr>
            <w:fldChar w:fldCharType="end"/>
          </w:r>
          <w:r>
            <w:rPr>
              <w:rFonts w:eastAsiaTheme="minorEastAsia"/>
            </w:rPr>
            <w:fldChar w:fldCharType="end"/>
          </w:r>
        </w:p>
        <w:p w14:paraId="4D32925F">
          <w:pPr>
            <w:pStyle w:val="28"/>
            <w:rPr>
              <w:rFonts w:eastAsiaTheme="minorEastAsia"/>
            </w:rPr>
          </w:pPr>
          <w:r>
            <w:fldChar w:fldCharType="begin"/>
          </w:r>
          <w:r>
            <w:instrText xml:space="preserve"> HYPERLINK \l "_Toc182487928" </w:instrText>
          </w:r>
          <w:r>
            <w:fldChar w:fldCharType="separate"/>
          </w:r>
          <w:r>
            <w:rPr>
              <w:rFonts w:eastAsiaTheme="minorEastAsia"/>
            </w:rPr>
            <w:t>4.4 质量记录</w:t>
          </w:r>
          <w:r>
            <w:rPr>
              <w:rFonts w:eastAsiaTheme="minorEastAsia"/>
            </w:rPr>
            <w:tab/>
          </w:r>
          <w:r>
            <w:rPr>
              <w:rFonts w:eastAsiaTheme="minorEastAsia"/>
            </w:rPr>
            <w:fldChar w:fldCharType="begin"/>
          </w:r>
          <w:r>
            <w:rPr>
              <w:rFonts w:eastAsiaTheme="minorEastAsia"/>
            </w:rPr>
            <w:instrText xml:space="preserve"> PAGEREF _Toc182487928 \h </w:instrText>
          </w:r>
          <w:r>
            <w:rPr>
              <w:rFonts w:eastAsiaTheme="minorEastAsia"/>
            </w:rPr>
            <w:fldChar w:fldCharType="separate"/>
          </w:r>
          <w:r>
            <w:rPr>
              <w:rFonts w:eastAsiaTheme="minorEastAsia"/>
            </w:rPr>
            <w:t>14</w:t>
          </w:r>
          <w:r>
            <w:rPr>
              <w:rFonts w:eastAsiaTheme="minorEastAsia"/>
            </w:rPr>
            <w:fldChar w:fldCharType="end"/>
          </w:r>
          <w:r>
            <w:rPr>
              <w:rFonts w:eastAsiaTheme="minorEastAsia"/>
            </w:rPr>
            <w:fldChar w:fldCharType="end"/>
          </w:r>
        </w:p>
        <w:p w14:paraId="28262453">
          <w:pPr>
            <w:pStyle w:val="28"/>
            <w:rPr>
              <w:rFonts w:eastAsiaTheme="minorEastAsia"/>
            </w:rPr>
          </w:pPr>
          <w:r>
            <w:fldChar w:fldCharType="begin"/>
          </w:r>
          <w:r>
            <w:instrText xml:space="preserve"> HYPERLINK \l "_Toc182487929" </w:instrText>
          </w:r>
          <w:r>
            <w:fldChar w:fldCharType="separate"/>
          </w:r>
          <w:r>
            <w:rPr>
              <w:rFonts w:eastAsiaTheme="minorEastAsia"/>
            </w:rPr>
            <w:t>5 信息接入系统</w:t>
          </w:r>
          <w:r>
            <w:rPr>
              <w:rFonts w:eastAsiaTheme="minorEastAsia"/>
            </w:rPr>
            <w:tab/>
          </w:r>
          <w:r>
            <w:rPr>
              <w:rFonts w:eastAsiaTheme="minorEastAsia"/>
            </w:rPr>
            <w:fldChar w:fldCharType="begin"/>
          </w:r>
          <w:r>
            <w:rPr>
              <w:rFonts w:eastAsiaTheme="minorEastAsia"/>
            </w:rPr>
            <w:instrText xml:space="preserve"> PAGEREF _Toc182487929 \h </w:instrText>
          </w:r>
          <w:r>
            <w:rPr>
              <w:rFonts w:eastAsiaTheme="minorEastAsia"/>
            </w:rPr>
            <w:fldChar w:fldCharType="separate"/>
          </w:r>
          <w:r>
            <w:rPr>
              <w:rFonts w:eastAsiaTheme="minorEastAsia"/>
            </w:rPr>
            <w:t>15</w:t>
          </w:r>
          <w:r>
            <w:rPr>
              <w:rFonts w:eastAsiaTheme="minorEastAsia"/>
            </w:rPr>
            <w:fldChar w:fldCharType="end"/>
          </w:r>
          <w:r>
            <w:rPr>
              <w:rFonts w:eastAsiaTheme="minorEastAsia"/>
            </w:rPr>
            <w:fldChar w:fldCharType="end"/>
          </w:r>
        </w:p>
        <w:p w14:paraId="5A4C4783">
          <w:pPr>
            <w:pStyle w:val="28"/>
            <w:rPr>
              <w:rFonts w:eastAsiaTheme="minorEastAsia"/>
            </w:rPr>
          </w:pPr>
          <w:r>
            <w:fldChar w:fldCharType="begin"/>
          </w:r>
          <w:r>
            <w:instrText xml:space="preserve"> HYPERLINK \l "_Toc182487930" </w:instrText>
          </w:r>
          <w:r>
            <w:fldChar w:fldCharType="separate"/>
          </w:r>
          <w:r>
            <w:rPr>
              <w:rFonts w:eastAsiaTheme="minorEastAsia"/>
            </w:rPr>
            <w:t>5.1 一般规定</w:t>
          </w:r>
          <w:r>
            <w:rPr>
              <w:rFonts w:eastAsiaTheme="minorEastAsia"/>
            </w:rPr>
            <w:tab/>
          </w:r>
          <w:r>
            <w:rPr>
              <w:rFonts w:eastAsiaTheme="minorEastAsia"/>
            </w:rPr>
            <w:fldChar w:fldCharType="begin"/>
          </w:r>
          <w:r>
            <w:rPr>
              <w:rFonts w:eastAsiaTheme="minorEastAsia"/>
            </w:rPr>
            <w:instrText xml:space="preserve"> PAGEREF _Toc182487930 \h </w:instrText>
          </w:r>
          <w:r>
            <w:rPr>
              <w:rFonts w:eastAsiaTheme="minorEastAsia"/>
            </w:rPr>
            <w:fldChar w:fldCharType="separate"/>
          </w:r>
          <w:r>
            <w:rPr>
              <w:rFonts w:eastAsiaTheme="minorEastAsia"/>
            </w:rPr>
            <w:t>15</w:t>
          </w:r>
          <w:r>
            <w:rPr>
              <w:rFonts w:eastAsiaTheme="minorEastAsia"/>
            </w:rPr>
            <w:fldChar w:fldCharType="end"/>
          </w:r>
          <w:r>
            <w:rPr>
              <w:rFonts w:eastAsiaTheme="minorEastAsia"/>
            </w:rPr>
            <w:fldChar w:fldCharType="end"/>
          </w:r>
        </w:p>
        <w:p w14:paraId="3B6051BE">
          <w:pPr>
            <w:pStyle w:val="28"/>
            <w:rPr>
              <w:rFonts w:eastAsiaTheme="minorEastAsia"/>
            </w:rPr>
          </w:pPr>
          <w:r>
            <w:fldChar w:fldCharType="begin"/>
          </w:r>
          <w:r>
            <w:instrText xml:space="preserve"> HYPERLINK \l "_Toc182487931" </w:instrText>
          </w:r>
          <w:r>
            <w:fldChar w:fldCharType="separate"/>
          </w:r>
          <w:r>
            <w:rPr>
              <w:rFonts w:eastAsiaTheme="minorEastAsia"/>
            </w:rPr>
            <w:t>5.2 施工准备</w:t>
          </w:r>
          <w:r>
            <w:rPr>
              <w:rFonts w:eastAsiaTheme="minorEastAsia"/>
            </w:rPr>
            <w:tab/>
          </w:r>
          <w:r>
            <w:rPr>
              <w:rFonts w:eastAsiaTheme="minorEastAsia"/>
            </w:rPr>
            <w:fldChar w:fldCharType="begin"/>
          </w:r>
          <w:r>
            <w:rPr>
              <w:rFonts w:eastAsiaTheme="minorEastAsia"/>
            </w:rPr>
            <w:instrText xml:space="preserve"> PAGEREF _Toc182487931 \h </w:instrText>
          </w:r>
          <w:r>
            <w:rPr>
              <w:rFonts w:eastAsiaTheme="minorEastAsia"/>
            </w:rPr>
            <w:fldChar w:fldCharType="separate"/>
          </w:r>
          <w:r>
            <w:rPr>
              <w:rFonts w:eastAsiaTheme="minorEastAsia"/>
            </w:rPr>
            <w:t>15</w:t>
          </w:r>
          <w:r>
            <w:rPr>
              <w:rFonts w:eastAsiaTheme="minorEastAsia"/>
            </w:rPr>
            <w:fldChar w:fldCharType="end"/>
          </w:r>
          <w:r>
            <w:rPr>
              <w:rFonts w:eastAsiaTheme="minorEastAsia"/>
            </w:rPr>
            <w:fldChar w:fldCharType="end"/>
          </w:r>
        </w:p>
        <w:p w14:paraId="792CC81A">
          <w:pPr>
            <w:pStyle w:val="28"/>
            <w:rPr>
              <w:rFonts w:eastAsiaTheme="minorEastAsia"/>
            </w:rPr>
          </w:pPr>
          <w:r>
            <w:fldChar w:fldCharType="begin"/>
          </w:r>
          <w:r>
            <w:instrText xml:space="preserve"> HYPERLINK \l "_Toc182487932" </w:instrText>
          </w:r>
          <w:r>
            <w:fldChar w:fldCharType="separate"/>
          </w:r>
          <w:r>
            <w:rPr>
              <w:rFonts w:eastAsiaTheme="minorEastAsia"/>
            </w:rPr>
            <w:t>5.3 施工工艺</w:t>
          </w:r>
          <w:r>
            <w:rPr>
              <w:rFonts w:eastAsiaTheme="minorEastAsia"/>
            </w:rPr>
            <w:tab/>
          </w:r>
          <w:r>
            <w:rPr>
              <w:rFonts w:eastAsiaTheme="minorEastAsia"/>
            </w:rPr>
            <w:fldChar w:fldCharType="begin"/>
          </w:r>
          <w:r>
            <w:rPr>
              <w:rFonts w:eastAsiaTheme="minorEastAsia"/>
            </w:rPr>
            <w:instrText xml:space="preserve"> PAGEREF _Toc182487932 \h </w:instrText>
          </w:r>
          <w:r>
            <w:rPr>
              <w:rFonts w:eastAsiaTheme="minorEastAsia"/>
            </w:rPr>
            <w:fldChar w:fldCharType="separate"/>
          </w:r>
          <w:r>
            <w:rPr>
              <w:rFonts w:eastAsiaTheme="minorEastAsia"/>
            </w:rPr>
            <w:t>15</w:t>
          </w:r>
          <w:r>
            <w:rPr>
              <w:rFonts w:eastAsiaTheme="minorEastAsia"/>
            </w:rPr>
            <w:fldChar w:fldCharType="end"/>
          </w:r>
          <w:r>
            <w:rPr>
              <w:rFonts w:eastAsiaTheme="minorEastAsia"/>
            </w:rPr>
            <w:fldChar w:fldCharType="end"/>
          </w:r>
        </w:p>
        <w:p w14:paraId="460584BB">
          <w:pPr>
            <w:pStyle w:val="28"/>
            <w:rPr>
              <w:rFonts w:eastAsiaTheme="minorEastAsia"/>
            </w:rPr>
          </w:pPr>
          <w:r>
            <w:fldChar w:fldCharType="begin"/>
          </w:r>
          <w:r>
            <w:instrText xml:space="preserve"> HYPERLINK \l "_Toc182487933" </w:instrText>
          </w:r>
          <w:r>
            <w:fldChar w:fldCharType="separate"/>
          </w:r>
          <w:r>
            <w:rPr>
              <w:rFonts w:eastAsiaTheme="minorEastAsia"/>
            </w:rPr>
            <w:t>5.4 质量记录</w:t>
          </w:r>
          <w:r>
            <w:rPr>
              <w:rFonts w:eastAsiaTheme="minorEastAsia"/>
            </w:rPr>
            <w:tab/>
          </w:r>
          <w:r>
            <w:rPr>
              <w:rFonts w:eastAsiaTheme="minorEastAsia"/>
            </w:rPr>
            <w:fldChar w:fldCharType="begin"/>
          </w:r>
          <w:r>
            <w:rPr>
              <w:rFonts w:eastAsiaTheme="minorEastAsia"/>
            </w:rPr>
            <w:instrText xml:space="preserve"> PAGEREF _Toc182487933 \h </w:instrText>
          </w:r>
          <w:r>
            <w:rPr>
              <w:rFonts w:eastAsiaTheme="minorEastAsia"/>
            </w:rPr>
            <w:fldChar w:fldCharType="separate"/>
          </w:r>
          <w:r>
            <w:rPr>
              <w:rFonts w:eastAsiaTheme="minorEastAsia"/>
            </w:rPr>
            <w:t>19</w:t>
          </w:r>
          <w:r>
            <w:rPr>
              <w:rFonts w:eastAsiaTheme="minorEastAsia"/>
            </w:rPr>
            <w:fldChar w:fldCharType="end"/>
          </w:r>
          <w:r>
            <w:rPr>
              <w:rFonts w:eastAsiaTheme="minorEastAsia"/>
            </w:rPr>
            <w:fldChar w:fldCharType="end"/>
          </w:r>
        </w:p>
        <w:p w14:paraId="5CC1DA5D">
          <w:pPr>
            <w:pStyle w:val="28"/>
            <w:rPr>
              <w:rFonts w:eastAsiaTheme="minorEastAsia"/>
            </w:rPr>
          </w:pPr>
          <w:r>
            <w:fldChar w:fldCharType="begin"/>
          </w:r>
          <w:r>
            <w:instrText xml:space="preserve"> HYPERLINK \l "_Toc182487934" </w:instrText>
          </w:r>
          <w:r>
            <w:fldChar w:fldCharType="separate"/>
          </w:r>
          <w:r>
            <w:rPr>
              <w:rFonts w:eastAsiaTheme="minorEastAsia"/>
            </w:rPr>
            <w:t>6 用户电话交换系统</w:t>
          </w:r>
          <w:r>
            <w:rPr>
              <w:rFonts w:eastAsiaTheme="minorEastAsia"/>
            </w:rPr>
            <w:tab/>
          </w:r>
          <w:r>
            <w:rPr>
              <w:rFonts w:eastAsiaTheme="minorEastAsia"/>
            </w:rPr>
            <w:fldChar w:fldCharType="begin"/>
          </w:r>
          <w:r>
            <w:rPr>
              <w:rFonts w:eastAsiaTheme="minorEastAsia"/>
            </w:rPr>
            <w:instrText xml:space="preserve"> PAGEREF _Toc182487934 \h </w:instrText>
          </w:r>
          <w:r>
            <w:rPr>
              <w:rFonts w:eastAsiaTheme="minorEastAsia"/>
            </w:rPr>
            <w:fldChar w:fldCharType="separate"/>
          </w:r>
          <w:r>
            <w:rPr>
              <w:rFonts w:eastAsiaTheme="minorEastAsia"/>
            </w:rPr>
            <w:t>20</w:t>
          </w:r>
          <w:r>
            <w:rPr>
              <w:rFonts w:eastAsiaTheme="minorEastAsia"/>
            </w:rPr>
            <w:fldChar w:fldCharType="end"/>
          </w:r>
          <w:r>
            <w:rPr>
              <w:rFonts w:eastAsiaTheme="minorEastAsia"/>
            </w:rPr>
            <w:fldChar w:fldCharType="end"/>
          </w:r>
        </w:p>
        <w:p w14:paraId="13E31939">
          <w:pPr>
            <w:pStyle w:val="28"/>
            <w:rPr>
              <w:rFonts w:eastAsiaTheme="minorEastAsia"/>
            </w:rPr>
          </w:pPr>
          <w:r>
            <w:fldChar w:fldCharType="begin"/>
          </w:r>
          <w:r>
            <w:instrText xml:space="preserve"> HYPERLINK \l "_Toc182487935" </w:instrText>
          </w:r>
          <w:r>
            <w:fldChar w:fldCharType="separate"/>
          </w:r>
          <w:r>
            <w:rPr>
              <w:rFonts w:eastAsiaTheme="minorEastAsia"/>
            </w:rPr>
            <w:t>6.1 一般规定</w:t>
          </w:r>
          <w:r>
            <w:rPr>
              <w:rFonts w:eastAsiaTheme="minorEastAsia"/>
            </w:rPr>
            <w:tab/>
          </w:r>
          <w:r>
            <w:rPr>
              <w:rFonts w:eastAsiaTheme="minorEastAsia"/>
            </w:rPr>
            <w:fldChar w:fldCharType="begin"/>
          </w:r>
          <w:r>
            <w:rPr>
              <w:rFonts w:eastAsiaTheme="minorEastAsia"/>
            </w:rPr>
            <w:instrText xml:space="preserve"> PAGEREF _Toc182487935 \h </w:instrText>
          </w:r>
          <w:r>
            <w:rPr>
              <w:rFonts w:eastAsiaTheme="minorEastAsia"/>
            </w:rPr>
            <w:fldChar w:fldCharType="separate"/>
          </w:r>
          <w:r>
            <w:rPr>
              <w:rFonts w:eastAsiaTheme="minorEastAsia"/>
            </w:rPr>
            <w:t>20</w:t>
          </w:r>
          <w:r>
            <w:rPr>
              <w:rFonts w:eastAsiaTheme="minorEastAsia"/>
            </w:rPr>
            <w:fldChar w:fldCharType="end"/>
          </w:r>
          <w:r>
            <w:rPr>
              <w:rFonts w:eastAsiaTheme="minorEastAsia"/>
            </w:rPr>
            <w:fldChar w:fldCharType="end"/>
          </w:r>
        </w:p>
        <w:p w14:paraId="0A4B67B7">
          <w:pPr>
            <w:pStyle w:val="28"/>
            <w:rPr>
              <w:rFonts w:eastAsiaTheme="minorEastAsia"/>
            </w:rPr>
          </w:pPr>
          <w:r>
            <w:fldChar w:fldCharType="begin"/>
          </w:r>
          <w:r>
            <w:instrText xml:space="preserve"> HYPERLINK \l "_Toc182487936" </w:instrText>
          </w:r>
          <w:r>
            <w:fldChar w:fldCharType="separate"/>
          </w:r>
          <w:r>
            <w:rPr>
              <w:rFonts w:eastAsiaTheme="minorEastAsia"/>
            </w:rPr>
            <w:t>6.2 施工准备</w:t>
          </w:r>
          <w:r>
            <w:rPr>
              <w:rFonts w:eastAsiaTheme="minorEastAsia"/>
            </w:rPr>
            <w:tab/>
          </w:r>
          <w:r>
            <w:rPr>
              <w:rFonts w:eastAsiaTheme="minorEastAsia"/>
            </w:rPr>
            <w:fldChar w:fldCharType="begin"/>
          </w:r>
          <w:r>
            <w:rPr>
              <w:rFonts w:eastAsiaTheme="minorEastAsia"/>
            </w:rPr>
            <w:instrText xml:space="preserve"> PAGEREF _Toc182487936 \h </w:instrText>
          </w:r>
          <w:r>
            <w:rPr>
              <w:rFonts w:eastAsiaTheme="minorEastAsia"/>
            </w:rPr>
            <w:fldChar w:fldCharType="separate"/>
          </w:r>
          <w:r>
            <w:rPr>
              <w:rFonts w:eastAsiaTheme="minorEastAsia"/>
            </w:rPr>
            <w:t>20</w:t>
          </w:r>
          <w:r>
            <w:rPr>
              <w:rFonts w:eastAsiaTheme="minorEastAsia"/>
            </w:rPr>
            <w:fldChar w:fldCharType="end"/>
          </w:r>
          <w:r>
            <w:rPr>
              <w:rFonts w:eastAsiaTheme="minorEastAsia"/>
            </w:rPr>
            <w:fldChar w:fldCharType="end"/>
          </w:r>
        </w:p>
        <w:p w14:paraId="09D6A050">
          <w:pPr>
            <w:pStyle w:val="28"/>
            <w:rPr>
              <w:rFonts w:eastAsiaTheme="minorEastAsia"/>
            </w:rPr>
          </w:pPr>
          <w:r>
            <w:fldChar w:fldCharType="begin"/>
          </w:r>
          <w:r>
            <w:instrText xml:space="preserve"> HYPERLINK \l "_Toc182487937" </w:instrText>
          </w:r>
          <w:r>
            <w:fldChar w:fldCharType="separate"/>
          </w:r>
          <w:r>
            <w:rPr>
              <w:rFonts w:eastAsiaTheme="minorEastAsia"/>
            </w:rPr>
            <w:t>6.3 施工工艺</w:t>
          </w:r>
          <w:r>
            <w:rPr>
              <w:rFonts w:eastAsiaTheme="minorEastAsia"/>
            </w:rPr>
            <w:tab/>
          </w:r>
          <w:r>
            <w:rPr>
              <w:rFonts w:eastAsiaTheme="minorEastAsia"/>
            </w:rPr>
            <w:fldChar w:fldCharType="begin"/>
          </w:r>
          <w:r>
            <w:rPr>
              <w:rFonts w:eastAsiaTheme="minorEastAsia"/>
            </w:rPr>
            <w:instrText xml:space="preserve"> PAGEREF _Toc182487937 \h </w:instrText>
          </w:r>
          <w:r>
            <w:rPr>
              <w:rFonts w:eastAsiaTheme="minorEastAsia"/>
            </w:rPr>
            <w:fldChar w:fldCharType="separate"/>
          </w:r>
          <w:r>
            <w:rPr>
              <w:rFonts w:eastAsiaTheme="minorEastAsia"/>
            </w:rPr>
            <w:t>20</w:t>
          </w:r>
          <w:r>
            <w:rPr>
              <w:rFonts w:eastAsiaTheme="minorEastAsia"/>
            </w:rPr>
            <w:fldChar w:fldCharType="end"/>
          </w:r>
          <w:r>
            <w:rPr>
              <w:rFonts w:eastAsiaTheme="minorEastAsia"/>
            </w:rPr>
            <w:fldChar w:fldCharType="end"/>
          </w:r>
        </w:p>
        <w:p w14:paraId="09D0E5D2">
          <w:pPr>
            <w:pStyle w:val="28"/>
            <w:rPr>
              <w:rFonts w:eastAsiaTheme="minorEastAsia"/>
            </w:rPr>
          </w:pPr>
          <w:r>
            <w:fldChar w:fldCharType="begin"/>
          </w:r>
          <w:r>
            <w:instrText xml:space="preserve"> HYPERLINK \l "_Toc182487938" </w:instrText>
          </w:r>
          <w:r>
            <w:fldChar w:fldCharType="separate"/>
          </w:r>
          <w:r>
            <w:rPr>
              <w:rFonts w:eastAsiaTheme="minorEastAsia"/>
            </w:rPr>
            <w:t>6.4 质量记录</w:t>
          </w:r>
          <w:r>
            <w:rPr>
              <w:rFonts w:eastAsiaTheme="minorEastAsia"/>
            </w:rPr>
            <w:tab/>
          </w:r>
          <w:r>
            <w:rPr>
              <w:rFonts w:eastAsiaTheme="minorEastAsia"/>
            </w:rPr>
            <w:fldChar w:fldCharType="begin"/>
          </w:r>
          <w:r>
            <w:rPr>
              <w:rFonts w:eastAsiaTheme="minorEastAsia"/>
            </w:rPr>
            <w:instrText xml:space="preserve"> PAGEREF _Toc182487938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14:paraId="2E0D6B14">
          <w:pPr>
            <w:pStyle w:val="28"/>
            <w:rPr>
              <w:rFonts w:eastAsiaTheme="minorEastAsia"/>
            </w:rPr>
          </w:pPr>
          <w:r>
            <w:fldChar w:fldCharType="begin"/>
          </w:r>
          <w:r>
            <w:instrText xml:space="preserve"> HYPERLINK \l "_Toc182487939" </w:instrText>
          </w:r>
          <w:r>
            <w:fldChar w:fldCharType="separate"/>
          </w:r>
          <w:r>
            <w:rPr>
              <w:rFonts w:eastAsiaTheme="minorEastAsia"/>
            </w:rPr>
            <w:t>7 信息网络系统</w:t>
          </w:r>
          <w:r>
            <w:rPr>
              <w:rFonts w:eastAsiaTheme="minorEastAsia"/>
            </w:rPr>
            <w:tab/>
          </w:r>
          <w:r>
            <w:rPr>
              <w:rFonts w:eastAsiaTheme="minorEastAsia"/>
            </w:rPr>
            <w:fldChar w:fldCharType="begin"/>
          </w:r>
          <w:r>
            <w:rPr>
              <w:rFonts w:eastAsiaTheme="minorEastAsia"/>
            </w:rPr>
            <w:instrText xml:space="preserve"> PAGEREF _Toc182487939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53D1A42C">
          <w:pPr>
            <w:pStyle w:val="28"/>
            <w:rPr>
              <w:rFonts w:eastAsiaTheme="minorEastAsia"/>
            </w:rPr>
          </w:pPr>
          <w:r>
            <w:fldChar w:fldCharType="begin"/>
          </w:r>
          <w:r>
            <w:instrText xml:space="preserve"> HYPERLINK \l "_Toc182487940" </w:instrText>
          </w:r>
          <w:r>
            <w:fldChar w:fldCharType="separate"/>
          </w:r>
          <w:r>
            <w:rPr>
              <w:rFonts w:eastAsiaTheme="minorEastAsia"/>
            </w:rPr>
            <w:t>7.1 一般规定</w:t>
          </w:r>
          <w:r>
            <w:rPr>
              <w:rFonts w:eastAsiaTheme="minorEastAsia"/>
            </w:rPr>
            <w:tab/>
          </w:r>
          <w:r>
            <w:rPr>
              <w:rFonts w:eastAsiaTheme="minorEastAsia"/>
            </w:rPr>
            <w:fldChar w:fldCharType="begin"/>
          </w:r>
          <w:r>
            <w:rPr>
              <w:rFonts w:eastAsiaTheme="minorEastAsia"/>
            </w:rPr>
            <w:instrText xml:space="preserve"> PAGEREF _Toc182487940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2C9417E2">
          <w:pPr>
            <w:pStyle w:val="28"/>
            <w:rPr>
              <w:rFonts w:eastAsiaTheme="minorEastAsia"/>
            </w:rPr>
          </w:pPr>
          <w:r>
            <w:fldChar w:fldCharType="begin"/>
          </w:r>
          <w:r>
            <w:instrText xml:space="preserve"> HYPERLINK \l "_Toc182487941" </w:instrText>
          </w:r>
          <w:r>
            <w:fldChar w:fldCharType="separate"/>
          </w:r>
          <w:r>
            <w:rPr>
              <w:rFonts w:eastAsiaTheme="minorEastAsia"/>
            </w:rPr>
            <w:t>7.2 施工准备</w:t>
          </w:r>
          <w:r>
            <w:rPr>
              <w:rFonts w:eastAsiaTheme="minorEastAsia"/>
            </w:rPr>
            <w:tab/>
          </w:r>
          <w:r>
            <w:rPr>
              <w:rFonts w:eastAsiaTheme="minorEastAsia"/>
            </w:rPr>
            <w:fldChar w:fldCharType="begin"/>
          </w:r>
          <w:r>
            <w:rPr>
              <w:rFonts w:eastAsiaTheme="minorEastAsia"/>
            </w:rPr>
            <w:instrText xml:space="preserve"> PAGEREF _Toc182487941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48650228">
          <w:pPr>
            <w:pStyle w:val="28"/>
            <w:rPr>
              <w:rFonts w:eastAsiaTheme="minorEastAsia"/>
            </w:rPr>
          </w:pPr>
          <w:r>
            <w:fldChar w:fldCharType="begin"/>
          </w:r>
          <w:r>
            <w:instrText xml:space="preserve"> HYPERLINK \l "_Toc182487942" </w:instrText>
          </w:r>
          <w:r>
            <w:fldChar w:fldCharType="separate"/>
          </w:r>
          <w:r>
            <w:rPr>
              <w:rFonts w:eastAsiaTheme="minorEastAsia"/>
            </w:rPr>
            <w:t>7.3 施工工艺</w:t>
          </w:r>
          <w:r>
            <w:rPr>
              <w:rFonts w:eastAsiaTheme="minorEastAsia"/>
            </w:rPr>
            <w:tab/>
          </w:r>
          <w:r>
            <w:rPr>
              <w:rFonts w:eastAsiaTheme="minorEastAsia"/>
            </w:rPr>
            <w:fldChar w:fldCharType="begin"/>
          </w:r>
          <w:r>
            <w:rPr>
              <w:rFonts w:eastAsiaTheme="minorEastAsia"/>
            </w:rPr>
            <w:instrText xml:space="preserve"> PAGEREF _Toc182487942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66109631">
          <w:pPr>
            <w:pStyle w:val="28"/>
            <w:rPr>
              <w:rFonts w:eastAsiaTheme="minorEastAsia"/>
            </w:rPr>
          </w:pPr>
          <w:r>
            <w:fldChar w:fldCharType="begin"/>
          </w:r>
          <w:r>
            <w:instrText xml:space="preserve"> HYPERLINK \l "_Toc182487943" </w:instrText>
          </w:r>
          <w:r>
            <w:fldChar w:fldCharType="separate"/>
          </w:r>
          <w:r>
            <w:rPr>
              <w:rFonts w:eastAsiaTheme="minorEastAsia"/>
            </w:rPr>
            <w:t>7.4 质量记录</w:t>
          </w:r>
          <w:r>
            <w:rPr>
              <w:rFonts w:eastAsiaTheme="minorEastAsia"/>
            </w:rPr>
            <w:tab/>
          </w:r>
          <w:r>
            <w:rPr>
              <w:rFonts w:eastAsiaTheme="minorEastAsia"/>
            </w:rPr>
            <w:fldChar w:fldCharType="begin"/>
          </w:r>
          <w:r>
            <w:rPr>
              <w:rFonts w:eastAsiaTheme="minorEastAsia"/>
            </w:rPr>
            <w:instrText xml:space="preserve"> PAGEREF _Toc182487943 \h </w:instrText>
          </w:r>
          <w:r>
            <w:rPr>
              <w:rFonts w:eastAsiaTheme="minorEastAsia"/>
            </w:rPr>
            <w:fldChar w:fldCharType="separate"/>
          </w:r>
          <w:r>
            <w:rPr>
              <w:rFonts w:eastAsiaTheme="minorEastAsia"/>
            </w:rPr>
            <w:t>24</w:t>
          </w:r>
          <w:r>
            <w:rPr>
              <w:rFonts w:eastAsiaTheme="minorEastAsia"/>
            </w:rPr>
            <w:fldChar w:fldCharType="end"/>
          </w:r>
          <w:r>
            <w:rPr>
              <w:rFonts w:eastAsiaTheme="minorEastAsia"/>
            </w:rPr>
            <w:fldChar w:fldCharType="end"/>
          </w:r>
        </w:p>
        <w:p w14:paraId="255EB197">
          <w:pPr>
            <w:pStyle w:val="28"/>
            <w:rPr>
              <w:rFonts w:eastAsiaTheme="minorEastAsia"/>
            </w:rPr>
          </w:pPr>
          <w:r>
            <w:fldChar w:fldCharType="begin"/>
          </w:r>
          <w:r>
            <w:instrText xml:space="preserve"> HYPERLINK \l "_Toc182487944" </w:instrText>
          </w:r>
          <w:r>
            <w:fldChar w:fldCharType="separate"/>
          </w:r>
          <w:r>
            <w:rPr>
              <w:rFonts w:eastAsiaTheme="minorEastAsia"/>
            </w:rPr>
            <w:t>8 综合布线系统</w:t>
          </w:r>
          <w:r>
            <w:rPr>
              <w:rFonts w:eastAsiaTheme="minorEastAsia"/>
            </w:rPr>
            <w:tab/>
          </w:r>
          <w:r>
            <w:rPr>
              <w:rFonts w:eastAsiaTheme="minorEastAsia"/>
            </w:rPr>
            <w:fldChar w:fldCharType="begin"/>
          </w:r>
          <w:r>
            <w:rPr>
              <w:rFonts w:eastAsiaTheme="minorEastAsia"/>
            </w:rPr>
            <w:instrText xml:space="preserve"> PAGEREF _Toc182487944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14:paraId="3CCFB4E3">
          <w:pPr>
            <w:pStyle w:val="28"/>
            <w:rPr>
              <w:rFonts w:eastAsiaTheme="minorEastAsia"/>
            </w:rPr>
          </w:pPr>
          <w:r>
            <w:fldChar w:fldCharType="begin"/>
          </w:r>
          <w:r>
            <w:instrText xml:space="preserve"> HYPERLINK \l "_Toc182487945" </w:instrText>
          </w:r>
          <w:r>
            <w:fldChar w:fldCharType="separate"/>
          </w:r>
          <w:r>
            <w:rPr>
              <w:rFonts w:eastAsiaTheme="minorEastAsia"/>
            </w:rPr>
            <w:t>8.1 一般规定</w:t>
          </w:r>
          <w:r>
            <w:rPr>
              <w:rFonts w:eastAsiaTheme="minorEastAsia"/>
            </w:rPr>
            <w:tab/>
          </w:r>
          <w:r>
            <w:rPr>
              <w:rFonts w:eastAsiaTheme="minorEastAsia"/>
            </w:rPr>
            <w:fldChar w:fldCharType="begin"/>
          </w:r>
          <w:r>
            <w:rPr>
              <w:rFonts w:eastAsiaTheme="minorEastAsia"/>
            </w:rPr>
            <w:instrText xml:space="preserve"> PAGEREF _Toc182487945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14:paraId="075B49CD">
          <w:pPr>
            <w:pStyle w:val="28"/>
            <w:rPr>
              <w:rFonts w:eastAsiaTheme="minorEastAsia"/>
            </w:rPr>
          </w:pPr>
          <w:r>
            <w:fldChar w:fldCharType="begin"/>
          </w:r>
          <w:r>
            <w:instrText xml:space="preserve"> HYPERLINK \l "_Toc182487946" </w:instrText>
          </w:r>
          <w:r>
            <w:fldChar w:fldCharType="separate"/>
          </w:r>
          <w:r>
            <w:rPr>
              <w:rFonts w:eastAsiaTheme="minorEastAsia"/>
            </w:rPr>
            <w:t>8.2 施工准备</w:t>
          </w:r>
          <w:r>
            <w:rPr>
              <w:rFonts w:eastAsiaTheme="minorEastAsia"/>
            </w:rPr>
            <w:tab/>
          </w:r>
          <w:r>
            <w:rPr>
              <w:rFonts w:eastAsiaTheme="minorEastAsia"/>
            </w:rPr>
            <w:fldChar w:fldCharType="begin"/>
          </w:r>
          <w:r>
            <w:rPr>
              <w:rFonts w:eastAsiaTheme="minorEastAsia"/>
            </w:rPr>
            <w:instrText xml:space="preserve"> PAGEREF _Toc182487946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14:paraId="542AEF13">
          <w:pPr>
            <w:pStyle w:val="28"/>
            <w:rPr>
              <w:rFonts w:eastAsiaTheme="minorEastAsia"/>
            </w:rPr>
          </w:pPr>
          <w:r>
            <w:fldChar w:fldCharType="begin"/>
          </w:r>
          <w:r>
            <w:instrText xml:space="preserve"> HYPERLINK \l "_Toc182487947" </w:instrText>
          </w:r>
          <w:r>
            <w:fldChar w:fldCharType="separate"/>
          </w:r>
          <w:r>
            <w:rPr>
              <w:rFonts w:eastAsiaTheme="minorEastAsia"/>
            </w:rPr>
            <w:t>8.3 施工工艺</w:t>
          </w:r>
          <w:r>
            <w:rPr>
              <w:rFonts w:eastAsiaTheme="minorEastAsia"/>
            </w:rPr>
            <w:tab/>
          </w:r>
          <w:r>
            <w:rPr>
              <w:rFonts w:eastAsiaTheme="minorEastAsia"/>
            </w:rPr>
            <w:fldChar w:fldCharType="begin"/>
          </w:r>
          <w:r>
            <w:rPr>
              <w:rFonts w:eastAsiaTheme="minorEastAsia"/>
            </w:rPr>
            <w:instrText xml:space="preserve"> PAGEREF _Toc182487947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14:paraId="0E228F30">
          <w:pPr>
            <w:pStyle w:val="28"/>
            <w:rPr>
              <w:rFonts w:eastAsiaTheme="minorEastAsia"/>
            </w:rPr>
          </w:pPr>
          <w:r>
            <w:fldChar w:fldCharType="begin"/>
          </w:r>
          <w:r>
            <w:instrText xml:space="preserve"> HYPERLINK \l "_Toc182487948" </w:instrText>
          </w:r>
          <w:r>
            <w:fldChar w:fldCharType="separate"/>
          </w:r>
          <w:r>
            <w:rPr>
              <w:rFonts w:eastAsiaTheme="minorEastAsia"/>
            </w:rPr>
            <w:t>8.4 质量记录</w:t>
          </w:r>
          <w:r>
            <w:rPr>
              <w:rFonts w:eastAsiaTheme="minorEastAsia"/>
            </w:rPr>
            <w:tab/>
          </w:r>
          <w:r>
            <w:rPr>
              <w:rFonts w:eastAsiaTheme="minorEastAsia"/>
            </w:rPr>
            <w:fldChar w:fldCharType="begin"/>
          </w:r>
          <w:r>
            <w:rPr>
              <w:rFonts w:eastAsiaTheme="minorEastAsia"/>
            </w:rPr>
            <w:instrText xml:space="preserve"> PAGEREF _Toc182487948 \h </w:instrText>
          </w:r>
          <w:r>
            <w:rPr>
              <w:rFonts w:eastAsiaTheme="minorEastAsia"/>
            </w:rPr>
            <w:fldChar w:fldCharType="separate"/>
          </w:r>
          <w:r>
            <w:rPr>
              <w:rFonts w:eastAsiaTheme="minorEastAsia"/>
            </w:rPr>
            <w:t>33</w:t>
          </w:r>
          <w:r>
            <w:rPr>
              <w:rFonts w:eastAsiaTheme="minorEastAsia"/>
            </w:rPr>
            <w:fldChar w:fldCharType="end"/>
          </w:r>
          <w:r>
            <w:rPr>
              <w:rFonts w:eastAsiaTheme="minorEastAsia"/>
            </w:rPr>
            <w:fldChar w:fldCharType="end"/>
          </w:r>
        </w:p>
        <w:p w14:paraId="5EDBCB66">
          <w:pPr>
            <w:pStyle w:val="28"/>
            <w:rPr>
              <w:rFonts w:eastAsiaTheme="minorEastAsia"/>
            </w:rPr>
          </w:pPr>
          <w:r>
            <w:fldChar w:fldCharType="begin"/>
          </w:r>
          <w:r>
            <w:instrText xml:space="preserve"> HYPERLINK \l "_Toc182487949" </w:instrText>
          </w:r>
          <w:r>
            <w:fldChar w:fldCharType="separate"/>
          </w:r>
          <w:r>
            <w:rPr>
              <w:rFonts w:eastAsiaTheme="minorEastAsia"/>
            </w:rPr>
            <w:t>9 移动通信室内信号覆盖系统</w:t>
          </w:r>
          <w:r>
            <w:rPr>
              <w:rFonts w:eastAsiaTheme="minorEastAsia"/>
            </w:rPr>
            <w:tab/>
          </w:r>
          <w:r>
            <w:rPr>
              <w:rFonts w:eastAsiaTheme="minorEastAsia"/>
            </w:rPr>
            <w:fldChar w:fldCharType="begin"/>
          </w:r>
          <w:r>
            <w:rPr>
              <w:rFonts w:eastAsiaTheme="minorEastAsia"/>
            </w:rPr>
            <w:instrText xml:space="preserve"> PAGEREF _Toc182487949 \h </w:instrText>
          </w:r>
          <w:r>
            <w:rPr>
              <w:rFonts w:eastAsiaTheme="minorEastAsia"/>
            </w:rPr>
            <w:fldChar w:fldCharType="separate"/>
          </w:r>
          <w:r>
            <w:rPr>
              <w:rFonts w:eastAsiaTheme="minorEastAsia"/>
            </w:rPr>
            <w:t>35</w:t>
          </w:r>
          <w:r>
            <w:rPr>
              <w:rFonts w:eastAsiaTheme="minorEastAsia"/>
            </w:rPr>
            <w:fldChar w:fldCharType="end"/>
          </w:r>
          <w:r>
            <w:rPr>
              <w:rFonts w:eastAsiaTheme="minorEastAsia"/>
            </w:rPr>
            <w:fldChar w:fldCharType="end"/>
          </w:r>
        </w:p>
        <w:p w14:paraId="3116F347">
          <w:pPr>
            <w:pStyle w:val="28"/>
            <w:rPr>
              <w:rFonts w:eastAsiaTheme="minorEastAsia"/>
            </w:rPr>
          </w:pPr>
          <w:r>
            <w:fldChar w:fldCharType="begin"/>
          </w:r>
          <w:r>
            <w:instrText xml:space="preserve"> HYPERLINK \l "_Toc182487950" </w:instrText>
          </w:r>
          <w:r>
            <w:fldChar w:fldCharType="separate"/>
          </w:r>
          <w:r>
            <w:rPr>
              <w:rFonts w:eastAsiaTheme="minorEastAsia"/>
            </w:rPr>
            <w:t>10 卫星通信系统</w:t>
          </w:r>
          <w:r>
            <w:rPr>
              <w:rFonts w:eastAsiaTheme="minorEastAsia"/>
            </w:rPr>
            <w:tab/>
          </w:r>
          <w:r>
            <w:rPr>
              <w:rFonts w:eastAsiaTheme="minorEastAsia"/>
            </w:rPr>
            <w:fldChar w:fldCharType="begin"/>
          </w:r>
          <w:r>
            <w:rPr>
              <w:rFonts w:eastAsiaTheme="minorEastAsia"/>
            </w:rPr>
            <w:instrText xml:space="preserve"> PAGEREF _Toc182487950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14:paraId="587FC1DC">
          <w:pPr>
            <w:pStyle w:val="28"/>
            <w:rPr>
              <w:rFonts w:eastAsiaTheme="minorEastAsia"/>
            </w:rPr>
          </w:pPr>
          <w:r>
            <w:fldChar w:fldCharType="begin"/>
          </w:r>
          <w:r>
            <w:instrText xml:space="preserve"> HYPERLINK \l "_Toc182487951" </w:instrText>
          </w:r>
          <w:r>
            <w:fldChar w:fldCharType="separate"/>
          </w:r>
          <w:r>
            <w:rPr>
              <w:rFonts w:eastAsiaTheme="minorEastAsia"/>
            </w:rPr>
            <w:t>10.1 一般规定</w:t>
          </w:r>
          <w:r>
            <w:rPr>
              <w:rFonts w:eastAsiaTheme="minorEastAsia"/>
            </w:rPr>
            <w:tab/>
          </w:r>
          <w:r>
            <w:rPr>
              <w:rFonts w:eastAsiaTheme="minorEastAsia"/>
            </w:rPr>
            <w:fldChar w:fldCharType="begin"/>
          </w:r>
          <w:r>
            <w:rPr>
              <w:rFonts w:eastAsiaTheme="minorEastAsia"/>
            </w:rPr>
            <w:instrText xml:space="preserve"> PAGEREF _Toc182487951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14:paraId="383CF14F">
          <w:pPr>
            <w:pStyle w:val="28"/>
            <w:rPr>
              <w:rFonts w:eastAsiaTheme="minorEastAsia"/>
            </w:rPr>
          </w:pPr>
          <w:r>
            <w:fldChar w:fldCharType="begin"/>
          </w:r>
          <w:r>
            <w:instrText xml:space="preserve"> HYPERLINK \l "_Toc182487952" </w:instrText>
          </w:r>
          <w:r>
            <w:fldChar w:fldCharType="separate"/>
          </w:r>
          <w:r>
            <w:rPr>
              <w:rFonts w:eastAsiaTheme="minorEastAsia"/>
            </w:rPr>
            <w:t>10.2 施工准备</w:t>
          </w:r>
          <w:r>
            <w:rPr>
              <w:rFonts w:eastAsiaTheme="minorEastAsia"/>
            </w:rPr>
            <w:tab/>
          </w:r>
          <w:r>
            <w:rPr>
              <w:rFonts w:eastAsiaTheme="minorEastAsia"/>
            </w:rPr>
            <w:fldChar w:fldCharType="begin"/>
          </w:r>
          <w:r>
            <w:rPr>
              <w:rFonts w:eastAsiaTheme="minorEastAsia"/>
            </w:rPr>
            <w:instrText xml:space="preserve"> PAGEREF _Toc182487952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14:paraId="15023C1E">
          <w:pPr>
            <w:pStyle w:val="28"/>
            <w:rPr>
              <w:rFonts w:eastAsiaTheme="minorEastAsia"/>
            </w:rPr>
          </w:pPr>
          <w:r>
            <w:fldChar w:fldCharType="begin"/>
          </w:r>
          <w:r>
            <w:instrText xml:space="preserve"> HYPERLINK \l "_Toc182487953" </w:instrText>
          </w:r>
          <w:r>
            <w:fldChar w:fldCharType="separate"/>
          </w:r>
          <w:r>
            <w:rPr>
              <w:rFonts w:eastAsiaTheme="minorEastAsia"/>
            </w:rPr>
            <w:t>10.3 施工工艺</w:t>
          </w:r>
          <w:r>
            <w:rPr>
              <w:rFonts w:eastAsiaTheme="minorEastAsia"/>
            </w:rPr>
            <w:tab/>
          </w:r>
          <w:r>
            <w:rPr>
              <w:rFonts w:eastAsiaTheme="minorEastAsia"/>
            </w:rPr>
            <w:fldChar w:fldCharType="begin"/>
          </w:r>
          <w:r>
            <w:rPr>
              <w:rFonts w:eastAsiaTheme="minorEastAsia"/>
            </w:rPr>
            <w:instrText xml:space="preserve"> PAGEREF _Toc182487953 \h </w:instrText>
          </w:r>
          <w:r>
            <w:rPr>
              <w:rFonts w:eastAsiaTheme="minorEastAsia"/>
            </w:rPr>
            <w:fldChar w:fldCharType="separate"/>
          </w:r>
          <w:r>
            <w:rPr>
              <w:rFonts w:eastAsiaTheme="minorEastAsia"/>
            </w:rPr>
            <w:t>37</w:t>
          </w:r>
          <w:r>
            <w:rPr>
              <w:rFonts w:eastAsiaTheme="minorEastAsia"/>
            </w:rPr>
            <w:fldChar w:fldCharType="end"/>
          </w:r>
          <w:r>
            <w:rPr>
              <w:rFonts w:eastAsiaTheme="minorEastAsia"/>
            </w:rPr>
            <w:fldChar w:fldCharType="end"/>
          </w:r>
        </w:p>
        <w:p w14:paraId="11C90B44">
          <w:pPr>
            <w:pStyle w:val="28"/>
            <w:rPr>
              <w:rFonts w:eastAsiaTheme="minorEastAsia"/>
            </w:rPr>
          </w:pPr>
          <w:r>
            <w:fldChar w:fldCharType="begin"/>
          </w:r>
          <w:r>
            <w:instrText xml:space="preserve"> HYPERLINK \l "_Toc182487954" </w:instrText>
          </w:r>
          <w:r>
            <w:fldChar w:fldCharType="separate"/>
          </w:r>
          <w:r>
            <w:rPr>
              <w:rFonts w:eastAsiaTheme="minorEastAsia"/>
            </w:rPr>
            <w:t>10.4 质量记录</w:t>
          </w:r>
          <w:r>
            <w:rPr>
              <w:rFonts w:eastAsiaTheme="minorEastAsia"/>
            </w:rPr>
            <w:tab/>
          </w:r>
          <w:r>
            <w:rPr>
              <w:rFonts w:eastAsiaTheme="minorEastAsia"/>
            </w:rPr>
            <w:fldChar w:fldCharType="begin"/>
          </w:r>
          <w:r>
            <w:rPr>
              <w:rFonts w:eastAsiaTheme="minorEastAsia"/>
            </w:rPr>
            <w:instrText xml:space="preserve"> PAGEREF _Toc182487954 \h </w:instrText>
          </w:r>
          <w:r>
            <w:rPr>
              <w:rFonts w:eastAsiaTheme="minorEastAsia"/>
            </w:rPr>
            <w:fldChar w:fldCharType="separate"/>
          </w:r>
          <w:r>
            <w:rPr>
              <w:rFonts w:eastAsiaTheme="minorEastAsia"/>
            </w:rPr>
            <w:t>37</w:t>
          </w:r>
          <w:r>
            <w:rPr>
              <w:rFonts w:eastAsiaTheme="minorEastAsia"/>
            </w:rPr>
            <w:fldChar w:fldCharType="end"/>
          </w:r>
          <w:r>
            <w:rPr>
              <w:rFonts w:eastAsiaTheme="minorEastAsia"/>
            </w:rPr>
            <w:fldChar w:fldCharType="end"/>
          </w:r>
        </w:p>
        <w:p w14:paraId="68C1E44D">
          <w:pPr>
            <w:pStyle w:val="28"/>
            <w:rPr>
              <w:rFonts w:eastAsiaTheme="minorEastAsia"/>
            </w:rPr>
          </w:pPr>
          <w:r>
            <w:fldChar w:fldCharType="begin"/>
          </w:r>
          <w:r>
            <w:instrText xml:space="preserve"> HYPERLINK \l "_Toc182487955" </w:instrText>
          </w:r>
          <w:r>
            <w:fldChar w:fldCharType="separate"/>
          </w:r>
          <w:r>
            <w:rPr>
              <w:rFonts w:eastAsiaTheme="minorEastAsia"/>
            </w:rPr>
            <w:t>11 有线电视及卫星电视接收系统</w:t>
          </w:r>
          <w:r>
            <w:rPr>
              <w:rFonts w:eastAsiaTheme="minorEastAsia"/>
            </w:rPr>
            <w:tab/>
          </w:r>
          <w:r>
            <w:rPr>
              <w:rFonts w:eastAsiaTheme="minorEastAsia"/>
            </w:rPr>
            <w:fldChar w:fldCharType="begin"/>
          </w:r>
          <w:r>
            <w:rPr>
              <w:rFonts w:eastAsiaTheme="minorEastAsia"/>
            </w:rPr>
            <w:instrText xml:space="preserve"> PAGEREF _Toc182487955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14:paraId="71604B71">
          <w:pPr>
            <w:pStyle w:val="28"/>
            <w:rPr>
              <w:rFonts w:eastAsiaTheme="minorEastAsia"/>
            </w:rPr>
          </w:pPr>
          <w:r>
            <w:fldChar w:fldCharType="begin"/>
          </w:r>
          <w:r>
            <w:instrText xml:space="preserve"> HYPERLINK \l "_Toc182487956" </w:instrText>
          </w:r>
          <w:r>
            <w:fldChar w:fldCharType="separate"/>
          </w:r>
          <w:r>
            <w:rPr>
              <w:rFonts w:eastAsiaTheme="minorEastAsia"/>
            </w:rPr>
            <w:t>11.1 一般规定</w:t>
          </w:r>
          <w:r>
            <w:rPr>
              <w:rFonts w:eastAsiaTheme="minorEastAsia"/>
            </w:rPr>
            <w:tab/>
          </w:r>
          <w:r>
            <w:rPr>
              <w:rFonts w:eastAsiaTheme="minorEastAsia"/>
            </w:rPr>
            <w:fldChar w:fldCharType="begin"/>
          </w:r>
          <w:r>
            <w:rPr>
              <w:rFonts w:eastAsiaTheme="minorEastAsia"/>
            </w:rPr>
            <w:instrText xml:space="preserve"> PAGEREF _Toc182487956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14:paraId="163B165B">
          <w:pPr>
            <w:pStyle w:val="28"/>
            <w:rPr>
              <w:rFonts w:eastAsiaTheme="minorEastAsia"/>
            </w:rPr>
          </w:pPr>
          <w:r>
            <w:fldChar w:fldCharType="begin"/>
          </w:r>
          <w:r>
            <w:instrText xml:space="preserve"> HYPERLINK \l "_Toc182487957" </w:instrText>
          </w:r>
          <w:r>
            <w:fldChar w:fldCharType="separate"/>
          </w:r>
          <w:r>
            <w:rPr>
              <w:rFonts w:eastAsiaTheme="minorEastAsia"/>
            </w:rPr>
            <w:t>11.2施工准备</w:t>
          </w:r>
          <w:r>
            <w:rPr>
              <w:rFonts w:eastAsiaTheme="minorEastAsia"/>
            </w:rPr>
            <w:tab/>
          </w:r>
          <w:r>
            <w:rPr>
              <w:rFonts w:eastAsiaTheme="minorEastAsia"/>
            </w:rPr>
            <w:fldChar w:fldCharType="begin"/>
          </w:r>
          <w:r>
            <w:rPr>
              <w:rFonts w:eastAsiaTheme="minorEastAsia"/>
            </w:rPr>
            <w:instrText xml:space="preserve"> PAGEREF _Toc182487957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14:paraId="73D54E8A">
          <w:pPr>
            <w:pStyle w:val="28"/>
            <w:rPr>
              <w:rFonts w:eastAsiaTheme="minorEastAsia"/>
            </w:rPr>
          </w:pPr>
          <w:r>
            <w:fldChar w:fldCharType="begin"/>
          </w:r>
          <w:r>
            <w:instrText xml:space="preserve"> HYPERLINK \l "_Toc182487958" </w:instrText>
          </w:r>
          <w:r>
            <w:fldChar w:fldCharType="separate"/>
          </w:r>
          <w:r>
            <w:rPr>
              <w:rFonts w:eastAsiaTheme="minorEastAsia"/>
            </w:rPr>
            <w:t>11.3 施工工艺</w:t>
          </w:r>
          <w:r>
            <w:rPr>
              <w:rFonts w:eastAsiaTheme="minorEastAsia"/>
            </w:rPr>
            <w:tab/>
          </w:r>
          <w:r>
            <w:rPr>
              <w:rFonts w:eastAsiaTheme="minorEastAsia"/>
            </w:rPr>
            <w:fldChar w:fldCharType="begin"/>
          </w:r>
          <w:r>
            <w:rPr>
              <w:rFonts w:eastAsiaTheme="minorEastAsia"/>
            </w:rPr>
            <w:instrText xml:space="preserve"> PAGEREF _Toc182487958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14:paraId="5932E7C9">
          <w:pPr>
            <w:pStyle w:val="28"/>
            <w:rPr>
              <w:rFonts w:eastAsiaTheme="minorEastAsia"/>
            </w:rPr>
          </w:pPr>
          <w:r>
            <w:fldChar w:fldCharType="begin"/>
          </w:r>
          <w:r>
            <w:instrText xml:space="preserve"> HYPERLINK \l "_Toc182487959" </w:instrText>
          </w:r>
          <w:r>
            <w:fldChar w:fldCharType="separate"/>
          </w:r>
          <w:r>
            <w:rPr>
              <w:rFonts w:eastAsiaTheme="minorEastAsia"/>
            </w:rPr>
            <w:t>11.4 质量记录</w:t>
          </w:r>
          <w:r>
            <w:rPr>
              <w:rFonts w:eastAsiaTheme="minorEastAsia"/>
            </w:rPr>
            <w:tab/>
          </w:r>
          <w:r>
            <w:rPr>
              <w:rFonts w:eastAsiaTheme="minorEastAsia"/>
            </w:rPr>
            <w:fldChar w:fldCharType="begin"/>
          </w:r>
          <w:r>
            <w:rPr>
              <w:rFonts w:eastAsiaTheme="minorEastAsia"/>
            </w:rPr>
            <w:instrText xml:space="preserve"> PAGEREF _Toc182487959 \h </w:instrText>
          </w:r>
          <w:r>
            <w:rPr>
              <w:rFonts w:eastAsiaTheme="minorEastAsia"/>
            </w:rPr>
            <w:fldChar w:fldCharType="separate"/>
          </w:r>
          <w:r>
            <w:rPr>
              <w:rFonts w:eastAsiaTheme="minorEastAsia"/>
            </w:rPr>
            <w:t>45</w:t>
          </w:r>
          <w:r>
            <w:rPr>
              <w:rFonts w:eastAsiaTheme="minorEastAsia"/>
            </w:rPr>
            <w:fldChar w:fldCharType="end"/>
          </w:r>
          <w:r>
            <w:rPr>
              <w:rFonts w:eastAsiaTheme="minorEastAsia"/>
            </w:rPr>
            <w:fldChar w:fldCharType="end"/>
          </w:r>
        </w:p>
        <w:p w14:paraId="10F2FA57">
          <w:pPr>
            <w:pStyle w:val="28"/>
            <w:rPr>
              <w:rFonts w:eastAsiaTheme="minorEastAsia"/>
            </w:rPr>
          </w:pPr>
          <w:r>
            <w:fldChar w:fldCharType="begin"/>
          </w:r>
          <w:r>
            <w:instrText xml:space="preserve"> HYPERLINK \l "_Toc182487960" </w:instrText>
          </w:r>
          <w:r>
            <w:fldChar w:fldCharType="separate"/>
          </w:r>
          <w:r>
            <w:rPr>
              <w:rFonts w:eastAsiaTheme="minorEastAsia"/>
            </w:rPr>
            <w:t>12 广播系统</w:t>
          </w:r>
          <w:r>
            <w:rPr>
              <w:rFonts w:eastAsiaTheme="minorEastAsia"/>
            </w:rPr>
            <w:tab/>
          </w:r>
          <w:r>
            <w:rPr>
              <w:rFonts w:eastAsiaTheme="minorEastAsia"/>
            </w:rPr>
            <w:fldChar w:fldCharType="begin"/>
          </w:r>
          <w:r>
            <w:rPr>
              <w:rFonts w:eastAsiaTheme="minorEastAsia"/>
            </w:rPr>
            <w:instrText xml:space="preserve"> PAGEREF _Toc182487960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547A99CC">
          <w:pPr>
            <w:pStyle w:val="28"/>
            <w:rPr>
              <w:rFonts w:eastAsiaTheme="minorEastAsia"/>
            </w:rPr>
          </w:pPr>
          <w:r>
            <w:fldChar w:fldCharType="begin"/>
          </w:r>
          <w:r>
            <w:instrText xml:space="preserve"> HYPERLINK \l "_Toc182487961" </w:instrText>
          </w:r>
          <w:r>
            <w:fldChar w:fldCharType="separate"/>
          </w:r>
          <w:r>
            <w:rPr>
              <w:rFonts w:eastAsiaTheme="minorEastAsia"/>
            </w:rPr>
            <w:t>12.1 一般规定</w:t>
          </w:r>
          <w:r>
            <w:rPr>
              <w:rFonts w:eastAsiaTheme="minorEastAsia"/>
            </w:rPr>
            <w:tab/>
          </w:r>
          <w:r>
            <w:rPr>
              <w:rFonts w:eastAsiaTheme="minorEastAsia"/>
            </w:rPr>
            <w:fldChar w:fldCharType="begin"/>
          </w:r>
          <w:r>
            <w:rPr>
              <w:rFonts w:eastAsiaTheme="minorEastAsia"/>
            </w:rPr>
            <w:instrText xml:space="preserve"> PAGEREF _Toc182487961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7E6AF7CE">
          <w:pPr>
            <w:pStyle w:val="28"/>
            <w:rPr>
              <w:rFonts w:eastAsiaTheme="minorEastAsia"/>
            </w:rPr>
          </w:pPr>
          <w:r>
            <w:fldChar w:fldCharType="begin"/>
          </w:r>
          <w:r>
            <w:instrText xml:space="preserve"> HYPERLINK \l "_Toc182487962" </w:instrText>
          </w:r>
          <w:r>
            <w:fldChar w:fldCharType="separate"/>
          </w:r>
          <w:r>
            <w:rPr>
              <w:rFonts w:eastAsiaTheme="minorEastAsia"/>
            </w:rPr>
            <w:t>12.2 施工准备</w:t>
          </w:r>
          <w:r>
            <w:rPr>
              <w:rFonts w:eastAsiaTheme="minorEastAsia"/>
            </w:rPr>
            <w:tab/>
          </w:r>
          <w:r>
            <w:rPr>
              <w:rFonts w:eastAsiaTheme="minorEastAsia"/>
            </w:rPr>
            <w:fldChar w:fldCharType="begin"/>
          </w:r>
          <w:r>
            <w:rPr>
              <w:rFonts w:eastAsiaTheme="minorEastAsia"/>
            </w:rPr>
            <w:instrText xml:space="preserve"> PAGEREF _Toc182487962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68B18BBA">
          <w:pPr>
            <w:pStyle w:val="28"/>
            <w:rPr>
              <w:rFonts w:eastAsiaTheme="minorEastAsia"/>
            </w:rPr>
          </w:pPr>
          <w:r>
            <w:fldChar w:fldCharType="begin"/>
          </w:r>
          <w:r>
            <w:instrText xml:space="preserve"> HYPERLINK \l "_Toc182487963" </w:instrText>
          </w:r>
          <w:r>
            <w:fldChar w:fldCharType="separate"/>
          </w:r>
          <w:r>
            <w:rPr>
              <w:rFonts w:eastAsiaTheme="minorEastAsia"/>
            </w:rPr>
            <w:t>12.3 施工工艺</w:t>
          </w:r>
          <w:r>
            <w:rPr>
              <w:rFonts w:eastAsiaTheme="minorEastAsia"/>
            </w:rPr>
            <w:tab/>
          </w:r>
          <w:r>
            <w:rPr>
              <w:rFonts w:eastAsiaTheme="minorEastAsia"/>
            </w:rPr>
            <w:fldChar w:fldCharType="begin"/>
          </w:r>
          <w:r>
            <w:rPr>
              <w:rFonts w:eastAsiaTheme="minorEastAsia"/>
            </w:rPr>
            <w:instrText xml:space="preserve"> PAGEREF _Toc182487963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7E4A3C01">
          <w:pPr>
            <w:pStyle w:val="28"/>
            <w:rPr>
              <w:rFonts w:eastAsiaTheme="minorEastAsia"/>
            </w:rPr>
          </w:pPr>
          <w:r>
            <w:fldChar w:fldCharType="begin"/>
          </w:r>
          <w:r>
            <w:instrText xml:space="preserve"> HYPERLINK \l "_Toc182487964" </w:instrText>
          </w:r>
          <w:r>
            <w:fldChar w:fldCharType="separate"/>
          </w:r>
          <w:r>
            <w:rPr>
              <w:rFonts w:eastAsiaTheme="minorEastAsia"/>
            </w:rPr>
            <w:t>12.4 质量记录</w:t>
          </w:r>
          <w:r>
            <w:rPr>
              <w:rFonts w:eastAsiaTheme="minorEastAsia"/>
            </w:rPr>
            <w:tab/>
          </w:r>
          <w:r>
            <w:rPr>
              <w:rFonts w:eastAsiaTheme="minorEastAsia"/>
            </w:rPr>
            <w:fldChar w:fldCharType="begin"/>
          </w:r>
          <w:r>
            <w:rPr>
              <w:rFonts w:eastAsiaTheme="minorEastAsia"/>
            </w:rPr>
            <w:instrText xml:space="preserve"> PAGEREF _Toc182487964 \h </w:instrText>
          </w:r>
          <w:r>
            <w:rPr>
              <w:rFonts w:eastAsiaTheme="minorEastAsia"/>
            </w:rPr>
            <w:fldChar w:fldCharType="separate"/>
          </w:r>
          <w:r>
            <w:rPr>
              <w:rFonts w:eastAsiaTheme="minorEastAsia"/>
            </w:rPr>
            <w:t>48</w:t>
          </w:r>
          <w:r>
            <w:rPr>
              <w:rFonts w:eastAsiaTheme="minorEastAsia"/>
            </w:rPr>
            <w:fldChar w:fldCharType="end"/>
          </w:r>
          <w:r>
            <w:rPr>
              <w:rFonts w:eastAsiaTheme="minorEastAsia"/>
            </w:rPr>
            <w:fldChar w:fldCharType="end"/>
          </w:r>
        </w:p>
        <w:p w14:paraId="00ECDF9D">
          <w:pPr>
            <w:pStyle w:val="28"/>
            <w:rPr>
              <w:rFonts w:eastAsiaTheme="minorEastAsia"/>
            </w:rPr>
          </w:pPr>
          <w:r>
            <w:fldChar w:fldCharType="begin"/>
          </w:r>
          <w:r>
            <w:instrText xml:space="preserve"> HYPERLINK \l "_Toc182487965" </w:instrText>
          </w:r>
          <w:r>
            <w:fldChar w:fldCharType="separate"/>
          </w:r>
          <w:r>
            <w:rPr>
              <w:rFonts w:eastAsiaTheme="minorEastAsia"/>
            </w:rPr>
            <w:t>13 会议系统</w:t>
          </w:r>
          <w:r>
            <w:rPr>
              <w:rFonts w:eastAsiaTheme="minorEastAsia"/>
            </w:rPr>
            <w:tab/>
          </w:r>
          <w:r>
            <w:rPr>
              <w:rFonts w:eastAsiaTheme="minorEastAsia"/>
            </w:rPr>
            <w:fldChar w:fldCharType="begin"/>
          </w:r>
          <w:r>
            <w:rPr>
              <w:rFonts w:eastAsiaTheme="minorEastAsia"/>
            </w:rPr>
            <w:instrText xml:space="preserve"> PAGEREF _Toc182487965 \h </w:instrText>
          </w:r>
          <w:r>
            <w:rPr>
              <w:rFonts w:eastAsiaTheme="minorEastAsia"/>
            </w:rPr>
            <w:fldChar w:fldCharType="separate"/>
          </w:r>
          <w:r>
            <w:rPr>
              <w:rFonts w:eastAsiaTheme="minorEastAsia"/>
            </w:rPr>
            <w:t>49</w:t>
          </w:r>
          <w:r>
            <w:rPr>
              <w:rFonts w:eastAsiaTheme="minorEastAsia"/>
            </w:rPr>
            <w:fldChar w:fldCharType="end"/>
          </w:r>
          <w:r>
            <w:rPr>
              <w:rFonts w:eastAsiaTheme="minorEastAsia"/>
            </w:rPr>
            <w:fldChar w:fldCharType="end"/>
          </w:r>
        </w:p>
        <w:p w14:paraId="1A4B3738">
          <w:pPr>
            <w:pStyle w:val="28"/>
            <w:rPr>
              <w:rFonts w:eastAsiaTheme="minorEastAsia"/>
            </w:rPr>
          </w:pPr>
          <w:r>
            <w:fldChar w:fldCharType="begin"/>
          </w:r>
          <w:r>
            <w:instrText xml:space="preserve"> HYPERLINK \l "_Toc182487966" </w:instrText>
          </w:r>
          <w:r>
            <w:fldChar w:fldCharType="separate"/>
          </w:r>
          <w:r>
            <w:rPr>
              <w:rFonts w:eastAsiaTheme="minorEastAsia"/>
            </w:rPr>
            <w:t>13.1 一般规定</w:t>
          </w:r>
          <w:r>
            <w:rPr>
              <w:rFonts w:eastAsiaTheme="minorEastAsia"/>
            </w:rPr>
            <w:tab/>
          </w:r>
          <w:r>
            <w:rPr>
              <w:rFonts w:eastAsiaTheme="minorEastAsia"/>
            </w:rPr>
            <w:fldChar w:fldCharType="begin"/>
          </w:r>
          <w:r>
            <w:rPr>
              <w:rFonts w:eastAsiaTheme="minorEastAsia"/>
            </w:rPr>
            <w:instrText xml:space="preserve"> PAGEREF _Toc182487966 \h </w:instrText>
          </w:r>
          <w:r>
            <w:rPr>
              <w:rFonts w:eastAsiaTheme="minorEastAsia"/>
            </w:rPr>
            <w:fldChar w:fldCharType="separate"/>
          </w:r>
          <w:r>
            <w:rPr>
              <w:rFonts w:eastAsiaTheme="minorEastAsia"/>
            </w:rPr>
            <w:t>49</w:t>
          </w:r>
          <w:r>
            <w:rPr>
              <w:rFonts w:eastAsiaTheme="minorEastAsia"/>
            </w:rPr>
            <w:fldChar w:fldCharType="end"/>
          </w:r>
          <w:r>
            <w:rPr>
              <w:rFonts w:eastAsiaTheme="minorEastAsia"/>
            </w:rPr>
            <w:fldChar w:fldCharType="end"/>
          </w:r>
        </w:p>
        <w:p w14:paraId="52922720">
          <w:pPr>
            <w:pStyle w:val="28"/>
            <w:rPr>
              <w:rFonts w:eastAsiaTheme="minorEastAsia"/>
            </w:rPr>
          </w:pPr>
          <w:r>
            <w:fldChar w:fldCharType="begin"/>
          </w:r>
          <w:r>
            <w:instrText xml:space="preserve"> HYPERLINK \l "_Toc182487967" </w:instrText>
          </w:r>
          <w:r>
            <w:fldChar w:fldCharType="separate"/>
          </w:r>
          <w:r>
            <w:rPr>
              <w:rFonts w:eastAsiaTheme="minorEastAsia"/>
            </w:rPr>
            <w:t>13.2施工准备</w:t>
          </w:r>
          <w:r>
            <w:rPr>
              <w:rFonts w:eastAsiaTheme="minorEastAsia"/>
            </w:rPr>
            <w:tab/>
          </w:r>
          <w:r>
            <w:rPr>
              <w:rFonts w:eastAsiaTheme="minorEastAsia"/>
            </w:rPr>
            <w:fldChar w:fldCharType="begin"/>
          </w:r>
          <w:r>
            <w:rPr>
              <w:rFonts w:eastAsiaTheme="minorEastAsia"/>
            </w:rPr>
            <w:instrText xml:space="preserve"> PAGEREF _Toc182487967 \h </w:instrText>
          </w:r>
          <w:r>
            <w:rPr>
              <w:rFonts w:eastAsiaTheme="minorEastAsia"/>
            </w:rPr>
            <w:fldChar w:fldCharType="separate"/>
          </w:r>
          <w:r>
            <w:rPr>
              <w:rFonts w:eastAsiaTheme="minorEastAsia"/>
            </w:rPr>
            <w:t>49</w:t>
          </w:r>
          <w:r>
            <w:rPr>
              <w:rFonts w:eastAsiaTheme="minorEastAsia"/>
            </w:rPr>
            <w:fldChar w:fldCharType="end"/>
          </w:r>
          <w:r>
            <w:rPr>
              <w:rFonts w:eastAsiaTheme="minorEastAsia"/>
            </w:rPr>
            <w:fldChar w:fldCharType="end"/>
          </w:r>
        </w:p>
        <w:p w14:paraId="4BF3DC6A">
          <w:pPr>
            <w:pStyle w:val="28"/>
            <w:rPr>
              <w:rFonts w:eastAsiaTheme="minorEastAsia"/>
            </w:rPr>
          </w:pPr>
          <w:r>
            <w:fldChar w:fldCharType="begin"/>
          </w:r>
          <w:r>
            <w:instrText xml:space="preserve"> HYPERLINK \l "_Toc182487968" </w:instrText>
          </w:r>
          <w:r>
            <w:fldChar w:fldCharType="separate"/>
          </w:r>
          <w:r>
            <w:rPr>
              <w:rFonts w:eastAsiaTheme="minorEastAsia"/>
            </w:rPr>
            <w:t>13.3 施工工艺</w:t>
          </w:r>
          <w:r>
            <w:rPr>
              <w:rFonts w:eastAsiaTheme="minorEastAsia"/>
            </w:rPr>
            <w:tab/>
          </w:r>
          <w:r>
            <w:rPr>
              <w:rFonts w:eastAsiaTheme="minorEastAsia"/>
            </w:rPr>
            <w:fldChar w:fldCharType="begin"/>
          </w:r>
          <w:r>
            <w:rPr>
              <w:rFonts w:eastAsiaTheme="minorEastAsia"/>
            </w:rPr>
            <w:instrText xml:space="preserve"> PAGEREF _Toc182487968 \h </w:instrText>
          </w:r>
          <w:r>
            <w:rPr>
              <w:rFonts w:eastAsiaTheme="minorEastAsia"/>
            </w:rPr>
            <w:fldChar w:fldCharType="separate"/>
          </w:r>
          <w:r>
            <w:rPr>
              <w:rFonts w:eastAsiaTheme="minorEastAsia"/>
            </w:rPr>
            <w:t>49</w:t>
          </w:r>
          <w:r>
            <w:rPr>
              <w:rFonts w:eastAsiaTheme="minorEastAsia"/>
            </w:rPr>
            <w:fldChar w:fldCharType="end"/>
          </w:r>
          <w:r>
            <w:rPr>
              <w:rFonts w:eastAsiaTheme="minorEastAsia"/>
            </w:rPr>
            <w:fldChar w:fldCharType="end"/>
          </w:r>
        </w:p>
        <w:p w14:paraId="655BB24F">
          <w:pPr>
            <w:pStyle w:val="28"/>
            <w:rPr>
              <w:rFonts w:eastAsiaTheme="minorEastAsia"/>
            </w:rPr>
          </w:pPr>
          <w:r>
            <w:fldChar w:fldCharType="begin"/>
          </w:r>
          <w:r>
            <w:instrText xml:space="preserve"> HYPERLINK \l "_Toc182487969" </w:instrText>
          </w:r>
          <w:r>
            <w:fldChar w:fldCharType="separate"/>
          </w:r>
          <w:r>
            <w:rPr>
              <w:rFonts w:eastAsiaTheme="minorEastAsia"/>
            </w:rPr>
            <w:t>13.4 质量记录</w:t>
          </w:r>
          <w:r>
            <w:rPr>
              <w:rFonts w:eastAsiaTheme="minorEastAsia"/>
            </w:rPr>
            <w:tab/>
          </w:r>
          <w:r>
            <w:rPr>
              <w:rFonts w:eastAsiaTheme="minorEastAsia"/>
            </w:rPr>
            <w:fldChar w:fldCharType="begin"/>
          </w:r>
          <w:r>
            <w:rPr>
              <w:rFonts w:eastAsiaTheme="minorEastAsia"/>
            </w:rPr>
            <w:instrText xml:space="preserve"> PAGEREF _Toc182487969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14:paraId="09D47ECF">
          <w:pPr>
            <w:pStyle w:val="28"/>
            <w:rPr>
              <w:rFonts w:eastAsiaTheme="minorEastAsia"/>
            </w:rPr>
          </w:pPr>
          <w:r>
            <w:fldChar w:fldCharType="begin"/>
          </w:r>
          <w:r>
            <w:instrText xml:space="preserve"> HYPERLINK \l "_Toc182487970" </w:instrText>
          </w:r>
          <w:r>
            <w:fldChar w:fldCharType="separate"/>
          </w:r>
          <w:r>
            <w:rPr>
              <w:rFonts w:eastAsiaTheme="minorEastAsia"/>
            </w:rPr>
            <w:t>14 信息导引及发布系统</w:t>
          </w:r>
          <w:r>
            <w:rPr>
              <w:rFonts w:eastAsiaTheme="minorEastAsia"/>
            </w:rPr>
            <w:tab/>
          </w:r>
          <w:r>
            <w:rPr>
              <w:rFonts w:eastAsiaTheme="minorEastAsia"/>
            </w:rPr>
            <w:fldChar w:fldCharType="begin"/>
          </w:r>
          <w:r>
            <w:rPr>
              <w:rFonts w:eastAsiaTheme="minorEastAsia"/>
            </w:rPr>
            <w:instrText xml:space="preserve"> PAGEREF _Toc182487970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38117336">
          <w:pPr>
            <w:pStyle w:val="28"/>
            <w:rPr>
              <w:rFonts w:eastAsiaTheme="minorEastAsia"/>
            </w:rPr>
          </w:pPr>
          <w:r>
            <w:fldChar w:fldCharType="begin"/>
          </w:r>
          <w:r>
            <w:instrText xml:space="preserve"> HYPERLINK \l "_Toc182487971" </w:instrText>
          </w:r>
          <w:r>
            <w:fldChar w:fldCharType="separate"/>
          </w:r>
          <w:r>
            <w:rPr>
              <w:rFonts w:eastAsiaTheme="minorEastAsia"/>
            </w:rPr>
            <w:t>14.1 一般规定</w:t>
          </w:r>
          <w:r>
            <w:rPr>
              <w:rFonts w:eastAsiaTheme="minorEastAsia"/>
            </w:rPr>
            <w:tab/>
          </w:r>
          <w:r>
            <w:rPr>
              <w:rFonts w:eastAsiaTheme="minorEastAsia"/>
            </w:rPr>
            <w:fldChar w:fldCharType="begin"/>
          </w:r>
          <w:r>
            <w:rPr>
              <w:rFonts w:eastAsiaTheme="minorEastAsia"/>
            </w:rPr>
            <w:instrText xml:space="preserve"> PAGEREF _Toc182487971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107DB84F">
          <w:pPr>
            <w:pStyle w:val="28"/>
            <w:rPr>
              <w:rFonts w:eastAsiaTheme="minorEastAsia"/>
            </w:rPr>
          </w:pPr>
          <w:r>
            <w:fldChar w:fldCharType="begin"/>
          </w:r>
          <w:r>
            <w:instrText xml:space="preserve"> HYPERLINK \l "_Toc182487972" </w:instrText>
          </w:r>
          <w:r>
            <w:fldChar w:fldCharType="separate"/>
          </w:r>
          <w:r>
            <w:rPr>
              <w:rFonts w:eastAsiaTheme="minorEastAsia"/>
            </w:rPr>
            <w:t>14.2 施工准备</w:t>
          </w:r>
          <w:r>
            <w:rPr>
              <w:rFonts w:eastAsiaTheme="minorEastAsia"/>
            </w:rPr>
            <w:tab/>
          </w:r>
          <w:r>
            <w:rPr>
              <w:rFonts w:eastAsiaTheme="minorEastAsia"/>
            </w:rPr>
            <w:fldChar w:fldCharType="begin"/>
          </w:r>
          <w:r>
            <w:rPr>
              <w:rFonts w:eastAsiaTheme="minorEastAsia"/>
            </w:rPr>
            <w:instrText xml:space="preserve"> PAGEREF _Toc182487972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4214726F">
          <w:pPr>
            <w:pStyle w:val="28"/>
            <w:rPr>
              <w:rFonts w:eastAsiaTheme="minorEastAsia"/>
            </w:rPr>
          </w:pPr>
          <w:r>
            <w:fldChar w:fldCharType="begin"/>
          </w:r>
          <w:r>
            <w:instrText xml:space="preserve"> HYPERLINK \l "_Toc182487973" </w:instrText>
          </w:r>
          <w:r>
            <w:fldChar w:fldCharType="separate"/>
          </w:r>
          <w:r>
            <w:rPr>
              <w:rFonts w:eastAsiaTheme="minorEastAsia"/>
            </w:rPr>
            <w:t>14.3 施工工艺</w:t>
          </w:r>
          <w:r>
            <w:rPr>
              <w:rFonts w:eastAsiaTheme="minorEastAsia"/>
            </w:rPr>
            <w:tab/>
          </w:r>
          <w:r>
            <w:rPr>
              <w:rFonts w:eastAsiaTheme="minorEastAsia"/>
            </w:rPr>
            <w:fldChar w:fldCharType="begin"/>
          </w:r>
          <w:r>
            <w:rPr>
              <w:rFonts w:eastAsiaTheme="minorEastAsia"/>
            </w:rPr>
            <w:instrText xml:space="preserve"> PAGEREF _Toc182487973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2576EDF5">
          <w:pPr>
            <w:pStyle w:val="28"/>
            <w:rPr>
              <w:rFonts w:eastAsiaTheme="minorEastAsia"/>
            </w:rPr>
          </w:pPr>
          <w:r>
            <w:fldChar w:fldCharType="begin"/>
          </w:r>
          <w:r>
            <w:instrText xml:space="preserve"> HYPERLINK \l "_Toc182487974" </w:instrText>
          </w:r>
          <w:r>
            <w:fldChar w:fldCharType="separate"/>
          </w:r>
          <w:r>
            <w:rPr>
              <w:rFonts w:eastAsiaTheme="minorEastAsia"/>
            </w:rPr>
            <w:t>14.4 质量记录</w:t>
          </w:r>
          <w:r>
            <w:rPr>
              <w:rFonts w:eastAsiaTheme="minorEastAsia"/>
            </w:rPr>
            <w:tab/>
          </w:r>
          <w:r>
            <w:rPr>
              <w:rFonts w:eastAsiaTheme="minorEastAsia"/>
            </w:rPr>
            <w:fldChar w:fldCharType="begin"/>
          </w:r>
          <w:r>
            <w:rPr>
              <w:rFonts w:eastAsiaTheme="minorEastAsia"/>
            </w:rPr>
            <w:instrText xml:space="preserve"> PAGEREF _Toc182487974 \h </w:instrText>
          </w:r>
          <w:r>
            <w:rPr>
              <w:rFonts w:eastAsiaTheme="minorEastAsia"/>
            </w:rPr>
            <w:fldChar w:fldCharType="separate"/>
          </w:r>
          <w:r>
            <w:rPr>
              <w:rFonts w:eastAsiaTheme="minorEastAsia"/>
            </w:rPr>
            <w:t>56</w:t>
          </w:r>
          <w:r>
            <w:rPr>
              <w:rFonts w:eastAsiaTheme="minorEastAsia"/>
            </w:rPr>
            <w:fldChar w:fldCharType="end"/>
          </w:r>
          <w:r>
            <w:rPr>
              <w:rFonts w:eastAsiaTheme="minorEastAsia"/>
            </w:rPr>
            <w:fldChar w:fldCharType="end"/>
          </w:r>
        </w:p>
        <w:p w14:paraId="5E939D7A">
          <w:pPr>
            <w:pStyle w:val="28"/>
            <w:rPr>
              <w:rFonts w:eastAsiaTheme="minorEastAsia"/>
            </w:rPr>
          </w:pPr>
          <w:r>
            <w:fldChar w:fldCharType="begin"/>
          </w:r>
          <w:r>
            <w:instrText xml:space="preserve"> HYPERLINK \l "_Toc182487975" </w:instrText>
          </w:r>
          <w:r>
            <w:fldChar w:fldCharType="separate"/>
          </w:r>
          <w:r>
            <w:rPr>
              <w:rFonts w:eastAsiaTheme="minorEastAsia"/>
            </w:rPr>
            <w:t>15时钟系统</w:t>
          </w:r>
          <w:r>
            <w:rPr>
              <w:rFonts w:eastAsiaTheme="minorEastAsia"/>
            </w:rPr>
            <w:tab/>
          </w:r>
          <w:r>
            <w:rPr>
              <w:rFonts w:eastAsiaTheme="minorEastAsia"/>
            </w:rPr>
            <w:fldChar w:fldCharType="begin"/>
          </w:r>
          <w:r>
            <w:rPr>
              <w:rFonts w:eastAsiaTheme="minorEastAsia"/>
            </w:rPr>
            <w:instrText xml:space="preserve"> PAGEREF _Toc182487975 \h </w:instrText>
          </w:r>
          <w:r>
            <w:rPr>
              <w:rFonts w:eastAsiaTheme="minorEastAsia"/>
            </w:rPr>
            <w:fldChar w:fldCharType="separate"/>
          </w:r>
          <w:r>
            <w:rPr>
              <w:rFonts w:eastAsiaTheme="minorEastAsia"/>
            </w:rPr>
            <w:t>57</w:t>
          </w:r>
          <w:r>
            <w:rPr>
              <w:rFonts w:eastAsiaTheme="minorEastAsia"/>
            </w:rPr>
            <w:fldChar w:fldCharType="end"/>
          </w:r>
          <w:r>
            <w:rPr>
              <w:rFonts w:eastAsiaTheme="minorEastAsia"/>
            </w:rPr>
            <w:fldChar w:fldCharType="end"/>
          </w:r>
        </w:p>
        <w:p w14:paraId="600D4A7A">
          <w:pPr>
            <w:pStyle w:val="28"/>
            <w:rPr>
              <w:rFonts w:eastAsiaTheme="minorEastAsia"/>
            </w:rPr>
          </w:pPr>
          <w:r>
            <w:fldChar w:fldCharType="begin"/>
          </w:r>
          <w:r>
            <w:instrText xml:space="preserve"> HYPERLINK \l "_Toc182487976" </w:instrText>
          </w:r>
          <w:r>
            <w:fldChar w:fldCharType="separate"/>
          </w:r>
          <w:r>
            <w:rPr>
              <w:rFonts w:eastAsiaTheme="minorEastAsia"/>
            </w:rPr>
            <w:t>15.1 一般规定</w:t>
          </w:r>
          <w:r>
            <w:rPr>
              <w:rFonts w:eastAsiaTheme="minorEastAsia"/>
            </w:rPr>
            <w:tab/>
          </w:r>
          <w:r>
            <w:rPr>
              <w:rFonts w:eastAsiaTheme="minorEastAsia"/>
            </w:rPr>
            <w:fldChar w:fldCharType="begin"/>
          </w:r>
          <w:r>
            <w:rPr>
              <w:rFonts w:eastAsiaTheme="minorEastAsia"/>
            </w:rPr>
            <w:instrText xml:space="preserve"> PAGEREF _Toc182487976 \h </w:instrText>
          </w:r>
          <w:r>
            <w:rPr>
              <w:rFonts w:eastAsiaTheme="minorEastAsia"/>
            </w:rPr>
            <w:fldChar w:fldCharType="separate"/>
          </w:r>
          <w:r>
            <w:rPr>
              <w:rFonts w:eastAsiaTheme="minorEastAsia"/>
            </w:rPr>
            <w:t>57</w:t>
          </w:r>
          <w:r>
            <w:rPr>
              <w:rFonts w:eastAsiaTheme="minorEastAsia"/>
            </w:rPr>
            <w:fldChar w:fldCharType="end"/>
          </w:r>
          <w:r>
            <w:rPr>
              <w:rFonts w:eastAsiaTheme="minorEastAsia"/>
            </w:rPr>
            <w:fldChar w:fldCharType="end"/>
          </w:r>
        </w:p>
        <w:p w14:paraId="78EF1F81">
          <w:pPr>
            <w:pStyle w:val="28"/>
            <w:rPr>
              <w:rFonts w:eastAsiaTheme="minorEastAsia"/>
            </w:rPr>
          </w:pPr>
          <w:r>
            <w:fldChar w:fldCharType="begin"/>
          </w:r>
          <w:r>
            <w:instrText xml:space="preserve"> HYPERLINK \l "_Toc182487977" </w:instrText>
          </w:r>
          <w:r>
            <w:fldChar w:fldCharType="separate"/>
          </w:r>
          <w:r>
            <w:rPr>
              <w:rFonts w:eastAsiaTheme="minorEastAsia"/>
            </w:rPr>
            <w:t>15.2 施工准备</w:t>
          </w:r>
          <w:r>
            <w:rPr>
              <w:rFonts w:eastAsiaTheme="minorEastAsia"/>
            </w:rPr>
            <w:tab/>
          </w:r>
          <w:r>
            <w:rPr>
              <w:rFonts w:eastAsiaTheme="minorEastAsia"/>
            </w:rPr>
            <w:fldChar w:fldCharType="begin"/>
          </w:r>
          <w:r>
            <w:rPr>
              <w:rFonts w:eastAsiaTheme="minorEastAsia"/>
            </w:rPr>
            <w:instrText xml:space="preserve"> PAGEREF _Toc182487977 \h </w:instrText>
          </w:r>
          <w:r>
            <w:rPr>
              <w:rFonts w:eastAsiaTheme="minorEastAsia"/>
            </w:rPr>
            <w:fldChar w:fldCharType="separate"/>
          </w:r>
          <w:r>
            <w:rPr>
              <w:rFonts w:eastAsiaTheme="minorEastAsia"/>
            </w:rPr>
            <w:t>57</w:t>
          </w:r>
          <w:r>
            <w:rPr>
              <w:rFonts w:eastAsiaTheme="minorEastAsia"/>
            </w:rPr>
            <w:fldChar w:fldCharType="end"/>
          </w:r>
          <w:r>
            <w:rPr>
              <w:rFonts w:eastAsiaTheme="minorEastAsia"/>
            </w:rPr>
            <w:fldChar w:fldCharType="end"/>
          </w:r>
        </w:p>
        <w:p w14:paraId="08989B5E">
          <w:pPr>
            <w:pStyle w:val="28"/>
            <w:rPr>
              <w:rFonts w:eastAsiaTheme="minorEastAsia"/>
            </w:rPr>
          </w:pPr>
          <w:r>
            <w:fldChar w:fldCharType="begin"/>
          </w:r>
          <w:r>
            <w:instrText xml:space="preserve"> HYPERLINK \l "_Toc182487978" </w:instrText>
          </w:r>
          <w:r>
            <w:fldChar w:fldCharType="separate"/>
          </w:r>
          <w:r>
            <w:rPr>
              <w:rFonts w:eastAsiaTheme="minorEastAsia"/>
            </w:rPr>
            <w:t>15.3 施工工艺</w:t>
          </w:r>
          <w:r>
            <w:rPr>
              <w:rFonts w:eastAsiaTheme="minorEastAsia"/>
            </w:rPr>
            <w:tab/>
          </w:r>
          <w:r>
            <w:rPr>
              <w:rFonts w:eastAsiaTheme="minorEastAsia"/>
            </w:rPr>
            <w:fldChar w:fldCharType="begin"/>
          </w:r>
          <w:r>
            <w:rPr>
              <w:rFonts w:eastAsiaTheme="minorEastAsia"/>
            </w:rPr>
            <w:instrText xml:space="preserve"> PAGEREF _Toc182487978 \h </w:instrText>
          </w:r>
          <w:r>
            <w:rPr>
              <w:rFonts w:eastAsiaTheme="minorEastAsia"/>
            </w:rPr>
            <w:fldChar w:fldCharType="separate"/>
          </w:r>
          <w:r>
            <w:rPr>
              <w:rFonts w:eastAsiaTheme="minorEastAsia"/>
            </w:rPr>
            <w:t>57</w:t>
          </w:r>
          <w:r>
            <w:rPr>
              <w:rFonts w:eastAsiaTheme="minorEastAsia"/>
            </w:rPr>
            <w:fldChar w:fldCharType="end"/>
          </w:r>
          <w:r>
            <w:rPr>
              <w:rFonts w:eastAsiaTheme="minorEastAsia"/>
            </w:rPr>
            <w:fldChar w:fldCharType="end"/>
          </w:r>
        </w:p>
        <w:p w14:paraId="618D103B">
          <w:pPr>
            <w:pStyle w:val="28"/>
            <w:rPr>
              <w:rFonts w:eastAsiaTheme="minorEastAsia"/>
            </w:rPr>
          </w:pPr>
          <w:r>
            <w:fldChar w:fldCharType="begin"/>
          </w:r>
          <w:r>
            <w:instrText xml:space="preserve"> HYPERLINK \l "_Toc182487979" </w:instrText>
          </w:r>
          <w:r>
            <w:fldChar w:fldCharType="separate"/>
          </w:r>
          <w:r>
            <w:rPr>
              <w:rFonts w:eastAsiaTheme="minorEastAsia"/>
            </w:rPr>
            <w:t>15.4 质量记录</w:t>
          </w:r>
          <w:r>
            <w:rPr>
              <w:rFonts w:eastAsiaTheme="minorEastAsia"/>
            </w:rPr>
            <w:tab/>
          </w:r>
          <w:r>
            <w:rPr>
              <w:rFonts w:eastAsiaTheme="minorEastAsia"/>
            </w:rPr>
            <w:fldChar w:fldCharType="begin"/>
          </w:r>
          <w:r>
            <w:rPr>
              <w:rFonts w:eastAsiaTheme="minorEastAsia"/>
            </w:rPr>
            <w:instrText xml:space="preserve"> PAGEREF _Toc182487979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7BB49247">
          <w:pPr>
            <w:pStyle w:val="28"/>
            <w:rPr>
              <w:rFonts w:eastAsiaTheme="minorEastAsia"/>
            </w:rPr>
          </w:pPr>
          <w:r>
            <w:fldChar w:fldCharType="begin"/>
          </w:r>
          <w:r>
            <w:instrText xml:space="preserve"> HYPERLINK \l "_Toc182487980" </w:instrText>
          </w:r>
          <w:r>
            <w:fldChar w:fldCharType="separate"/>
          </w:r>
          <w:r>
            <w:rPr>
              <w:rFonts w:eastAsiaTheme="minorEastAsia"/>
            </w:rPr>
            <w:t>16 信息化应用系统</w:t>
          </w:r>
          <w:r>
            <w:rPr>
              <w:rFonts w:eastAsiaTheme="minorEastAsia"/>
            </w:rPr>
            <w:tab/>
          </w:r>
          <w:r>
            <w:rPr>
              <w:rFonts w:eastAsiaTheme="minorEastAsia"/>
            </w:rPr>
            <w:fldChar w:fldCharType="begin"/>
          </w:r>
          <w:r>
            <w:rPr>
              <w:rFonts w:eastAsiaTheme="minorEastAsia"/>
            </w:rPr>
            <w:instrText xml:space="preserve"> PAGEREF _Toc182487980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595CAEBE">
          <w:pPr>
            <w:pStyle w:val="28"/>
            <w:rPr>
              <w:rFonts w:eastAsiaTheme="minorEastAsia"/>
            </w:rPr>
          </w:pPr>
          <w:r>
            <w:fldChar w:fldCharType="begin"/>
          </w:r>
          <w:r>
            <w:instrText xml:space="preserve"> HYPERLINK \l "_Toc182487981" </w:instrText>
          </w:r>
          <w:r>
            <w:fldChar w:fldCharType="separate"/>
          </w:r>
          <w:r>
            <w:rPr>
              <w:rFonts w:eastAsiaTheme="minorEastAsia"/>
            </w:rPr>
            <w:t>16.1 一般规定</w:t>
          </w:r>
          <w:r>
            <w:rPr>
              <w:rFonts w:eastAsiaTheme="minorEastAsia"/>
            </w:rPr>
            <w:tab/>
          </w:r>
          <w:r>
            <w:rPr>
              <w:rFonts w:eastAsiaTheme="minorEastAsia"/>
            </w:rPr>
            <w:fldChar w:fldCharType="begin"/>
          </w:r>
          <w:r>
            <w:rPr>
              <w:rFonts w:eastAsiaTheme="minorEastAsia"/>
            </w:rPr>
            <w:instrText xml:space="preserve"> PAGEREF _Toc182487981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53A8A017">
          <w:pPr>
            <w:pStyle w:val="28"/>
            <w:rPr>
              <w:rFonts w:eastAsiaTheme="minorEastAsia"/>
            </w:rPr>
          </w:pPr>
          <w:r>
            <w:fldChar w:fldCharType="begin"/>
          </w:r>
          <w:r>
            <w:instrText xml:space="preserve"> HYPERLINK \l "_Toc182487982" </w:instrText>
          </w:r>
          <w:r>
            <w:fldChar w:fldCharType="separate"/>
          </w:r>
          <w:r>
            <w:rPr>
              <w:rFonts w:eastAsiaTheme="minorEastAsia"/>
            </w:rPr>
            <w:t>16.2 施工准备</w:t>
          </w:r>
          <w:r>
            <w:rPr>
              <w:rFonts w:eastAsiaTheme="minorEastAsia"/>
            </w:rPr>
            <w:tab/>
          </w:r>
          <w:r>
            <w:rPr>
              <w:rFonts w:eastAsiaTheme="minorEastAsia"/>
            </w:rPr>
            <w:fldChar w:fldCharType="begin"/>
          </w:r>
          <w:r>
            <w:rPr>
              <w:rFonts w:eastAsiaTheme="minorEastAsia"/>
            </w:rPr>
            <w:instrText xml:space="preserve"> PAGEREF _Toc182487982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07126FDF">
          <w:pPr>
            <w:pStyle w:val="28"/>
            <w:rPr>
              <w:rFonts w:eastAsiaTheme="minorEastAsia"/>
            </w:rPr>
          </w:pPr>
          <w:r>
            <w:fldChar w:fldCharType="begin"/>
          </w:r>
          <w:r>
            <w:instrText xml:space="preserve"> HYPERLINK \l "_Toc182487983" </w:instrText>
          </w:r>
          <w:r>
            <w:fldChar w:fldCharType="separate"/>
          </w:r>
          <w:r>
            <w:rPr>
              <w:rFonts w:eastAsiaTheme="minorEastAsia"/>
            </w:rPr>
            <w:t>16.3 施工工艺</w:t>
          </w:r>
          <w:r>
            <w:rPr>
              <w:rFonts w:eastAsiaTheme="minorEastAsia"/>
            </w:rPr>
            <w:tab/>
          </w:r>
          <w:r>
            <w:rPr>
              <w:rFonts w:eastAsiaTheme="minorEastAsia"/>
            </w:rPr>
            <w:fldChar w:fldCharType="begin"/>
          </w:r>
          <w:r>
            <w:rPr>
              <w:rFonts w:eastAsiaTheme="minorEastAsia"/>
            </w:rPr>
            <w:instrText xml:space="preserve"> PAGEREF _Toc182487983 \h </w:instrText>
          </w:r>
          <w:r>
            <w:rPr>
              <w:rFonts w:eastAsiaTheme="minorEastAsia"/>
            </w:rPr>
            <w:fldChar w:fldCharType="separate"/>
          </w:r>
          <w:r>
            <w:rPr>
              <w:rFonts w:eastAsiaTheme="minorEastAsia"/>
            </w:rPr>
            <w:t>60</w:t>
          </w:r>
          <w:r>
            <w:rPr>
              <w:rFonts w:eastAsiaTheme="minorEastAsia"/>
            </w:rPr>
            <w:fldChar w:fldCharType="end"/>
          </w:r>
          <w:r>
            <w:rPr>
              <w:rFonts w:eastAsiaTheme="minorEastAsia"/>
            </w:rPr>
            <w:fldChar w:fldCharType="end"/>
          </w:r>
        </w:p>
        <w:p w14:paraId="695A657F">
          <w:pPr>
            <w:pStyle w:val="28"/>
            <w:rPr>
              <w:rFonts w:eastAsiaTheme="minorEastAsia"/>
            </w:rPr>
          </w:pPr>
          <w:r>
            <w:fldChar w:fldCharType="begin"/>
          </w:r>
          <w:r>
            <w:instrText xml:space="preserve"> HYPERLINK \l "_Toc182487984" </w:instrText>
          </w:r>
          <w:r>
            <w:fldChar w:fldCharType="separate"/>
          </w:r>
          <w:r>
            <w:rPr>
              <w:rFonts w:eastAsiaTheme="minorEastAsia"/>
            </w:rPr>
            <w:t>16.4 质量记录</w:t>
          </w:r>
          <w:r>
            <w:rPr>
              <w:rFonts w:eastAsiaTheme="minorEastAsia"/>
            </w:rPr>
            <w:tab/>
          </w:r>
          <w:r>
            <w:rPr>
              <w:rFonts w:eastAsiaTheme="minorEastAsia"/>
            </w:rPr>
            <w:fldChar w:fldCharType="begin"/>
          </w:r>
          <w:r>
            <w:rPr>
              <w:rFonts w:eastAsiaTheme="minorEastAsia"/>
            </w:rPr>
            <w:instrText xml:space="preserve"> PAGEREF _Toc182487984 \h </w:instrText>
          </w:r>
          <w:r>
            <w:rPr>
              <w:rFonts w:eastAsiaTheme="minorEastAsia"/>
            </w:rPr>
            <w:fldChar w:fldCharType="separate"/>
          </w:r>
          <w:r>
            <w:rPr>
              <w:rFonts w:eastAsiaTheme="minorEastAsia"/>
            </w:rPr>
            <w:t>62</w:t>
          </w:r>
          <w:r>
            <w:rPr>
              <w:rFonts w:eastAsiaTheme="minorEastAsia"/>
            </w:rPr>
            <w:fldChar w:fldCharType="end"/>
          </w:r>
          <w:r>
            <w:rPr>
              <w:rFonts w:eastAsiaTheme="minorEastAsia"/>
            </w:rPr>
            <w:fldChar w:fldCharType="end"/>
          </w:r>
        </w:p>
        <w:p w14:paraId="4BF4AEC6">
          <w:pPr>
            <w:pStyle w:val="28"/>
            <w:rPr>
              <w:rFonts w:eastAsiaTheme="minorEastAsia"/>
            </w:rPr>
          </w:pPr>
          <w:r>
            <w:fldChar w:fldCharType="begin"/>
          </w:r>
          <w:r>
            <w:instrText xml:space="preserve"> HYPERLINK \l "_Toc182487985" </w:instrText>
          </w:r>
          <w:r>
            <w:fldChar w:fldCharType="separate"/>
          </w:r>
          <w:r>
            <w:rPr>
              <w:rFonts w:eastAsiaTheme="minorEastAsia"/>
            </w:rPr>
            <w:t>17 建筑设备监控系统</w:t>
          </w:r>
          <w:r>
            <w:rPr>
              <w:rFonts w:eastAsiaTheme="minorEastAsia"/>
            </w:rPr>
            <w:tab/>
          </w:r>
          <w:r>
            <w:rPr>
              <w:rFonts w:eastAsiaTheme="minorEastAsia"/>
            </w:rPr>
            <w:fldChar w:fldCharType="begin"/>
          </w:r>
          <w:r>
            <w:rPr>
              <w:rFonts w:eastAsiaTheme="minorEastAsia"/>
            </w:rPr>
            <w:instrText xml:space="preserve"> PAGEREF _Toc182487985 \h </w:instrText>
          </w:r>
          <w:r>
            <w:rPr>
              <w:rFonts w:eastAsiaTheme="minorEastAsia"/>
            </w:rPr>
            <w:fldChar w:fldCharType="separate"/>
          </w:r>
          <w:r>
            <w:rPr>
              <w:rFonts w:eastAsiaTheme="minorEastAsia"/>
            </w:rPr>
            <w:t>63</w:t>
          </w:r>
          <w:r>
            <w:rPr>
              <w:rFonts w:eastAsiaTheme="minorEastAsia"/>
            </w:rPr>
            <w:fldChar w:fldCharType="end"/>
          </w:r>
          <w:r>
            <w:rPr>
              <w:rFonts w:eastAsiaTheme="minorEastAsia"/>
            </w:rPr>
            <w:fldChar w:fldCharType="end"/>
          </w:r>
        </w:p>
        <w:p w14:paraId="04E1C284">
          <w:pPr>
            <w:pStyle w:val="28"/>
            <w:rPr>
              <w:rFonts w:eastAsiaTheme="minorEastAsia"/>
            </w:rPr>
          </w:pPr>
          <w:r>
            <w:fldChar w:fldCharType="begin"/>
          </w:r>
          <w:r>
            <w:instrText xml:space="preserve"> HYPERLINK \l "_Toc182487986" </w:instrText>
          </w:r>
          <w:r>
            <w:fldChar w:fldCharType="separate"/>
          </w:r>
          <w:r>
            <w:rPr>
              <w:rFonts w:eastAsiaTheme="minorEastAsia"/>
            </w:rPr>
            <w:t>17.1 一般规定</w:t>
          </w:r>
          <w:r>
            <w:rPr>
              <w:rFonts w:eastAsiaTheme="minorEastAsia"/>
            </w:rPr>
            <w:tab/>
          </w:r>
          <w:r>
            <w:rPr>
              <w:rFonts w:eastAsiaTheme="minorEastAsia"/>
            </w:rPr>
            <w:fldChar w:fldCharType="begin"/>
          </w:r>
          <w:r>
            <w:rPr>
              <w:rFonts w:eastAsiaTheme="minorEastAsia"/>
            </w:rPr>
            <w:instrText xml:space="preserve"> PAGEREF _Toc182487986 \h </w:instrText>
          </w:r>
          <w:r>
            <w:rPr>
              <w:rFonts w:eastAsiaTheme="minorEastAsia"/>
            </w:rPr>
            <w:fldChar w:fldCharType="separate"/>
          </w:r>
          <w:r>
            <w:rPr>
              <w:rFonts w:eastAsiaTheme="minorEastAsia"/>
            </w:rPr>
            <w:t>63</w:t>
          </w:r>
          <w:r>
            <w:rPr>
              <w:rFonts w:eastAsiaTheme="minorEastAsia"/>
            </w:rPr>
            <w:fldChar w:fldCharType="end"/>
          </w:r>
          <w:r>
            <w:rPr>
              <w:rFonts w:eastAsiaTheme="minorEastAsia"/>
            </w:rPr>
            <w:fldChar w:fldCharType="end"/>
          </w:r>
        </w:p>
        <w:p w14:paraId="63EFFA99">
          <w:pPr>
            <w:pStyle w:val="28"/>
            <w:rPr>
              <w:rFonts w:eastAsiaTheme="minorEastAsia"/>
            </w:rPr>
          </w:pPr>
          <w:r>
            <w:fldChar w:fldCharType="begin"/>
          </w:r>
          <w:r>
            <w:instrText xml:space="preserve"> HYPERLINK \l "_Toc182487987" </w:instrText>
          </w:r>
          <w:r>
            <w:fldChar w:fldCharType="separate"/>
          </w:r>
          <w:r>
            <w:rPr>
              <w:rFonts w:eastAsiaTheme="minorEastAsia"/>
            </w:rPr>
            <w:t>17.2 施工准备</w:t>
          </w:r>
          <w:r>
            <w:rPr>
              <w:rFonts w:eastAsiaTheme="minorEastAsia"/>
            </w:rPr>
            <w:tab/>
          </w:r>
          <w:r>
            <w:rPr>
              <w:rFonts w:eastAsiaTheme="minorEastAsia"/>
            </w:rPr>
            <w:fldChar w:fldCharType="begin"/>
          </w:r>
          <w:r>
            <w:rPr>
              <w:rFonts w:eastAsiaTheme="minorEastAsia"/>
            </w:rPr>
            <w:instrText xml:space="preserve"> PAGEREF _Toc182487987 \h </w:instrText>
          </w:r>
          <w:r>
            <w:rPr>
              <w:rFonts w:eastAsiaTheme="minorEastAsia"/>
            </w:rPr>
            <w:fldChar w:fldCharType="separate"/>
          </w:r>
          <w:r>
            <w:rPr>
              <w:rFonts w:eastAsiaTheme="minorEastAsia"/>
            </w:rPr>
            <w:t>63</w:t>
          </w:r>
          <w:r>
            <w:rPr>
              <w:rFonts w:eastAsiaTheme="minorEastAsia"/>
            </w:rPr>
            <w:fldChar w:fldCharType="end"/>
          </w:r>
          <w:r>
            <w:rPr>
              <w:rFonts w:eastAsiaTheme="minorEastAsia"/>
            </w:rPr>
            <w:fldChar w:fldCharType="end"/>
          </w:r>
        </w:p>
        <w:p w14:paraId="086DA5B7">
          <w:pPr>
            <w:pStyle w:val="28"/>
            <w:rPr>
              <w:rFonts w:eastAsiaTheme="minorEastAsia"/>
            </w:rPr>
          </w:pPr>
          <w:r>
            <w:fldChar w:fldCharType="begin"/>
          </w:r>
          <w:r>
            <w:instrText xml:space="preserve"> HYPERLINK \l "_Toc182487988" </w:instrText>
          </w:r>
          <w:r>
            <w:fldChar w:fldCharType="separate"/>
          </w:r>
          <w:r>
            <w:rPr>
              <w:rFonts w:eastAsiaTheme="minorEastAsia"/>
            </w:rPr>
            <w:t>17.3 施工工艺</w:t>
          </w:r>
          <w:r>
            <w:rPr>
              <w:rFonts w:eastAsiaTheme="minorEastAsia"/>
            </w:rPr>
            <w:tab/>
          </w:r>
          <w:r>
            <w:rPr>
              <w:rFonts w:eastAsiaTheme="minorEastAsia"/>
            </w:rPr>
            <w:fldChar w:fldCharType="begin"/>
          </w:r>
          <w:r>
            <w:rPr>
              <w:rFonts w:eastAsiaTheme="minorEastAsia"/>
            </w:rPr>
            <w:instrText xml:space="preserve"> PAGEREF _Toc182487988 \h </w:instrText>
          </w:r>
          <w:r>
            <w:rPr>
              <w:rFonts w:eastAsiaTheme="minorEastAsia"/>
            </w:rPr>
            <w:fldChar w:fldCharType="separate"/>
          </w:r>
          <w:r>
            <w:rPr>
              <w:rFonts w:eastAsiaTheme="minorEastAsia"/>
            </w:rPr>
            <w:t>63</w:t>
          </w:r>
          <w:r>
            <w:rPr>
              <w:rFonts w:eastAsiaTheme="minorEastAsia"/>
            </w:rPr>
            <w:fldChar w:fldCharType="end"/>
          </w:r>
          <w:r>
            <w:rPr>
              <w:rFonts w:eastAsiaTheme="minorEastAsia"/>
            </w:rPr>
            <w:fldChar w:fldCharType="end"/>
          </w:r>
        </w:p>
        <w:p w14:paraId="717B00B2">
          <w:pPr>
            <w:pStyle w:val="28"/>
            <w:rPr>
              <w:rFonts w:eastAsiaTheme="minorEastAsia"/>
            </w:rPr>
          </w:pPr>
          <w:r>
            <w:fldChar w:fldCharType="begin"/>
          </w:r>
          <w:r>
            <w:instrText xml:space="preserve"> HYPERLINK \l "_Toc182487989" </w:instrText>
          </w:r>
          <w:r>
            <w:fldChar w:fldCharType="separate"/>
          </w:r>
          <w:r>
            <w:rPr>
              <w:rFonts w:eastAsiaTheme="minorEastAsia"/>
            </w:rPr>
            <w:t>17.4 质量记录</w:t>
          </w:r>
          <w:r>
            <w:rPr>
              <w:rFonts w:eastAsiaTheme="minorEastAsia"/>
            </w:rPr>
            <w:tab/>
          </w:r>
          <w:r>
            <w:rPr>
              <w:rFonts w:eastAsiaTheme="minorEastAsia"/>
            </w:rPr>
            <w:fldChar w:fldCharType="begin"/>
          </w:r>
          <w:r>
            <w:rPr>
              <w:rFonts w:eastAsiaTheme="minorEastAsia"/>
            </w:rPr>
            <w:instrText xml:space="preserve"> PAGEREF _Toc182487989 \h </w:instrText>
          </w:r>
          <w:r>
            <w:rPr>
              <w:rFonts w:eastAsiaTheme="minorEastAsia"/>
            </w:rPr>
            <w:fldChar w:fldCharType="separate"/>
          </w:r>
          <w:r>
            <w:rPr>
              <w:rFonts w:eastAsiaTheme="minorEastAsia"/>
            </w:rPr>
            <w:t>69</w:t>
          </w:r>
          <w:r>
            <w:rPr>
              <w:rFonts w:eastAsiaTheme="minorEastAsia"/>
            </w:rPr>
            <w:fldChar w:fldCharType="end"/>
          </w:r>
          <w:r>
            <w:rPr>
              <w:rFonts w:eastAsiaTheme="minorEastAsia"/>
            </w:rPr>
            <w:fldChar w:fldCharType="end"/>
          </w:r>
        </w:p>
        <w:p w14:paraId="16D694BE">
          <w:pPr>
            <w:pStyle w:val="28"/>
            <w:rPr>
              <w:rFonts w:eastAsiaTheme="minorEastAsia"/>
            </w:rPr>
          </w:pPr>
          <w:r>
            <w:fldChar w:fldCharType="begin"/>
          </w:r>
          <w:r>
            <w:instrText xml:space="preserve"> HYPERLINK \l "_Toc182487990" </w:instrText>
          </w:r>
          <w:r>
            <w:fldChar w:fldCharType="separate"/>
          </w:r>
          <w:r>
            <w:rPr>
              <w:rFonts w:eastAsiaTheme="minorEastAsia"/>
            </w:rPr>
            <w:t>18 火灾自动报警系统</w:t>
          </w:r>
          <w:r>
            <w:rPr>
              <w:rFonts w:eastAsiaTheme="minorEastAsia"/>
            </w:rPr>
            <w:tab/>
          </w:r>
          <w:r>
            <w:rPr>
              <w:rFonts w:eastAsiaTheme="minorEastAsia"/>
            </w:rPr>
            <w:fldChar w:fldCharType="begin"/>
          </w:r>
          <w:r>
            <w:rPr>
              <w:rFonts w:eastAsiaTheme="minorEastAsia"/>
            </w:rPr>
            <w:instrText xml:space="preserve"> PAGEREF _Toc182487990 \h </w:instrText>
          </w:r>
          <w:r>
            <w:rPr>
              <w:rFonts w:eastAsiaTheme="minorEastAsia"/>
            </w:rPr>
            <w:fldChar w:fldCharType="separate"/>
          </w:r>
          <w:r>
            <w:rPr>
              <w:rFonts w:eastAsiaTheme="minorEastAsia"/>
            </w:rPr>
            <w:t>70</w:t>
          </w:r>
          <w:r>
            <w:rPr>
              <w:rFonts w:eastAsiaTheme="minorEastAsia"/>
            </w:rPr>
            <w:fldChar w:fldCharType="end"/>
          </w:r>
          <w:r>
            <w:rPr>
              <w:rFonts w:eastAsiaTheme="minorEastAsia"/>
            </w:rPr>
            <w:fldChar w:fldCharType="end"/>
          </w:r>
        </w:p>
        <w:p w14:paraId="4114FC0A">
          <w:pPr>
            <w:pStyle w:val="28"/>
            <w:rPr>
              <w:rFonts w:eastAsiaTheme="minorEastAsia"/>
            </w:rPr>
          </w:pPr>
          <w:r>
            <w:fldChar w:fldCharType="begin"/>
          </w:r>
          <w:r>
            <w:instrText xml:space="preserve"> HYPERLINK \l "_Toc182487991" </w:instrText>
          </w:r>
          <w:r>
            <w:fldChar w:fldCharType="separate"/>
          </w:r>
          <w:r>
            <w:rPr>
              <w:rFonts w:eastAsiaTheme="minorEastAsia"/>
            </w:rPr>
            <w:t>18.1 一般规定</w:t>
          </w:r>
          <w:r>
            <w:rPr>
              <w:rFonts w:eastAsiaTheme="minorEastAsia"/>
            </w:rPr>
            <w:tab/>
          </w:r>
          <w:r>
            <w:rPr>
              <w:rFonts w:eastAsiaTheme="minorEastAsia"/>
            </w:rPr>
            <w:fldChar w:fldCharType="begin"/>
          </w:r>
          <w:r>
            <w:rPr>
              <w:rFonts w:eastAsiaTheme="minorEastAsia"/>
            </w:rPr>
            <w:instrText xml:space="preserve"> PAGEREF _Toc182487991 \h </w:instrText>
          </w:r>
          <w:r>
            <w:rPr>
              <w:rFonts w:eastAsiaTheme="minorEastAsia"/>
            </w:rPr>
            <w:fldChar w:fldCharType="separate"/>
          </w:r>
          <w:r>
            <w:rPr>
              <w:rFonts w:eastAsiaTheme="minorEastAsia"/>
            </w:rPr>
            <w:t>70</w:t>
          </w:r>
          <w:r>
            <w:rPr>
              <w:rFonts w:eastAsiaTheme="minorEastAsia"/>
            </w:rPr>
            <w:fldChar w:fldCharType="end"/>
          </w:r>
          <w:r>
            <w:rPr>
              <w:rFonts w:eastAsiaTheme="minorEastAsia"/>
            </w:rPr>
            <w:fldChar w:fldCharType="end"/>
          </w:r>
        </w:p>
        <w:p w14:paraId="5D15DC41">
          <w:pPr>
            <w:pStyle w:val="28"/>
            <w:rPr>
              <w:rFonts w:eastAsiaTheme="minorEastAsia"/>
            </w:rPr>
          </w:pPr>
          <w:r>
            <w:fldChar w:fldCharType="begin"/>
          </w:r>
          <w:r>
            <w:instrText xml:space="preserve"> HYPERLINK \l "_Toc182487992" </w:instrText>
          </w:r>
          <w:r>
            <w:fldChar w:fldCharType="separate"/>
          </w:r>
          <w:r>
            <w:rPr>
              <w:rFonts w:eastAsiaTheme="minorEastAsia"/>
            </w:rPr>
            <w:t>18.2 施工准备</w:t>
          </w:r>
          <w:r>
            <w:rPr>
              <w:rFonts w:eastAsiaTheme="minorEastAsia"/>
            </w:rPr>
            <w:tab/>
          </w:r>
          <w:r>
            <w:rPr>
              <w:rFonts w:eastAsiaTheme="minorEastAsia"/>
            </w:rPr>
            <w:fldChar w:fldCharType="begin"/>
          </w:r>
          <w:r>
            <w:rPr>
              <w:rFonts w:eastAsiaTheme="minorEastAsia"/>
            </w:rPr>
            <w:instrText xml:space="preserve"> PAGEREF _Toc182487992 \h </w:instrText>
          </w:r>
          <w:r>
            <w:rPr>
              <w:rFonts w:eastAsiaTheme="minorEastAsia"/>
            </w:rPr>
            <w:fldChar w:fldCharType="separate"/>
          </w:r>
          <w:r>
            <w:rPr>
              <w:rFonts w:eastAsiaTheme="minorEastAsia"/>
            </w:rPr>
            <w:t>70</w:t>
          </w:r>
          <w:r>
            <w:rPr>
              <w:rFonts w:eastAsiaTheme="minorEastAsia"/>
            </w:rPr>
            <w:fldChar w:fldCharType="end"/>
          </w:r>
          <w:r>
            <w:rPr>
              <w:rFonts w:eastAsiaTheme="minorEastAsia"/>
            </w:rPr>
            <w:fldChar w:fldCharType="end"/>
          </w:r>
        </w:p>
        <w:p w14:paraId="2AAF948A">
          <w:pPr>
            <w:pStyle w:val="28"/>
            <w:rPr>
              <w:rFonts w:eastAsiaTheme="minorEastAsia"/>
            </w:rPr>
          </w:pPr>
          <w:r>
            <w:fldChar w:fldCharType="begin"/>
          </w:r>
          <w:r>
            <w:instrText xml:space="preserve"> HYPERLINK \l "_Toc182487993" </w:instrText>
          </w:r>
          <w:r>
            <w:fldChar w:fldCharType="separate"/>
          </w:r>
          <w:r>
            <w:rPr>
              <w:rFonts w:eastAsiaTheme="minorEastAsia"/>
            </w:rPr>
            <w:t>18.3 施工工艺</w:t>
          </w:r>
          <w:r>
            <w:rPr>
              <w:rFonts w:eastAsiaTheme="minorEastAsia"/>
            </w:rPr>
            <w:tab/>
          </w:r>
          <w:r>
            <w:rPr>
              <w:rFonts w:eastAsiaTheme="minorEastAsia"/>
            </w:rPr>
            <w:fldChar w:fldCharType="begin"/>
          </w:r>
          <w:r>
            <w:rPr>
              <w:rFonts w:eastAsiaTheme="minorEastAsia"/>
            </w:rPr>
            <w:instrText xml:space="preserve"> PAGEREF _Toc182487993 \h </w:instrText>
          </w:r>
          <w:r>
            <w:rPr>
              <w:rFonts w:eastAsiaTheme="minorEastAsia"/>
            </w:rPr>
            <w:fldChar w:fldCharType="separate"/>
          </w:r>
          <w:r>
            <w:rPr>
              <w:rFonts w:eastAsiaTheme="minorEastAsia"/>
            </w:rPr>
            <w:t>70</w:t>
          </w:r>
          <w:r>
            <w:rPr>
              <w:rFonts w:eastAsiaTheme="minorEastAsia"/>
            </w:rPr>
            <w:fldChar w:fldCharType="end"/>
          </w:r>
          <w:r>
            <w:rPr>
              <w:rFonts w:eastAsiaTheme="minorEastAsia"/>
            </w:rPr>
            <w:fldChar w:fldCharType="end"/>
          </w:r>
        </w:p>
        <w:p w14:paraId="2CE22D54">
          <w:pPr>
            <w:pStyle w:val="28"/>
            <w:rPr>
              <w:rFonts w:eastAsiaTheme="minorEastAsia"/>
            </w:rPr>
          </w:pPr>
          <w:r>
            <w:fldChar w:fldCharType="begin"/>
          </w:r>
          <w:r>
            <w:instrText xml:space="preserve"> HYPERLINK \l "_Toc182487994" </w:instrText>
          </w:r>
          <w:r>
            <w:fldChar w:fldCharType="separate"/>
          </w:r>
          <w:r>
            <w:rPr>
              <w:rFonts w:eastAsiaTheme="minorEastAsia"/>
            </w:rPr>
            <w:t>18.4 质量记录</w:t>
          </w:r>
          <w:r>
            <w:rPr>
              <w:rFonts w:eastAsiaTheme="minorEastAsia"/>
            </w:rPr>
            <w:tab/>
          </w:r>
          <w:r>
            <w:rPr>
              <w:rFonts w:eastAsiaTheme="minorEastAsia"/>
            </w:rPr>
            <w:fldChar w:fldCharType="begin"/>
          </w:r>
          <w:r>
            <w:rPr>
              <w:rFonts w:eastAsiaTheme="minorEastAsia"/>
            </w:rPr>
            <w:instrText xml:space="preserve"> PAGEREF _Toc182487994 \h </w:instrText>
          </w:r>
          <w:r>
            <w:rPr>
              <w:rFonts w:eastAsiaTheme="minorEastAsia"/>
            </w:rPr>
            <w:fldChar w:fldCharType="separate"/>
          </w:r>
          <w:r>
            <w:rPr>
              <w:rFonts w:eastAsiaTheme="minorEastAsia"/>
            </w:rPr>
            <w:t>74</w:t>
          </w:r>
          <w:r>
            <w:rPr>
              <w:rFonts w:eastAsiaTheme="minorEastAsia"/>
            </w:rPr>
            <w:fldChar w:fldCharType="end"/>
          </w:r>
          <w:r>
            <w:rPr>
              <w:rFonts w:eastAsiaTheme="minorEastAsia"/>
            </w:rPr>
            <w:fldChar w:fldCharType="end"/>
          </w:r>
        </w:p>
        <w:p w14:paraId="7BF1B605">
          <w:pPr>
            <w:pStyle w:val="28"/>
            <w:rPr>
              <w:rFonts w:eastAsiaTheme="minorEastAsia"/>
            </w:rPr>
          </w:pPr>
          <w:r>
            <w:fldChar w:fldCharType="begin"/>
          </w:r>
          <w:r>
            <w:instrText xml:space="preserve"> HYPERLINK \l "_Toc182487995" </w:instrText>
          </w:r>
          <w:r>
            <w:fldChar w:fldCharType="separate"/>
          </w:r>
          <w:r>
            <w:rPr>
              <w:rFonts w:eastAsiaTheme="minorEastAsia"/>
            </w:rPr>
            <w:t>19 安全技术防范系统</w:t>
          </w:r>
          <w:r>
            <w:rPr>
              <w:rFonts w:eastAsiaTheme="minorEastAsia"/>
            </w:rPr>
            <w:tab/>
          </w:r>
          <w:r>
            <w:rPr>
              <w:rFonts w:eastAsiaTheme="minorEastAsia"/>
            </w:rPr>
            <w:fldChar w:fldCharType="begin"/>
          </w:r>
          <w:r>
            <w:rPr>
              <w:rFonts w:eastAsiaTheme="minorEastAsia"/>
            </w:rPr>
            <w:instrText xml:space="preserve"> PAGEREF _Toc182487995 \h </w:instrText>
          </w:r>
          <w:r>
            <w:rPr>
              <w:rFonts w:eastAsiaTheme="minorEastAsia"/>
            </w:rPr>
            <w:fldChar w:fldCharType="separate"/>
          </w:r>
          <w:r>
            <w:rPr>
              <w:rFonts w:eastAsiaTheme="minorEastAsia"/>
            </w:rPr>
            <w:t>75</w:t>
          </w:r>
          <w:r>
            <w:rPr>
              <w:rFonts w:eastAsiaTheme="minorEastAsia"/>
            </w:rPr>
            <w:fldChar w:fldCharType="end"/>
          </w:r>
          <w:r>
            <w:rPr>
              <w:rFonts w:eastAsiaTheme="minorEastAsia"/>
            </w:rPr>
            <w:fldChar w:fldCharType="end"/>
          </w:r>
        </w:p>
        <w:p w14:paraId="02E0DB1A">
          <w:pPr>
            <w:pStyle w:val="28"/>
            <w:rPr>
              <w:rFonts w:eastAsiaTheme="minorEastAsia"/>
            </w:rPr>
          </w:pPr>
          <w:r>
            <w:fldChar w:fldCharType="begin"/>
          </w:r>
          <w:r>
            <w:instrText xml:space="preserve"> HYPERLINK \l "_Toc182487996" </w:instrText>
          </w:r>
          <w:r>
            <w:fldChar w:fldCharType="separate"/>
          </w:r>
          <w:r>
            <w:rPr>
              <w:rFonts w:eastAsiaTheme="minorEastAsia"/>
            </w:rPr>
            <w:t>19.1 一般规定</w:t>
          </w:r>
          <w:r>
            <w:rPr>
              <w:rFonts w:eastAsiaTheme="minorEastAsia"/>
            </w:rPr>
            <w:tab/>
          </w:r>
          <w:r>
            <w:rPr>
              <w:rFonts w:eastAsiaTheme="minorEastAsia"/>
            </w:rPr>
            <w:fldChar w:fldCharType="begin"/>
          </w:r>
          <w:r>
            <w:rPr>
              <w:rFonts w:eastAsiaTheme="minorEastAsia"/>
            </w:rPr>
            <w:instrText xml:space="preserve"> PAGEREF _Toc182487996 \h </w:instrText>
          </w:r>
          <w:r>
            <w:rPr>
              <w:rFonts w:eastAsiaTheme="minorEastAsia"/>
            </w:rPr>
            <w:fldChar w:fldCharType="separate"/>
          </w:r>
          <w:r>
            <w:rPr>
              <w:rFonts w:eastAsiaTheme="minorEastAsia"/>
            </w:rPr>
            <w:t>75</w:t>
          </w:r>
          <w:r>
            <w:rPr>
              <w:rFonts w:eastAsiaTheme="minorEastAsia"/>
            </w:rPr>
            <w:fldChar w:fldCharType="end"/>
          </w:r>
          <w:r>
            <w:rPr>
              <w:rFonts w:eastAsiaTheme="minorEastAsia"/>
            </w:rPr>
            <w:fldChar w:fldCharType="end"/>
          </w:r>
        </w:p>
        <w:p w14:paraId="07421C89">
          <w:pPr>
            <w:pStyle w:val="28"/>
            <w:rPr>
              <w:rFonts w:eastAsiaTheme="minorEastAsia"/>
            </w:rPr>
          </w:pPr>
          <w:r>
            <w:fldChar w:fldCharType="begin"/>
          </w:r>
          <w:r>
            <w:instrText xml:space="preserve"> HYPERLINK \l "_Toc182487997" </w:instrText>
          </w:r>
          <w:r>
            <w:fldChar w:fldCharType="separate"/>
          </w:r>
          <w:r>
            <w:rPr>
              <w:rFonts w:eastAsiaTheme="minorEastAsia"/>
            </w:rPr>
            <w:t>19.2 施工准备</w:t>
          </w:r>
          <w:r>
            <w:rPr>
              <w:rFonts w:eastAsiaTheme="minorEastAsia"/>
            </w:rPr>
            <w:tab/>
          </w:r>
          <w:r>
            <w:rPr>
              <w:rFonts w:eastAsiaTheme="minorEastAsia"/>
            </w:rPr>
            <w:fldChar w:fldCharType="begin"/>
          </w:r>
          <w:r>
            <w:rPr>
              <w:rFonts w:eastAsiaTheme="minorEastAsia"/>
            </w:rPr>
            <w:instrText xml:space="preserve"> PAGEREF _Toc182487997 \h </w:instrText>
          </w:r>
          <w:r>
            <w:rPr>
              <w:rFonts w:eastAsiaTheme="minorEastAsia"/>
            </w:rPr>
            <w:fldChar w:fldCharType="separate"/>
          </w:r>
          <w:r>
            <w:rPr>
              <w:rFonts w:eastAsiaTheme="minorEastAsia"/>
            </w:rPr>
            <w:t>75</w:t>
          </w:r>
          <w:r>
            <w:rPr>
              <w:rFonts w:eastAsiaTheme="minorEastAsia"/>
            </w:rPr>
            <w:fldChar w:fldCharType="end"/>
          </w:r>
          <w:r>
            <w:rPr>
              <w:rFonts w:eastAsiaTheme="minorEastAsia"/>
            </w:rPr>
            <w:fldChar w:fldCharType="end"/>
          </w:r>
        </w:p>
        <w:p w14:paraId="0E4D6E12">
          <w:pPr>
            <w:pStyle w:val="28"/>
            <w:rPr>
              <w:rFonts w:eastAsiaTheme="minorEastAsia"/>
            </w:rPr>
          </w:pPr>
          <w:r>
            <w:fldChar w:fldCharType="begin"/>
          </w:r>
          <w:r>
            <w:instrText xml:space="preserve"> HYPERLINK \l "_Toc182487998" </w:instrText>
          </w:r>
          <w:r>
            <w:fldChar w:fldCharType="separate"/>
          </w:r>
          <w:r>
            <w:rPr>
              <w:rFonts w:eastAsiaTheme="minorEastAsia"/>
            </w:rPr>
            <w:t>19.3 施工工艺</w:t>
          </w:r>
          <w:r>
            <w:rPr>
              <w:rFonts w:eastAsiaTheme="minorEastAsia"/>
            </w:rPr>
            <w:tab/>
          </w:r>
          <w:r>
            <w:rPr>
              <w:rFonts w:eastAsiaTheme="minorEastAsia"/>
            </w:rPr>
            <w:fldChar w:fldCharType="begin"/>
          </w:r>
          <w:r>
            <w:rPr>
              <w:rFonts w:eastAsiaTheme="minorEastAsia"/>
            </w:rPr>
            <w:instrText xml:space="preserve"> PAGEREF _Toc182487998 \h </w:instrText>
          </w:r>
          <w:r>
            <w:rPr>
              <w:rFonts w:eastAsiaTheme="minorEastAsia"/>
            </w:rPr>
            <w:fldChar w:fldCharType="separate"/>
          </w:r>
          <w:r>
            <w:rPr>
              <w:rFonts w:eastAsiaTheme="minorEastAsia"/>
            </w:rPr>
            <w:t>75</w:t>
          </w:r>
          <w:r>
            <w:rPr>
              <w:rFonts w:eastAsiaTheme="minorEastAsia"/>
            </w:rPr>
            <w:fldChar w:fldCharType="end"/>
          </w:r>
          <w:r>
            <w:rPr>
              <w:rFonts w:eastAsiaTheme="minorEastAsia"/>
            </w:rPr>
            <w:fldChar w:fldCharType="end"/>
          </w:r>
        </w:p>
        <w:p w14:paraId="4B8458C8">
          <w:pPr>
            <w:pStyle w:val="28"/>
            <w:rPr>
              <w:rFonts w:eastAsiaTheme="minorEastAsia"/>
            </w:rPr>
          </w:pPr>
          <w:r>
            <w:fldChar w:fldCharType="begin"/>
          </w:r>
          <w:r>
            <w:instrText xml:space="preserve"> HYPERLINK \l "_Toc182487999" </w:instrText>
          </w:r>
          <w:r>
            <w:fldChar w:fldCharType="separate"/>
          </w:r>
          <w:r>
            <w:rPr>
              <w:rFonts w:eastAsiaTheme="minorEastAsia"/>
            </w:rPr>
            <w:t>19.4 质量记录</w:t>
          </w:r>
          <w:r>
            <w:rPr>
              <w:rFonts w:eastAsiaTheme="minorEastAsia"/>
            </w:rPr>
            <w:tab/>
          </w:r>
          <w:r>
            <w:rPr>
              <w:rFonts w:eastAsiaTheme="minorEastAsia"/>
            </w:rPr>
            <w:fldChar w:fldCharType="begin"/>
          </w:r>
          <w:r>
            <w:rPr>
              <w:rFonts w:eastAsiaTheme="minorEastAsia"/>
            </w:rPr>
            <w:instrText xml:space="preserve"> PAGEREF _Toc182487999 \h </w:instrText>
          </w:r>
          <w:r>
            <w:rPr>
              <w:rFonts w:eastAsiaTheme="minorEastAsia"/>
            </w:rPr>
            <w:fldChar w:fldCharType="separate"/>
          </w:r>
          <w:r>
            <w:rPr>
              <w:rFonts w:eastAsiaTheme="minorEastAsia"/>
            </w:rPr>
            <w:t>81</w:t>
          </w:r>
          <w:r>
            <w:rPr>
              <w:rFonts w:eastAsiaTheme="minorEastAsia"/>
            </w:rPr>
            <w:fldChar w:fldCharType="end"/>
          </w:r>
          <w:r>
            <w:rPr>
              <w:rFonts w:eastAsiaTheme="minorEastAsia"/>
            </w:rPr>
            <w:fldChar w:fldCharType="end"/>
          </w:r>
        </w:p>
        <w:p w14:paraId="2F4EE0B6">
          <w:pPr>
            <w:pStyle w:val="28"/>
            <w:rPr>
              <w:rFonts w:eastAsiaTheme="minorEastAsia"/>
            </w:rPr>
          </w:pPr>
          <w:r>
            <w:fldChar w:fldCharType="begin"/>
          </w:r>
          <w:r>
            <w:instrText xml:space="preserve"> HYPERLINK \l "_Toc182488000" </w:instrText>
          </w:r>
          <w:r>
            <w:fldChar w:fldCharType="separate"/>
          </w:r>
          <w:r>
            <w:rPr>
              <w:rFonts w:eastAsiaTheme="minorEastAsia"/>
            </w:rPr>
            <w:t>20 应急响应系统</w:t>
          </w:r>
          <w:r>
            <w:rPr>
              <w:rFonts w:eastAsiaTheme="minorEastAsia"/>
            </w:rPr>
            <w:tab/>
          </w:r>
          <w:r>
            <w:rPr>
              <w:rFonts w:eastAsiaTheme="minorEastAsia"/>
            </w:rPr>
            <w:fldChar w:fldCharType="begin"/>
          </w:r>
          <w:r>
            <w:rPr>
              <w:rFonts w:eastAsiaTheme="minorEastAsia"/>
            </w:rPr>
            <w:instrText xml:space="preserve"> PAGEREF _Toc182488000 \h </w:instrText>
          </w:r>
          <w:r>
            <w:rPr>
              <w:rFonts w:eastAsiaTheme="minorEastAsia"/>
            </w:rPr>
            <w:fldChar w:fldCharType="separate"/>
          </w:r>
          <w:r>
            <w:rPr>
              <w:rFonts w:eastAsiaTheme="minorEastAsia"/>
            </w:rPr>
            <w:t>82</w:t>
          </w:r>
          <w:r>
            <w:rPr>
              <w:rFonts w:eastAsiaTheme="minorEastAsia"/>
            </w:rPr>
            <w:fldChar w:fldCharType="end"/>
          </w:r>
          <w:r>
            <w:rPr>
              <w:rFonts w:eastAsiaTheme="minorEastAsia"/>
            </w:rPr>
            <w:fldChar w:fldCharType="end"/>
          </w:r>
        </w:p>
        <w:p w14:paraId="000F856E">
          <w:pPr>
            <w:pStyle w:val="28"/>
            <w:rPr>
              <w:rFonts w:eastAsiaTheme="minorEastAsia"/>
            </w:rPr>
          </w:pPr>
          <w:r>
            <w:fldChar w:fldCharType="begin"/>
          </w:r>
          <w:r>
            <w:instrText xml:space="preserve"> HYPERLINK \l "_Toc182488001" </w:instrText>
          </w:r>
          <w:r>
            <w:fldChar w:fldCharType="separate"/>
          </w:r>
          <w:r>
            <w:rPr>
              <w:rFonts w:eastAsiaTheme="minorEastAsia"/>
            </w:rPr>
            <w:t>20.1 一般规定</w:t>
          </w:r>
          <w:r>
            <w:rPr>
              <w:rFonts w:eastAsiaTheme="minorEastAsia"/>
            </w:rPr>
            <w:tab/>
          </w:r>
          <w:r>
            <w:rPr>
              <w:rFonts w:eastAsiaTheme="minorEastAsia"/>
            </w:rPr>
            <w:fldChar w:fldCharType="begin"/>
          </w:r>
          <w:r>
            <w:rPr>
              <w:rFonts w:eastAsiaTheme="minorEastAsia"/>
            </w:rPr>
            <w:instrText xml:space="preserve"> PAGEREF _Toc182488001 \h </w:instrText>
          </w:r>
          <w:r>
            <w:rPr>
              <w:rFonts w:eastAsiaTheme="minorEastAsia"/>
            </w:rPr>
            <w:fldChar w:fldCharType="separate"/>
          </w:r>
          <w:r>
            <w:rPr>
              <w:rFonts w:eastAsiaTheme="minorEastAsia"/>
            </w:rPr>
            <w:t>82</w:t>
          </w:r>
          <w:r>
            <w:rPr>
              <w:rFonts w:eastAsiaTheme="minorEastAsia"/>
            </w:rPr>
            <w:fldChar w:fldCharType="end"/>
          </w:r>
          <w:r>
            <w:rPr>
              <w:rFonts w:eastAsiaTheme="minorEastAsia"/>
            </w:rPr>
            <w:fldChar w:fldCharType="end"/>
          </w:r>
        </w:p>
        <w:p w14:paraId="6E7E823C">
          <w:pPr>
            <w:pStyle w:val="28"/>
            <w:rPr>
              <w:rFonts w:eastAsiaTheme="minorEastAsia"/>
            </w:rPr>
          </w:pPr>
          <w:r>
            <w:fldChar w:fldCharType="begin"/>
          </w:r>
          <w:r>
            <w:instrText xml:space="preserve"> HYPERLINK \l "_Toc182488002" </w:instrText>
          </w:r>
          <w:r>
            <w:fldChar w:fldCharType="separate"/>
          </w:r>
          <w:r>
            <w:rPr>
              <w:rFonts w:eastAsiaTheme="minorEastAsia"/>
            </w:rPr>
            <w:t>20.2施工准备</w:t>
          </w:r>
          <w:r>
            <w:rPr>
              <w:rFonts w:eastAsiaTheme="minorEastAsia"/>
            </w:rPr>
            <w:tab/>
          </w:r>
          <w:r>
            <w:rPr>
              <w:rFonts w:eastAsiaTheme="minorEastAsia"/>
            </w:rPr>
            <w:fldChar w:fldCharType="begin"/>
          </w:r>
          <w:r>
            <w:rPr>
              <w:rFonts w:eastAsiaTheme="minorEastAsia"/>
            </w:rPr>
            <w:instrText xml:space="preserve"> PAGEREF _Toc182488002 \h </w:instrText>
          </w:r>
          <w:r>
            <w:rPr>
              <w:rFonts w:eastAsiaTheme="minorEastAsia"/>
            </w:rPr>
            <w:fldChar w:fldCharType="separate"/>
          </w:r>
          <w:r>
            <w:rPr>
              <w:rFonts w:eastAsiaTheme="minorEastAsia"/>
            </w:rPr>
            <w:t>82</w:t>
          </w:r>
          <w:r>
            <w:rPr>
              <w:rFonts w:eastAsiaTheme="minorEastAsia"/>
            </w:rPr>
            <w:fldChar w:fldCharType="end"/>
          </w:r>
          <w:r>
            <w:rPr>
              <w:rFonts w:eastAsiaTheme="minorEastAsia"/>
            </w:rPr>
            <w:fldChar w:fldCharType="end"/>
          </w:r>
        </w:p>
        <w:p w14:paraId="06571743">
          <w:pPr>
            <w:pStyle w:val="28"/>
            <w:rPr>
              <w:rFonts w:eastAsiaTheme="minorEastAsia"/>
            </w:rPr>
          </w:pPr>
          <w:r>
            <w:fldChar w:fldCharType="begin"/>
          </w:r>
          <w:r>
            <w:instrText xml:space="preserve"> HYPERLINK \l "_Toc182488003" </w:instrText>
          </w:r>
          <w:r>
            <w:fldChar w:fldCharType="separate"/>
          </w:r>
          <w:r>
            <w:rPr>
              <w:rFonts w:eastAsiaTheme="minorEastAsia"/>
            </w:rPr>
            <w:t>20.3施工工艺</w:t>
          </w:r>
          <w:r>
            <w:rPr>
              <w:rFonts w:eastAsiaTheme="minorEastAsia"/>
            </w:rPr>
            <w:tab/>
          </w:r>
          <w:r>
            <w:rPr>
              <w:rFonts w:eastAsiaTheme="minorEastAsia"/>
            </w:rPr>
            <w:fldChar w:fldCharType="begin"/>
          </w:r>
          <w:r>
            <w:rPr>
              <w:rFonts w:eastAsiaTheme="minorEastAsia"/>
            </w:rPr>
            <w:instrText xml:space="preserve"> PAGEREF _Toc182488003 \h </w:instrText>
          </w:r>
          <w:r>
            <w:rPr>
              <w:rFonts w:eastAsiaTheme="minorEastAsia"/>
            </w:rPr>
            <w:fldChar w:fldCharType="separate"/>
          </w:r>
          <w:r>
            <w:rPr>
              <w:rFonts w:eastAsiaTheme="minorEastAsia"/>
            </w:rPr>
            <w:t>82</w:t>
          </w:r>
          <w:r>
            <w:rPr>
              <w:rFonts w:eastAsiaTheme="minorEastAsia"/>
            </w:rPr>
            <w:fldChar w:fldCharType="end"/>
          </w:r>
          <w:r>
            <w:rPr>
              <w:rFonts w:eastAsiaTheme="minorEastAsia"/>
            </w:rPr>
            <w:fldChar w:fldCharType="end"/>
          </w:r>
        </w:p>
        <w:p w14:paraId="56240FF9">
          <w:pPr>
            <w:pStyle w:val="28"/>
            <w:rPr>
              <w:rFonts w:eastAsiaTheme="minorEastAsia"/>
            </w:rPr>
          </w:pPr>
          <w:r>
            <w:fldChar w:fldCharType="begin"/>
          </w:r>
          <w:r>
            <w:instrText xml:space="preserve"> HYPERLINK \l "_Toc182488004" </w:instrText>
          </w:r>
          <w:r>
            <w:fldChar w:fldCharType="separate"/>
          </w:r>
          <w:r>
            <w:rPr>
              <w:rFonts w:eastAsiaTheme="minorEastAsia"/>
            </w:rPr>
            <w:t>20.4质量记录</w:t>
          </w:r>
          <w:r>
            <w:rPr>
              <w:rFonts w:eastAsiaTheme="minorEastAsia"/>
            </w:rPr>
            <w:tab/>
          </w:r>
          <w:r>
            <w:rPr>
              <w:rFonts w:eastAsiaTheme="minorEastAsia"/>
            </w:rPr>
            <w:fldChar w:fldCharType="begin"/>
          </w:r>
          <w:r>
            <w:rPr>
              <w:rFonts w:eastAsiaTheme="minorEastAsia"/>
            </w:rPr>
            <w:instrText xml:space="preserve"> PAGEREF _Toc182488004 \h </w:instrText>
          </w:r>
          <w:r>
            <w:rPr>
              <w:rFonts w:eastAsiaTheme="minorEastAsia"/>
            </w:rPr>
            <w:fldChar w:fldCharType="separate"/>
          </w:r>
          <w:r>
            <w:rPr>
              <w:rFonts w:eastAsiaTheme="minorEastAsia"/>
            </w:rPr>
            <w:t>84</w:t>
          </w:r>
          <w:r>
            <w:rPr>
              <w:rFonts w:eastAsiaTheme="minorEastAsia"/>
            </w:rPr>
            <w:fldChar w:fldCharType="end"/>
          </w:r>
          <w:r>
            <w:rPr>
              <w:rFonts w:eastAsiaTheme="minorEastAsia"/>
            </w:rPr>
            <w:fldChar w:fldCharType="end"/>
          </w:r>
        </w:p>
        <w:p w14:paraId="4085AADC">
          <w:pPr>
            <w:pStyle w:val="28"/>
            <w:rPr>
              <w:rFonts w:eastAsiaTheme="minorEastAsia"/>
            </w:rPr>
          </w:pPr>
          <w:r>
            <w:fldChar w:fldCharType="begin"/>
          </w:r>
          <w:r>
            <w:instrText xml:space="preserve"> HYPERLINK \l "_Toc182488005" </w:instrText>
          </w:r>
          <w:r>
            <w:fldChar w:fldCharType="separate"/>
          </w:r>
          <w:r>
            <w:rPr>
              <w:rFonts w:eastAsiaTheme="minorEastAsia"/>
            </w:rPr>
            <w:t>21 机房工程</w:t>
          </w:r>
          <w:r>
            <w:rPr>
              <w:rFonts w:eastAsiaTheme="minorEastAsia"/>
            </w:rPr>
            <w:tab/>
          </w:r>
          <w:r>
            <w:rPr>
              <w:rFonts w:eastAsiaTheme="minorEastAsia"/>
            </w:rPr>
            <w:fldChar w:fldCharType="begin"/>
          </w:r>
          <w:r>
            <w:rPr>
              <w:rFonts w:eastAsiaTheme="minorEastAsia"/>
            </w:rPr>
            <w:instrText xml:space="preserve"> PAGEREF _Toc182488005 \h </w:instrText>
          </w:r>
          <w:r>
            <w:rPr>
              <w:rFonts w:eastAsiaTheme="minorEastAsia"/>
            </w:rPr>
            <w:fldChar w:fldCharType="separate"/>
          </w:r>
          <w:r>
            <w:rPr>
              <w:rFonts w:eastAsiaTheme="minorEastAsia"/>
            </w:rPr>
            <w:t>85</w:t>
          </w:r>
          <w:r>
            <w:rPr>
              <w:rFonts w:eastAsiaTheme="minorEastAsia"/>
            </w:rPr>
            <w:fldChar w:fldCharType="end"/>
          </w:r>
          <w:r>
            <w:rPr>
              <w:rFonts w:eastAsiaTheme="minorEastAsia"/>
            </w:rPr>
            <w:fldChar w:fldCharType="end"/>
          </w:r>
        </w:p>
        <w:p w14:paraId="62F886DF">
          <w:pPr>
            <w:pStyle w:val="28"/>
            <w:rPr>
              <w:rFonts w:eastAsiaTheme="minorEastAsia"/>
            </w:rPr>
          </w:pPr>
          <w:r>
            <w:fldChar w:fldCharType="begin"/>
          </w:r>
          <w:r>
            <w:instrText xml:space="preserve"> HYPERLINK \l "_Toc182488006" </w:instrText>
          </w:r>
          <w:r>
            <w:fldChar w:fldCharType="separate"/>
          </w:r>
          <w:r>
            <w:rPr>
              <w:rFonts w:eastAsiaTheme="minorEastAsia"/>
            </w:rPr>
            <w:t>21.1 一般规定</w:t>
          </w:r>
          <w:r>
            <w:rPr>
              <w:rFonts w:eastAsiaTheme="minorEastAsia"/>
            </w:rPr>
            <w:tab/>
          </w:r>
          <w:r>
            <w:rPr>
              <w:rFonts w:eastAsiaTheme="minorEastAsia"/>
            </w:rPr>
            <w:fldChar w:fldCharType="begin"/>
          </w:r>
          <w:r>
            <w:rPr>
              <w:rFonts w:eastAsiaTheme="minorEastAsia"/>
            </w:rPr>
            <w:instrText xml:space="preserve"> PAGEREF _Toc182488006 \h </w:instrText>
          </w:r>
          <w:r>
            <w:rPr>
              <w:rFonts w:eastAsiaTheme="minorEastAsia"/>
            </w:rPr>
            <w:fldChar w:fldCharType="separate"/>
          </w:r>
          <w:r>
            <w:rPr>
              <w:rFonts w:eastAsiaTheme="minorEastAsia"/>
            </w:rPr>
            <w:t>85</w:t>
          </w:r>
          <w:r>
            <w:rPr>
              <w:rFonts w:eastAsiaTheme="minorEastAsia"/>
            </w:rPr>
            <w:fldChar w:fldCharType="end"/>
          </w:r>
          <w:r>
            <w:rPr>
              <w:rFonts w:eastAsiaTheme="minorEastAsia"/>
            </w:rPr>
            <w:fldChar w:fldCharType="end"/>
          </w:r>
        </w:p>
        <w:p w14:paraId="735B07C1">
          <w:pPr>
            <w:pStyle w:val="28"/>
            <w:rPr>
              <w:rFonts w:eastAsiaTheme="minorEastAsia"/>
            </w:rPr>
          </w:pPr>
          <w:r>
            <w:fldChar w:fldCharType="begin"/>
          </w:r>
          <w:r>
            <w:instrText xml:space="preserve"> HYPERLINK \l "_Toc182488007" </w:instrText>
          </w:r>
          <w:r>
            <w:fldChar w:fldCharType="separate"/>
          </w:r>
          <w:r>
            <w:rPr>
              <w:rFonts w:eastAsiaTheme="minorEastAsia"/>
            </w:rPr>
            <w:t>21.2施工准备</w:t>
          </w:r>
          <w:r>
            <w:rPr>
              <w:rFonts w:eastAsiaTheme="minorEastAsia"/>
            </w:rPr>
            <w:tab/>
          </w:r>
          <w:r>
            <w:rPr>
              <w:rFonts w:eastAsiaTheme="minorEastAsia"/>
            </w:rPr>
            <w:fldChar w:fldCharType="begin"/>
          </w:r>
          <w:r>
            <w:rPr>
              <w:rFonts w:eastAsiaTheme="minorEastAsia"/>
            </w:rPr>
            <w:instrText xml:space="preserve"> PAGEREF _Toc182488007 \h </w:instrText>
          </w:r>
          <w:r>
            <w:rPr>
              <w:rFonts w:eastAsiaTheme="minorEastAsia"/>
            </w:rPr>
            <w:fldChar w:fldCharType="separate"/>
          </w:r>
          <w:r>
            <w:rPr>
              <w:rFonts w:eastAsiaTheme="minorEastAsia"/>
            </w:rPr>
            <w:t>85</w:t>
          </w:r>
          <w:r>
            <w:rPr>
              <w:rFonts w:eastAsiaTheme="minorEastAsia"/>
            </w:rPr>
            <w:fldChar w:fldCharType="end"/>
          </w:r>
          <w:r>
            <w:rPr>
              <w:rFonts w:eastAsiaTheme="minorEastAsia"/>
            </w:rPr>
            <w:fldChar w:fldCharType="end"/>
          </w:r>
        </w:p>
        <w:p w14:paraId="064562CA">
          <w:pPr>
            <w:pStyle w:val="28"/>
            <w:rPr>
              <w:rFonts w:eastAsiaTheme="minorEastAsia"/>
            </w:rPr>
          </w:pPr>
          <w:r>
            <w:fldChar w:fldCharType="begin"/>
          </w:r>
          <w:r>
            <w:instrText xml:space="preserve"> HYPERLINK \l "_Toc182488008" </w:instrText>
          </w:r>
          <w:r>
            <w:fldChar w:fldCharType="separate"/>
          </w:r>
          <w:r>
            <w:rPr>
              <w:rFonts w:eastAsiaTheme="minorEastAsia"/>
            </w:rPr>
            <w:t>21.3施工工艺</w:t>
          </w:r>
          <w:r>
            <w:rPr>
              <w:rFonts w:eastAsiaTheme="minorEastAsia"/>
            </w:rPr>
            <w:tab/>
          </w:r>
          <w:r>
            <w:rPr>
              <w:rFonts w:eastAsiaTheme="minorEastAsia"/>
            </w:rPr>
            <w:fldChar w:fldCharType="begin"/>
          </w:r>
          <w:r>
            <w:rPr>
              <w:rFonts w:eastAsiaTheme="minorEastAsia"/>
            </w:rPr>
            <w:instrText xml:space="preserve"> PAGEREF _Toc182488008 \h </w:instrText>
          </w:r>
          <w:r>
            <w:rPr>
              <w:rFonts w:eastAsiaTheme="minorEastAsia"/>
            </w:rPr>
            <w:fldChar w:fldCharType="separate"/>
          </w:r>
          <w:r>
            <w:rPr>
              <w:rFonts w:eastAsiaTheme="minorEastAsia"/>
            </w:rPr>
            <w:t>85</w:t>
          </w:r>
          <w:r>
            <w:rPr>
              <w:rFonts w:eastAsiaTheme="minorEastAsia"/>
            </w:rPr>
            <w:fldChar w:fldCharType="end"/>
          </w:r>
          <w:r>
            <w:rPr>
              <w:rFonts w:eastAsiaTheme="minorEastAsia"/>
            </w:rPr>
            <w:fldChar w:fldCharType="end"/>
          </w:r>
        </w:p>
        <w:p w14:paraId="2EEB939C">
          <w:pPr>
            <w:pStyle w:val="28"/>
            <w:rPr>
              <w:rFonts w:eastAsiaTheme="minorEastAsia"/>
            </w:rPr>
          </w:pPr>
          <w:r>
            <w:fldChar w:fldCharType="begin"/>
          </w:r>
          <w:r>
            <w:instrText xml:space="preserve"> HYPERLINK \l "_Toc182488009" </w:instrText>
          </w:r>
          <w:r>
            <w:fldChar w:fldCharType="separate"/>
          </w:r>
          <w:r>
            <w:rPr>
              <w:rFonts w:eastAsiaTheme="minorEastAsia"/>
            </w:rPr>
            <w:t>21.4质量记录</w:t>
          </w:r>
          <w:r>
            <w:rPr>
              <w:rFonts w:eastAsiaTheme="minorEastAsia"/>
            </w:rPr>
            <w:tab/>
          </w:r>
          <w:r>
            <w:rPr>
              <w:rFonts w:eastAsiaTheme="minorEastAsia"/>
            </w:rPr>
            <w:fldChar w:fldCharType="begin"/>
          </w:r>
          <w:r>
            <w:rPr>
              <w:rFonts w:eastAsiaTheme="minorEastAsia"/>
            </w:rPr>
            <w:instrText xml:space="preserve"> PAGEREF _Toc182488009 \h </w:instrText>
          </w:r>
          <w:r>
            <w:rPr>
              <w:rFonts w:eastAsiaTheme="minorEastAsia"/>
            </w:rPr>
            <w:fldChar w:fldCharType="separate"/>
          </w:r>
          <w:r>
            <w:rPr>
              <w:rFonts w:eastAsiaTheme="minorEastAsia"/>
            </w:rPr>
            <w:t>102</w:t>
          </w:r>
          <w:r>
            <w:rPr>
              <w:rFonts w:eastAsiaTheme="minorEastAsia"/>
            </w:rPr>
            <w:fldChar w:fldCharType="end"/>
          </w:r>
          <w:r>
            <w:rPr>
              <w:rFonts w:eastAsiaTheme="minorEastAsia"/>
            </w:rPr>
            <w:fldChar w:fldCharType="end"/>
          </w:r>
        </w:p>
        <w:p w14:paraId="1E8A924E">
          <w:pPr>
            <w:pStyle w:val="28"/>
            <w:rPr>
              <w:rFonts w:eastAsiaTheme="minorEastAsia"/>
            </w:rPr>
          </w:pPr>
          <w:r>
            <w:fldChar w:fldCharType="begin"/>
          </w:r>
          <w:r>
            <w:instrText xml:space="preserve"> HYPERLINK \l "_Toc182488010" </w:instrText>
          </w:r>
          <w:r>
            <w:fldChar w:fldCharType="separate"/>
          </w:r>
          <w:r>
            <w:rPr>
              <w:rFonts w:eastAsiaTheme="minorEastAsia"/>
            </w:rPr>
            <w:t>22 防雷与接地</w:t>
          </w:r>
          <w:r>
            <w:rPr>
              <w:rFonts w:eastAsiaTheme="minorEastAsia"/>
            </w:rPr>
            <w:tab/>
          </w:r>
          <w:r>
            <w:rPr>
              <w:rFonts w:eastAsiaTheme="minorEastAsia"/>
            </w:rPr>
            <w:fldChar w:fldCharType="begin"/>
          </w:r>
          <w:r>
            <w:rPr>
              <w:rFonts w:eastAsiaTheme="minorEastAsia"/>
            </w:rPr>
            <w:instrText xml:space="preserve"> PAGEREF _Toc182488010 \h </w:instrText>
          </w:r>
          <w:r>
            <w:rPr>
              <w:rFonts w:eastAsiaTheme="minorEastAsia"/>
            </w:rPr>
            <w:fldChar w:fldCharType="separate"/>
          </w:r>
          <w:r>
            <w:rPr>
              <w:rFonts w:eastAsiaTheme="minorEastAsia"/>
            </w:rPr>
            <w:t>103</w:t>
          </w:r>
          <w:r>
            <w:rPr>
              <w:rFonts w:eastAsiaTheme="minorEastAsia"/>
            </w:rPr>
            <w:fldChar w:fldCharType="end"/>
          </w:r>
          <w:r>
            <w:rPr>
              <w:rFonts w:eastAsiaTheme="minorEastAsia"/>
            </w:rPr>
            <w:fldChar w:fldCharType="end"/>
          </w:r>
        </w:p>
        <w:p w14:paraId="451B6A84">
          <w:pPr>
            <w:pStyle w:val="28"/>
            <w:rPr>
              <w:rFonts w:eastAsiaTheme="minorEastAsia"/>
            </w:rPr>
          </w:pPr>
          <w:r>
            <w:fldChar w:fldCharType="begin"/>
          </w:r>
          <w:r>
            <w:instrText xml:space="preserve"> HYPERLINK \l "_Toc182488011" </w:instrText>
          </w:r>
          <w:r>
            <w:fldChar w:fldCharType="separate"/>
          </w:r>
          <w:r>
            <w:rPr>
              <w:rFonts w:eastAsiaTheme="minorEastAsia"/>
            </w:rPr>
            <w:t>22.1 一般规定</w:t>
          </w:r>
          <w:r>
            <w:rPr>
              <w:rFonts w:eastAsiaTheme="minorEastAsia"/>
            </w:rPr>
            <w:tab/>
          </w:r>
          <w:r>
            <w:rPr>
              <w:rFonts w:eastAsiaTheme="minorEastAsia"/>
            </w:rPr>
            <w:fldChar w:fldCharType="begin"/>
          </w:r>
          <w:r>
            <w:rPr>
              <w:rFonts w:eastAsiaTheme="minorEastAsia"/>
            </w:rPr>
            <w:instrText xml:space="preserve"> PAGEREF _Toc182488011 \h </w:instrText>
          </w:r>
          <w:r>
            <w:rPr>
              <w:rFonts w:eastAsiaTheme="minorEastAsia"/>
            </w:rPr>
            <w:fldChar w:fldCharType="separate"/>
          </w:r>
          <w:r>
            <w:rPr>
              <w:rFonts w:eastAsiaTheme="minorEastAsia"/>
            </w:rPr>
            <w:t>103</w:t>
          </w:r>
          <w:r>
            <w:rPr>
              <w:rFonts w:eastAsiaTheme="minorEastAsia"/>
            </w:rPr>
            <w:fldChar w:fldCharType="end"/>
          </w:r>
          <w:r>
            <w:rPr>
              <w:rFonts w:eastAsiaTheme="minorEastAsia"/>
            </w:rPr>
            <w:fldChar w:fldCharType="end"/>
          </w:r>
        </w:p>
        <w:p w14:paraId="47D21BED">
          <w:pPr>
            <w:pStyle w:val="28"/>
            <w:rPr>
              <w:rFonts w:eastAsiaTheme="minorEastAsia"/>
            </w:rPr>
          </w:pPr>
          <w:r>
            <w:fldChar w:fldCharType="begin"/>
          </w:r>
          <w:r>
            <w:instrText xml:space="preserve"> HYPERLINK \l "_Toc182488012" </w:instrText>
          </w:r>
          <w:r>
            <w:fldChar w:fldCharType="separate"/>
          </w:r>
          <w:r>
            <w:rPr>
              <w:rFonts w:eastAsiaTheme="minorEastAsia"/>
            </w:rPr>
            <w:t>22.2 施工准备</w:t>
          </w:r>
          <w:r>
            <w:rPr>
              <w:rFonts w:eastAsiaTheme="minorEastAsia"/>
            </w:rPr>
            <w:tab/>
          </w:r>
          <w:r>
            <w:rPr>
              <w:rFonts w:eastAsiaTheme="minorEastAsia"/>
            </w:rPr>
            <w:fldChar w:fldCharType="begin"/>
          </w:r>
          <w:r>
            <w:rPr>
              <w:rFonts w:eastAsiaTheme="minorEastAsia"/>
            </w:rPr>
            <w:instrText xml:space="preserve"> PAGEREF _Toc182488012 \h </w:instrText>
          </w:r>
          <w:r>
            <w:rPr>
              <w:rFonts w:eastAsiaTheme="minorEastAsia"/>
            </w:rPr>
            <w:fldChar w:fldCharType="separate"/>
          </w:r>
          <w:r>
            <w:rPr>
              <w:rFonts w:eastAsiaTheme="minorEastAsia"/>
            </w:rPr>
            <w:t>103</w:t>
          </w:r>
          <w:r>
            <w:rPr>
              <w:rFonts w:eastAsiaTheme="minorEastAsia"/>
            </w:rPr>
            <w:fldChar w:fldCharType="end"/>
          </w:r>
          <w:r>
            <w:rPr>
              <w:rFonts w:eastAsiaTheme="minorEastAsia"/>
            </w:rPr>
            <w:fldChar w:fldCharType="end"/>
          </w:r>
        </w:p>
        <w:p w14:paraId="628621FF">
          <w:pPr>
            <w:pStyle w:val="28"/>
            <w:rPr>
              <w:rFonts w:eastAsiaTheme="minorEastAsia"/>
            </w:rPr>
          </w:pPr>
          <w:r>
            <w:fldChar w:fldCharType="begin"/>
          </w:r>
          <w:r>
            <w:instrText xml:space="preserve"> HYPERLINK \l "_Toc182488013" </w:instrText>
          </w:r>
          <w:r>
            <w:fldChar w:fldCharType="separate"/>
          </w:r>
          <w:r>
            <w:rPr>
              <w:rFonts w:eastAsiaTheme="minorEastAsia"/>
            </w:rPr>
            <w:t>22.3 施工工艺</w:t>
          </w:r>
          <w:r>
            <w:rPr>
              <w:rFonts w:eastAsiaTheme="minorEastAsia"/>
            </w:rPr>
            <w:tab/>
          </w:r>
          <w:r>
            <w:rPr>
              <w:rFonts w:eastAsiaTheme="minorEastAsia"/>
            </w:rPr>
            <w:fldChar w:fldCharType="begin"/>
          </w:r>
          <w:r>
            <w:rPr>
              <w:rFonts w:eastAsiaTheme="minorEastAsia"/>
            </w:rPr>
            <w:instrText xml:space="preserve"> PAGEREF _Toc182488013 \h </w:instrText>
          </w:r>
          <w:r>
            <w:rPr>
              <w:rFonts w:eastAsiaTheme="minorEastAsia"/>
            </w:rPr>
            <w:fldChar w:fldCharType="separate"/>
          </w:r>
          <w:r>
            <w:rPr>
              <w:rFonts w:eastAsiaTheme="minorEastAsia"/>
            </w:rPr>
            <w:t>103</w:t>
          </w:r>
          <w:r>
            <w:rPr>
              <w:rFonts w:eastAsiaTheme="minorEastAsia"/>
            </w:rPr>
            <w:fldChar w:fldCharType="end"/>
          </w:r>
          <w:r>
            <w:rPr>
              <w:rFonts w:eastAsiaTheme="minorEastAsia"/>
            </w:rPr>
            <w:fldChar w:fldCharType="end"/>
          </w:r>
        </w:p>
        <w:p w14:paraId="4ED317BE">
          <w:pPr>
            <w:pStyle w:val="28"/>
            <w:rPr>
              <w:rFonts w:eastAsiaTheme="minorEastAsia"/>
            </w:rPr>
          </w:pPr>
          <w:r>
            <w:fldChar w:fldCharType="begin"/>
          </w:r>
          <w:r>
            <w:instrText xml:space="preserve"> HYPERLINK \l "_Toc182488014" </w:instrText>
          </w:r>
          <w:r>
            <w:fldChar w:fldCharType="separate"/>
          </w:r>
          <w:r>
            <w:rPr>
              <w:rFonts w:eastAsiaTheme="minorEastAsia"/>
            </w:rPr>
            <w:t>22.4 质量记录</w:t>
          </w:r>
          <w:r>
            <w:rPr>
              <w:rFonts w:eastAsiaTheme="minorEastAsia"/>
            </w:rPr>
            <w:tab/>
          </w:r>
          <w:r>
            <w:rPr>
              <w:rFonts w:eastAsiaTheme="minorEastAsia"/>
            </w:rPr>
            <w:fldChar w:fldCharType="begin"/>
          </w:r>
          <w:r>
            <w:rPr>
              <w:rFonts w:eastAsiaTheme="minorEastAsia"/>
            </w:rPr>
            <w:instrText xml:space="preserve"> PAGEREF _Toc182488014 \h </w:instrText>
          </w:r>
          <w:r>
            <w:rPr>
              <w:rFonts w:eastAsiaTheme="minorEastAsia"/>
            </w:rPr>
            <w:fldChar w:fldCharType="separate"/>
          </w:r>
          <w:r>
            <w:rPr>
              <w:rFonts w:eastAsiaTheme="minorEastAsia"/>
            </w:rPr>
            <w:t>106</w:t>
          </w:r>
          <w:r>
            <w:rPr>
              <w:rFonts w:eastAsiaTheme="minorEastAsia"/>
            </w:rPr>
            <w:fldChar w:fldCharType="end"/>
          </w:r>
          <w:r>
            <w:rPr>
              <w:rFonts w:eastAsiaTheme="minorEastAsia"/>
            </w:rPr>
            <w:fldChar w:fldCharType="end"/>
          </w:r>
        </w:p>
        <w:p w14:paraId="1342A147">
          <w:pPr>
            <w:pStyle w:val="28"/>
            <w:rPr>
              <w:rFonts w:eastAsiaTheme="minorEastAsia"/>
            </w:rPr>
          </w:pPr>
          <w:r>
            <w:fldChar w:fldCharType="begin"/>
          </w:r>
          <w:r>
            <w:instrText xml:space="preserve"> HYPERLINK \l "_Toc182488015" </w:instrText>
          </w:r>
          <w:r>
            <w:fldChar w:fldCharType="separate"/>
          </w:r>
          <w:r>
            <w:rPr>
              <w:rFonts w:eastAsiaTheme="minorEastAsia"/>
            </w:rPr>
            <w:t>本规程用词说明</w:t>
          </w:r>
          <w:r>
            <w:rPr>
              <w:rFonts w:eastAsiaTheme="minorEastAsia"/>
            </w:rPr>
            <w:tab/>
          </w:r>
          <w:r>
            <w:rPr>
              <w:rFonts w:eastAsiaTheme="minorEastAsia"/>
            </w:rPr>
            <w:fldChar w:fldCharType="begin"/>
          </w:r>
          <w:r>
            <w:rPr>
              <w:rFonts w:eastAsiaTheme="minorEastAsia"/>
            </w:rPr>
            <w:instrText xml:space="preserve"> PAGEREF _Toc182488015 \h </w:instrText>
          </w:r>
          <w:r>
            <w:rPr>
              <w:rFonts w:eastAsiaTheme="minorEastAsia"/>
            </w:rPr>
            <w:fldChar w:fldCharType="separate"/>
          </w:r>
          <w:r>
            <w:rPr>
              <w:rFonts w:eastAsiaTheme="minorEastAsia"/>
            </w:rPr>
            <w:t>107</w:t>
          </w:r>
          <w:r>
            <w:rPr>
              <w:rFonts w:eastAsiaTheme="minorEastAsia"/>
            </w:rPr>
            <w:fldChar w:fldCharType="end"/>
          </w:r>
          <w:r>
            <w:rPr>
              <w:rFonts w:eastAsiaTheme="minorEastAsia"/>
            </w:rPr>
            <w:fldChar w:fldCharType="end"/>
          </w:r>
        </w:p>
        <w:p w14:paraId="7E31DEAE">
          <w:pPr>
            <w:pStyle w:val="28"/>
            <w:rPr>
              <w:rFonts w:eastAsiaTheme="minorEastAsia"/>
            </w:rPr>
          </w:pPr>
          <w:r>
            <w:fldChar w:fldCharType="begin"/>
          </w:r>
          <w:r>
            <w:instrText xml:space="preserve"> HYPERLINK \l "_Toc182488016" </w:instrText>
          </w:r>
          <w:r>
            <w:fldChar w:fldCharType="separate"/>
          </w:r>
          <w:r>
            <w:rPr>
              <w:rFonts w:eastAsiaTheme="minorEastAsia"/>
            </w:rPr>
            <w:t>引用标准名录</w:t>
          </w:r>
          <w:r>
            <w:rPr>
              <w:rFonts w:eastAsiaTheme="minorEastAsia"/>
            </w:rPr>
            <w:tab/>
          </w:r>
          <w:r>
            <w:rPr>
              <w:rFonts w:eastAsiaTheme="minorEastAsia"/>
            </w:rPr>
            <w:fldChar w:fldCharType="begin"/>
          </w:r>
          <w:r>
            <w:rPr>
              <w:rFonts w:eastAsiaTheme="minorEastAsia"/>
            </w:rPr>
            <w:instrText xml:space="preserve"> PAGEREF _Toc182488016 \h </w:instrText>
          </w:r>
          <w:r>
            <w:rPr>
              <w:rFonts w:eastAsiaTheme="minorEastAsia"/>
            </w:rPr>
            <w:fldChar w:fldCharType="separate"/>
          </w:r>
          <w:r>
            <w:rPr>
              <w:rFonts w:eastAsiaTheme="minorEastAsia"/>
            </w:rPr>
            <w:t>108</w:t>
          </w:r>
          <w:r>
            <w:rPr>
              <w:rFonts w:eastAsiaTheme="minorEastAsia"/>
            </w:rPr>
            <w:fldChar w:fldCharType="end"/>
          </w:r>
          <w:r>
            <w:rPr>
              <w:rFonts w:eastAsiaTheme="minorEastAsia"/>
            </w:rPr>
            <w:fldChar w:fldCharType="end"/>
          </w:r>
        </w:p>
        <w:p w14:paraId="24E3DA59">
          <w:pPr>
            <w:pStyle w:val="28"/>
            <w:rPr>
              <w:rFonts w:ascii="Times New Roman" w:hAnsi="Times New Roman" w:eastAsiaTheme="minorEastAsia"/>
            </w:rPr>
          </w:pPr>
          <w:r>
            <w:rPr>
              <w:rFonts w:eastAsiaTheme="minorEastAsia"/>
            </w:rPr>
            <w:fldChar w:fldCharType="end"/>
          </w:r>
        </w:p>
      </w:sdtContent>
    </w:sdt>
    <w:p w14:paraId="543C4E8A">
      <w:pPr>
        <w:pStyle w:val="19"/>
        <w:tabs>
          <w:tab w:val="right" w:leader="dot" w:pos="8302"/>
        </w:tabs>
        <w:spacing w:line="240" w:lineRule="auto"/>
        <w:ind w:left="420" w:leftChars="200"/>
        <w:jc w:val="left"/>
        <w:rPr>
          <w:rFonts w:eastAsiaTheme="minorEastAsia"/>
        </w:rPr>
      </w:pPr>
    </w:p>
    <w:p w14:paraId="289DE58B">
      <w:pPr>
        <w:ind w:left="105" w:hanging="105"/>
        <w:rPr>
          <w:rFonts w:ascii="Times New Roman" w:hAnsi="Times New Roman"/>
        </w:rPr>
      </w:pPr>
    </w:p>
    <w:p w14:paraId="4C7BBE11">
      <w:pPr>
        <w:ind w:left="105" w:hanging="105"/>
        <w:rPr>
          <w:rFonts w:ascii="Times New Roman" w:hAnsi="Times New Roman"/>
        </w:rPr>
      </w:pPr>
    </w:p>
    <w:p w14:paraId="42377156">
      <w:pPr>
        <w:ind w:left="105" w:hanging="105"/>
        <w:rPr>
          <w:rFonts w:ascii="Times New Roman" w:hAnsi="Times New Roman"/>
        </w:rPr>
      </w:pPr>
    </w:p>
    <w:p w14:paraId="5B4ABC6B">
      <w:pPr>
        <w:ind w:left="105" w:hanging="105"/>
        <w:rPr>
          <w:rFonts w:ascii="Times New Roman" w:hAnsi="Times New Roman" w:eastAsiaTheme="minorEastAsia"/>
          <w:szCs w:val="21"/>
        </w:rPr>
        <w:sectPr>
          <w:headerReference r:id="rId17" w:type="default"/>
          <w:footerReference r:id="rId19" w:type="default"/>
          <w:headerReference r:id="rId18" w:type="even"/>
          <w:footerReference r:id="rId20" w:type="even"/>
          <w:pgSz w:w="11900" w:h="16840"/>
          <w:pgMar w:top="1558" w:right="1544" w:bottom="1113" w:left="1564" w:header="0" w:footer="567" w:gutter="0"/>
          <w:cols w:space="720" w:num="1"/>
          <w:docGrid w:linePitch="360" w:charSpace="0"/>
        </w:sectPr>
      </w:pPr>
    </w:p>
    <w:p w14:paraId="422CD307">
      <w:pPr>
        <w:pStyle w:val="33"/>
        <w:tabs>
          <w:tab w:val="right" w:leader="dot" w:pos="8307"/>
        </w:tabs>
        <w:ind w:left="120" w:hanging="120"/>
        <w:jc w:val="center"/>
        <w:rPr>
          <w:rFonts w:eastAsiaTheme="minorEastAsia"/>
          <w:smallCaps w:val="0"/>
          <w:szCs w:val="21"/>
        </w:rPr>
      </w:pPr>
      <w:r>
        <w:rPr>
          <w:rFonts w:eastAsiaTheme="minorEastAsia"/>
          <w:smallCaps w:val="0"/>
          <w:szCs w:val="21"/>
        </w:rPr>
        <w:t xml:space="preserve">Contents </w:t>
      </w:r>
    </w:p>
    <w:sdt>
      <w:sdtPr>
        <w:rPr>
          <w:rFonts w:ascii="Times New Roman" w:hAnsi="Times New Roman"/>
        </w:rPr>
        <w:id w:val="-1120371659"/>
        <w:docPartObj>
          <w:docPartGallery w:val="Table of Contents"/>
          <w:docPartUnique/>
        </w:docPartObj>
      </w:sdtPr>
      <w:sdtEndPr>
        <w:rPr>
          <w:rFonts w:ascii="Times New Roman" w:hAnsi="Times New Roman" w:eastAsiaTheme="minorEastAsia"/>
        </w:rPr>
      </w:sdtEndPr>
      <w:sdtContent>
        <w:p w14:paraId="4CA88D9C">
          <w:pPr>
            <w:ind w:left="105" w:hanging="105"/>
            <w:rPr>
              <w:rFonts w:ascii="Times New Roman" w:hAnsi="Times New Roman"/>
              <w:szCs w:val="24"/>
            </w:rPr>
          </w:pPr>
        </w:p>
        <w:p w14:paraId="794D6559">
          <w:pPr>
            <w:pStyle w:val="28"/>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TOC \o "1-3" \h \z \u </w:instrText>
          </w:r>
          <w:r>
            <w:rPr>
              <w:rFonts w:ascii="Times New Roman" w:hAnsi="Times New Roman" w:eastAsiaTheme="minorEastAsia"/>
            </w:rPr>
            <w:fldChar w:fldCharType="separate"/>
          </w:r>
          <w:r>
            <w:fldChar w:fldCharType="begin"/>
          </w:r>
          <w:r>
            <w:instrText xml:space="preserve"> HYPERLINK \l "_Toc171955088" </w:instrText>
          </w:r>
          <w:r>
            <w:fldChar w:fldCharType="separate"/>
          </w:r>
          <w:r>
            <w:rPr>
              <w:rFonts w:ascii="Times New Roman" w:hAnsi="Times New Roman" w:eastAsiaTheme="minorEastAsia"/>
            </w:rPr>
            <w:t>1 General provisions</w:t>
          </w:r>
          <w:r>
            <w:rPr>
              <w:rFonts w:ascii="Times New Roman" w:hAnsi="Times New Roman" w:eastAsiaTheme="minorEastAsia"/>
            </w:rPr>
            <w:tab/>
          </w:r>
          <w:r>
            <w:rPr>
              <w:rFonts w:ascii="Times New Roman" w:hAnsi="Times New Roman" w:eastAsiaTheme="minorEastAsia"/>
            </w:rPr>
            <w:t>7</w:t>
          </w:r>
          <w:r>
            <w:rPr>
              <w:rFonts w:ascii="Times New Roman" w:hAnsi="Times New Roman" w:eastAsiaTheme="minorEastAsia"/>
            </w:rPr>
            <w:fldChar w:fldCharType="end"/>
          </w:r>
        </w:p>
        <w:p w14:paraId="2935F2B5">
          <w:pPr>
            <w:pStyle w:val="28"/>
            <w:rPr>
              <w:rFonts w:ascii="Times New Roman" w:hAnsi="Times New Roman" w:eastAsiaTheme="minorEastAsia"/>
            </w:rPr>
          </w:pPr>
          <w:r>
            <w:fldChar w:fldCharType="begin"/>
          </w:r>
          <w:r>
            <w:instrText xml:space="preserve"> HYPERLINK \l "_Toc171955089" </w:instrText>
          </w:r>
          <w:r>
            <w:fldChar w:fldCharType="separate"/>
          </w:r>
          <w:r>
            <w:rPr>
              <w:rFonts w:ascii="Times New Roman" w:hAnsi="Times New Roman" w:eastAsiaTheme="minorEastAsia"/>
            </w:rPr>
            <w:t>2 Terms</w:t>
          </w:r>
          <w:r>
            <w:rPr>
              <w:rFonts w:ascii="Times New Roman" w:hAnsi="Times New Roman" w:eastAsiaTheme="minorEastAsia"/>
            </w:rPr>
            <w:tab/>
          </w:r>
          <w:r>
            <w:rPr>
              <w:rFonts w:ascii="Times New Roman" w:hAnsi="Times New Roman" w:eastAsiaTheme="minorEastAsia"/>
            </w:rPr>
            <w:t>8</w:t>
          </w:r>
          <w:r>
            <w:rPr>
              <w:rFonts w:ascii="Times New Roman" w:hAnsi="Times New Roman" w:eastAsiaTheme="minorEastAsia"/>
            </w:rPr>
            <w:fldChar w:fldCharType="end"/>
          </w:r>
        </w:p>
        <w:p w14:paraId="15ACC879">
          <w:pPr>
            <w:pStyle w:val="28"/>
            <w:rPr>
              <w:rFonts w:ascii="Times New Roman" w:hAnsi="Times New Roman" w:eastAsiaTheme="minorEastAsia"/>
            </w:rPr>
          </w:pPr>
          <w:r>
            <w:fldChar w:fldCharType="begin"/>
          </w:r>
          <w:r>
            <w:instrText xml:space="preserve"> HYPERLINK \l "_Toc171955090" </w:instrText>
          </w:r>
          <w:r>
            <w:fldChar w:fldCharType="separate"/>
          </w:r>
          <w:r>
            <w:rPr>
              <w:rFonts w:ascii="Times New Roman" w:hAnsi="Times New Roman" w:eastAsiaTheme="minorEastAsia"/>
            </w:rPr>
            <w:t>3 Basic requirements</w:t>
          </w:r>
          <w:r>
            <w:rPr>
              <w:rFonts w:ascii="Times New Roman" w:hAnsi="Times New Roman" w:eastAsiaTheme="minorEastAsia"/>
            </w:rPr>
            <w:tab/>
          </w:r>
          <w:r>
            <w:rPr>
              <w:rFonts w:ascii="Times New Roman" w:hAnsi="Times New Roman" w:eastAsiaTheme="minorEastAsia"/>
            </w:rPr>
            <w:t>9</w:t>
          </w:r>
          <w:r>
            <w:rPr>
              <w:rFonts w:ascii="Times New Roman" w:hAnsi="Times New Roman" w:eastAsiaTheme="minorEastAsia"/>
            </w:rPr>
            <w:fldChar w:fldCharType="end"/>
          </w:r>
        </w:p>
        <w:p w14:paraId="20937EB5">
          <w:pPr>
            <w:pStyle w:val="28"/>
            <w:rPr>
              <w:rFonts w:ascii="Times New Roman" w:hAnsi="Times New Roman" w:eastAsiaTheme="minorEastAsia"/>
            </w:rPr>
          </w:pPr>
          <w:r>
            <w:fldChar w:fldCharType="begin"/>
          </w:r>
          <w:r>
            <w:instrText xml:space="preserve"> HYPERLINK \l "_Toc171955091" </w:instrText>
          </w:r>
          <w:r>
            <w:fldChar w:fldCharType="separate"/>
          </w:r>
          <w:r>
            <w:rPr>
              <w:rFonts w:ascii="Times New Roman" w:hAnsi="Times New Roman" w:eastAsiaTheme="minorEastAsia"/>
            </w:rPr>
            <w:t>3.1 Project implementation</w:t>
          </w:r>
          <w:r>
            <w:rPr>
              <w:rFonts w:ascii="Times New Roman" w:hAnsi="Times New Roman" w:eastAsiaTheme="minorEastAsia"/>
            </w:rPr>
            <w:tab/>
          </w:r>
          <w:r>
            <w:rPr>
              <w:rFonts w:ascii="Times New Roman" w:hAnsi="Times New Roman" w:eastAsiaTheme="minorEastAsia"/>
            </w:rPr>
            <w:t>9</w:t>
          </w:r>
          <w:r>
            <w:rPr>
              <w:rFonts w:ascii="Times New Roman" w:hAnsi="Times New Roman" w:eastAsiaTheme="minorEastAsia"/>
            </w:rPr>
            <w:fldChar w:fldCharType="end"/>
          </w:r>
        </w:p>
        <w:p w14:paraId="5570BACC">
          <w:pPr>
            <w:pStyle w:val="28"/>
            <w:rPr>
              <w:rFonts w:ascii="Times New Roman" w:hAnsi="Times New Roman" w:eastAsiaTheme="minorEastAsia"/>
            </w:rPr>
          </w:pPr>
          <w:r>
            <w:fldChar w:fldCharType="begin"/>
          </w:r>
          <w:r>
            <w:instrText xml:space="preserve"> HYPERLINK \l "_Toc171955092" </w:instrText>
          </w:r>
          <w:r>
            <w:fldChar w:fldCharType="separate"/>
          </w:r>
          <w:r>
            <w:rPr>
              <w:rFonts w:ascii="Times New Roman" w:hAnsi="Times New Roman" w:eastAsiaTheme="minorEastAsia"/>
            </w:rPr>
            <w:t>3.2 Quality assurance</w:t>
          </w:r>
          <w:r>
            <w:rPr>
              <w:rFonts w:ascii="Times New Roman" w:hAnsi="Times New Roman" w:eastAsiaTheme="minorEastAsia"/>
            </w:rPr>
            <w:tab/>
          </w:r>
          <w:r>
            <w:rPr>
              <w:rFonts w:ascii="Times New Roman" w:hAnsi="Times New Roman" w:eastAsiaTheme="minorEastAsia"/>
            </w:rPr>
            <w:t>9</w:t>
          </w:r>
          <w:r>
            <w:rPr>
              <w:rFonts w:ascii="Times New Roman" w:hAnsi="Times New Roman" w:eastAsiaTheme="minorEastAsia"/>
            </w:rPr>
            <w:fldChar w:fldCharType="end"/>
          </w:r>
        </w:p>
        <w:p w14:paraId="60BB042A">
          <w:pPr>
            <w:pStyle w:val="28"/>
            <w:rPr>
              <w:rFonts w:ascii="Times New Roman" w:hAnsi="Times New Roman" w:eastAsiaTheme="minorEastAsia"/>
            </w:rPr>
          </w:pPr>
          <w:r>
            <w:fldChar w:fldCharType="begin"/>
          </w:r>
          <w:r>
            <w:instrText xml:space="preserve"> HYPERLINK \l "_Toc171955093" </w:instrText>
          </w:r>
          <w:r>
            <w:fldChar w:fldCharType="separate"/>
          </w:r>
          <w:r>
            <w:rPr>
              <w:rFonts w:ascii="Times New Roman" w:hAnsi="Times New Roman" w:eastAsiaTheme="minorEastAsia"/>
            </w:rPr>
            <w:t>3.3 Finished product protections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_Toc171955093 \h </w:instrText>
          </w:r>
          <w:r>
            <w:rPr>
              <w:rFonts w:ascii="Times New Roman" w:hAnsi="Times New Roman" w:eastAsiaTheme="minorEastAsia"/>
            </w:rPr>
            <w:fldChar w:fldCharType="separate"/>
          </w:r>
          <w:r>
            <w:rPr>
              <w:rFonts w:ascii="Times New Roman" w:hAnsi="Times New Roman" w:eastAsiaTheme="minorEastAsia"/>
            </w:rPr>
            <w:t>10</w:t>
          </w:r>
          <w:r>
            <w:rPr>
              <w:rFonts w:ascii="Times New Roman" w:hAnsi="Times New Roman" w:eastAsiaTheme="minorEastAsia"/>
            </w:rPr>
            <w:fldChar w:fldCharType="end"/>
          </w:r>
          <w:r>
            <w:rPr>
              <w:rFonts w:ascii="Times New Roman" w:hAnsi="Times New Roman" w:eastAsiaTheme="minorEastAsia"/>
            </w:rPr>
            <w:fldChar w:fldCharType="end"/>
          </w:r>
        </w:p>
        <w:p w14:paraId="019BBA38">
          <w:pPr>
            <w:pStyle w:val="28"/>
            <w:rPr>
              <w:rFonts w:ascii="Times New Roman" w:hAnsi="Times New Roman" w:eastAsiaTheme="minorEastAsia"/>
            </w:rPr>
          </w:pPr>
          <w:r>
            <w:fldChar w:fldCharType="begin"/>
          </w:r>
          <w:r>
            <w:instrText xml:space="preserve"> HYPERLINK \l "_Toc171955094" </w:instrText>
          </w:r>
          <w:r>
            <w:fldChar w:fldCharType="separate"/>
          </w:r>
          <w:r>
            <w:rPr>
              <w:rFonts w:ascii="Times New Roman" w:hAnsi="Times New Roman" w:eastAsiaTheme="minorEastAsia"/>
            </w:rPr>
            <w:t>3.4Construction precautions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_Toc171955094 \h </w:instrText>
          </w:r>
          <w:r>
            <w:rPr>
              <w:rFonts w:ascii="Times New Roman" w:hAnsi="Times New Roman" w:eastAsiaTheme="minorEastAsia"/>
            </w:rPr>
            <w:fldChar w:fldCharType="separate"/>
          </w:r>
          <w:r>
            <w:rPr>
              <w:rFonts w:ascii="Times New Roman" w:hAnsi="Times New Roman" w:eastAsiaTheme="minorEastAsia"/>
            </w:rPr>
            <w:t>10</w:t>
          </w:r>
          <w:r>
            <w:rPr>
              <w:rFonts w:ascii="Times New Roman" w:hAnsi="Times New Roman" w:eastAsiaTheme="minorEastAsia"/>
            </w:rPr>
            <w:fldChar w:fldCharType="end"/>
          </w:r>
          <w:r>
            <w:rPr>
              <w:rFonts w:ascii="Times New Roman" w:hAnsi="Times New Roman" w:eastAsiaTheme="minorEastAsia"/>
            </w:rPr>
            <w:fldChar w:fldCharType="end"/>
          </w:r>
        </w:p>
        <w:p w14:paraId="4E43AC97">
          <w:pPr>
            <w:pStyle w:val="28"/>
            <w:rPr>
              <w:rFonts w:ascii="Times New Roman" w:hAnsi="Times New Roman" w:eastAsiaTheme="minorEastAsia"/>
            </w:rPr>
          </w:pPr>
          <w:r>
            <w:fldChar w:fldCharType="begin"/>
          </w:r>
          <w:r>
            <w:instrText xml:space="preserve"> HYPERLINK \l "_Toc171955095" </w:instrText>
          </w:r>
          <w:r>
            <w:fldChar w:fldCharType="separate"/>
          </w:r>
          <w:r>
            <w:rPr>
              <w:rFonts w:ascii="Times New Roman" w:hAnsi="Times New Roman" w:eastAsiaTheme="minorEastAsia"/>
            </w:rPr>
            <w:t>4 Intelligent integrated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_Toc171955095 \h </w:instrText>
          </w:r>
          <w:r>
            <w:rPr>
              <w:rFonts w:ascii="Times New Roman" w:hAnsi="Times New Roman" w:eastAsiaTheme="minorEastAsia"/>
            </w:rPr>
            <w:fldChar w:fldCharType="separate"/>
          </w:r>
          <w:r>
            <w:rPr>
              <w:rFonts w:ascii="Times New Roman" w:hAnsi="Times New Roman" w:eastAsiaTheme="minorEastAsia"/>
            </w:rPr>
            <w:t>12</w:t>
          </w:r>
          <w:r>
            <w:rPr>
              <w:rFonts w:ascii="Times New Roman" w:hAnsi="Times New Roman" w:eastAsiaTheme="minorEastAsia"/>
            </w:rPr>
            <w:fldChar w:fldCharType="end"/>
          </w:r>
          <w:r>
            <w:rPr>
              <w:rFonts w:ascii="Times New Roman" w:hAnsi="Times New Roman" w:eastAsiaTheme="minorEastAsia"/>
            </w:rPr>
            <w:fldChar w:fldCharType="end"/>
          </w:r>
        </w:p>
        <w:p w14:paraId="15410A2E">
          <w:pPr>
            <w:pStyle w:val="28"/>
            <w:rPr>
              <w:rFonts w:ascii="Times New Roman" w:hAnsi="Times New Roman" w:eastAsiaTheme="minorEastAsia"/>
            </w:rPr>
          </w:pPr>
          <w:r>
            <w:fldChar w:fldCharType="begin"/>
          </w:r>
          <w:r>
            <w:instrText xml:space="preserve"> HYPERLINK \l "_Toc171955096" </w:instrText>
          </w:r>
          <w:r>
            <w:fldChar w:fldCharType="separate"/>
          </w:r>
          <w:r>
            <w:rPr>
              <w:rFonts w:ascii="Times New Roman" w:hAnsi="Times New Roman" w:eastAsiaTheme="minorEastAsia"/>
            </w:rPr>
            <w:t>4.1General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_Toc171955096 \h </w:instrText>
          </w:r>
          <w:r>
            <w:rPr>
              <w:rFonts w:ascii="Times New Roman" w:hAnsi="Times New Roman" w:eastAsiaTheme="minorEastAsia"/>
            </w:rPr>
            <w:fldChar w:fldCharType="separate"/>
          </w:r>
          <w:r>
            <w:rPr>
              <w:rFonts w:ascii="Times New Roman" w:hAnsi="Times New Roman" w:eastAsiaTheme="minorEastAsia"/>
            </w:rPr>
            <w:t>12</w:t>
          </w:r>
          <w:r>
            <w:rPr>
              <w:rFonts w:ascii="Times New Roman" w:hAnsi="Times New Roman" w:eastAsiaTheme="minorEastAsia"/>
            </w:rPr>
            <w:fldChar w:fldCharType="end"/>
          </w:r>
          <w:r>
            <w:rPr>
              <w:rFonts w:ascii="Times New Roman" w:hAnsi="Times New Roman" w:eastAsiaTheme="minorEastAsia"/>
            </w:rPr>
            <w:fldChar w:fldCharType="end"/>
          </w:r>
        </w:p>
        <w:p w14:paraId="7B30462C">
          <w:pPr>
            <w:pStyle w:val="28"/>
            <w:rPr>
              <w:rFonts w:ascii="Times New Roman" w:hAnsi="Times New Roman" w:eastAsiaTheme="minorEastAsia"/>
            </w:rPr>
          </w:pPr>
          <w:r>
            <w:fldChar w:fldCharType="begin"/>
          </w:r>
          <w:r>
            <w:instrText xml:space="preserve"> HYPERLINK \l "_Toc171955097" </w:instrText>
          </w:r>
          <w:r>
            <w:fldChar w:fldCharType="separate"/>
          </w:r>
          <w:r>
            <w:rPr>
              <w:rFonts w:ascii="Times New Roman" w:hAnsi="Times New Roman" w:eastAsiaTheme="minorEastAsia"/>
            </w:rPr>
            <w:t>4.2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_Toc171955097 \h </w:instrText>
          </w:r>
          <w:r>
            <w:rPr>
              <w:rFonts w:ascii="Times New Roman" w:hAnsi="Times New Roman" w:eastAsiaTheme="minorEastAsia"/>
            </w:rPr>
            <w:fldChar w:fldCharType="separate"/>
          </w:r>
          <w:r>
            <w:rPr>
              <w:rFonts w:ascii="Times New Roman" w:hAnsi="Times New Roman" w:eastAsiaTheme="minorEastAsia"/>
            </w:rPr>
            <w:t>12</w:t>
          </w:r>
          <w:r>
            <w:rPr>
              <w:rFonts w:ascii="Times New Roman" w:hAnsi="Times New Roman" w:eastAsiaTheme="minorEastAsia"/>
            </w:rPr>
            <w:fldChar w:fldCharType="end"/>
          </w:r>
          <w:r>
            <w:rPr>
              <w:rFonts w:ascii="Times New Roman" w:hAnsi="Times New Roman" w:eastAsiaTheme="minorEastAsia"/>
            </w:rPr>
            <w:fldChar w:fldCharType="end"/>
          </w:r>
        </w:p>
        <w:p w14:paraId="0601006C">
          <w:pPr>
            <w:pStyle w:val="28"/>
            <w:rPr>
              <w:rFonts w:ascii="Times New Roman" w:hAnsi="Times New Roman" w:eastAsiaTheme="minorEastAsia"/>
            </w:rPr>
          </w:pPr>
          <w:r>
            <w:fldChar w:fldCharType="begin"/>
          </w:r>
          <w:r>
            <w:instrText xml:space="preserve"> HYPERLINK \l "_Toc171955098" </w:instrText>
          </w:r>
          <w:r>
            <w:fldChar w:fldCharType="separate"/>
          </w:r>
          <w:r>
            <w:rPr>
              <w:rFonts w:ascii="Times New Roman" w:hAnsi="Times New Roman" w:eastAsiaTheme="minorEastAsia"/>
            </w:rPr>
            <w:t>4.3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_Toc171955098 \h </w:instrText>
          </w:r>
          <w:r>
            <w:rPr>
              <w:rFonts w:ascii="Times New Roman" w:hAnsi="Times New Roman" w:eastAsiaTheme="minorEastAsia"/>
            </w:rPr>
            <w:fldChar w:fldCharType="separate"/>
          </w:r>
          <w:r>
            <w:rPr>
              <w:rFonts w:ascii="Times New Roman" w:hAnsi="Times New Roman" w:eastAsiaTheme="minorEastAsia"/>
            </w:rPr>
            <w:t>12</w:t>
          </w:r>
          <w:r>
            <w:rPr>
              <w:rFonts w:ascii="Times New Roman" w:hAnsi="Times New Roman" w:eastAsiaTheme="minorEastAsia"/>
            </w:rPr>
            <w:fldChar w:fldCharType="end"/>
          </w:r>
          <w:r>
            <w:rPr>
              <w:rFonts w:ascii="Times New Roman" w:hAnsi="Times New Roman" w:eastAsiaTheme="minorEastAsia"/>
            </w:rPr>
            <w:fldChar w:fldCharType="end"/>
          </w:r>
        </w:p>
        <w:p w14:paraId="6F79DB37">
          <w:pPr>
            <w:pStyle w:val="28"/>
            <w:rPr>
              <w:rFonts w:ascii="Times New Roman" w:hAnsi="Times New Roman" w:eastAsiaTheme="minorEastAsia"/>
            </w:rPr>
          </w:pPr>
          <w:r>
            <w:fldChar w:fldCharType="begin"/>
          </w:r>
          <w:r>
            <w:instrText xml:space="preserve"> HYPERLINK \l "_Toc171955099" </w:instrText>
          </w:r>
          <w:r>
            <w:fldChar w:fldCharType="separate"/>
          </w:r>
          <w:r>
            <w:rPr>
              <w:rFonts w:ascii="Times New Roman" w:hAnsi="Times New Roman" w:eastAsiaTheme="minorEastAsia"/>
            </w:rPr>
            <w:t>4.4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_Toc171955099 \h </w:instrText>
          </w:r>
          <w:r>
            <w:rPr>
              <w:rFonts w:ascii="Times New Roman" w:hAnsi="Times New Roman" w:eastAsiaTheme="minorEastAsia"/>
            </w:rPr>
            <w:fldChar w:fldCharType="separate"/>
          </w:r>
          <w:r>
            <w:rPr>
              <w:rFonts w:ascii="Times New Roman" w:hAnsi="Times New Roman" w:eastAsiaTheme="minorEastAsia"/>
            </w:rPr>
            <w:t>14</w:t>
          </w:r>
          <w:r>
            <w:rPr>
              <w:rFonts w:ascii="Times New Roman" w:hAnsi="Times New Roman" w:eastAsiaTheme="minorEastAsia"/>
            </w:rPr>
            <w:fldChar w:fldCharType="end"/>
          </w:r>
          <w:r>
            <w:rPr>
              <w:rFonts w:ascii="Times New Roman" w:hAnsi="Times New Roman" w:eastAsiaTheme="minorEastAsia"/>
            </w:rPr>
            <w:fldChar w:fldCharType="end"/>
          </w:r>
        </w:p>
        <w:p w14:paraId="30DBBEB9">
          <w:pPr>
            <w:pStyle w:val="28"/>
            <w:rPr>
              <w:rFonts w:ascii="Times New Roman" w:hAnsi="Times New Roman" w:eastAsiaTheme="minorEastAsia"/>
            </w:rPr>
          </w:pPr>
          <w:r>
            <w:fldChar w:fldCharType="begin"/>
          </w:r>
          <w:r>
            <w:instrText xml:space="preserve"> HYPERLINK \l "_Toc171955100" </w:instrText>
          </w:r>
          <w:r>
            <w:fldChar w:fldCharType="separate"/>
          </w:r>
          <w:r>
            <w:rPr>
              <w:rFonts w:ascii="Times New Roman" w:hAnsi="Times New Roman" w:eastAsiaTheme="minorEastAsia"/>
            </w:rPr>
            <w:t>5 Information access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_Toc171955100 \h </w:instrText>
          </w:r>
          <w:r>
            <w:rPr>
              <w:rFonts w:ascii="Times New Roman" w:hAnsi="Times New Roman" w:eastAsiaTheme="minorEastAsia"/>
            </w:rPr>
            <w:fldChar w:fldCharType="separate"/>
          </w:r>
          <w:r>
            <w:rPr>
              <w:rFonts w:ascii="Times New Roman" w:hAnsi="Times New Roman" w:eastAsiaTheme="minorEastAsia"/>
            </w:rPr>
            <w:t>15</w:t>
          </w:r>
          <w:r>
            <w:rPr>
              <w:rFonts w:ascii="Times New Roman" w:hAnsi="Times New Roman" w:eastAsiaTheme="minorEastAsia"/>
            </w:rPr>
            <w:fldChar w:fldCharType="end"/>
          </w:r>
          <w:r>
            <w:rPr>
              <w:rFonts w:ascii="Times New Roman" w:hAnsi="Times New Roman" w:eastAsiaTheme="minorEastAsia"/>
            </w:rPr>
            <w:fldChar w:fldCharType="end"/>
          </w:r>
        </w:p>
        <w:p w14:paraId="79308EDA">
          <w:pPr>
            <w:pStyle w:val="28"/>
            <w:rPr>
              <w:rFonts w:ascii="Times New Roman" w:hAnsi="Times New Roman" w:eastAsiaTheme="minorEastAsia"/>
            </w:rPr>
          </w:pPr>
          <w:r>
            <w:fldChar w:fldCharType="begin"/>
          </w:r>
          <w:r>
            <w:instrText xml:space="preserve"> HYPERLINK \l "_Toc171955101" </w:instrText>
          </w:r>
          <w:r>
            <w:fldChar w:fldCharType="separate"/>
          </w:r>
          <w:r>
            <w:rPr>
              <w:rFonts w:ascii="Times New Roman" w:hAnsi="Times New Roman" w:eastAsiaTheme="minorEastAsia"/>
            </w:rPr>
            <w:t>5.1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_Toc171955101 \h </w:instrText>
          </w:r>
          <w:r>
            <w:rPr>
              <w:rFonts w:ascii="Times New Roman" w:hAnsi="Times New Roman" w:eastAsiaTheme="minorEastAsia"/>
            </w:rPr>
            <w:fldChar w:fldCharType="separate"/>
          </w:r>
          <w:r>
            <w:rPr>
              <w:rFonts w:ascii="Times New Roman" w:hAnsi="Times New Roman" w:eastAsiaTheme="minorEastAsia"/>
            </w:rPr>
            <w:t>15</w:t>
          </w:r>
          <w:r>
            <w:rPr>
              <w:rFonts w:ascii="Times New Roman" w:hAnsi="Times New Roman" w:eastAsiaTheme="minorEastAsia"/>
            </w:rPr>
            <w:fldChar w:fldCharType="end"/>
          </w:r>
          <w:r>
            <w:rPr>
              <w:rFonts w:ascii="Times New Roman" w:hAnsi="Times New Roman" w:eastAsiaTheme="minorEastAsia"/>
            </w:rPr>
            <w:fldChar w:fldCharType="end"/>
          </w:r>
        </w:p>
        <w:p w14:paraId="56E5449E">
          <w:pPr>
            <w:pStyle w:val="28"/>
            <w:rPr>
              <w:rFonts w:ascii="Times New Roman" w:hAnsi="Times New Roman" w:eastAsiaTheme="minorEastAsia"/>
            </w:rPr>
          </w:pPr>
          <w:r>
            <w:fldChar w:fldCharType="begin"/>
          </w:r>
          <w:r>
            <w:instrText xml:space="preserve"> HYPERLINK \l "_Toc171955102" </w:instrText>
          </w:r>
          <w:r>
            <w:fldChar w:fldCharType="separate"/>
          </w:r>
          <w:r>
            <w:rPr>
              <w:rFonts w:ascii="Times New Roman" w:hAnsi="Times New Roman" w:eastAsiaTheme="minorEastAsia"/>
            </w:rPr>
            <w:t>5.2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_Toc171955102 \h </w:instrText>
          </w:r>
          <w:r>
            <w:rPr>
              <w:rFonts w:ascii="Times New Roman" w:hAnsi="Times New Roman" w:eastAsiaTheme="minorEastAsia"/>
            </w:rPr>
            <w:fldChar w:fldCharType="separate"/>
          </w:r>
          <w:r>
            <w:rPr>
              <w:rFonts w:ascii="Times New Roman" w:hAnsi="Times New Roman" w:eastAsiaTheme="minorEastAsia"/>
            </w:rPr>
            <w:t>15</w:t>
          </w:r>
          <w:r>
            <w:rPr>
              <w:rFonts w:ascii="Times New Roman" w:hAnsi="Times New Roman" w:eastAsiaTheme="minorEastAsia"/>
            </w:rPr>
            <w:fldChar w:fldCharType="end"/>
          </w:r>
          <w:r>
            <w:rPr>
              <w:rFonts w:ascii="Times New Roman" w:hAnsi="Times New Roman" w:eastAsiaTheme="minorEastAsia"/>
            </w:rPr>
            <w:fldChar w:fldCharType="end"/>
          </w:r>
        </w:p>
        <w:p w14:paraId="34865251">
          <w:pPr>
            <w:pStyle w:val="28"/>
            <w:rPr>
              <w:rFonts w:ascii="Times New Roman" w:hAnsi="Times New Roman" w:eastAsiaTheme="minorEastAsia"/>
            </w:rPr>
          </w:pPr>
          <w:r>
            <w:fldChar w:fldCharType="begin"/>
          </w:r>
          <w:r>
            <w:instrText xml:space="preserve"> HYPERLINK \l "_Toc171955103" </w:instrText>
          </w:r>
          <w:r>
            <w:fldChar w:fldCharType="separate"/>
          </w:r>
          <w:r>
            <w:rPr>
              <w:rFonts w:ascii="Times New Roman" w:hAnsi="Times New Roman" w:eastAsiaTheme="minorEastAsia"/>
            </w:rPr>
            <w:t>5.3 Construction technology</w:t>
          </w:r>
          <w:r>
            <w:rPr>
              <w:rFonts w:ascii="Times New Roman" w:hAnsi="Times New Roman" w:eastAsiaTheme="minorEastAsia"/>
            </w:rPr>
            <w:tab/>
          </w:r>
          <w:r>
            <w:rPr>
              <w:rFonts w:ascii="Times New Roman" w:hAnsi="Times New Roman" w:eastAsiaTheme="minorEastAsia"/>
            </w:rPr>
            <w:t>15</w:t>
          </w:r>
          <w:r>
            <w:rPr>
              <w:rFonts w:ascii="Times New Roman" w:hAnsi="Times New Roman" w:eastAsiaTheme="minorEastAsia"/>
            </w:rPr>
            <w:fldChar w:fldCharType="end"/>
          </w:r>
        </w:p>
        <w:p w14:paraId="2010BD00">
          <w:pPr>
            <w:pStyle w:val="28"/>
            <w:rPr>
              <w:rFonts w:ascii="Times New Roman" w:hAnsi="Times New Roman" w:eastAsiaTheme="minorEastAsia"/>
            </w:rPr>
          </w:pPr>
          <w:r>
            <w:fldChar w:fldCharType="begin"/>
          </w:r>
          <w:r>
            <w:instrText xml:space="preserve"> HYPERLINK \l "_Toc171955104" </w:instrText>
          </w:r>
          <w:r>
            <w:fldChar w:fldCharType="separate"/>
          </w:r>
          <w:r>
            <w:rPr>
              <w:rFonts w:ascii="Times New Roman" w:hAnsi="Times New Roman" w:eastAsiaTheme="minorEastAsia"/>
            </w:rPr>
            <w:t>5.4 Quality record</w:t>
          </w:r>
          <w:r>
            <w:rPr>
              <w:rFonts w:ascii="Times New Roman" w:hAnsi="Times New Roman" w:eastAsiaTheme="minorEastAsia"/>
            </w:rPr>
            <w:tab/>
          </w:r>
          <w:r>
            <w:rPr>
              <w:rFonts w:ascii="Times New Roman" w:hAnsi="Times New Roman" w:eastAsiaTheme="minorEastAsia"/>
            </w:rPr>
            <w:t>19</w:t>
          </w:r>
          <w:r>
            <w:rPr>
              <w:rFonts w:ascii="Times New Roman" w:hAnsi="Times New Roman" w:eastAsiaTheme="minorEastAsia"/>
            </w:rPr>
            <w:fldChar w:fldCharType="end"/>
          </w:r>
        </w:p>
        <w:p w14:paraId="3D2F7F18">
          <w:pPr>
            <w:pStyle w:val="28"/>
            <w:rPr>
              <w:rFonts w:ascii="Times New Roman" w:hAnsi="Times New Roman" w:eastAsiaTheme="minorEastAsia"/>
            </w:rPr>
          </w:pPr>
          <w:r>
            <w:fldChar w:fldCharType="begin"/>
          </w:r>
          <w:r>
            <w:instrText xml:space="preserve"> HYPERLINK \l "_Toc171955105" </w:instrText>
          </w:r>
          <w:r>
            <w:fldChar w:fldCharType="separate"/>
          </w:r>
          <w:r>
            <w:rPr>
              <w:rFonts w:ascii="Times New Roman" w:hAnsi="Times New Roman" w:eastAsiaTheme="minorEastAsia"/>
            </w:rPr>
            <w:t>6 Subscriber telephone switching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_Toc171955105 \h </w:instrText>
          </w:r>
          <w:r>
            <w:rPr>
              <w:rFonts w:ascii="Times New Roman" w:hAnsi="Times New Roman" w:eastAsiaTheme="minorEastAsia"/>
            </w:rPr>
            <w:fldChar w:fldCharType="separate"/>
          </w:r>
          <w:r>
            <w:rPr>
              <w:rFonts w:ascii="Times New Roman" w:hAnsi="Times New Roman" w:eastAsiaTheme="minorEastAsia"/>
            </w:rPr>
            <w:t>20</w:t>
          </w:r>
          <w:r>
            <w:rPr>
              <w:rFonts w:ascii="Times New Roman" w:hAnsi="Times New Roman" w:eastAsiaTheme="minorEastAsia"/>
            </w:rPr>
            <w:fldChar w:fldCharType="end"/>
          </w:r>
          <w:r>
            <w:rPr>
              <w:rFonts w:ascii="Times New Roman" w:hAnsi="Times New Roman" w:eastAsiaTheme="minorEastAsia"/>
            </w:rPr>
            <w:fldChar w:fldCharType="end"/>
          </w:r>
        </w:p>
        <w:p w14:paraId="622B8A3E">
          <w:pPr>
            <w:pStyle w:val="28"/>
            <w:rPr>
              <w:rFonts w:ascii="Times New Roman" w:hAnsi="Times New Roman" w:eastAsiaTheme="minorEastAsia"/>
            </w:rPr>
          </w:pPr>
          <w:r>
            <w:fldChar w:fldCharType="begin"/>
          </w:r>
          <w:r>
            <w:instrText xml:space="preserve"> HYPERLINK \l "_Toc171955106" </w:instrText>
          </w:r>
          <w:r>
            <w:fldChar w:fldCharType="separate"/>
          </w:r>
          <w:r>
            <w:rPr>
              <w:rFonts w:ascii="Times New Roman" w:hAnsi="Times New Roman" w:eastAsiaTheme="minorEastAsia"/>
            </w:rPr>
            <w:t>6.1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_Toc171955106 \h </w:instrText>
          </w:r>
          <w:r>
            <w:rPr>
              <w:rFonts w:ascii="Times New Roman" w:hAnsi="Times New Roman" w:eastAsiaTheme="minorEastAsia"/>
            </w:rPr>
            <w:fldChar w:fldCharType="separate"/>
          </w:r>
          <w:r>
            <w:rPr>
              <w:rFonts w:ascii="Times New Roman" w:hAnsi="Times New Roman" w:eastAsiaTheme="minorEastAsia"/>
            </w:rPr>
            <w:t>20</w:t>
          </w:r>
          <w:r>
            <w:rPr>
              <w:rFonts w:ascii="Times New Roman" w:hAnsi="Times New Roman" w:eastAsiaTheme="minorEastAsia"/>
            </w:rPr>
            <w:fldChar w:fldCharType="end"/>
          </w:r>
          <w:r>
            <w:rPr>
              <w:rFonts w:ascii="Times New Roman" w:hAnsi="Times New Roman" w:eastAsiaTheme="minorEastAsia"/>
            </w:rPr>
            <w:fldChar w:fldCharType="end"/>
          </w:r>
        </w:p>
        <w:p w14:paraId="3B635426">
          <w:pPr>
            <w:pStyle w:val="28"/>
            <w:rPr>
              <w:rFonts w:ascii="Times New Roman" w:hAnsi="Times New Roman" w:eastAsiaTheme="minorEastAsia"/>
            </w:rPr>
          </w:pPr>
          <w:r>
            <w:fldChar w:fldCharType="begin"/>
          </w:r>
          <w:r>
            <w:instrText xml:space="preserve"> HYPERLINK \l "_Toc171955107" </w:instrText>
          </w:r>
          <w:r>
            <w:fldChar w:fldCharType="separate"/>
          </w:r>
          <w:r>
            <w:rPr>
              <w:rFonts w:ascii="Times New Roman" w:hAnsi="Times New Roman" w:eastAsiaTheme="minorEastAsia"/>
            </w:rPr>
            <w:t>6.2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_Toc171955107 \h </w:instrText>
          </w:r>
          <w:r>
            <w:rPr>
              <w:rFonts w:ascii="Times New Roman" w:hAnsi="Times New Roman" w:eastAsiaTheme="minorEastAsia"/>
            </w:rPr>
            <w:fldChar w:fldCharType="separate"/>
          </w:r>
          <w:r>
            <w:rPr>
              <w:rFonts w:ascii="Times New Roman" w:hAnsi="Times New Roman" w:eastAsiaTheme="minorEastAsia"/>
            </w:rPr>
            <w:t>20</w:t>
          </w:r>
          <w:r>
            <w:rPr>
              <w:rFonts w:ascii="Times New Roman" w:hAnsi="Times New Roman" w:eastAsiaTheme="minorEastAsia"/>
            </w:rPr>
            <w:fldChar w:fldCharType="end"/>
          </w:r>
          <w:r>
            <w:rPr>
              <w:rFonts w:ascii="Times New Roman" w:hAnsi="Times New Roman" w:eastAsiaTheme="minorEastAsia"/>
            </w:rPr>
            <w:fldChar w:fldCharType="end"/>
          </w:r>
        </w:p>
        <w:p w14:paraId="6CA017A9">
          <w:pPr>
            <w:pStyle w:val="28"/>
            <w:rPr>
              <w:rFonts w:ascii="Times New Roman" w:hAnsi="Times New Roman" w:eastAsiaTheme="minorEastAsia"/>
            </w:rPr>
          </w:pPr>
          <w:r>
            <w:fldChar w:fldCharType="begin"/>
          </w:r>
          <w:r>
            <w:instrText xml:space="preserve"> HYPERLINK \l "_Toc171955108" </w:instrText>
          </w:r>
          <w:r>
            <w:fldChar w:fldCharType="separate"/>
          </w:r>
          <w:r>
            <w:rPr>
              <w:rFonts w:ascii="Times New Roman" w:hAnsi="Times New Roman" w:eastAsiaTheme="minorEastAsia"/>
            </w:rPr>
            <w:t>6.3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_Toc171955108 \h </w:instrText>
          </w:r>
          <w:r>
            <w:rPr>
              <w:rFonts w:ascii="Times New Roman" w:hAnsi="Times New Roman" w:eastAsiaTheme="minorEastAsia"/>
            </w:rPr>
            <w:fldChar w:fldCharType="separate"/>
          </w:r>
          <w:r>
            <w:rPr>
              <w:rFonts w:ascii="Times New Roman" w:hAnsi="Times New Roman" w:eastAsiaTheme="minorEastAsia"/>
            </w:rPr>
            <w:t>20</w:t>
          </w:r>
          <w:r>
            <w:rPr>
              <w:rFonts w:ascii="Times New Roman" w:hAnsi="Times New Roman" w:eastAsiaTheme="minorEastAsia"/>
            </w:rPr>
            <w:fldChar w:fldCharType="end"/>
          </w:r>
          <w:r>
            <w:rPr>
              <w:rFonts w:ascii="Times New Roman" w:hAnsi="Times New Roman" w:eastAsiaTheme="minorEastAsia"/>
            </w:rPr>
            <w:fldChar w:fldCharType="end"/>
          </w:r>
        </w:p>
        <w:p w14:paraId="54B890C6">
          <w:pPr>
            <w:pStyle w:val="28"/>
            <w:rPr>
              <w:rFonts w:ascii="Times New Roman" w:hAnsi="Times New Roman" w:eastAsiaTheme="minorEastAsia"/>
            </w:rPr>
          </w:pPr>
          <w:r>
            <w:fldChar w:fldCharType="begin"/>
          </w:r>
          <w:r>
            <w:instrText xml:space="preserve"> HYPERLINK \l "_Toc171955109" </w:instrText>
          </w:r>
          <w:r>
            <w:fldChar w:fldCharType="separate"/>
          </w:r>
          <w:r>
            <w:rPr>
              <w:rFonts w:ascii="Times New Roman" w:hAnsi="Times New Roman" w:eastAsiaTheme="minorEastAsia"/>
            </w:rPr>
            <w:t>6.4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_Toc171955109 \h </w:instrText>
          </w:r>
          <w:r>
            <w:rPr>
              <w:rFonts w:ascii="Times New Roman" w:hAnsi="Times New Roman" w:eastAsiaTheme="minorEastAsia"/>
            </w:rPr>
            <w:fldChar w:fldCharType="separate"/>
          </w:r>
          <w:r>
            <w:rPr>
              <w:rFonts w:ascii="Times New Roman" w:hAnsi="Times New Roman" w:eastAsiaTheme="minorEastAsia"/>
            </w:rPr>
            <w:t>21</w:t>
          </w:r>
          <w:r>
            <w:rPr>
              <w:rFonts w:ascii="Times New Roman" w:hAnsi="Times New Roman" w:eastAsiaTheme="minorEastAsia"/>
            </w:rPr>
            <w:fldChar w:fldCharType="end"/>
          </w:r>
          <w:r>
            <w:rPr>
              <w:rFonts w:ascii="Times New Roman" w:hAnsi="Times New Roman" w:eastAsiaTheme="minorEastAsia"/>
            </w:rPr>
            <w:fldChar w:fldCharType="end"/>
          </w:r>
        </w:p>
        <w:p w14:paraId="4796E8CD">
          <w:pPr>
            <w:pStyle w:val="28"/>
            <w:rPr>
              <w:rFonts w:ascii="Times New Roman" w:hAnsi="Times New Roman" w:eastAsiaTheme="minorEastAsia"/>
            </w:rPr>
          </w:pPr>
          <w:r>
            <w:fldChar w:fldCharType="begin"/>
          </w:r>
          <w:r>
            <w:instrText xml:space="preserve"> HYPERLINK \l "_Toc171955110" </w:instrText>
          </w:r>
          <w:r>
            <w:fldChar w:fldCharType="separate"/>
          </w:r>
          <w:r>
            <w:rPr>
              <w:rFonts w:ascii="Times New Roman" w:hAnsi="Times New Roman" w:eastAsiaTheme="minorEastAsia"/>
            </w:rPr>
            <w:t>7 Information network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_Toc171955110 \h </w:instrText>
          </w:r>
          <w:r>
            <w:rPr>
              <w:rFonts w:ascii="Times New Roman" w:hAnsi="Times New Roman" w:eastAsiaTheme="minorEastAsia"/>
            </w:rPr>
            <w:fldChar w:fldCharType="separate"/>
          </w:r>
          <w:r>
            <w:rPr>
              <w:rFonts w:ascii="Times New Roman" w:hAnsi="Times New Roman" w:eastAsiaTheme="minorEastAsia"/>
            </w:rPr>
            <w:t>22</w:t>
          </w:r>
          <w:r>
            <w:rPr>
              <w:rFonts w:ascii="Times New Roman" w:hAnsi="Times New Roman" w:eastAsiaTheme="minorEastAsia"/>
            </w:rPr>
            <w:fldChar w:fldCharType="end"/>
          </w:r>
          <w:r>
            <w:rPr>
              <w:rFonts w:ascii="Times New Roman" w:hAnsi="Times New Roman" w:eastAsiaTheme="minorEastAsia"/>
            </w:rPr>
            <w:fldChar w:fldCharType="end"/>
          </w:r>
        </w:p>
        <w:p w14:paraId="036DD765">
          <w:pPr>
            <w:pStyle w:val="28"/>
            <w:rPr>
              <w:rFonts w:ascii="Times New Roman" w:hAnsi="Times New Roman" w:eastAsiaTheme="minorEastAsia"/>
            </w:rPr>
          </w:pPr>
          <w:r>
            <w:fldChar w:fldCharType="begin"/>
          </w:r>
          <w:r>
            <w:instrText xml:space="preserve"> HYPERLINK \l "_Toc171955111" </w:instrText>
          </w:r>
          <w:r>
            <w:fldChar w:fldCharType="separate"/>
          </w:r>
          <w:r>
            <w:rPr>
              <w:rFonts w:ascii="Times New Roman" w:hAnsi="Times New Roman" w:eastAsiaTheme="minorEastAsia"/>
            </w:rPr>
            <w:t>7.1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_Toc171955111 \h </w:instrText>
          </w:r>
          <w:r>
            <w:rPr>
              <w:rFonts w:ascii="Times New Roman" w:hAnsi="Times New Roman" w:eastAsiaTheme="minorEastAsia"/>
            </w:rPr>
            <w:fldChar w:fldCharType="separate"/>
          </w:r>
          <w:r>
            <w:rPr>
              <w:rFonts w:ascii="Times New Roman" w:hAnsi="Times New Roman" w:eastAsiaTheme="minorEastAsia"/>
            </w:rPr>
            <w:t>22</w:t>
          </w:r>
          <w:r>
            <w:rPr>
              <w:rFonts w:ascii="Times New Roman" w:hAnsi="Times New Roman" w:eastAsiaTheme="minorEastAsia"/>
            </w:rPr>
            <w:fldChar w:fldCharType="end"/>
          </w:r>
          <w:r>
            <w:rPr>
              <w:rFonts w:ascii="Times New Roman" w:hAnsi="Times New Roman" w:eastAsiaTheme="minorEastAsia"/>
            </w:rPr>
            <w:fldChar w:fldCharType="end"/>
          </w:r>
        </w:p>
        <w:p w14:paraId="27ECE5C8">
          <w:pPr>
            <w:pStyle w:val="28"/>
            <w:rPr>
              <w:rFonts w:ascii="Times New Roman" w:hAnsi="Times New Roman" w:eastAsiaTheme="minorEastAsia"/>
            </w:rPr>
          </w:pPr>
          <w:r>
            <w:fldChar w:fldCharType="begin"/>
          </w:r>
          <w:r>
            <w:instrText xml:space="preserve"> HYPERLINK \l "_Toc171955112" </w:instrText>
          </w:r>
          <w:r>
            <w:fldChar w:fldCharType="separate"/>
          </w:r>
          <w:r>
            <w:rPr>
              <w:rFonts w:ascii="Times New Roman" w:hAnsi="Times New Roman" w:eastAsiaTheme="minorEastAsia"/>
            </w:rPr>
            <w:t>7.2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_Toc171955112 \h </w:instrText>
          </w:r>
          <w:r>
            <w:rPr>
              <w:rFonts w:ascii="Times New Roman" w:hAnsi="Times New Roman" w:eastAsiaTheme="minorEastAsia"/>
            </w:rPr>
            <w:fldChar w:fldCharType="separate"/>
          </w:r>
          <w:r>
            <w:rPr>
              <w:rFonts w:ascii="Times New Roman" w:hAnsi="Times New Roman" w:eastAsiaTheme="minorEastAsia"/>
            </w:rPr>
            <w:t>22</w:t>
          </w:r>
          <w:r>
            <w:rPr>
              <w:rFonts w:ascii="Times New Roman" w:hAnsi="Times New Roman" w:eastAsiaTheme="minorEastAsia"/>
            </w:rPr>
            <w:fldChar w:fldCharType="end"/>
          </w:r>
          <w:r>
            <w:rPr>
              <w:rFonts w:ascii="Times New Roman" w:hAnsi="Times New Roman" w:eastAsiaTheme="minorEastAsia"/>
            </w:rPr>
            <w:fldChar w:fldCharType="end"/>
          </w:r>
        </w:p>
        <w:p w14:paraId="4637E3F3">
          <w:pPr>
            <w:pStyle w:val="28"/>
            <w:rPr>
              <w:rFonts w:ascii="Times New Roman" w:hAnsi="Times New Roman" w:eastAsiaTheme="minorEastAsia"/>
            </w:rPr>
          </w:pPr>
          <w:r>
            <w:fldChar w:fldCharType="begin"/>
          </w:r>
          <w:r>
            <w:instrText xml:space="preserve"> HYPERLINK \l "_Toc171955113" </w:instrText>
          </w:r>
          <w:r>
            <w:fldChar w:fldCharType="separate"/>
          </w:r>
          <w:r>
            <w:rPr>
              <w:rFonts w:ascii="Times New Roman" w:hAnsi="Times New Roman" w:eastAsiaTheme="minorEastAsia"/>
            </w:rPr>
            <w:t>7.3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_Toc171955113 \h </w:instrText>
          </w:r>
          <w:r>
            <w:rPr>
              <w:rFonts w:ascii="Times New Roman" w:hAnsi="Times New Roman" w:eastAsiaTheme="minorEastAsia"/>
            </w:rPr>
            <w:fldChar w:fldCharType="separate"/>
          </w:r>
          <w:r>
            <w:rPr>
              <w:rFonts w:ascii="Times New Roman" w:hAnsi="Times New Roman" w:eastAsiaTheme="minorEastAsia"/>
            </w:rPr>
            <w:t>22</w:t>
          </w:r>
          <w:r>
            <w:rPr>
              <w:rFonts w:ascii="Times New Roman" w:hAnsi="Times New Roman" w:eastAsiaTheme="minorEastAsia"/>
            </w:rPr>
            <w:fldChar w:fldCharType="end"/>
          </w:r>
          <w:r>
            <w:rPr>
              <w:rFonts w:ascii="Times New Roman" w:hAnsi="Times New Roman" w:eastAsiaTheme="minorEastAsia"/>
            </w:rPr>
            <w:fldChar w:fldCharType="end"/>
          </w:r>
        </w:p>
        <w:p w14:paraId="6930C741">
          <w:pPr>
            <w:pStyle w:val="28"/>
            <w:rPr>
              <w:rFonts w:ascii="Times New Roman" w:hAnsi="Times New Roman" w:eastAsiaTheme="minorEastAsia"/>
            </w:rPr>
          </w:pPr>
          <w:r>
            <w:fldChar w:fldCharType="begin"/>
          </w:r>
          <w:r>
            <w:instrText xml:space="preserve"> HYPERLINK \l "_Toc171955114" </w:instrText>
          </w:r>
          <w:r>
            <w:fldChar w:fldCharType="separate"/>
          </w:r>
          <w:r>
            <w:rPr>
              <w:rFonts w:ascii="Times New Roman" w:hAnsi="Times New Roman" w:eastAsiaTheme="minorEastAsia"/>
            </w:rPr>
            <w:t>7.4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_Toc171955114 \h </w:instrText>
          </w:r>
          <w:r>
            <w:rPr>
              <w:rFonts w:ascii="Times New Roman" w:hAnsi="Times New Roman" w:eastAsiaTheme="minorEastAsia"/>
            </w:rPr>
            <w:fldChar w:fldCharType="separate"/>
          </w:r>
          <w:r>
            <w:rPr>
              <w:rFonts w:ascii="Times New Roman" w:hAnsi="Times New Roman" w:eastAsiaTheme="minorEastAsia"/>
            </w:rPr>
            <w:t>24</w:t>
          </w:r>
          <w:r>
            <w:rPr>
              <w:rFonts w:ascii="Times New Roman" w:hAnsi="Times New Roman" w:eastAsiaTheme="minorEastAsia"/>
            </w:rPr>
            <w:fldChar w:fldCharType="end"/>
          </w:r>
          <w:r>
            <w:rPr>
              <w:rFonts w:ascii="Times New Roman" w:hAnsi="Times New Roman" w:eastAsiaTheme="minorEastAsia"/>
            </w:rPr>
            <w:fldChar w:fldCharType="end"/>
          </w:r>
        </w:p>
        <w:p w14:paraId="0F58EA9F">
          <w:pPr>
            <w:pStyle w:val="28"/>
            <w:rPr>
              <w:rFonts w:ascii="Times New Roman" w:hAnsi="Times New Roman" w:eastAsiaTheme="minorEastAsia"/>
            </w:rPr>
          </w:pPr>
          <w:r>
            <w:fldChar w:fldCharType="begin"/>
          </w:r>
          <w:r>
            <w:instrText xml:space="preserve"> HYPERLINK \l "_Toc171955115" </w:instrText>
          </w:r>
          <w:r>
            <w:fldChar w:fldCharType="separate"/>
          </w:r>
          <w:r>
            <w:rPr>
              <w:rFonts w:ascii="Times New Roman" w:hAnsi="Times New Roman" w:eastAsiaTheme="minorEastAsia"/>
            </w:rPr>
            <w:t>8 Integrated wiring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_Toc171955115 \h </w:instrText>
          </w:r>
          <w:r>
            <w:rPr>
              <w:rFonts w:ascii="Times New Roman" w:hAnsi="Times New Roman" w:eastAsiaTheme="minorEastAsia"/>
            </w:rPr>
            <w:fldChar w:fldCharType="separate"/>
          </w:r>
          <w:r>
            <w:rPr>
              <w:rFonts w:ascii="Times New Roman" w:hAnsi="Times New Roman" w:eastAsiaTheme="minorEastAsia"/>
            </w:rPr>
            <w:t>26</w:t>
          </w:r>
          <w:r>
            <w:rPr>
              <w:rFonts w:ascii="Times New Roman" w:hAnsi="Times New Roman" w:eastAsiaTheme="minorEastAsia"/>
            </w:rPr>
            <w:fldChar w:fldCharType="end"/>
          </w:r>
          <w:r>
            <w:rPr>
              <w:rFonts w:ascii="Times New Roman" w:hAnsi="Times New Roman" w:eastAsiaTheme="minorEastAsia"/>
            </w:rPr>
            <w:fldChar w:fldCharType="end"/>
          </w:r>
        </w:p>
        <w:p w14:paraId="612D9FB7">
          <w:pPr>
            <w:pStyle w:val="28"/>
            <w:rPr>
              <w:rFonts w:ascii="Times New Roman" w:hAnsi="Times New Roman" w:eastAsiaTheme="minorEastAsia"/>
            </w:rPr>
          </w:pPr>
          <w:r>
            <w:fldChar w:fldCharType="begin"/>
          </w:r>
          <w:r>
            <w:instrText xml:space="preserve"> HYPERLINK \l "_Toc171955116" </w:instrText>
          </w:r>
          <w:r>
            <w:fldChar w:fldCharType="separate"/>
          </w:r>
          <w:r>
            <w:rPr>
              <w:rFonts w:ascii="Times New Roman" w:hAnsi="Times New Roman" w:eastAsiaTheme="minorEastAsia"/>
            </w:rPr>
            <w:t>8.1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_Toc171955116 \h </w:instrText>
          </w:r>
          <w:r>
            <w:rPr>
              <w:rFonts w:ascii="Times New Roman" w:hAnsi="Times New Roman" w:eastAsiaTheme="minorEastAsia"/>
            </w:rPr>
            <w:fldChar w:fldCharType="separate"/>
          </w:r>
          <w:r>
            <w:rPr>
              <w:rFonts w:ascii="Times New Roman" w:hAnsi="Times New Roman" w:eastAsiaTheme="minorEastAsia"/>
            </w:rPr>
            <w:t>26</w:t>
          </w:r>
          <w:r>
            <w:rPr>
              <w:rFonts w:ascii="Times New Roman" w:hAnsi="Times New Roman" w:eastAsiaTheme="minorEastAsia"/>
            </w:rPr>
            <w:fldChar w:fldCharType="end"/>
          </w:r>
          <w:r>
            <w:rPr>
              <w:rFonts w:ascii="Times New Roman" w:hAnsi="Times New Roman" w:eastAsiaTheme="minorEastAsia"/>
            </w:rPr>
            <w:fldChar w:fldCharType="end"/>
          </w:r>
        </w:p>
        <w:p w14:paraId="2E551409">
          <w:pPr>
            <w:pStyle w:val="28"/>
            <w:rPr>
              <w:rFonts w:ascii="Times New Roman" w:hAnsi="Times New Roman" w:eastAsiaTheme="minorEastAsia"/>
            </w:rPr>
          </w:pPr>
          <w:r>
            <w:fldChar w:fldCharType="begin"/>
          </w:r>
          <w:r>
            <w:instrText xml:space="preserve"> HYPERLINK \l "_Toc171955117" </w:instrText>
          </w:r>
          <w:r>
            <w:fldChar w:fldCharType="separate"/>
          </w:r>
          <w:r>
            <w:rPr>
              <w:rFonts w:ascii="Times New Roman" w:hAnsi="Times New Roman" w:eastAsiaTheme="minorEastAsia"/>
            </w:rPr>
            <w:t>8.2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_Toc171955117 \h </w:instrText>
          </w:r>
          <w:r>
            <w:rPr>
              <w:rFonts w:ascii="Times New Roman" w:hAnsi="Times New Roman" w:eastAsiaTheme="minorEastAsia"/>
            </w:rPr>
            <w:fldChar w:fldCharType="separate"/>
          </w:r>
          <w:r>
            <w:rPr>
              <w:rFonts w:ascii="Times New Roman" w:hAnsi="Times New Roman" w:eastAsiaTheme="minorEastAsia"/>
            </w:rPr>
            <w:t>26</w:t>
          </w:r>
          <w:r>
            <w:rPr>
              <w:rFonts w:ascii="Times New Roman" w:hAnsi="Times New Roman" w:eastAsiaTheme="minorEastAsia"/>
            </w:rPr>
            <w:fldChar w:fldCharType="end"/>
          </w:r>
          <w:r>
            <w:rPr>
              <w:rFonts w:ascii="Times New Roman" w:hAnsi="Times New Roman" w:eastAsiaTheme="minorEastAsia"/>
            </w:rPr>
            <w:fldChar w:fldCharType="end"/>
          </w:r>
        </w:p>
        <w:p w14:paraId="10EE6DF8">
          <w:pPr>
            <w:pStyle w:val="28"/>
            <w:rPr>
              <w:rFonts w:ascii="Times New Roman" w:hAnsi="Times New Roman" w:eastAsiaTheme="minorEastAsia"/>
            </w:rPr>
          </w:pPr>
          <w:r>
            <w:fldChar w:fldCharType="begin"/>
          </w:r>
          <w:r>
            <w:instrText xml:space="preserve"> HYPERLINK \l "_Toc171955118" </w:instrText>
          </w:r>
          <w:r>
            <w:fldChar w:fldCharType="separate"/>
          </w:r>
          <w:r>
            <w:rPr>
              <w:rFonts w:ascii="Times New Roman" w:hAnsi="Times New Roman" w:eastAsiaTheme="minorEastAsia"/>
            </w:rPr>
            <w:t>8.3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_Toc171955118 \h </w:instrText>
          </w:r>
          <w:r>
            <w:rPr>
              <w:rFonts w:ascii="Times New Roman" w:hAnsi="Times New Roman" w:eastAsiaTheme="minorEastAsia"/>
            </w:rPr>
            <w:fldChar w:fldCharType="separate"/>
          </w:r>
          <w:r>
            <w:rPr>
              <w:rFonts w:ascii="Times New Roman" w:hAnsi="Times New Roman" w:eastAsiaTheme="minorEastAsia"/>
            </w:rPr>
            <w:t>26</w:t>
          </w:r>
          <w:r>
            <w:rPr>
              <w:rFonts w:ascii="Times New Roman" w:hAnsi="Times New Roman" w:eastAsiaTheme="minorEastAsia"/>
            </w:rPr>
            <w:fldChar w:fldCharType="end"/>
          </w:r>
          <w:r>
            <w:rPr>
              <w:rFonts w:ascii="Times New Roman" w:hAnsi="Times New Roman" w:eastAsiaTheme="minorEastAsia"/>
            </w:rPr>
            <w:fldChar w:fldCharType="end"/>
          </w:r>
        </w:p>
        <w:p w14:paraId="25FD8EA0">
          <w:pPr>
            <w:pStyle w:val="28"/>
            <w:rPr>
              <w:rFonts w:ascii="Times New Roman" w:hAnsi="Times New Roman" w:eastAsiaTheme="minorEastAsia"/>
            </w:rPr>
          </w:pPr>
          <w:r>
            <w:fldChar w:fldCharType="begin"/>
          </w:r>
          <w:r>
            <w:instrText xml:space="preserve"> HYPERLINK \l "_Toc171955119" </w:instrText>
          </w:r>
          <w:r>
            <w:fldChar w:fldCharType="separate"/>
          </w:r>
          <w:r>
            <w:rPr>
              <w:rFonts w:ascii="Times New Roman" w:hAnsi="Times New Roman" w:eastAsiaTheme="minorEastAsia"/>
            </w:rPr>
            <w:t>8.4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_Toc171955119 \h </w:instrText>
          </w:r>
          <w:r>
            <w:rPr>
              <w:rFonts w:ascii="Times New Roman" w:hAnsi="Times New Roman" w:eastAsiaTheme="minorEastAsia"/>
            </w:rPr>
            <w:fldChar w:fldCharType="separate"/>
          </w:r>
          <w:r>
            <w:rPr>
              <w:rFonts w:ascii="Times New Roman" w:hAnsi="Times New Roman" w:eastAsiaTheme="minorEastAsia"/>
            </w:rPr>
            <w:t>33</w:t>
          </w:r>
          <w:r>
            <w:rPr>
              <w:rFonts w:ascii="Times New Roman" w:hAnsi="Times New Roman" w:eastAsiaTheme="minorEastAsia"/>
            </w:rPr>
            <w:fldChar w:fldCharType="end"/>
          </w:r>
          <w:r>
            <w:rPr>
              <w:rFonts w:ascii="Times New Roman" w:hAnsi="Times New Roman" w:eastAsiaTheme="minorEastAsia"/>
            </w:rPr>
            <w:fldChar w:fldCharType="end"/>
          </w:r>
        </w:p>
        <w:p w14:paraId="0B554733">
          <w:pPr>
            <w:pStyle w:val="28"/>
            <w:rPr>
              <w:rFonts w:ascii="Times New Roman" w:hAnsi="Times New Roman" w:eastAsiaTheme="minorEastAsia"/>
            </w:rPr>
          </w:pPr>
          <w:r>
            <w:fldChar w:fldCharType="begin"/>
          </w:r>
          <w:r>
            <w:instrText xml:space="preserve"> HYPERLINK \l "_Toc171955120" </w:instrText>
          </w:r>
          <w:r>
            <w:fldChar w:fldCharType="separate"/>
          </w:r>
          <w:r>
            <w:rPr>
              <w:rFonts w:ascii="Times New Roman" w:hAnsi="Times New Roman" w:eastAsiaTheme="minorEastAsia"/>
            </w:rPr>
            <w:t>9 Mobile communication indoor signal coverage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_Toc171955120 \h </w:instrText>
          </w:r>
          <w:r>
            <w:rPr>
              <w:rFonts w:ascii="Times New Roman" w:hAnsi="Times New Roman" w:eastAsiaTheme="minorEastAsia"/>
            </w:rPr>
            <w:fldChar w:fldCharType="separate"/>
          </w:r>
          <w:r>
            <w:rPr>
              <w:rFonts w:ascii="Times New Roman" w:hAnsi="Times New Roman" w:eastAsiaTheme="minorEastAsia"/>
            </w:rPr>
            <w:t>35</w:t>
          </w:r>
          <w:r>
            <w:rPr>
              <w:rFonts w:ascii="Times New Roman" w:hAnsi="Times New Roman" w:eastAsiaTheme="minorEastAsia"/>
            </w:rPr>
            <w:fldChar w:fldCharType="end"/>
          </w:r>
          <w:r>
            <w:rPr>
              <w:rFonts w:ascii="Times New Roman" w:hAnsi="Times New Roman" w:eastAsiaTheme="minorEastAsia"/>
            </w:rPr>
            <w:fldChar w:fldCharType="end"/>
          </w:r>
        </w:p>
        <w:p w14:paraId="61993668">
          <w:pPr>
            <w:pStyle w:val="28"/>
            <w:rPr>
              <w:rFonts w:ascii="Times New Roman" w:hAnsi="Times New Roman" w:eastAsiaTheme="minorEastAsia"/>
            </w:rPr>
          </w:pPr>
          <w:r>
            <w:fldChar w:fldCharType="begin"/>
          </w:r>
          <w:r>
            <w:instrText xml:space="preserve"> HYPERLINK \l "_Toc171955121" </w:instrText>
          </w:r>
          <w:r>
            <w:fldChar w:fldCharType="separate"/>
          </w:r>
          <w:r>
            <w:rPr>
              <w:rFonts w:ascii="Times New Roman" w:hAnsi="Times New Roman" w:eastAsiaTheme="minorEastAsia"/>
            </w:rPr>
            <w:t>10 Satellite communication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_Toc171955121 \h </w:instrText>
          </w:r>
          <w:r>
            <w:rPr>
              <w:rFonts w:ascii="Times New Roman" w:hAnsi="Times New Roman" w:eastAsiaTheme="minorEastAsia"/>
            </w:rPr>
            <w:fldChar w:fldCharType="separate"/>
          </w:r>
          <w:r>
            <w:rPr>
              <w:rFonts w:ascii="Times New Roman" w:hAnsi="Times New Roman" w:eastAsiaTheme="minorEastAsia"/>
            </w:rPr>
            <w:t>36</w:t>
          </w:r>
          <w:r>
            <w:rPr>
              <w:rFonts w:ascii="Times New Roman" w:hAnsi="Times New Roman" w:eastAsiaTheme="minorEastAsia"/>
            </w:rPr>
            <w:fldChar w:fldCharType="end"/>
          </w:r>
          <w:r>
            <w:rPr>
              <w:rFonts w:ascii="Times New Roman" w:hAnsi="Times New Roman" w:eastAsiaTheme="minorEastAsia"/>
            </w:rPr>
            <w:fldChar w:fldCharType="end"/>
          </w:r>
        </w:p>
        <w:p w14:paraId="4DC92D8A">
          <w:pPr>
            <w:pStyle w:val="28"/>
            <w:rPr>
              <w:rFonts w:ascii="Times New Roman" w:hAnsi="Times New Roman" w:eastAsiaTheme="minorEastAsia"/>
            </w:rPr>
          </w:pPr>
          <w:r>
            <w:fldChar w:fldCharType="begin"/>
          </w:r>
          <w:r>
            <w:instrText xml:space="preserve"> HYPERLINK \l "_Toc171955122" </w:instrText>
          </w:r>
          <w:r>
            <w:fldChar w:fldCharType="separate"/>
          </w:r>
          <w:r>
            <w:rPr>
              <w:rFonts w:ascii="Times New Roman" w:hAnsi="Times New Roman" w:eastAsiaTheme="minorEastAsia"/>
            </w:rPr>
            <w:t>10.1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_Toc171955122 \h </w:instrText>
          </w:r>
          <w:r>
            <w:rPr>
              <w:rFonts w:ascii="Times New Roman" w:hAnsi="Times New Roman" w:eastAsiaTheme="minorEastAsia"/>
            </w:rPr>
            <w:fldChar w:fldCharType="separate"/>
          </w:r>
          <w:r>
            <w:rPr>
              <w:rFonts w:ascii="Times New Roman" w:hAnsi="Times New Roman" w:eastAsiaTheme="minorEastAsia"/>
            </w:rPr>
            <w:t>36</w:t>
          </w:r>
          <w:r>
            <w:rPr>
              <w:rFonts w:ascii="Times New Roman" w:hAnsi="Times New Roman" w:eastAsiaTheme="minorEastAsia"/>
            </w:rPr>
            <w:fldChar w:fldCharType="end"/>
          </w:r>
          <w:r>
            <w:rPr>
              <w:rFonts w:ascii="Times New Roman" w:hAnsi="Times New Roman" w:eastAsiaTheme="minorEastAsia"/>
            </w:rPr>
            <w:fldChar w:fldCharType="end"/>
          </w:r>
        </w:p>
        <w:p w14:paraId="39E4E757">
          <w:pPr>
            <w:pStyle w:val="28"/>
            <w:rPr>
              <w:rFonts w:ascii="Times New Roman" w:hAnsi="Times New Roman" w:eastAsiaTheme="minorEastAsia"/>
            </w:rPr>
          </w:pPr>
          <w:r>
            <w:fldChar w:fldCharType="begin"/>
          </w:r>
          <w:r>
            <w:instrText xml:space="preserve"> HYPERLINK \l "_Toc171955123" </w:instrText>
          </w:r>
          <w:r>
            <w:fldChar w:fldCharType="separate"/>
          </w:r>
          <w:r>
            <w:rPr>
              <w:rFonts w:ascii="Times New Roman" w:hAnsi="Times New Roman" w:eastAsiaTheme="minorEastAsia"/>
            </w:rPr>
            <w:t>10.2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_Toc171955123 \h </w:instrText>
          </w:r>
          <w:r>
            <w:rPr>
              <w:rFonts w:ascii="Times New Roman" w:hAnsi="Times New Roman" w:eastAsiaTheme="minorEastAsia"/>
            </w:rPr>
            <w:fldChar w:fldCharType="separate"/>
          </w:r>
          <w:r>
            <w:rPr>
              <w:rFonts w:ascii="Times New Roman" w:hAnsi="Times New Roman" w:eastAsiaTheme="minorEastAsia"/>
            </w:rPr>
            <w:t>36</w:t>
          </w:r>
          <w:r>
            <w:rPr>
              <w:rFonts w:ascii="Times New Roman" w:hAnsi="Times New Roman" w:eastAsiaTheme="minorEastAsia"/>
            </w:rPr>
            <w:fldChar w:fldCharType="end"/>
          </w:r>
          <w:r>
            <w:rPr>
              <w:rFonts w:ascii="Times New Roman" w:hAnsi="Times New Roman" w:eastAsiaTheme="minorEastAsia"/>
            </w:rPr>
            <w:fldChar w:fldCharType="end"/>
          </w:r>
        </w:p>
        <w:p w14:paraId="1D8BD723">
          <w:pPr>
            <w:pStyle w:val="28"/>
            <w:rPr>
              <w:rFonts w:ascii="Times New Roman" w:hAnsi="Times New Roman" w:eastAsiaTheme="minorEastAsia"/>
            </w:rPr>
          </w:pPr>
          <w:r>
            <w:fldChar w:fldCharType="begin"/>
          </w:r>
          <w:r>
            <w:instrText xml:space="preserve"> HYPERLINK \l "_Toc171955124" </w:instrText>
          </w:r>
          <w:r>
            <w:fldChar w:fldCharType="separate"/>
          </w:r>
          <w:r>
            <w:rPr>
              <w:rFonts w:ascii="Times New Roman" w:hAnsi="Times New Roman" w:eastAsiaTheme="minorEastAsia"/>
            </w:rPr>
            <w:t>10.3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_Toc171955124 \h </w:instrText>
          </w:r>
          <w:r>
            <w:rPr>
              <w:rFonts w:ascii="Times New Roman" w:hAnsi="Times New Roman" w:eastAsiaTheme="minorEastAsia"/>
            </w:rPr>
            <w:fldChar w:fldCharType="separate"/>
          </w:r>
          <w:r>
            <w:rPr>
              <w:rFonts w:ascii="Times New Roman" w:hAnsi="Times New Roman" w:eastAsiaTheme="minorEastAsia"/>
            </w:rPr>
            <w:t>37</w:t>
          </w:r>
          <w:r>
            <w:rPr>
              <w:rFonts w:ascii="Times New Roman" w:hAnsi="Times New Roman" w:eastAsiaTheme="minorEastAsia"/>
            </w:rPr>
            <w:fldChar w:fldCharType="end"/>
          </w:r>
          <w:r>
            <w:rPr>
              <w:rFonts w:ascii="Times New Roman" w:hAnsi="Times New Roman" w:eastAsiaTheme="minorEastAsia"/>
            </w:rPr>
            <w:fldChar w:fldCharType="end"/>
          </w:r>
        </w:p>
        <w:p w14:paraId="18C92E16">
          <w:pPr>
            <w:pStyle w:val="28"/>
            <w:rPr>
              <w:rFonts w:ascii="Times New Roman" w:hAnsi="Times New Roman" w:eastAsiaTheme="minorEastAsia"/>
            </w:rPr>
          </w:pPr>
          <w:r>
            <w:fldChar w:fldCharType="begin"/>
          </w:r>
          <w:r>
            <w:instrText xml:space="preserve"> HYPERLINK \l "_Toc171955125" </w:instrText>
          </w:r>
          <w:r>
            <w:fldChar w:fldCharType="separate"/>
          </w:r>
          <w:r>
            <w:rPr>
              <w:rFonts w:ascii="Times New Roman" w:hAnsi="Times New Roman" w:eastAsiaTheme="minorEastAsia"/>
            </w:rPr>
            <w:t>10.4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_Toc171955124 \h </w:instrText>
          </w:r>
          <w:r>
            <w:rPr>
              <w:rFonts w:ascii="Times New Roman" w:hAnsi="Times New Roman" w:eastAsiaTheme="minorEastAsia"/>
            </w:rPr>
            <w:fldChar w:fldCharType="separate"/>
          </w:r>
          <w:r>
            <w:rPr>
              <w:rFonts w:ascii="Times New Roman" w:hAnsi="Times New Roman" w:eastAsiaTheme="minorEastAsia"/>
            </w:rPr>
            <w:t>37</w:t>
          </w:r>
          <w:r>
            <w:rPr>
              <w:rFonts w:ascii="Times New Roman" w:hAnsi="Times New Roman" w:eastAsiaTheme="minorEastAsia"/>
            </w:rPr>
            <w:fldChar w:fldCharType="end"/>
          </w:r>
          <w:r>
            <w:rPr>
              <w:rFonts w:ascii="Times New Roman" w:hAnsi="Times New Roman" w:eastAsiaTheme="minorEastAsia"/>
            </w:rPr>
            <w:fldChar w:fldCharType="end"/>
          </w:r>
        </w:p>
        <w:p w14:paraId="78F9C9B2">
          <w:pPr>
            <w:pStyle w:val="28"/>
            <w:rPr>
              <w:rFonts w:ascii="Times New Roman" w:hAnsi="Times New Roman" w:eastAsiaTheme="minorEastAsia"/>
            </w:rPr>
          </w:pPr>
          <w:r>
            <w:fldChar w:fldCharType="begin"/>
          </w:r>
          <w:r>
            <w:instrText xml:space="preserve"> HYPERLINK \l "_Toc171955126" </w:instrText>
          </w:r>
          <w:r>
            <w:fldChar w:fldCharType="separate"/>
          </w:r>
          <w:r>
            <w:rPr>
              <w:rFonts w:ascii="Times New Roman" w:hAnsi="Times New Roman" w:eastAsiaTheme="minorEastAsia"/>
            </w:rPr>
            <w:t>11 Cable and satellite TV reception system</w:t>
          </w:r>
          <w:r>
            <w:rPr>
              <w:rFonts w:ascii="Times New Roman" w:hAnsi="Times New Roman" w:eastAsiaTheme="minorEastAsia"/>
            </w:rPr>
            <w:tab/>
          </w:r>
          <w:r>
            <w:rPr>
              <w:rFonts w:ascii="Times New Roman" w:hAnsi="Times New Roman" w:eastAsiaTheme="minorEastAsia"/>
            </w:rPr>
            <w:t>39</w:t>
          </w:r>
          <w:r>
            <w:rPr>
              <w:rFonts w:ascii="Times New Roman" w:hAnsi="Times New Roman" w:eastAsiaTheme="minorEastAsia"/>
            </w:rPr>
            <w:fldChar w:fldCharType="end"/>
          </w:r>
        </w:p>
        <w:p w14:paraId="21BBAB5A">
          <w:pPr>
            <w:pStyle w:val="28"/>
            <w:rPr>
              <w:rFonts w:ascii="Times New Roman" w:hAnsi="Times New Roman" w:eastAsiaTheme="minorEastAsia"/>
            </w:rPr>
          </w:pPr>
          <w:r>
            <w:fldChar w:fldCharType="begin"/>
          </w:r>
          <w:r>
            <w:instrText xml:space="preserve"> HYPERLINK \l "_Toc171955127" </w:instrText>
          </w:r>
          <w:r>
            <w:fldChar w:fldCharType="separate"/>
          </w:r>
          <w:r>
            <w:rPr>
              <w:rFonts w:ascii="Times New Roman" w:hAnsi="Times New Roman" w:eastAsiaTheme="minorEastAsia"/>
            </w:rPr>
            <w:t>11.1 General requirements</w:t>
          </w:r>
          <w:r>
            <w:rPr>
              <w:rFonts w:ascii="Times New Roman" w:hAnsi="Times New Roman" w:eastAsiaTheme="minorEastAsia"/>
            </w:rPr>
            <w:tab/>
          </w:r>
          <w:r>
            <w:rPr>
              <w:rFonts w:ascii="Times New Roman" w:hAnsi="Times New Roman" w:eastAsiaTheme="minorEastAsia"/>
            </w:rPr>
            <w:t>39</w:t>
          </w:r>
          <w:r>
            <w:rPr>
              <w:rFonts w:ascii="Times New Roman" w:hAnsi="Times New Roman" w:eastAsiaTheme="minorEastAsia"/>
            </w:rPr>
            <w:fldChar w:fldCharType="end"/>
          </w:r>
        </w:p>
        <w:p w14:paraId="37A94E93">
          <w:pPr>
            <w:pStyle w:val="28"/>
            <w:rPr>
              <w:rFonts w:ascii="Times New Roman" w:hAnsi="Times New Roman" w:eastAsiaTheme="minorEastAsia"/>
            </w:rPr>
          </w:pPr>
          <w:r>
            <w:fldChar w:fldCharType="begin"/>
          </w:r>
          <w:r>
            <w:instrText xml:space="preserve"> HYPERLINK \l "_Toc171955128" </w:instrText>
          </w:r>
          <w:r>
            <w:fldChar w:fldCharType="separate"/>
          </w:r>
          <w:r>
            <w:rPr>
              <w:rFonts w:ascii="Times New Roman" w:hAnsi="Times New Roman" w:eastAsiaTheme="minorEastAsia"/>
            </w:rPr>
            <w:t>11.2Preparation for construction</w:t>
          </w:r>
          <w:r>
            <w:rPr>
              <w:rFonts w:ascii="Times New Roman" w:hAnsi="Times New Roman" w:eastAsiaTheme="minorEastAsia"/>
            </w:rPr>
            <w:tab/>
          </w:r>
          <w:r>
            <w:rPr>
              <w:rFonts w:ascii="Times New Roman" w:hAnsi="Times New Roman" w:eastAsiaTheme="minorEastAsia"/>
            </w:rPr>
            <w:t>39</w:t>
          </w:r>
          <w:r>
            <w:rPr>
              <w:rFonts w:ascii="Times New Roman" w:hAnsi="Times New Roman" w:eastAsiaTheme="minorEastAsia"/>
            </w:rPr>
            <w:fldChar w:fldCharType="end"/>
          </w:r>
        </w:p>
        <w:p w14:paraId="75381DB0">
          <w:pPr>
            <w:pStyle w:val="28"/>
            <w:rPr>
              <w:rFonts w:ascii="Times New Roman" w:hAnsi="Times New Roman" w:eastAsiaTheme="minorEastAsia"/>
            </w:rPr>
          </w:pPr>
          <w:r>
            <w:fldChar w:fldCharType="begin"/>
          </w:r>
          <w:r>
            <w:instrText xml:space="preserve"> HYPERLINK \l "_Toc171955129" </w:instrText>
          </w:r>
          <w:r>
            <w:fldChar w:fldCharType="separate"/>
          </w:r>
          <w:r>
            <w:rPr>
              <w:rFonts w:ascii="Times New Roman" w:hAnsi="Times New Roman" w:eastAsiaTheme="minorEastAsia"/>
            </w:rPr>
            <w:t>11.3 Construction technology</w:t>
          </w:r>
          <w:r>
            <w:rPr>
              <w:rFonts w:ascii="Times New Roman" w:hAnsi="Times New Roman" w:eastAsiaTheme="minorEastAsia"/>
            </w:rPr>
            <w:tab/>
          </w:r>
          <w:r>
            <w:rPr>
              <w:rFonts w:ascii="Times New Roman" w:hAnsi="Times New Roman" w:eastAsiaTheme="minorEastAsia"/>
            </w:rPr>
            <w:t>39</w:t>
          </w:r>
          <w:r>
            <w:rPr>
              <w:rFonts w:ascii="Times New Roman" w:hAnsi="Times New Roman" w:eastAsiaTheme="minorEastAsia"/>
            </w:rPr>
            <w:fldChar w:fldCharType="end"/>
          </w:r>
        </w:p>
        <w:p w14:paraId="04D7E34D">
          <w:pPr>
            <w:pStyle w:val="28"/>
            <w:rPr>
              <w:rFonts w:ascii="Times New Roman" w:hAnsi="Times New Roman" w:eastAsiaTheme="minorEastAsia"/>
            </w:rPr>
          </w:pPr>
          <w:r>
            <w:fldChar w:fldCharType="begin"/>
          </w:r>
          <w:r>
            <w:instrText xml:space="preserve"> HYPERLINK \l "_Toc171955130" </w:instrText>
          </w:r>
          <w:r>
            <w:fldChar w:fldCharType="separate"/>
          </w:r>
          <w:r>
            <w:rPr>
              <w:rFonts w:ascii="Times New Roman" w:hAnsi="Times New Roman" w:eastAsiaTheme="minorEastAsia"/>
            </w:rPr>
            <w:t>11.4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_Toc171955130 \h </w:instrText>
          </w:r>
          <w:r>
            <w:rPr>
              <w:rFonts w:ascii="Times New Roman" w:hAnsi="Times New Roman" w:eastAsiaTheme="minorEastAsia"/>
            </w:rPr>
            <w:fldChar w:fldCharType="separate"/>
          </w:r>
          <w:r>
            <w:rPr>
              <w:rFonts w:ascii="Times New Roman" w:hAnsi="Times New Roman" w:eastAsiaTheme="minorEastAsia"/>
            </w:rPr>
            <w:t>45</w:t>
          </w:r>
          <w:r>
            <w:rPr>
              <w:rFonts w:ascii="Times New Roman" w:hAnsi="Times New Roman" w:eastAsiaTheme="minorEastAsia"/>
            </w:rPr>
            <w:fldChar w:fldCharType="end"/>
          </w:r>
          <w:r>
            <w:rPr>
              <w:rFonts w:ascii="Times New Roman" w:hAnsi="Times New Roman" w:eastAsiaTheme="minorEastAsia"/>
            </w:rPr>
            <w:fldChar w:fldCharType="end"/>
          </w:r>
        </w:p>
        <w:p w14:paraId="6937A5E9">
          <w:pPr>
            <w:pStyle w:val="28"/>
            <w:rPr>
              <w:rFonts w:ascii="Times New Roman" w:hAnsi="Times New Roman" w:eastAsiaTheme="minorEastAsia"/>
            </w:rPr>
          </w:pPr>
          <w:r>
            <w:fldChar w:fldCharType="begin"/>
          </w:r>
          <w:r>
            <w:instrText xml:space="preserve"> HYPERLINK \l "_Toc171955131" </w:instrText>
          </w:r>
          <w:r>
            <w:fldChar w:fldCharType="separate"/>
          </w:r>
          <w:r>
            <w:rPr>
              <w:rFonts w:ascii="Times New Roman" w:hAnsi="Times New Roman" w:eastAsiaTheme="minorEastAsia"/>
            </w:rPr>
            <w:t>12 Broadcast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_Toc171955131 \h </w:instrText>
          </w:r>
          <w:r>
            <w:rPr>
              <w:rFonts w:ascii="Times New Roman" w:hAnsi="Times New Roman" w:eastAsiaTheme="minorEastAsia"/>
            </w:rPr>
            <w:fldChar w:fldCharType="separate"/>
          </w:r>
          <w:r>
            <w:rPr>
              <w:rFonts w:ascii="Times New Roman" w:hAnsi="Times New Roman" w:eastAsiaTheme="minorEastAsia"/>
            </w:rPr>
            <w:t>46</w:t>
          </w:r>
          <w:r>
            <w:rPr>
              <w:rFonts w:ascii="Times New Roman" w:hAnsi="Times New Roman" w:eastAsiaTheme="minorEastAsia"/>
            </w:rPr>
            <w:fldChar w:fldCharType="end"/>
          </w:r>
          <w:r>
            <w:rPr>
              <w:rFonts w:ascii="Times New Roman" w:hAnsi="Times New Roman" w:eastAsiaTheme="minorEastAsia"/>
            </w:rPr>
            <w:fldChar w:fldCharType="end"/>
          </w:r>
        </w:p>
        <w:p w14:paraId="16E4CA8B">
          <w:pPr>
            <w:pStyle w:val="28"/>
            <w:rPr>
              <w:rFonts w:ascii="Times New Roman" w:hAnsi="Times New Roman" w:eastAsiaTheme="minorEastAsia"/>
            </w:rPr>
          </w:pPr>
          <w:r>
            <w:fldChar w:fldCharType="begin"/>
          </w:r>
          <w:r>
            <w:instrText xml:space="preserve"> HYPERLINK \l "_Toc171955132" </w:instrText>
          </w:r>
          <w:r>
            <w:fldChar w:fldCharType="separate"/>
          </w:r>
          <w:r>
            <w:rPr>
              <w:rFonts w:ascii="Times New Roman" w:hAnsi="Times New Roman" w:eastAsiaTheme="minorEastAsia"/>
            </w:rPr>
            <w:t>12.1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_Toc171955132 \h </w:instrText>
          </w:r>
          <w:r>
            <w:rPr>
              <w:rFonts w:ascii="Times New Roman" w:hAnsi="Times New Roman" w:eastAsiaTheme="minorEastAsia"/>
            </w:rPr>
            <w:fldChar w:fldCharType="separate"/>
          </w:r>
          <w:r>
            <w:rPr>
              <w:rFonts w:ascii="Times New Roman" w:hAnsi="Times New Roman" w:eastAsiaTheme="minorEastAsia"/>
            </w:rPr>
            <w:t>46</w:t>
          </w:r>
          <w:r>
            <w:rPr>
              <w:rFonts w:ascii="Times New Roman" w:hAnsi="Times New Roman" w:eastAsiaTheme="minorEastAsia"/>
            </w:rPr>
            <w:fldChar w:fldCharType="end"/>
          </w:r>
          <w:r>
            <w:rPr>
              <w:rFonts w:ascii="Times New Roman" w:hAnsi="Times New Roman" w:eastAsiaTheme="minorEastAsia"/>
            </w:rPr>
            <w:fldChar w:fldCharType="end"/>
          </w:r>
        </w:p>
        <w:p w14:paraId="623AE360">
          <w:pPr>
            <w:pStyle w:val="28"/>
            <w:rPr>
              <w:rFonts w:ascii="Times New Roman" w:hAnsi="Times New Roman" w:eastAsiaTheme="minorEastAsia"/>
            </w:rPr>
          </w:pPr>
          <w:r>
            <w:fldChar w:fldCharType="begin"/>
          </w:r>
          <w:r>
            <w:instrText xml:space="preserve"> HYPERLINK \l "_Toc171955133" </w:instrText>
          </w:r>
          <w:r>
            <w:fldChar w:fldCharType="separate"/>
          </w:r>
          <w:r>
            <w:rPr>
              <w:rFonts w:ascii="Times New Roman" w:hAnsi="Times New Roman" w:eastAsiaTheme="minorEastAsia"/>
            </w:rPr>
            <w:t>12.2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_Toc171955133 \h </w:instrText>
          </w:r>
          <w:r>
            <w:rPr>
              <w:rFonts w:ascii="Times New Roman" w:hAnsi="Times New Roman" w:eastAsiaTheme="minorEastAsia"/>
            </w:rPr>
            <w:fldChar w:fldCharType="separate"/>
          </w:r>
          <w:r>
            <w:rPr>
              <w:rFonts w:ascii="Times New Roman" w:hAnsi="Times New Roman" w:eastAsiaTheme="minorEastAsia"/>
            </w:rPr>
            <w:t>46</w:t>
          </w:r>
          <w:r>
            <w:rPr>
              <w:rFonts w:ascii="Times New Roman" w:hAnsi="Times New Roman" w:eastAsiaTheme="minorEastAsia"/>
            </w:rPr>
            <w:fldChar w:fldCharType="end"/>
          </w:r>
          <w:r>
            <w:rPr>
              <w:rFonts w:ascii="Times New Roman" w:hAnsi="Times New Roman" w:eastAsiaTheme="minorEastAsia"/>
            </w:rPr>
            <w:fldChar w:fldCharType="end"/>
          </w:r>
        </w:p>
        <w:p w14:paraId="0831D283">
          <w:pPr>
            <w:pStyle w:val="28"/>
            <w:rPr>
              <w:rFonts w:ascii="Times New Roman" w:hAnsi="Times New Roman" w:eastAsiaTheme="minorEastAsia"/>
            </w:rPr>
          </w:pPr>
          <w:r>
            <w:fldChar w:fldCharType="begin"/>
          </w:r>
          <w:r>
            <w:instrText xml:space="preserve"> HYPERLINK \l "_Toc171955134" </w:instrText>
          </w:r>
          <w:r>
            <w:fldChar w:fldCharType="separate"/>
          </w:r>
          <w:r>
            <w:rPr>
              <w:rFonts w:ascii="Times New Roman" w:hAnsi="Times New Roman" w:eastAsiaTheme="minorEastAsia"/>
            </w:rPr>
            <w:t>12.3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_Toc171955134 \h </w:instrText>
          </w:r>
          <w:r>
            <w:rPr>
              <w:rFonts w:ascii="Times New Roman" w:hAnsi="Times New Roman" w:eastAsiaTheme="minorEastAsia"/>
            </w:rPr>
            <w:fldChar w:fldCharType="separate"/>
          </w:r>
          <w:r>
            <w:rPr>
              <w:rFonts w:ascii="Times New Roman" w:hAnsi="Times New Roman" w:eastAsiaTheme="minorEastAsia"/>
            </w:rPr>
            <w:t>46</w:t>
          </w:r>
          <w:r>
            <w:rPr>
              <w:rFonts w:ascii="Times New Roman" w:hAnsi="Times New Roman" w:eastAsiaTheme="minorEastAsia"/>
            </w:rPr>
            <w:fldChar w:fldCharType="end"/>
          </w:r>
          <w:r>
            <w:rPr>
              <w:rFonts w:ascii="Times New Roman" w:hAnsi="Times New Roman" w:eastAsiaTheme="minorEastAsia"/>
            </w:rPr>
            <w:fldChar w:fldCharType="end"/>
          </w:r>
        </w:p>
        <w:p w14:paraId="7A65AFFF">
          <w:pPr>
            <w:pStyle w:val="28"/>
            <w:rPr>
              <w:rFonts w:ascii="Times New Roman" w:hAnsi="Times New Roman" w:eastAsiaTheme="minorEastAsia"/>
            </w:rPr>
          </w:pPr>
          <w:r>
            <w:fldChar w:fldCharType="begin"/>
          </w:r>
          <w:r>
            <w:instrText xml:space="preserve"> HYPERLINK \l "_Toc171955135" </w:instrText>
          </w:r>
          <w:r>
            <w:fldChar w:fldCharType="separate"/>
          </w:r>
          <w:r>
            <w:rPr>
              <w:rFonts w:ascii="Times New Roman" w:hAnsi="Times New Roman" w:eastAsiaTheme="minorEastAsia"/>
            </w:rPr>
            <w:t>12.4 Quality record</w:t>
          </w:r>
          <w:r>
            <w:rPr>
              <w:rFonts w:ascii="Times New Roman" w:hAnsi="Times New Roman" w:eastAsiaTheme="minorEastAsia"/>
            </w:rPr>
            <w:tab/>
          </w:r>
          <w:r>
            <w:rPr>
              <w:rFonts w:ascii="Times New Roman" w:hAnsi="Times New Roman" w:eastAsiaTheme="minorEastAsia"/>
            </w:rPr>
            <w:t>45</w:t>
          </w:r>
          <w:r>
            <w:rPr>
              <w:rFonts w:ascii="Times New Roman" w:hAnsi="Times New Roman" w:eastAsiaTheme="minorEastAsia"/>
            </w:rPr>
            <w:fldChar w:fldCharType="end"/>
          </w:r>
        </w:p>
        <w:p w14:paraId="2A1DC39F">
          <w:pPr>
            <w:pStyle w:val="28"/>
            <w:rPr>
              <w:rFonts w:ascii="Times New Roman" w:hAnsi="Times New Roman" w:eastAsiaTheme="minorEastAsia"/>
            </w:rPr>
          </w:pPr>
          <w:r>
            <w:fldChar w:fldCharType="begin"/>
          </w:r>
          <w:r>
            <w:instrText xml:space="preserve"> HYPERLINK \l "_Toc171955136" </w:instrText>
          </w:r>
          <w:r>
            <w:fldChar w:fldCharType="separate"/>
          </w:r>
          <w:r>
            <w:rPr>
              <w:rFonts w:ascii="Times New Roman" w:hAnsi="Times New Roman" w:eastAsiaTheme="minorEastAsia"/>
            </w:rPr>
            <w:t>13 Conference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_Toc171955139 \h </w:instrText>
          </w:r>
          <w:r>
            <w:rPr>
              <w:rFonts w:ascii="Times New Roman" w:hAnsi="Times New Roman" w:eastAsiaTheme="minorEastAsia"/>
            </w:rPr>
            <w:fldChar w:fldCharType="separate"/>
          </w:r>
          <w:r>
            <w:rPr>
              <w:rFonts w:ascii="Times New Roman" w:hAnsi="Times New Roman" w:eastAsiaTheme="minorEastAsia"/>
            </w:rPr>
            <w:t>49</w:t>
          </w:r>
          <w:r>
            <w:rPr>
              <w:rFonts w:ascii="Times New Roman" w:hAnsi="Times New Roman" w:eastAsiaTheme="minorEastAsia"/>
            </w:rPr>
            <w:fldChar w:fldCharType="end"/>
          </w:r>
          <w:r>
            <w:rPr>
              <w:rFonts w:ascii="Times New Roman" w:hAnsi="Times New Roman" w:eastAsiaTheme="minorEastAsia"/>
            </w:rPr>
            <w:fldChar w:fldCharType="end"/>
          </w:r>
        </w:p>
        <w:p w14:paraId="52E67983">
          <w:pPr>
            <w:pStyle w:val="28"/>
            <w:rPr>
              <w:rFonts w:ascii="Times New Roman" w:hAnsi="Times New Roman" w:eastAsiaTheme="minorEastAsia"/>
            </w:rPr>
          </w:pPr>
          <w:r>
            <w:fldChar w:fldCharType="begin"/>
          </w:r>
          <w:r>
            <w:instrText xml:space="preserve"> HYPERLINK \l "_Toc171955137" </w:instrText>
          </w:r>
          <w:r>
            <w:fldChar w:fldCharType="separate"/>
          </w:r>
          <w:r>
            <w:rPr>
              <w:rFonts w:ascii="Times New Roman" w:hAnsi="Times New Roman" w:eastAsiaTheme="minorEastAsia"/>
            </w:rPr>
            <w:t>13.1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_Toc171955139 \h </w:instrText>
          </w:r>
          <w:r>
            <w:rPr>
              <w:rFonts w:ascii="Times New Roman" w:hAnsi="Times New Roman" w:eastAsiaTheme="minorEastAsia"/>
            </w:rPr>
            <w:fldChar w:fldCharType="separate"/>
          </w:r>
          <w:r>
            <w:rPr>
              <w:rFonts w:ascii="Times New Roman" w:hAnsi="Times New Roman" w:eastAsiaTheme="minorEastAsia"/>
            </w:rPr>
            <w:t>49</w:t>
          </w:r>
          <w:r>
            <w:rPr>
              <w:rFonts w:ascii="Times New Roman" w:hAnsi="Times New Roman" w:eastAsiaTheme="minorEastAsia"/>
            </w:rPr>
            <w:fldChar w:fldCharType="end"/>
          </w:r>
          <w:r>
            <w:rPr>
              <w:rFonts w:ascii="Times New Roman" w:hAnsi="Times New Roman" w:eastAsiaTheme="minorEastAsia"/>
            </w:rPr>
            <w:fldChar w:fldCharType="end"/>
          </w:r>
        </w:p>
        <w:p w14:paraId="6ED06CC1">
          <w:pPr>
            <w:pStyle w:val="28"/>
            <w:rPr>
              <w:rFonts w:ascii="Times New Roman" w:hAnsi="Times New Roman" w:eastAsiaTheme="minorEastAsia"/>
            </w:rPr>
          </w:pPr>
          <w:r>
            <w:fldChar w:fldCharType="begin"/>
          </w:r>
          <w:r>
            <w:instrText xml:space="preserve"> HYPERLINK \l "_Toc171955138" </w:instrText>
          </w:r>
          <w:r>
            <w:fldChar w:fldCharType="separate"/>
          </w:r>
          <w:r>
            <w:rPr>
              <w:rFonts w:ascii="Times New Roman" w:hAnsi="Times New Roman" w:eastAsiaTheme="minorEastAsia"/>
            </w:rPr>
            <w:t>13.2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_Toc171955139 \h </w:instrText>
          </w:r>
          <w:r>
            <w:rPr>
              <w:rFonts w:ascii="Times New Roman" w:hAnsi="Times New Roman" w:eastAsiaTheme="minorEastAsia"/>
            </w:rPr>
            <w:fldChar w:fldCharType="separate"/>
          </w:r>
          <w:r>
            <w:rPr>
              <w:rFonts w:ascii="Times New Roman" w:hAnsi="Times New Roman" w:eastAsiaTheme="minorEastAsia"/>
            </w:rPr>
            <w:t>49</w:t>
          </w:r>
          <w:r>
            <w:rPr>
              <w:rFonts w:ascii="Times New Roman" w:hAnsi="Times New Roman" w:eastAsiaTheme="minorEastAsia"/>
            </w:rPr>
            <w:fldChar w:fldCharType="end"/>
          </w:r>
          <w:r>
            <w:rPr>
              <w:rFonts w:ascii="Times New Roman" w:hAnsi="Times New Roman" w:eastAsiaTheme="minorEastAsia"/>
            </w:rPr>
            <w:fldChar w:fldCharType="end"/>
          </w:r>
        </w:p>
        <w:p w14:paraId="4CE923F8">
          <w:pPr>
            <w:pStyle w:val="28"/>
            <w:rPr>
              <w:rFonts w:ascii="Times New Roman" w:hAnsi="Times New Roman" w:eastAsiaTheme="minorEastAsia"/>
            </w:rPr>
          </w:pPr>
          <w:r>
            <w:fldChar w:fldCharType="begin"/>
          </w:r>
          <w:r>
            <w:instrText xml:space="preserve"> HYPERLINK \l "_Toc171955139" </w:instrText>
          </w:r>
          <w:r>
            <w:fldChar w:fldCharType="separate"/>
          </w:r>
          <w:r>
            <w:rPr>
              <w:rFonts w:ascii="Times New Roman" w:hAnsi="Times New Roman" w:eastAsiaTheme="minorEastAsia"/>
            </w:rPr>
            <w:t>13.3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_Toc171955139 \h </w:instrText>
          </w:r>
          <w:r>
            <w:rPr>
              <w:rFonts w:ascii="Times New Roman" w:hAnsi="Times New Roman" w:eastAsiaTheme="minorEastAsia"/>
            </w:rPr>
            <w:fldChar w:fldCharType="separate"/>
          </w:r>
          <w:r>
            <w:rPr>
              <w:rFonts w:ascii="Times New Roman" w:hAnsi="Times New Roman" w:eastAsiaTheme="minorEastAsia"/>
            </w:rPr>
            <w:t>49</w:t>
          </w:r>
          <w:r>
            <w:rPr>
              <w:rFonts w:ascii="Times New Roman" w:hAnsi="Times New Roman" w:eastAsiaTheme="minorEastAsia"/>
            </w:rPr>
            <w:fldChar w:fldCharType="end"/>
          </w:r>
          <w:r>
            <w:rPr>
              <w:rFonts w:ascii="Times New Roman" w:hAnsi="Times New Roman" w:eastAsiaTheme="minorEastAsia"/>
            </w:rPr>
            <w:fldChar w:fldCharType="end"/>
          </w:r>
        </w:p>
        <w:p w14:paraId="2715C4AD">
          <w:pPr>
            <w:pStyle w:val="28"/>
            <w:rPr>
              <w:rFonts w:ascii="Times New Roman" w:hAnsi="Times New Roman" w:eastAsiaTheme="minorEastAsia"/>
            </w:rPr>
          </w:pPr>
          <w:r>
            <w:fldChar w:fldCharType="begin"/>
          </w:r>
          <w:r>
            <w:instrText xml:space="preserve"> HYPERLINK \l "_Toc171955140" </w:instrText>
          </w:r>
          <w:r>
            <w:fldChar w:fldCharType="separate"/>
          </w:r>
          <w:r>
            <w:rPr>
              <w:rFonts w:ascii="Times New Roman" w:hAnsi="Times New Roman" w:eastAsiaTheme="minorEastAsia"/>
            </w:rPr>
            <w:t>13.4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_Toc171955140 \h </w:instrText>
          </w:r>
          <w:r>
            <w:rPr>
              <w:rFonts w:ascii="Times New Roman" w:hAnsi="Times New Roman" w:eastAsiaTheme="minorEastAsia"/>
            </w:rPr>
            <w:fldChar w:fldCharType="separate"/>
          </w:r>
          <w:r>
            <w:rPr>
              <w:rFonts w:ascii="Times New Roman" w:hAnsi="Times New Roman" w:eastAsiaTheme="minorEastAsia"/>
            </w:rPr>
            <w:t>52</w:t>
          </w:r>
          <w:r>
            <w:rPr>
              <w:rFonts w:ascii="Times New Roman" w:hAnsi="Times New Roman" w:eastAsiaTheme="minorEastAsia"/>
            </w:rPr>
            <w:fldChar w:fldCharType="end"/>
          </w:r>
          <w:r>
            <w:rPr>
              <w:rFonts w:ascii="Times New Roman" w:hAnsi="Times New Roman" w:eastAsiaTheme="minorEastAsia"/>
            </w:rPr>
            <w:fldChar w:fldCharType="end"/>
          </w:r>
        </w:p>
        <w:p w14:paraId="0926E3B0">
          <w:pPr>
            <w:pStyle w:val="28"/>
            <w:rPr>
              <w:rFonts w:ascii="Times New Roman" w:hAnsi="Times New Roman" w:eastAsiaTheme="minorEastAsia"/>
            </w:rPr>
          </w:pPr>
          <w:r>
            <w:fldChar w:fldCharType="begin"/>
          </w:r>
          <w:r>
            <w:instrText xml:space="preserve"> HYPERLINK \l "_Toc171955141" </w:instrText>
          </w:r>
          <w:r>
            <w:fldChar w:fldCharType="separate"/>
          </w:r>
          <w:r>
            <w:rPr>
              <w:rFonts w:ascii="Times New Roman" w:hAnsi="Times New Roman" w:eastAsiaTheme="minorEastAsia"/>
            </w:rPr>
            <w:t>14 Information guidance and release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_Toc171955141 \h </w:instrText>
          </w:r>
          <w:r>
            <w:rPr>
              <w:rFonts w:ascii="Times New Roman" w:hAnsi="Times New Roman" w:eastAsiaTheme="minorEastAsia"/>
            </w:rPr>
            <w:fldChar w:fldCharType="separate"/>
          </w:r>
          <w:r>
            <w:rPr>
              <w:rFonts w:ascii="Times New Roman" w:hAnsi="Times New Roman" w:eastAsiaTheme="minorEastAsia"/>
            </w:rPr>
            <w:t>53</w:t>
          </w:r>
          <w:r>
            <w:rPr>
              <w:rFonts w:ascii="Times New Roman" w:hAnsi="Times New Roman" w:eastAsiaTheme="minorEastAsia"/>
            </w:rPr>
            <w:fldChar w:fldCharType="end"/>
          </w:r>
          <w:r>
            <w:rPr>
              <w:rFonts w:ascii="Times New Roman" w:hAnsi="Times New Roman" w:eastAsiaTheme="minorEastAsia"/>
            </w:rPr>
            <w:fldChar w:fldCharType="end"/>
          </w:r>
        </w:p>
        <w:p w14:paraId="33F98B50">
          <w:pPr>
            <w:pStyle w:val="28"/>
            <w:rPr>
              <w:rFonts w:ascii="Times New Roman" w:hAnsi="Times New Roman" w:eastAsiaTheme="minorEastAsia"/>
            </w:rPr>
          </w:pPr>
          <w:r>
            <w:fldChar w:fldCharType="begin"/>
          </w:r>
          <w:r>
            <w:instrText xml:space="preserve"> HYPERLINK \l "_Toc171955142" </w:instrText>
          </w:r>
          <w:r>
            <w:fldChar w:fldCharType="separate"/>
          </w:r>
          <w:r>
            <w:rPr>
              <w:rFonts w:ascii="Times New Roman" w:hAnsi="Times New Roman" w:eastAsiaTheme="minorEastAsia"/>
            </w:rPr>
            <w:t>14.1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_Toc171955142 \h </w:instrText>
          </w:r>
          <w:r>
            <w:rPr>
              <w:rFonts w:ascii="Times New Roman" w:hAnsi="Times New Roman" w:eastAsiaTheme="minorEastAsia"/>
            </w:rPr>
            <w:fldChar w:fldCharType="separate"/>
          </w:r>
          <w:r>
            <w:rPr>
              <w:rFonts w:ascii="Times New Roman" w:hAnsi="Times New Roman" w:eastAsiaTheme="minorEastAsia"/>
            </w:rPr>
            <w:t>53</w:t>
          </w:r>
          <w:r>
            <w:rPr>
              <w:rFonts w:ascii="Times New Roman" w:hAnsi="Times New Roman" w:eastAsiaTheme="minorEastAsia"/>
            </w:rPr>
            <w:fldChar w:fldCharType="end"/>
          </w:r>
          <w:r>
            <w:rPr>
              <w:rFonts w:ascii="Times New Roman" w:hAnsi="Times New Roman" w:eastAsiaTheme="minorEastAsia"/>
            </w:rPr>
            <w:fldChar w:fldCharType="end"/>
          </w:r>
        </w:p>
        <w:p w14:paraId="076254A2">
          <w:pPr>
            <w:pStyle w:val="28"/>
            <w:rPr>
              <w:rFonts w:ascii="Times New Roman" w:hAnsi="Times New Roman" w:eastAsiaTheme="minorEastAsia"/>
            </w:rPr>
          </w:pPr>
          <w:r>
            <w:fldChar w:fldCharType="begin"/>
          </w:r>
          <w:r>
            <w:instrText xml:space="preserve"> HYPERLINK \l "_Toc171955143" </w:instrText>
          </w:r>
          <w:r>
            <w:fldChar w:fldCharType="separate"/>
          </w:r>
          <w:r>
            <w:rPr>
              <w:rFonts w:ascii="Times New Roman" w:hAnsi="Times New Roman" w:eastAsiaTheme="minorEastAsia"/>
            </w:rPr>
            <w:t>14.2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_Toc171955143 \h </w:instrText>
          </w:r>
          <w:r>
            <w:rPr>
              <w:rFonts w:ascii="Times New Roman" w:hAnsi="Times New Roman" w:eastAsiaTheme="minorEastAsia"/>
            </w:rPr>
            <w:fldChar w:fldCharType="separate"/>
          </w:r>
          <w:r>
            <w:rPr>
              <w:rFonts w:ascii="Times New Roman" w:hAnsi="Times New Roman" w:eastAsiaTheme="minorEastAsia"/>
            </w:rPr>
            <w:t>53</w:t>
          </w:r>
          <w:r>
            <w:rPr>
              <w:rFonts w:ascii="Times New Roman" w:hAnsi="Times New Roman" w:eastAsiaTheme="minorEastAsia"/>
            </w:rPr>
            <w:fldChar w:fldCharType="end"/>
          </w:r>
          <w:r>
            <w:rPr>
              <w:rFonts w:ascii="Times New Roman" w:hAnsi="Times New Roman" w:eastAsiaTheme="minorEastAsia"/>
            </w:rPr>
            <w:fldChar w:fldCharType="end"/>
          </w:r>
        </w:p>
        <w:p w14:paraId="625572C9">
          <w:pPr>
            <w:pStyle w:val="28"/>
            <w:rPr>
              <w:rFonts w:ascii="Times New Roman" w:hAnsi="Times New Roman" w:eastAsiaTheme="minorEastAsia"/>
            </w:rPr>
          </w:pPr>
          <w:r>
            <w:fldChar w:fldCharType="begin"/>
          </w:r>
          <w:r>
            <w:instrText xml:space="preserve"> HYPERLINK \l "_Toc171955144" </w:instrText>
          </w:r>
          <w:r>
            <w:fldChar w:fldCharType="separate"/>
          </w:r>
          <w:r>
            <w:rPr>
              <w:rFonts w:ascii="Times New Roman" w:hAnsi="Times New Roman" w:eastAsiaTheme="minorEastAsia"/>
            </w:rPr>
            <w:t>14.3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_Toc171955144 \h </w:instrText>
          </w:r>
          <w:r>
            <w:rPr>
              <w:rFonts w:ascii="Times New Roman" w:hAnsi="Times New Roman" w:eastAsiaTheme="minorEastAsia"/>
            </w:rPr>
            <w:fldChar w:fldCharType="separate"/>
          </w:r>
          <w:r>
            <w:rPr>
              <w:rFonts w:ascii="Times New Roman" w:hAnsi="Times New Roman" w:eastAsiaTheme="minorEastAsia"/>
            </w:rPr>
            <w:t>53</w:t>
          </w:r>
          <w:r>
            <w:rPr>
              <w:rFonts w:ascii="Times New Roman" w:hAnsi="Times New Roman" w:eastAsiaTheme="minorEastAsia"/>
            </w:rPr>
            <w:fldChar w:fldCharType="end"/>
          </w:r>
          <w:r>
            <w:rPr>
              <w:rFonts w:ascii="Times New Roman" w:hAnsi="Times New Roman" w:eastAsiaTheme="minorEastAsia"/>
            </w:rPr>
            <w:fldChar w:fldCharType="end"/>
          </w:r>
        </w:p>
        <w:p w14:paraId="0321821C">
          <w:pPr>
            <w:pStyle w:val="28"/>
            <w:rPr>
              <w:rFonts w:ascii="Times New Roman" w:hAnsi="Times New Roman" w:eastAsiaTheme="minorEastAsia"/>
            </w:rPr>
          </w:pPr>
          <w:r>
            <w:fldChar w:fldCharType="begin"/>
          </w:r>
          <w:r>
            <w:instrText xml:space="preserve"> HYPERLINK \l "_Toc171955145" </w:instrText>
          </w:r>
          <w:r>
            <w:fldChar w:fldCharType="separate"/>
          </w:r>
          <w:r>
            <w:rPr>
              <w:rFonts w:ascii="Times New Roman" w:hAnsi="Times New Roman" w:eastAsiaTheme="minorEastAsia"/>
            </w:rPr>
            <w:t>14.4 Quality record</w:t>
          </w:r>
          <w:r>
            <w:rPr>
              <w:rFonts w:ascii="Times New Roman" w:hAnsi="Times New Roman" w:eastAsiaTheme="minorEastAsia"/>
            </w:rPr>
            <w:tab/>
          </w:r>
          <w:r>
            <w:rPr>
              <w:rFonts w:ascii="Times New Roman" w:hAnsi="Times New Roman" w:eastAsiaTheme="minorEastAsia"/>
            </w:rPr>
            <w:t>56</w:t>
          </w:r>
          <w:r>
            <w:rPr>
              <w:rFonts w:ascii="Times New Roman" w:hAnsi="Times New Roman" w:eastAsiaTheme="minorEastAsia"/>
            </w:rPr>
            <w:fldChar w:fldCharType="end"/>
          </w:r>
        </w:p>
        <w:p w14:paraId="37890DAA">
          <w:pPr>
            <w:pStyle w:val="28"/>
            <w:rPr>
              <w:rFonts w:ascii="Times New Roman" w:hAnsi="Times New Roman" w:eastAsiaTheme="minorEastAsia"/>
            </w:rPr>
          </w:pPr>
          <w:r>
            <w:fldChar w:fldCharType="begin"/>
          </w:r>
          <w:r>
            <w:instrText xml:space="preserve"> HYPERLINK \l "_Toc171955146" </w:instrText>
          </w:r>
          <w:r>
            <w:fldChar w:fldCharType="separate"/>
          </w:r>
          <w:r>
            <w:rPr>
              <w:rFonts w:ascii="Times New Roman" w:hAnsi="Times New Roman" w:eastAsiaTheme="minorEastAsia"/>
            </w:rPr>
            <w:t>15</w:t>
          </w:r>
          <w:r>
            <w:rPr>
              <w:rFonts w:ascii="Times New Roman" w:hAnsi="Times New Roman"/>
            </w:rPr>
            <w:t xml:space="preserve"> </w:t>
          </w:r>
          <w:r>
            <w:rPr>
              <w:rFonts w:ascii="Times New Roman" w:hAnsi="Times New Roman" w:eastAsiaTheme="minorEastAsia"/>
            </w:rPr>
            <w:t>Clock Syetem</w:t>
          </w:r>
          <w:r>
            <w:rPr>
              <w:rFonts w:ascii="Times New Roman" w:hAnsi="Times New Roman" w:eastAsiaTheme="minorEastAsia"/>
            </w:rPr>
            <w:tab/>
          </w:r>
          <w:r>
            <w:rPr>
              <w:rFonts w:ascii="Times New Roman" w:hAnsi="Times New Roman" w:eastAsiaTheme="minorEastAsia"/>
            </w:rPr>
            <w:t>57</w:t>
          </w:r>
          <w:r>
            <w:rPr>
              <w:rFonts w:ascii="Times New Roman" w:hAnsi="Times New Roman" w:eastAsiaTheme="minorEastAsia"/>
            </w:rPr>
            <w:fldChar w:fldCharType="end"/>
          </w:r>
        </w:p>
        <w:p w14:paraId="1FDE1405">
          <w:pPr>
            <w:pStyle w:val="28"/>
            <w:rPr>
              <w:rFonts w:ascii="Times New Roman" w:hAnsi="Times New Roman" w:eastAsiaTheme="minorEastAsia"/>
            </w:rPr>
          </w:pPr>
          <w:r>
            <w:fldChar w:fldCharType="begin"/>
          </w:r>
          <w:r>
            <w:instrText xml:space="preserve"> HYPERLINK \l "_Toc171955147" </w:instrText>
          </w:r>
          <w:r>
            <w:fldChar w:fldCharType="separate"/>
          </w:r>
          <w:r>
            <w:rPr>
              <w:rFonts w:ascii="Times New Roman" w:hAnsi="Times New Roman" w:eastAsiaTheme="minorEastAsia"/>
            </w:rPr>
            <w:t>15.1 General requirements</w:t>
          </w:r>
          <w:r>
            <w:rPr>
              <w:rFonts w:ascii="Times New Roman" w:hAnsi="Times New Roman" w:eastAsiaTheme="minorEastAsia"/>
            </w:rPr>
            <w:tab/>
          </w:r>
          <w:r>
            <w:rPr>
              <w:rFonts w:ascii="Times New Roman" w:hAnsi="Times New Roman" w:eastAsiaTheme="minorEastAsia"/>
            </w:rPr>
            <w:t>57</w:t>
          </w:r>
          <w:r>
            <w:rPr>
              <w:rFonts w:ascii="Times New Roman" w:hAnsi="Times New Roman" w:eastAsiaTheme="minorEastAsia"/>
            </w:rPr>
            <w:fldChar w:fldCharType="end"/>
          </w:r>
        </w:p>
        <w:p w14:paraId="25B2C575">
          <w:pPr>
            <w:pStyle w:val="28"/>
            <w:rPr>
              <w:rFonts w:ascii="Times New Roman" w:hAnsi="Times New Roman" w:eastAsiaTheme="minorEastAsia"/>
            </w:rPr>
          </w:pPr>
          <w:r>
            <w:fldChar w:fldCharType="begin"/>
          </w:r>
          <w:r>
            <w:instrText xml:space="preserve"> HYPERLINK \l "_Toc171955148" </w:instrText>
          </w:r>
          <w:r>
            <w:fldChar w:fldCharType="separate"/>
          </w:r>
          <w:r>
            <w:rPr>
              <w:rFonts w:ascii="Times New Roman" w:hAnsi="Times New Roman" w:eastAsiaTheme="minorEastAsia"/>
            </w:rPr>
            <w:t>15.2 Preparation for construction</w:t>
          </w:r>
          <w:r>
            <w:rPr>
              <w:rFonts w:ascii="Times New Roman" w:hAnsi="Times New Roman" w:eastAsiaTheme="minorEastAsia"/>
            </w:rPr>
            <w:tab/>
          </w:r>
          <w:r>
            <w:rPr>
              <w:rFonts w:ascii="Times New Roman" w:hAnsi="Times New Roman" w:eastAsiaTheme="minorEastAsia"/>
            </w:rPr>
            <w:t>57</w:t>
          </w:r>
          <w:r>
            <w:rPr>
              <w:rFonts w:ascii="Times New Roman" w:hAnsi="Times New Roman" w:eastAsiaTheme="minorEastAsia"/>
            </w:rPr>
            <w:fldChar w:fldCharType="end"/>
          </w:r>
        </w:p>
        <w:p w14:paraId="564DD179">
          <w:pPr>
            <w:pStyle w:val="28"/>
            <w:rPr>
              <w:rFonts w:ascii="Times New Roman" w:hAnsi="Times New Roman" w:eastAsiaTheme="minorEastAsia"/>
            </w:rPr>
          </w:pPr>
          <w:r>
            <w:fldChar w:fldCharType="begin"/>
          </w:r>
          <w:r>
            <w:instrText xml:space="preserve"> HYPERLINK \l "_Toc171955149" </w:instrText>
          </w:r>
          <w:r>
            <w:fldChar w:fldCharType="separate"/>
          </w:r>
          <w:r>
            <w:rPr>
              <w:rFonts w:ascii="Times New Roman" w:hAnsi="Times New Roman" w:eastAsiaTheme="minorEastAsia"/>
            </w:rPr>
            <w:t>15.3 Construction technology</w:t>
          </w:r>
          <w:r>
            <w:rPr>
              <w:rFonts w:ascii="Times New Roman" w:hAnsi="Times New Roman" w:eastAsiaTheme="minorEastAsia"/>
            </w:rPr>
            <w:tab/>
          </w:r>
          <w:r>
            <w:rPr>
              <w:rFonts w:ascii="Times New Roman" w:hAnsi="Times New Roman" w:eastAsiaTheme="minorEastAsia"/>
            </w:rPr>
            <w:t>57</w:t>
          </w:r>
          <w:r>
            <w:rPr>
              <w:rFonts w:ascii="Times New Roman" w:hAnsi="Times New Roman" w:eastAsiaTheme="minorEastAsia"/>
            </w:rPr>
            <w:fldChar w:fldCharType="end"/>
          </w:r>
        </w:p>
        <w:p w14:paraId="026A031A">
          <w:pPr>
            <w:pStyle w:val="28"/>
            <w:rPr>
              <w:rFonts w:ascii="Times New Roman" w:hAnsi="Times New Roman" w:eastAsiaTheme="minorEastAsia"/>
            </w:rPr>
          </w:pPr>
          <w:r>
            <w:fldChar w:fldCharType="begin"/>
          </w:r>
          <w:r>
            <w:instrText xml:space="preserve"> HYPERLINK \l "_Toc171955150" </w:instrText>
          </w:r>
          <w:r>
            <w:fldChar w:fldCharType="separate"/>
          </w:r>
          <w:r>
            <w:rPr>
              <w:rFonts w:ascii="Times New Roman" w:hAnsi="Times New Roman" w:eastAsiaTheme="minorEastAsia"/>
            </w:rPr>
            <w:t>15.4 Quality record</w:t>
          </w:r>
          <w:r>
            <w:rPr>
              <w:rFonts w:ascii="Times New Roman" w:hAnsi="Times New Roman" w:eastAsiaTheme="minorEastAsia"/>
            </w:rPr>
            <w:tab/>
          </w:r>
          <w:r>
            <w:rPr>
              <w:rFonts w:ascii="Times New Roman" w:hAnsi="Times New Roman" w:eastAsiaTheme="minorEastAsia"/>
            </w:rPr>
            <w:t>59</w:t>
          </w:r>
          <w:r>
            <w:rPr>
              <w:rFonts w:ascii="Times New Roman" w:hAnsi="Times New Roman" w:eastAsiaTheme="minorEastAsia"/>
            </w:rPr>
            <w:fldChar w:fldCharType="end"/>
          </w:r>
        </w:p>
        <w:p w14:paraId="38059E63">
          <w:pPr>
            <w:pStyle w:val="28"/>
            <w:rPr>
              <w:rFonts w:ascii="Times New Roman" w:hAnsi="Times New Roman" w:eastAsiaTheme="minorEastAsia"/>
            </w:rPr>
          </w:pPr>
          <w:r>
            <w:fldChar w:fldCharType="begin"/>
          </w:r>
          <w:r>
            <w:instrText xml:space="preserve"> HYPERLINK \l "_Toc171955151" </w:instrText>
          </w:r>
          <w:r>
            <w:fldChar w:fldCharType="separate"/>
          </w:r>
          <w:r>
            <w:rPr>
              <w:rFonts w:ascii="Times New Roman" w:hAnsi="Times New Roman" w:eastAsiaTheme="minorEastAsia"/>
            </w:rPr>
            <w:t>16 Information application system</w:t>
          </w:r>
          <w:r>
            <w:rPr>
              <w:rFonts w:ascii="Times New Roman" w:hAnsi="Times New Roman" w:eastAsiaTheme="minorEastAsia"/>
            </w:rPr>
            <w:tab/>
          </w:r>
          <w:r>
            <w:rPr>
              <w:rFonts w:ascii="Times New Roman" w:hAnsi="Times New Roman" w:eastAsiaTheme="minorEastAsia"/>
            </w:rPr>
            <w:t>59</w:t>
          </w:r>
          <w:r>
            <w:rPr>
              <w:rFonts w:ascii="Times New Roman" w:hAnsi="Times New Roman" w:eastAsiaTheme="minorEastAsia"/>
            </w:rPr>
            <w:fldChar w:fldCharType="end"/>
          </w:r>
        </w:p>
        <w:p w14:paraId="4A9A20AC">
          <w:pPr>
            <w:pStyle w:val="28"/>
            <w:rPr>
              <w:rFonts w:ascii="Times New Roman" w:hAnsi="Times New Roman" w:eastAsiaTheme="minorEastAsia"/>
            </w:rPr>
          </w:pPr>
          <w:r>
            <w:fldChar w:fldCharType="begin"/>
          </w:r>
          <w:r>
            <w:instrText xml:space="preserve"> HYPERLINK \l "_Toc171955152" </w:instrText>
          </w:r>
          <w:r>
            <w:fldChar w:fldCharType="separate"/>
          </w:r>
          <w:r>
            <w:rPr>
              <w:rFonts w:ascii="Times New Roman" w:hAnsi="Times New Roman" w:eastAsiaTheme="minorEastAsia"/>
            </w:rPr>
            <w:t>16.1 General requirements</w:t>
          </w:r>
          <w:r>
            <w:rPr>
              <w:rFonts w:ascii="Times New Roman" w:hAnsi="Times New Roman" w:eastAsiaTheme="minorEastAsia"/>
            </w:rPr>
            <w:tab/>
          </w:r>
          <w:r>
            <w:rPr>
              <w:rFonts w:ascii="Times New Roman" w:hAnsi="Times New Roman" w:eastAsiaTheme="minorEastAsia"/>
            </w:rPr>
            <w:t>59</w:t>
          </w:r>
          <w:r>
            <w:rPr>
              <w:rFonts w:ascii="Times New Roman" w:hAnsi="Times New Roman" w:eastAsiaTheme="minorEastAsia"/>
            </w:rPr>
            <w:fldChar w:fldCharType="end"/>
          </w:r>
        </w:p>
        <w:p w14:paraId="15E435C3">
          <w:pPr>
            <w:pStyle w:val="28"/>
            <w:rPr>
              <w:rFonts w:ascii="Times New Roman" w:hAnsi="Times New Roman" w:eastAsiaTheme="minorEastAsia"/>
            </w:rPr>
          </w:pPr>
          <w:r>
            <w:fldChar w:fldCharType="begin"/>
          </w:r>
          <w:r>
            <w:instrText xml:space="preserve"> HYPERLINK \l "_Toc171955153" </w:instrText>
          </w:r>
          <w:r>
            <w:fldChar w:fldCharType="separate"/>
          </w:r>
          <w:r>
            <w:rPr>
              <w:rFonts w:ascii="Times New Roman" w:hAnsi="Times New Roman" w:eastAsiaTheme="minorEastAsia"/>
            </w:rPr>
            <w:t>16.2 Preparation for construction</w:t>
          </w:r>
          <w:r>
            <w:rPr>
              <w:rFonts w:ascii="Times New Roman" w:hAnsi="Times New Roman" w:eastAsiaTheme="minorEastAsia"/>
            </w:rPr>
            <w:tab/>
          </w:r>
          <w:r>
            <w:rPr>
              <w:rFonts w:ascii="Times New Roman" w:hAnsi="Times New Roman" w:eastAsiaTheme="minorEastAsia"/>
            </w:rPr>
            <w:t>59</w:t>
          </w:r>
          <w:r>
            <w:rPr>
              <w:rFonts w:ascii="Times New Roman" w:hAnsi="Times New Roman" w:eastAsiaTheme="minorEastAsia"/>
            </w:rPr>
            <w:fldChar w:fldCharType="end"/>
          </w:r>
        </w:p>
        <w:p w14:paraId="6EEF340E">
          <w:pPr>
            <w:pStyle w:val="28"/>
            <w:rPr>
              <w:rFonts w:ascii="Times New Roman" w:hAnsi="Times New Roman" w:eastAsiaTheme="minorEastAsia"/>
            </w:rPr>
          </w:pPr>
          <w:r>
            <w:fldChar w:fldCharType="begin"/>
          </w:r>
          <w:r>
            <w:instrText xml:space="preserve"> HYPERLINK \l "_Toc171955154" </w:instrText>
          </w:r>
          <w:r>
            <w:fldChar w:fldCharType="separate"/>
          </w:r>
          <w:r>
            <w:rPr>
              <w:rFonts w:ascii="Times New Roman" w:hAnsi="Times New Roman" w:eastAsiaTheme="minorEastAsia"/>
            </w:rPr>
            <w:t>16.3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_Toc171955154 \h </w:instrText>
          </w:r>
          <w:r>
            <w:rPr>
              <w:rFonts w:ascii="Times New Roman" w:hAnsi="Times New Roman" w:eastAsiaTheme="minorEastAsia"/>
            </w:rPr>
            <w:fldChar w:fldCharType="separate"/>
          </w:r>
          <w:r>
            <w:rPr>
              <w:rFonts w:ascii="Times New Roman" w:hAnsi="Times New Roman" w:eastAsiaTheme="minorEastAsia"/>
            </w:rPr>
            <w:t>60</w:t>
          </w:r>
          <w:r>
            <w:rPr>
              <w:rFonts w:ascii="Times New Roman" w:hAnsi="Times New Roman" w:eastAsiaTheme="minorEastAsia"/>
            </w:rPr>
            <w:fldChar w:fldCharType="end"/>
          </w:r>
          <w:r>
            <w:rPr>
              <w:rFonts w:ascii="Times New Roman" w:hAnsi="Times New Roman" w:eastAsiaTheme="minorEastAsia"/>
            </w:rPr>
            <w:fldChar w:fldCharType="end"/>
          </w:r>
        </w:p>
        <w:p w14:paraId="69AD0275">
          <w:pPr>
            <w:pStyle w:val="28"/>
            <w:rPr>
              <w:rFonts w:ascii="Times New Roman" w:hAnsi="Times New Roman" w:eastAsiaTheme="minorEastAsia"/>
            </w:rPr>
          </w:pPr>
          <w:r>
            <w:fldChar w:fldCharType="begin"/>
          </w:r>
          <w:r>
            <w:instrText xml:space="preserve"> HYPERLINK \l "_Toc171955155" </w:instrText>
          </w:r>
          <w:r>
            <w:fldChar w:fldCharType="separate"/>
          </w:r>
          <w:r>
            <w:rPr>
              <w:rFonts w:ascii="Times New Roman" w:hAnsi="Times New Roman" w:eastAsiaTheme="minorEastAsia"/>
            </w:rPr>
            <w:t>16.4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_Toc171955155 \h </w:instrText>
          </w:r>
          <w:r>
            <w:rPr>
              <w:rFonts w:ascii="Times New Roman" w:hAnsi="Times New Roman" w:eastAsiaTheme="minorEastAsia"/>
            </w:rPr>
            <w:fldChar w:fldCharType="separate"/>
          </w:r>
          <w:r>
            <w:rPr>
              <w:rFonts w:ascii="Times New Roman" w:hAnsi="Times New Roman" w:eastAsiaTheme="minorEastAsia"/>
            </w:rPr>
            <w:t>62</w:t>
          </w:r>
          <w:r>
            <w:rPr>
              <w:rFonts w:ascii="Times New Roman" w:hAnsi="Times New Roman" w:eastAsiaTheme="minorEastAsia"/>
            </w:rPr>
            <w:fldChar w:fldCharType="end"/>
          </w:r>
          <w:r>
            <w:rPr>
              <w:rFonts w:ascii="Times New Roman" w:hAnsi="Times New Roman" w:eastAsiaTheme="minorEastAsia"/>
            </w:rPr>
            <w:fldChar w:fldCharType="end"/>
          </w:r>
        </w:p>
        <w:p w14:paraId="2D4428A2">
          <w:pPr>
            <w:pStyle w:val="28"/>
            <w:rPr>
              <w:rFonts w:ascii="Times New Roman" w:hAnsi="Times New Roman" w:eastAsiaTheme="minorEastAsia"/>
            </w:rPr>
          </w:pPr>
          <w:r>
            <w:fldChar w:fldCharType="begin"/>
          </w:r>
          <w:r>
            <w:instrText xml:space="preserve"> HYPERLINK \l "_Toc171955156" </w:instrText>
          </w:r>
          <w:r>
            <w:fldChar w:fldCharType="separate"/>
          </w:r>
          <w:r>
            <w:rPr>
              <w:rFonts w:ascii="Times New Roman" w:hAnsi="Times New Roman" w:eastAsiaTheme="minorEastAsia"/>
            </w:rPr>
            <w:t>17 Construction equipment monitoring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_Toc171955156 \h </w:instrText>
          </w:r>
          <w:r>
            <w:rPr>
              <w:rFonts w:ascii="Times New Roman" w:hAnsi="Times New Roman" w:eastAsiaTheme="minorEastAsia"/>
            </w:rPr>
            <w:fldChar w:fldCharType="separate"/>
          </w:r>
          <w:r>
            <w:rPr>
              <w:rFonts w:ascii="Times New Roman" w:hAnsi="Times New Roman" w:eastAsiaTheme="minorEastAsia"/>
            </w:rPr>
            <w:t>63</w:t>
          </w:r>
          <w:r>
            <w:rPr>
              <w:rFonts w:ascii="Times New Roman" w:hAnsi="Times New Roman" w:eastAsiaTheme="minorEastAsia"/>
            </w:rPr>
            <w:fldChar w:fldCharType="end"/>
          </w:r>
          <w:r>
            <w:rPr>
              <w:rFonts w:ascii="Times New Roman" w:hAnsi="Times New Roman" w:eastAsiaTheme="minorEastAsia"/>
            </w:rPr>
            <w:fldChar w:fldCharType="end"/>
          </w:r>
        </w:p>
        <w:p w14:paraId="2AD7986F">
          <w:pPr>
            <w:pStyle w:val="28"/>
            <w:rPr>
              <w:rFonts w:ascii="Times New Roman" w:hAnsi="Times New Roman" w:eastAsiaTheme="minorEastAsia"/>
            </w:rPr>
          </w:pPr>
          <w:r>
            <w:fldChar w:fldCharType="begin"/>
          </w:r>
          <w:r>
            <w:instrText xml:space="preserve"> HYPERLINK \l "_Toc171955157" </w:instrText>
          </w:r>
          <w:r>
            <w:fldChar w:fldCharType="separate"/>
          </w:r>
          <w:r>
            <w:rPr>
              <w:rFonts w:ascii="Times New Roman" w:hAnsi="Times New Roman" w:eastAsiaTheme="minorEastAsia"/>
            </w:rPr>
            <w:t>17.1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_Toc171955157 \h </w:instrText>
          </w:r>
          <w:r>
            <w:rPr>
              <w:rFonts w:ascii="Times New Roman" w:hAnsi="Times New Roman" w:eastAsiaTheme="minorEastAsia"/>
            </w:rPr>
            <w:fldChar w:fldCharType="separate"/>
          </w:r>
          <w:r>
            <w:rPr>
              <w:rFonts w:ascii="Times New Roman" w:hAnsi="Times New Roman" w:eastAsiaTheme="minorEastAsia"/>
            </w:rPr>
            <w:t>63</w:t>
          </w:r>
          <w:r>
            <w:rPr>
              <w:rFonts w:ascii="Times New Roman" w:hAnsi="Times New Roman" w:eastAsiaTheme="minorEastAsia"/>
            </w:rPr>
            <w:fldChar w:fldCharType="end"/>
          </w:r>
          <w:r>
            <w:rPr>
              <w:rFonts w:ascii="Times New Roman" w:hAnsi="Times New Roman" w:eastAsiaTheme="minorEastAsia"/>
            </w:rPr>
            <w:fldChar w:fldCharType="end"/>
          </w:r>
        </w:p>
        <w:p w14:paraId="2BFF9C0A">
          <w:pPr>
            <w:pStyle w:val="28"/>
            <w:rPr>
              <w:rFonts w:ascii="Times New Roman" w:hAnsi="Times New Roman" w:eastAsiaTheme="minorEastAsia"/>
            </w:rPr>
          </w:pPr>
          <w:r>
            <w:fldChar w:fldCharType="begin"/>
          </w:r>
          <w:r>
            <w:instrText xml:space="preserve"> HYPERLINK \l "_Toc171955158" </w:instrText>
          </w:r>
          <w:r>
            <w:fldChar w:fldCharType="separate"/>
          </w:r>
          <w:r>
            <w:rPr>
              <w:rFonts w:ascii="Times New Roman" w:hAnsi="Times New Roman" w:eastAsiaTheme="minorEastAsia"/>
            </w:rPr>
            <w:t>17.2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_Toc171955158 \h </w:instrText>
          </w:r>
          <w:r>
            <w:rPr>
              <w:rFonts w:ascii="Times New Roman" w:hAnsi="Times New Roman" w:eastAsiaTheme="minorEastAsia"/>
            </w:rPr>
            <w:fldChar w:fldCharType="separate"/>
          </w:r>
          <w:r>
            <w:rPr>
              <w:rFonts w:ascii="Times New Roman" w:hAnsi="Times New Roman" w:eastAsiaTheme="minorEastAsia"/>
            </w:rPr>
            <w:t>63</w:t>
          </w:r>
          <w:r>
            <w:rPr>
              <w:rFonts w:ascii="Times New Roman" w:hAnsi="Times New Roman" w:eastAsiaTheme="minorEastAsia"/>
            </w:rPr>
            <w:fldChar w:fldCharType="end"/>
          </w:r>
          <w:r>
            <w:rPr>
              <w:rFonts w:ascii="Times New Roman" w:hAnsi="Times New Roman" w:eastAsiaTheme="minorEastAsia"/>
            </w:rPr>
            <w:fldChar w:fldCharType="end"/>
          </w:r>
        </w:p>
        <w:p w14:paraId="0811EA94">
          <w:pPr>
            <w:pStyle w:val="28"/>
            <w:rPr>
              <w:rFonts w:ascii="Times New Roman" w:hAnsi="Times New Roman" w:eastAsiaTheme="minorEastAsia"/>
            </w:rPr>
          </w:pPr>
          <w:r>
            <w:fldChar w:fldCharType="begin"/>
          </w:r>
          <w:r>
            <w:instrText xml:space="preserve"> HYPERLINK \l "_Toc171955159" </w:instrText>
          </w:r>
          <w:r>
            <w:fldChar w:fldCharType="separate"/>
          </w:r>
          <w:r>
            <w:rPr>
              <w:rFonts w:ascii="Times New Roman" w:hAnsi="Times New Roman" w:eastAsiaTheme="minorEastAsia"/>
            </w:rPr>
            <w:t>17.3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_Toc171955159 \h </w:instrText>
          </w:r>
          <w:r>
            <w:rPr>
              <w:rFonts w:ascii="Times New Roman" w:hAnsi="Times New Roman" w:eastAsiaTheme="minorEastAsia"/>
            </w:rPr>
            <w:fldChar w:fldCharType="separate"/>
          </w:r>
          <w:r>
            <w:rPr>
              <w:rFonts w:ascii="Times New Roman" w:hAnsi="Times New Roman" w:eastAsiaTheme="minorEastAsia"/>
            </w:rPr>
            <w:t>63</w:t>
          </w:r>
          <w:r>
            <w:rPr>
              <w:rFonts w:ascii="Times New Roman" w:hAnsi="Times New Roman" w:eastAsiaTheme="minorEastAsia"/>
            </w:rPr>
            <w:fldChar w:fldCharType="end"/>
          </w:r>
          <w:r>
            <w:rPr>
              <w:rFonts w:ascii="Times New Roman" w:hAnsi="Times New Roman" w:eastAsiaTheme="minorEastAsia"/>
            </w:rPr>
            <w:fldChar w:fldCharType="end"/>
          </w:r>
        </w:p>
        <w:p w14:paraId="3260D30F">
          <w:pPr>
            <w:pStyle w:val="28"/>
            <w:rPr>
              <w:rFonts w:ascii="Times New Roman" w:hAnsi="Times New Roman" w:eastAsiaTheme="minorEastAsia"/>
            </w:rPr>
          </w:pPr>
          <w:r>
            <w:fldChar w:fldCharType="begin"/>
          </w:r>
          <w:r>
            <w:instrText xml:space="preserve"> HYPERLINK \l "_Toc171955160" </w:instrText>
          </w:r>
          <w:r>
            <w:fldChar w:fldCharType="separate"/>
          </w:r>
          <w:r>
            <w:rPr>
              <w:rFonts w:ascii="Times New Roman" w:hAnsi="Times New Roman" w:eastAsiaTheme="minorEastAsia"/>
            </w:rPr>
            <w:t>17.4 Quality record</w:t>
          </w:r>
          <w:r>
            <w:rPr>
              <w:rFonts w:ascii="Times New Roman" w:hAnsi="Times New Roman" w:eastAsiaTheme="minorEastAsia"/>
            </w:rPr>
            <w:tab/>
          </w:r>
          <w:r>
            <w:rPr>
              <w:rFonts w:ascii="Times New Roman" w:hAnsi="Times New Roman" w:eastAsiaTheme="minorEastAsia"/>
            </w:rPr>
            <w:t>69</w:t>
          </w:r>
          <w:r>
            <w:rPr>
              <w:rFonts w:ascii="Times New Roman" w:hAnsi="Times New Roman" w:eastAsiaTheme="minorEastAsia"/>
            </w:rPr>
            <w:fldChar w:fldCharType="end"/>
          </w:r>
        </w:p>
        <w:p w14:paraId="478DAF21">
          <w:pPr>
            <w:pStyle w:val="28"/>
            <w:rPr>
              <w:rFonts w:ascii="Times New Roman" w:hAnsi="Times New Roman" w:eastAsiaTheme="minorEastAsia"/>
            </w:rPr>
          </w:pPr>
          <w:r>
            <w:fldChar w:fldCharType="begin"/>
          </w:r>
          <w:r>
            <w:instrText xml:space="preserve"> HYPERLINK \l "_Toc171955161" </w:instrText>
          </w:r>
          <w:r>
            <w:fldChar w:fldCharType="separate"/>
          </w:r>
          <w:r>
            <w:rPr>
              <w:rFonts w:ascii="Times New Roman" w:hAnsi="Times New Roman" w:eastAsiaTheme="minorEastAsia"/>
            </w:rPr>
            <w:t>18 Automatic fire alarm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_Toc171955161 \h </w:instrText>
          </w:r>
          <w:r>
            <w:rPr>
              <w:rFonts w:ascii="Times New Roman" w:hAnsi="Times New Roman" w:eastAsiaTheme="minorEastAsia"/>
            </w:rPr>
            <w:fldChar w:fldCharType="separate"/>
          </w:r>
          <w:r>
            <w:rPr>
              <w:rFonts w:ascii="Times New Roman" w:hAnsi="Times New Roman" w:eastAsiaTheme="minorEastAsia"/>
            </w:rPr>
            <w:t>70</w:t>
          </w:r>
          <w:r>
            <w:rPr>
              <w:rFonts w:ascii="Times New Roman" w:hAnsi="Times New Roman" w:eastAsiaTheme="minorEastAsia"/>
            </w:rPr>
            <w:fldChar w:fldCharType="end"/>
          </w:r>
          <w:r>
            <w:rPr>
              <w:rFonts w:ascii="Times New Roman" w:hAnsi="Times New Roman" w:eastAsiaTheme="minorEastAsia"/>
            </w:rPr>
            <w:fldChar w:fldCharType="end"/>
          </w:r>
        </w:p>
        <w:p w14:paraId="2184662C">
          <w:pPr>
            <w:pStyle w:val="28"/>
            <w:rPr>
              <w:rFonts w:ascii="Times New Roman" w:hAnsi="Times New Roman" w:eastAsiaTheme="minorEastAsia"/>
            </w:rPr>
          </w:pPr>
          <w:r>
            <w:fldChar w:fldCharType="begin"/>
          </w:r>
          <w:r>
            <w:instrText xml:space="preserve"> HYPERLINK \l "_Toc171955162" </w:instrText>
          </w:r>
          <w:r>
            <w:fldChar w:fldCharType="separate"/>
          </w:r>
          <w:r>
            <w:rPr>
              <w:rFonts w:ascii="Times New Roman" w:hAnsi="Times New Roman" w:eastAsiaTheme="minorEastAsia"/>
            </w:rPr>
            <w:t>18.1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_Toc171955162 \h </w:instrText>
          </w:r>
          <w:r>
            <w:rPr>
              <w:rFonts w:ascii="Times New Roman" w:hAnsi="Times New Roman" w:eastAsiaTheme="minorEastAsia"/>
            </w:rPr>
            <w:fldChar w:fldCharType="separate"/>
          </w:r>
          <w:r>
            <w:rPr>
              <w:rFonts w:ascii="Times New Roman" w:hAnsi="Times New Roman" w:eastAsiaTheme="minorEastAsia"/>
            </w:rPr>
            <w:t>70</w:t>
          </w:r>
          <w:r>
            <w:rPr>
              <w:rFonts w:ascii="Times New Roman" w:hAnsi="Times New Roman" w:eastAsiaTheme="minorEastAsia"/>
            </w:rPr>
            <w:fldChar w:fldCharType="end"/>
          </w:r>
          <w:r>
            <w:rPr>
              <w:rFonts w:ascii="Times New Roman" w:hAnsi="Times New Roman" w:eastAsiaTheme="minorEastAsia"/>
            </w:rPr>
            <w:fldChar w:fldCharType="end"/>
          </w:r>
        </w:p>
        <w:p w14:paraId="6F507003">
          <w:pPr>
            <w:pStyle w:val="28"/>
            <w:rPr>
              <w:rFonts w:ascii="Times New Roman" w:hAnsi="Times New Roman" w:eastAsiaTheme="minorEastAsia"/>
            </w:rPr>
          </w:pPr>
          <w:r>
            <w:fldChar w:fldCharType="begin"/>
          </w:r>
          <w:r>
            <w:instrText xml:space="preserve"> HYPERLINK \l "_Toc171955163" </w:instrText>
          </w:r>
          <w:r>
            <w:fldChar w:fldCharType="separate"/>
          </w:r>
          <w:r>
            <w:rPr>
              <w:rFonts w:ascii="Times New Roman" w:hAnsi="Times New Roman" w:eastAsiaTheme="minorEastAsia"/>
            </w:rPr>
            <w:t>18.2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_Toc171955163 \h </w:instrText>
          </w:r>
          <w:r>
            <w:rPr>
              <w:rFonts w:ascii="Times New Roman" w:hAnsi="Times New Roman" w:eastAsiaTheme="minorEastAsia"/>
            </w:rPr>
            <w:fldChar w:fldCharType="separate"/>
          </w:r>
          <w:r>
            <w:rPr>
              <w:rFonts w:ascii="Times New Roman" w:hAnsi="Times New Roman" w:eastAsiaTheme="minorEastAsia"/>
            </w:rPr>
            <w:t>70</w:t>
          </w:r>
          <w:r>
            <w:rPr>
              <w:rFonts w:ascii="Times New Roman" w:hAnsi="Times New Roman" w:eastAsiaTheme="minorEastAsia"/>
            </w:rPr>
            <w:fldChar w:fldCharType="end"/>
          </w:r>
          <w:r>
            <w:rPr>
              <w:rFonts w:ascii="Times New Roman" w:hAnsi="Times New Roman" w:eastAsiaTheme="minorEastAsia"/>
            </w:rPr>
            <w:fldChar w:fldCharType="end"/>
          </w:r>
        </w:p>
        <w:p w14:paraId="7BE60E9C">
          <w:pPr>
            <w:pStyle w:val="28"/>
            <w:rPr>
              <w:rFonts w:ascii="Times New Roman" w:hAnsi="Times New Roman" w:eastAsiaTheme="minorEastAsia"/>
            </w:rPr>
          </w:pPr>
          <w:r>
            <w:fldChar w:fldCharType="begin"/>
          </w:r>
          <w:r>
            <w:instrText xml:space="preserve"> HYPERLINK \l "_Toc171955164" </w:instrText>
          </w:r>
          <w:r>
            <w:fldChar w:fldCharType="separate"/>
          </w:r>
          <w:r>
            <w:rPr>
              <w:rFonts w:ascii="Times New Roman" w:hAnsi="Times New Roman" w:eastAsiaTheme="minorEastAsia"/>
            </w:rPr>
            <w:t>18.3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_Toc171955164 \h </w:instrText>
          </w:r>
          <w:r>
            <w:rPr>
              <w:rFonts w:ascii="Times New Roman" w:hAnsi="Times New Roman" w:eastAsiaTheme="minorEastAsia"/>
            </w:rPr>
            <w:fldChar w:fldCharType="separate"/>
          </w:r>
          <w:r>
            <w:rPr>
              <w:rFonts w:ascii="Times New Roman" w:hAnsi="Times New Roman" w:eastAsiaTheme="minorEastAsia"/>
            </w:rPr>
            <w:t>70</w:t>
          </w:r>
          <w:r>
            <w:rPr>
              <w:rFonts w:ascii="Times New Roman" w:hAnsi="Times New Roman" w:eastAsiaTheme="minorEastAsia"/>
            </w:rPr>
            <w:fldChar w:fldCharType="end"/>
          </w:r>
          <w:r>
            <w:rPr>
              <w:rFonts w:ascii="Times New Roman" w:hAnsi="Times New Roman" w:eastAsiaTheme="minorEastAsia"/>
            </w:rPr>
            <w:fldChar w:fldCharType="end"/>
          </w:r>
        </w:p>
        <w:p w14:paraId="43CB69B0">
          <w:pPr>
            <w:pStyle w:val="28"/>
            <w:rPr>
              <w:rFonts w:ascii="Times New Roman" w:hAnsi="Times New Roman" w:eastAsiaTheme="minorEastAsia"/>
            </w:rPr>
          </w:pPr>
          <w:r>
            <w:fldChar w:fldCharType="begin"/>
          </w:r>
          <w:r>
            <w:instrText xml:space="preserve"> HYPERLINK \l "_Toc171955165" </w:instrText>
          </w:r>
          <w:r>
            <w:fldChar w:fldCharType="separate"/>
          </w:r>
          <w:r>
            <w:rPr>
              <w:rFonts w:ascii="Times New Roman" w:hAnsi="Times New Roman" w:eastAsiaTheme="minorEastAsia"/>
            </w:rPr>
            <w:t>18.4 Quality record</w:t>
          </w:r>
          <w:r>
            <w:rPr>
              <w:rFonts w:ascii="Times New Roman" w:hAnsi="Times New Roman" w:eastAsiaTheme="minorEastAsia"/>
            </w:rPr>
            <w:tab/>
          </w:r>
          <w:r>
            <w:rPr>
              <w:rFonts w:ascii="Times New Roman" w:hAnsi="Times New Roman" w:eastAsiaTheme="minorEastAsia"/>
            </w:rPr>
            <w:t>74</w:t>
          </w:r>
          <w:r>
            <w:rPr>
              <w:rFonts w:ascii="Times New Roman" w:hAnsi="Times New Roman" w:eastAsiaTheme="minorEastAsia"/>
            </w:rPr>
            <w:fldChar w:fldCharType="end"/>
          </w:r>
        </w:p>
        <w:p w14:paraId="6DA257E1">
          <w:pPr>
            <w:pStyle w:val="28"/>
            <w:rPr>
              <w:rFonts w:ascii="Times New Roman" w:hAnsi="Times New Roman" w:eastAsiaTheme="minorEastAsia"/>
            </w:rPr>
          </w:pPr>
          <w:r>
            <w:fldChar w:fldCharType="begin"/>
          </w:r>
          <w:r>
            <w:instrText xml:space="preserve"> HYPERLINK \l "_Toc171955166" </w:instrText>
          </w:r>
          <w:r>
            <w:fldChar w:fldCharType="separate"/>
          </w:r>
          <w:r>
            <w:rPr>
              <w:rFonts w:ascii="Times New Roman" w:hAnsi="Times New Roman" w:eastAsiaTheme="minorEastAsia"/>
            </w:rPr>
            <w:t>19 Security technology defense system</w:t>
          </w:r>
          <w:r>
            <w:rPr>
              <w:rFonts w:ascii="Times New Roman" w:hAnsi="Times New Roman" w:eastAsiaTheme="minorEastAsia"/>
            </w:rPr>
            <w:tab/>
          </w:r>
          <w:r>
            <w:rPr>
              <w:rFonts w:ascii="Times New Roman" w:hAnsi="Times New Roman" w:eastAsiaTheme="minorEastAsia"/>
            </w:rPr>
            <w:t>75</w:t>
          </w:r>
          <w:r>
            <w:rPr>
              <w:rFonts w:ascii="Times New Roman" w:hAnsi="Times New Roman" w:eastAsiaTheme="minorEastAsia"/>
            </w:rPr>
            <w:fldChar w:fldCharType="end"/>
          </w:r>
        </w:p>
        <w:p w14:paraId="081255DE">
          <w:pPr>
            <w:pStyle w:val="28"/>
            <w:rPr>
              <w:rFonts w:ascii="Times New Roman" w:hAnsi="Times New Roman" w:eastAsiaTheme="minorEastAsia"/>
            </w:rPr>
          </w:pPr>
          <w:r>
            <w:fldChar w:fldCharType="begin"/>
          </w:r>
          <w:r>
            <w:instrText xml:space="preserve"> HYPERLINK \l "_Toc171955167" </w:instrText>
          </w:r>
          <w:r>
            <w:fldChar w:fldCharType="separate"/>
          </w:r>
          <w:r>
            <w:rPr>
              <w:rFonts w:ascii="Times New Roman" w:hAnsi="Times New Roman" w:eastAsiaTheme="minorEastAsia"/>
            </w:rPr>
            <w:t>19.1 General requirements</w:t>
          </w:r>
          <w:r>
            <w:rPr>
              <w:rFonts w:ascii="Times New Roman" w:hAnsi="Times New Roman" w:eastAsiaTheme="minorEastAsia"/>
            </w:rPr>
            <w:tab/>
          </w:r>
          <w:r>
            <w:rPr>
              <w:rFonts w:ascii="Times New Roman" w:hAnsi="Times New Roman" w:eastAsiaTheme="minorEastAsia"/>
            </w:rPr>
            <w:t>75</w:t>
          </w:r>
          <w:r>
            <w:rPr>
              <w:rFonts w:ascii="Times New Roman" w:hAnsi="Times New Roman" w:eastAsiaTheme="minorEastAsia"/>
            </w:rPr>
            <w:fldChar w:fldCharType="end"/>
          </w:r>
        </w:p>
        <w:p w14:paraId="4274D454">
          <w:pPr>
            <w:pStyle w:val="28"/>
            <w:rPr>
              <w:rFonts w:ascii="Times New Roman" w:hAnsi="Times New Roman" w:eastAsiaTheme="minorEastAsia"/>
            </w:rPr>
          </w:pPr>
          <w:r>
            <w:fldChar w:fldCharType="begin"/>
          </w:r>
          <w:r>
            <w:instrText xml:space="preserve"> HYPERLINK \l "_Toc171955168" </w:instrText>
          </w:r>
          <w:r>
            <w:fldChar w:fldCharType="separate"/>
          </w:r>
          <w:r>
            <w:rPr>
              <w:rFonts w:ascii="Times New Roman" w:hAnsi="Times New Roman" w:eastAsiaTheme="minorEastAsia"/>
            </w:rPr>
            <w:t>19.2 Preparation for construction</w:t>
          </w:r>
          <w:r>
            <w:rPr>
              <w:rFonts w:ascii="Times New Roman" w:hAnsi="Times New Roman" w:eastAsiaTheme="minorEastAsia"/>
            </w:rPr>
            <w:tab/>
          </w:r>
          <w:r>
            <w:rPr>
              <w:rFonts w:ascii="Times New Roman" w:hAnsi="Times New Roman" w:eastAsiaTheme="minorEastAsia"/>
            </w:rPr>
            <w:t>75</w:t>
          </w:r>
          <w:r>
            <w:rPr>
              <w:rFonts w:ascii="Times New Roman" w:hAnsi="Times New Roman" w:eastAsiaTheme="minorEastAsia"/>
            </w:rPr>
            <w:fldChar w:fldCharType="end"/>
          </w:r>
        </w:p>
        <w:p w14:paraId="17027A94">
          <w:pPr>
            <w:pStyle w:val="28"/>
            <w:rPr>
              <w:rFonts w:ascii="Times New Roman" w:hAnsi="Times New Roman" w:eastAsiaTheme="minorEastAsia"/>
            </w:rPr>
          </w:pPr>
          <w:r>
            <w:fldChar w:fldCharType="begin"/>
          </w:r>
          <w:r>
            <w:instrText xml:space="preserve"> HYPERLINK \l "_Toc171955169" </w:instrText>
          </w:r>
          <w:r>
            <w:fldChar w:fldCharType="separate"/>
          </w:r>
          <w:r>
            <w:rPr>
              <w:rFonts w:ascii="Times New Roman" w:hAnsi="Times New Roman" w:eastAsiaTheme="minorEastAsia"/>
            </w:rPr>
            <w:t>19.3 Construction technology</w:t>
          </w:r>
          <w:r>
            <w:rPr>
              <w:rFonts w:ascii="Times New Roman" w:hAnsi="Times New Roman" w:eastAsiaTheme="minorEastAsia"/>
            </w:rPr>
            <w:tab/>
          </w:r>
          <w:r>
            <w:rPr>
              <w:rFonts w:ascii="Times New Roman" w:hAnsi="Times New Roman" w:eastAsiaTheme="minorEastAsia"/>
            </w:rPr>
            <w:t>75</w:t>
          </w:r>
          <w:r>
            <w:rPr>
              <w:rFonts w:ascii="Times New Roman" w:hAnsi="Times New Roman" w:eastAsiaTheme="minorEastAsia"/>
            </w:rPr>
            <w:fldChar w:fldCharType="end"/>
          </w:r>
        </w:p>
        <w:p w14:paraId="55252DFF">
          <w:pPr>
            <w:pStyle w:val="28"/>
            <w:rPr>
              <w:rFonts w:ascii="Times New Roman" w:hAnsi="Times New Roman" w:eastAsiaTheme="minorEastAsia"/>
            </w:rPr>
          </w:pPr>
          <w:r>
            <w:fldChar w:fldCharType="begin"/>
          </w:r>
          <w:r>
            <w:instrText xml:space="preserve"> HYPERLINK \l "_Toc171955170" </w:instrText>
          </w:r>
          <w:r>
            <w:fldChar w:fldCharType="separate"/>
          </w:r>
          <w:r>
            <w:rPr>
              <w:rFonts w:ascii="Times New Roman" w:hAnsi="Times New Roman" w:eastAsiaTheme="minorEastAsia"/>
            </w:rPr>
            <w:t>19.4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_Toc171955170 \h </w:instrText>
          </w:r>
          <w:r>
            <w:rPr>
              <w:rFonts w:ascii="Times New Roman" w:hAnsi="Times New Roman" w:eastAsiaTheme="minorEastAsia"/>
            </w:rPr>
            <w:fldChar w:fldCharType="separate"/>
          </w:r>
          <w:r>
            <w:rPr>
              <w:rFonts w:ascii="Times New Roman" w:hAnsi="Times New Roman" w:eastAsiaTheme="minorEastAsia"/>
            </w:rPr>
            <w:t>81</w:t>
          </w:r>
          <w:r>
            <w:rPr>
              <w:rFonts w:ascii="Times New Roman" w:hAnsi="Times New Roman" w:eastAsiaTheme="minorEastAsia"/>
            </w:rPr>
            <w:fldChar w:fldCharType="end"/>
          </w:r>
          <w:r>
            <w:rPr>
              <w:rFonts w:ascii="Times New Roman" w:hAnsi="Times New Roman" w:eastAsiaTheme="minorEastAsia"/>
            </w:rPr>
            <w:fldChar w:fldCharType="end"/>
          </w:r>
        </w:p>
        <w:p w14:paraId="0E626C40">
          <w:pPr>
            <w:pStyle w:val="28"/>
            <w:rPr>
              <w:rFonts w:ascii="Times New Roman" w:hAnsi="Times New Roman" w:eastAsiaTheme="minorEastAsia"/>
            </w:rPr>
          </w:pPr>
          <w:r>
            <w:fldChar w:fldCharType="begin"/>
          </w:r>
          <w:r>
            <w:instrText xml:space="preserve"> HYPERLINK \l "_Toc171955171" </w:instrText>
          </w:r>
          <w:r>
            <w:fldChar w:fldCharType="separate"/>
          </w:r>
          <w:r>
            <w:rPr>
              <w:rFonts w:ascii="Times New Roman" w:hAnsi="Times New Roman" w:eastAsiaTheme="minorEastAsia"/>
            </w:rPr>
            <w:t>20 Emergency response system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_Toc171955171 \h </w:instrText>
          </w:r>
          <w:r>
            <w:rPr>
              <w:rFonts w:ascii="Times New Roman" w:hAnsi="Times New Roman" w:eastAsiaTheme="minorEastAsia"/>
            </w:rPr>
            <w:fldChar w:fldCharType="separate"/>
          </w:r>
          <w:r>
            <w:rPr>
              <w:rFonts w:ascii="Times New Roman" w:hAnsi="Times New Roman" w:eastAsiaTheme="minorEastAsia"/>
            </w:rPr>
            <w:t>82</w:t>
          </w:r>
          <w:r>
            <w:rPr>
              <w:rFonts w:ascii="Times New Roman" w:hAnsi="Times New Roman" w:eastAsiaTheme="minorEastAsia"/>
            </w:rPr>
            <w:fldChar w:fldCharType="end"/>
          </w:r>
          <w:r>
            <w:rPr>
              <w:rFonts w:ascii="Times New Roman" w:hAnsi="Times New Roman" w:eastAsiaTheme="minorEastAsia"/>
            </w:rPr>
            <w:fldChar w:fldCharType="end"/>
          </w:r>
        </w:p>
        <w:p w14:paraId="70DF9A34">
          <w:pPr>
            <w:pStyle w:val="28"/>
            <w:rPr>
              <w:rFonts w:ascii="Times New Roman" w:hAnsi="Times New Roman" w:eastAsiaTheme="minorEastAsia"/>
            </w:rPr>
          </w:pPr>
          <w:r>
            <w:fldChar w:fldCharType="begin"/>
          </w:r>
          <w:r>
            <w:instrText xml:space="preserve"> HYPERLINK \l "_Toc171955172" </w:instrText>
          </w:r>
          <w:r>
            <w:fldChar w:fldCharType="separate"/>
          </w:r>
          <w:r>
            <w:rPr>
              <w:rFonts w:ascii="Times New Roman" w:hAnsi="Times New Roman" w:eastAsiaTheme="minorEastAsia"/>
            </w:rPr>
            <w:t>20.1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_Toc171955172 \h </w:instrText>
          </w:r>
          <w:r>
            <w:rPr>
              <w:rFonts w:ascii="Times New Roman" w:hAnsi="Times New Roman" w:eastAsiaTheme="minorEastAsia"/>
            </w:rPr>
            <w:fldChar w:fldCharType="separate"/>
          </w:r>
          <w:r>
            <w:rPr>
              <w:rFonts w:ascii="Times New Roman" w:hAnsi="Times New Roman" w:eastAsiaTheme="minorEastAsia"/>
            </w:rPr>
            <w:t>82</w:t>
          </w:r>
          <w:r>
            <w:rPr>
              <w:rFonts w:ascii="Times New Roman" w:hAnsi="Times New Roman" w:eastAsiaTheme="minorEastAsia"/>
            </w:rPr>
            <w:fldChar w:fldCharType="end"/>
          </w:r>
          <w:r>
            <w:rPr>
              <w:rFonts w:ascii="Times New Roman" w:hAnsi="Times New Roman" w:eastAsiaTheme="minorEastAsia"/>
            </w:rPr>
            <w:fldChar w:fldCharType="end"/>
          </w:r>
        </w:p>
        <w:p w14:paraId="4D2BBD9E">
          <w:pPr>
            <w:pStyle w:val="28"/>
            <w:rPr>
              <w:rFonts w:ascii="Times New Roman" w:hAnsi="Times New Roman" w:eastAsiaTheme="minorEastAsia"/>
            </w:rPr>
          </w:pPr>
          <w:r>
            <w:fldChar w:fldCharType="begin"/>
          </w:r>
          <w:r>
            <w:instrText xml:space="preserve"> HYPERLINK \l "_Toc171955173" </w:instrText>
          </w:r>
          <w:r>
            <w:fldChar w:fldCharType="separate"/>
          </w:r>
          <w:r>
            <w:rPr>
              <w:rFonts w:ascii="Times New Roman" w:hAnsi="Times New Roman" w:eastAsiaTheme="minorEastAsia"/>
            </w:rPr>
            <w:t>20.2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_Toc171955173 \h </w:instrText>
          </w:r>
          <w:r>
            <w:rPr>
              <w:rFonts w:ascii="Times New Roman" w:hAnsi="Times New Roman" w:eastAsiaTheme="minorEastAsia"/>
            </w:rPr>
            <w:fldChar w:fldCharType="separate"/>
          </w:r>
          <w:r>
            <w:rPr>
              <w:rFonts w:ascii="Times New Roman" w:hAnsi="Times New Roman" w:eastAsiaTheme="minorEastAsia"/>
            </w:rPr>
            <w:t>82</w:t>
          </w:r>
          <w:r>
            <w:rPr>
              <w:rFonts w:ascii="Times New Roman" w:hAnsi="Times New Roman" w:eastAsiaTheme="minorEastAsia"/>
            </w:rPr>
            <w:fldChar w:fldCharType="end"/>
          </w:r>
          <w:r>
            <w:rPr>
              <w:rFonts w:ascii="Times New Roman" w:hAnsi="Times New Roman" w:eastAsiaTheme="minorEastAsia"/>
            </w:rPr>
            <w:fldChar w:fldCharType="end"/>
          </w:r>
        </w:p>
        <w:p w14:paraId="221632A3">
          <w:pPr>
            <w:pStyle w:val="28"/>
            <w:rPr>
              <w:rFonts w:ascii="Times New Roman" w:hAnsi="Times New Roman" w:eastAsiaTheme="minorEastAsia"/>
            </w:rPr>
          </w:pPr>
          <w:r>
            <w:fldChar w:fldCharType="begin"/>
          </w:r>
          <w:r>
            <w:instrText xml:space="preserve"> HYPERLINK \l "_Toc171955174" </w:instrText>
          </w:r>
          <w:r>
            <w:fldChar w:fldCharType="separate"/>
          </w:r>
          <w:r>
            <w:rPr>
              <w:rFonts w:ascii="Times New Roman" w:hAnsi="Times New Roman" w:eastAsiaTheme="minorEastAsia"/>
            </w:rPr>
            <w:t>20.3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_Toc171955174 \h </w:instrText>
          </w:r>
          <w:r>
            <w:rPr>
              <w:rFonts w:ascii="Times New Roman" w:hAnsi="Times New Roman" w:eastAsiaTheme="minorEastAsia"/>
            </w:rPr>
            <w:fldChar w:fldCharType="separate"/>
          </w:r>
          <w:r>
            <w:rPr>
              <w:rFonts w:ascii="Times New Roman" w:hAnsi="Times New Roman" w:eastAsiaTheme="minorEastAsia"/>
            </w:rPr>
            <w:t>82</w:t>
          </w:r>
          <w:r>
            <w:rPr>
              <w:rFonts w:ascii="Times New Roman" w:hAnsi="Times New Roman" w:eastAsiaTheme="minorEastAsia"/>
            </w:rPr>
            <w:fldChar w:fldCharType="end"/>
          </w:r>
          <w:r>
            <w:rPr>
              <w:rFonts w:ascii="Times New Roman" w:hAnsi="Times New Roman" w:eastAsiaTheme="minorEastAsia"/>
            </w:rPr>
            <w:fldChar w:fldCharType="end"/>
          </w:r>
        </w:p>
        <w:p w14:paraId="48A161B2">
          <w:pPr>
            <w:pStyle w:val="28"/>
            <w:rPr>
              <w:rFonts w:ascii="Times New Roman" w:hAnsi="Times New Roman" w:eastAsiaTheme="minorEastAsia"/>
            </w:rPr>
          </w:pPr>
          <w:r>
            <w:fldChar w:fldCharType="begin"/>
          </w:r>
          <w:r>
            <w:instrText xml:space="preserve"> HYPERLINK \l "_Toc171955175" </w:instrText>
          </w:r>
          <w:r>
            <w:fldChar w:fldCharType="separate"/>
          </w:r>
          <w:r>
            <w:rPr>
              <w:rFonts w:ascii="Times New Roman" w:hAnsi="Times New Roman" w:eastAsiaTheme="minorEastAsia"/>
            </w:rPr>
            <w:t>20.4 Quality record</w:t>
          </w:r>
          <w:r>
            <w:rPr>
              <w:rFonts w:ascii="Times New Roman" w:hAnsi="Times New Roman" w:eastAsiaTheme="minorEastAsia"/>
            </w:rPr>
            <w:tab/>
          </w:r>
          <w:r>
            <w:rPr>
              <w:rFonts w:ascii="Times New Roman" w:hAnsi="Times New Roman" w:eastAsiaTheme="minorEastAsia"/>
            </w:rPr>
            <w:t>84</w:t>
          </w:r>
          <w:r>
            <w:rPr>
              <w:rFonts w:ascii="Times New Roman" w:hAnsi="Times New Roman" w:eastAsiaTheme="minorEastAsia"/>
            </w:rPr>
            <w:fldChar w:fldCharType="end"/>
          </w:r>
        </w:p>
        <w:p w14:paraId="722DB244">
          <w:pPr>
            <w:pStyle w:val="28"/>
            <w:rPr>
              <w:rFonts w:ascii="Times New Roman" w:hAnsi="Times New Roman" w:eastAsiaTheme="minorEastAsia"/>
            </w:rPr>
          </w:pPr>
          <w:r>
            <w:fldChar w:fldCharType="begin"/>
          </w:r>
          <w:r>
            <w:instrText xml:space="preserve"> HYPERLINK \l "_Toc171955176" </w:instrText>
          </w:r>
          <w:r>
            <w:fldChar w:fldCharType="separate"/>
          </w:r>
          <w:r>
            <w:rPr>
              <w:rFonts w:ascii="Times New Roman" w:hAnsi="Times New Roman" w:eastAsiaTheme="minorEastAsia"/>
            </w:rPr>
            <w:t>21 Computer room engineering</w:t>
          </w:r>
          <w:r>
            <w:rPr>
              <w:rFonts w:ascii="Times New Roman" w:hAnsi="Times New Roman" w:eastAsiaTheme="minorEastAsia"/>
            </w:rPr>
            <w:tab/>
          </w:r>
          <w:r>
            <w:rPr>
              <w:rFonts w:ascii="Times New Roman" w:hAnsi="Times New Roman" w:eastAsiaTheme="minorEastAsia"/>
            </w:rPr>
            <w:t>85</w:t>
          </w:r>
          <w:r>
            <w:rPr>
              <w:rFonts w:ascii="Times New Roman" w:hAnsi="Times New Roman" w:eastAsiaTheme="minorEastAsia"/>
            </w:rPr>
            <w:fldChar w:fldCharType="end"/>
          </w:r>
        </w:p>
        <w:p w14:paraId="5E1CDB47">
          <w:pPr>
            <w:pStyle w:val="28"/>
            <w:rPr>
              <w:rFonts w:ascii="Times New Roman" w:hAnsi="Times New Roman" w:eastAsiaTheme="minorEastAsia"/>
            </w:rPr>
          </w:pPr>
          <w:r>
            <w:fldChar w:fldCharType="begin"/>
          </w:r>
          <w:r>
            <w:instrText xml:space="preserve"> HYPERLINK \l "_Toc171955177" </w:instrText>
          </w:r>
          <w:r>
            <w:fldChar w:fldCharType="separate"/>
          </w:r>
          <w:r>
            <w:rPr>
              <w:rFonts w:ascii="Times New Roman" w:hAnsi="Times New Roman" w:eastAsiaTheme="minorEastAsia"/>
            </w:rPr>
            <w:t>21.1 General requirements</w:t>
          </w:r>
          <w:r>
            <w:rPr>
              <w:rFonts w:ascii="Times New Roman" w:hAnsi="Times New Roman" w:eastAsiaTheme="minorEastAsia"/>
            </w:rPr>
            <w:tab/>
          </w:r>
          <w:r>
            <w:rPr>
              <w:rFonts w:ascii="Times New Roman" w:hAnsi="Times New Roman" w:eastAsiaTheme="minorEastAsia"/>
            </w:rPr>
            <w:t>85</w:t>
          </w:r>
          <w:r>
            <w:rPr>
              <w:rFonts w:ascii="Times New Roman" w:hAnsi="Times New Roman" w:eastAsiaTheme="minorEastAsia"/>
            </w:rPr>
            <w:fldChar w:fldCharType="end"/>
          </w:r>
        </w:p>
        <w:p w14:paraId="1415274F">
          <w:pPr>
            <w:pStyle w:val="28"/>
            <w:rPr>
              <w:rFonts w:ascii="Times New Roman" w:hAnsi="Times New Roman" w:eastAsiaTheme="minorEastAsia"/>
            </w:rPr>
          </w:pPr>
          <w:r>
            <w:fldChar w:fldCharType="begin"/>
          </w:r>
          <w:r>
            <w:instrText xml:space="preserve"> HYPERLINK \l "_Toc171955178" </w:instrText>
          </w:r>
          <w:r>
            <w:fldChar w:fldCharType="separate"/>
          </w:r>
          <w:r>
            <w:rPr>
              <w:rFonts w:ascii="Times New Roman" w:hAnsi="Times New Roman" w:eastAsiaTheme="minorEastAsia"/>
            </w:rPr>
            <w:t>21.2 Preparation for construction</w:t>
          </w:r>
          <w:r>
            <w:rPr>
              <w:rFonts w:ascii="Times New Roman" w:hAnsi="Times New Roman" w:eastAsiaTheme="minorEastAsia"/>
            </w:rPr>
            <w:tab/>
          </w:r>
          <w:r>
            <w:rPr>
              <w:rFonts w:ascii="Times New Roman" w:hAnsi="Times New Roman" w:eastAsiaTheme="minorEastAsia"/>
            </w:rPr>
            <w:t>85</w:t>
          </w:r>
          <w:r>
            <w:rPr>
              <w:rFonts w:ascii="Times New Roman" w:hAnsi="Times New Roman" w:eastAsiaTheme="minorEastAsia"/>
            </w:rPr>
            <w:fldChar w:fldCharType="end"/>
          </w:r>
        </w:p>
        <w:p w14:paraId="0A91C67D">
          <w:pPr>
            <w:pStyle w:val="28"/>
            <w:rPr>
              <w:rFonts w:ascii="Times New Roman" w:hAnsi="Times New Roman" w:eastAsiaTheme="minorEastAsia"/>
            </w:rPr>
          </w:pPr>
          <w:r>
            <w:fldChar w:fldCharType="begin"/>
          </w:r>
          <w:r>
            <w:instrText xml:space="preserve"> HYPERLINK \l "_Toc171955179" </w:instrText>
          </w:r>
          <w:r>
            <w:fldChar w:fldCharType="separate"/>
          </w:r>
          <w:r>
            <w:rPr>
              <w:rFonts w:ascii="Times New Roman" w:hAnsi="Times New Roman" w:eastAsiaTheme="minorEastAsia"/>
            </w:rPr>
            <w:t>21.3 Construction technology</w:t>
          </w:r>
          <w:r>
            <w:rPr>
              <w:rFonts w:ascii="Times New Roman" w:hAnsi="Times New Roman" w:eastAsiaTheme="minorEastAsia"/>
            </w:rPr>
            <w:tab/>
          </w:r>
          <w:r>
            <w:rPr>
              <w:rFonts w:ascii="Times New Roman" w:hAnsi="Times New Roman" w:eastAsiaTheme="minorEastAsia"/>
            </w:rPr>
            <w:t>85</w:t>
          </w:r>
          <w:r>
            <w:rPr>
              <w:rFonts w:ascii="Times New Roman" w:hAnsi="Times New Roman" w:eastAsiaTheme="minorEastAsia"/>
            </w:rPr>
            <w:fldChar w:fldCharType="end"/>
          </w:r>
        </w:p>
        <w:p w14:paraId="15785326">
          <w:pPr>
            <w:pStyle w:val="28"/>
            <w:rPr>
              <w:rFonts w:ascii="Times New Roman" w:hAnsi="Times New Roman" w:eastAsiaTheme="minorEastAsia"/>
            </w:rPr>
          </w:pPr>
          <w:r>
            <w:fldChar w:fldCharType="begin"/>
          </w:r>
          <w:r>
            <w:instrText xml:space="preserve"> HYPERLINK \l "_Toc171955180" </w:instrText>
          </w:r>
          <w:r>
            <w:fldChar w:fldCharType="separate"/>
          </w:r>
          <w:r>
            <w:rPr>
              <w:rFonts w:ascii="Times New Roman" w:hAnsi="Times New Roman" w:eastAsiaTheme="minorEastAsia"/>
            </w:rPr>
            <w:t>21.4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_Toc171955180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t>2</w:t>
          </w:r>
          <w:r>
            <w:rPr>
              <w:rFonts w:ascii="Times New Roman" w:hAnsi="Times New Roman" w:eastAsiaTheme="minorEastAsia"/>
            </w:rPr>
            <w:fldChar w:fldCharType="end"/>
          </w:r>
          <w:r>
            <w:rPr>
              <w:rFonts w:ascii="Times New Roman" w:hAnsi="Times New Roman" w:eastAsiaTheme="minorEastAsia"/>
            </w:rPr>
            <w:fldChar w:fldCharType="end"/>
          </w:r>
        </w:p>
        <w:p w14:paraId="441A92F3">
          <w:pPr>
            <w:pStyle w:val="28"/>
            <w:rPr>
              <w:rFonts w:ascii="Times New Roman" w:hAnsi="Times New Roman" w:eastAsiaTheme="minorEastAsia"/>
            </w:rPr>
          </w:pPr>
          <w:r>
            <w:fldChar w:fldCharType="begin"/>
          </w:r>
          <w:r>
            <w:instrText xml:space="preserve"> HYPERLINK \l "_Toc171955181" </w:instrText>
          </w:r>
          <w:r>
            <w:fldChar w:fldCharType="separate"/>
          </w:r>
          <w:r>
            <w:rPr>
              <w:rFonts w:ascii="Times New Roman" w:hAnsi="Times New Roman" w:eastAsiaTheme="minorEastAsia"/>
            </w:rPr>
            <w:t>22 Lightning protection and grounding</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_Toc171955181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t>3</w:t>
          </w:r>
          <w:r>
            <w:rPr>
              <w:rFonts w:ascii="Times New Roman" w:hAnsi="Times New Roman" w:eastAsiaTheme="minorEastAsia"/>
            </w:rPr>
            <w:fldChar w:fldCharType="end"/>
          </w:r>
          <w:r>
            <w:rPr>
              <w:rFonts w:ascii="Times New Roman" w:hAnsi="Times New Roman" w:eastAsiaTheme="minorEastAsia"/>
            </w:rPr>
            <w:fldChar w:fldCharType="end"/>
          </w:r>
        </w:p>
        <w:p w14:paraId="4A844C51">
          <w:pPr>
            <w:pStyle w:val="28"/>
            <w:rPr>
              <w:rFonts w:ascii="Times New Roman" w:hAnsi="Times New Roman" w:eastAsiaTheme="minorEastAsia"/>
            </w:rPr>
          </w:pPr>
          <w:r>
            <w:fldChar w:fldCharType="begin"/>
          </w:r>
          <w:r>
            <w:instrText xml:space="preserve"> HYPERLINK \l "_Toc171955182" </w:instrText>
          </w:r>
          <w:r>
            <w:fldChar w:fldCharType="separate"/>
          </w:r>
          <w:r>
            <w:rPr>
              <w:rFonts w:ascii="Times New Roman" w:hAnsi="Times New Roman" w:eastAsiaTheme="minorEastAsia"/>
            </w:rPr>
            <w:t>22.1 General requirements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_Toc171955182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t>3</w:t>
          </w:r>
          <w:r>
            <w:rPr>
              <w:rFonts w:ascii="Times New Roman" w:hAnsi="Times New Roman" w:eastAsiaTheme="minorEastAsia"/>
            </w:rPr>
            <w:fldChar w:fldCharType="end"/>
          </w:r>
          <w:r>
            <w:rPr>
              <w:rFonts w:ascii="Times New Roman" w:hAnsi="Times New Roman" w:eastAsiaTheme="minorEastAsia"/>
            </w:rPr>
            <w:fldChar w:fldCharType="end"/>
          </w:r>
        </w:p>
        <w:p w14:paraId="5070A9AC">
          <w:pPr>
            <w:pStyle w:val="28"/>
            <w:rPr>
              <w:rFonts w:ascii="Times New Roman" w:hAnsi="Times New Roman" w:eastAsiaTheme="minorEastAsia"/>
            </w:rPr>
          </w:pPr>
          <w:r>
            <w:fldChar w:fldCharType="begin"/>
          </w:r>
          <w:r>
            <w:instrText xml:space="preserve"> HYPERLINK \l "_Toc171955183" </w:instrText>
          </w:r>
          <w:r>
            <w:fldChar w:fldCharType="separate"/>
          </w:r>
          <w:r>
            <w:rPr>
              <w:rFonts w:ascii="Times New Roman" w:hAnsi="Times New Roman" w:eastAsiaTheme="minorEastAsia"/>
            </w:rPr>
            <w:t>22.2 Preparation for construction</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_Toc171955183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t>3</w:t>
          </w:r>
          <w:r>
            <w:rPr>
              <w:rFonts w:ascii="Times New Roman" w:hAnsi="Times New Roman" w:eastAsiaTheme="minorEastAsia"/>
            </w:rPr>
            <w:fldChar w:fldCharType="end"/>
          </w:r>
          <w:r>
            <w:rPr>
              <w:rFonts w:ascii="Times New Roman" w:hAnsi="Times New Roman" w:eastAsiaTheme="minorEastAsia"/>
            </w:rPr>
            <w:fldChar w:fldCharType="end"/>
          </w:r>
        </w:p>
        <w:p w14:paraId="0D2A1B0E">
          <w:pPr>
            <w:pStyle w:val="28"/>
            <w:rPr>
              <w:rFonts w:ascii="Times New Roman" w:hAnsi="Times New Roman" w:eastAsiaTheme="minorEastAsia"/>
            </w:rPr>
          </w:pPr>
          <w:r>
            <w:fldChar w:fldCharType="begin"/>
          </w:r>
          <w:r>
            <w:instrText xml:space="preserve"> HYPERLINK \l "_Toc171955184" </w:instrText>
          </w:r>
          <w:r>
            <w:fldChar w:fldCharType="separate"/>
          </w:r>
          <w:r>
            <w:rPr>
              <w:rFonts w:ascii="Times New Roman" w:hAnsi="Times New Roman" w:eastAsiaTheme="minorEastAsia"/>
            </w:rPr>
            <w:t>22.3 Construction technology</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_Toc171955184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t>3</w:t>
          </w:r>
          <w:r>
            <w:rPr>
              <w:rFonts w:ascii="Times New Roman" w:hAnsi="Times New Roman" w:eastAsiaTheme="minorEastAsia"/>
            </w:rPr>
            <w:fldChar w:fldCharType="end"/>
          </w:r>
          <w:r>
            <w:rPr>
              <w:rFonts w:ascii="Times New Roman" w:hAnsi="Times New Roman" w:eastAsiaTheme="minorEastAsia"/>
            </w:rPr>
            <w:fldChar w:fldCharType="end"/>
          </w:r>
        </w:p>
        <w:p w14:paraId="235CAD52">
          <w:pPr>
            <w:pStyle w:val="28"/>
            <w:rPr>
              <w:rFonts w:ascii="Times New Roman" w:hAnsi="Times New Roman" w:eastAsiaTheme="minorEastAsia"/>
            </w:rPr>
          </w:pPr>
          <w:r>
            <w:fldChar w:fldCharType="begin"/>
          </w:r>
          <w:r>
            <w:instrText xml:space="preserve"> HYPERLINK \l "_Toc171955185" </w:instrText>
          </w:r>
          <w:r>
            <w:fldChar w:fldCharType="separate"/>
          </w:r>
          <w:r>
            <w:rPr>
              <w:rFonts w:ascii="Times New Roman" w:hAnsi="Times New Roman" w:eastAsiaTheme="minorEastAsia"/>
            </w:rPr>
            <w:t>22.4 Quality record</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_Toc171955185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t>6</w:t>
          </w:r>
          <w:r>
            <w:rPr>
              <w:rFonts w:ascii="Times New Roman" w:hAnsi="Times New Roman" w:eastAsiaTheme="minorEastAsia"/>
            </w:rPr>
            <w:fldChar w:fldCharType="end"/>
          </w:r>
          <w:r>
            <w:rPr>
              <w:rFonts w:ascii="Times New Roman" w:hAnsi="Times New Roman" w:eastAsiaTheme="minorEastAsia"/>
            </w:rPr>
            <w:fldChar w:fldCharType="end"/>
          </w:r>
        </w:p>
        <w:p w14:paraId="6EE48A03">
          <w:pPr>
            <w:pStyle w:val="28"/>
            <w:rPr>
              <w:rFonts w:ascii="Times New Roman" w:hAnsi="Times New Roman" w:eastAsiaTheme="minorEastAsia"/>
            </w:rPr>
          </w:pPr>
          <w:r>
            <w:fldChar w:fldCharType="begin"/>
          </w:r>
          <w:r>
            <w:instrText xml:space="preserve"> HYPERLINK \l "_Toc171955190" </w:instrText>
          </w:r>
          <w:r>
            <w:fldChar w:fldCharType="separate"/>
          </w:r>
          <w:r>
            <w:rPr>
              <w:rFonts w:ascii="Times New Roman" w:hAnsi="Times New Roman" w:eastAsiaTheme="minorEastAsia"/>
            </w:rPr>
            <w:t>Word description for this program</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_Toc171955190 \h </w:instrText>
          </w:r>
          <w:r>
            <w:rPr>
              <w:rFonts w:ascii="Times New Roman" w:hAnsi="Times New Roman" w:eastAsiaTheme="minorEastAsia"/>
            </w:rPr>
            <w:fldChar w:fldCharType="separate"/>
          </w:r>
          <w:r>
            <w:rPr>
              <w:rFonts w:ascii="Times New Roman" w:hAnsi="Times New Roman" w:eastAsiaTheme="minorEastAsia"/>
            </w:rPr>
            <w:t>1</w:t>
          </w:r>
          <w:r>
            <w:rPr>
              <w:rFonts w:hint="eastAsia" w:ascii="Times New Roman" w:hAnsi="Times New Roman" w:eastAsiaTheme="minorEastAsia"/>
            </w:rPr>
            <w:t>0</w:t>
          </w:r>
          <w:r>
            <w:rPr>
              <w:rFonts w:ascii="Times New Roman" w:hAnsi="Times New Roman" w:eastAsiaTheme="minorEastAsia"/>
            </w:rPr>
            <w:fldChar w:fldCharType="end"/>
          </w:r>
          <w:r>
            <w:rPr>
              <w:rFonts w:ascii="Times New Roman" w:hAnsi="Times New Roman" w:eastAsiaTheme="minorEastAsia"/>
            </w:rPr>
            <w:fldChar w:fldCharType="end"/>
          </w:r>
          <w:r>
            <w:rPr>
              <w:rFonts w:ascii="Times New Roman" w:hAnsi="Times New Roman" w:eastAsiaTheme="minorEastAsia"/>
            </w:rPr>
            <w:t>7</w:t>
          </w:r>
        </w:p>
        <w:p w14:paraId="508F87CE">
          <w:pPr>
            <w:pStyle w:val="28"/>
            <w:rPr>
              <w:rFonts w:ascii="Times New Roman" w:hAnsi="Times New Roman" w:eastAsiaTheme="minorEastAsia"/>
            </w:rPr>
          </w:pPr>
          <w:r>
            <w:fldChar w:fldCharType="begin"/>
          </w:r>
          <w:r>
            <w:instrText xml:space="preserve"> HYPERLINK \l "_Toc171955191" </w:instrText>
          </w:r>
          <w:r>
            <w:fldChar w:fldCharType="separate"/>
          </w:r>
          <w:r>
            <w:rPr>
              <w:rFonts w:ascii="Times New Roman" w:hAnsi="Times New Roman" w:eastAsiaTheme="minorEastAsia"/>
            </w:rPr>
            <w:t>List of quoted standards</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_Toc171955191 \h </w:instrText>
          </w:r>
          <w:r>
            <w:rPr>
              <w:rFonts w:ascii="Times New Roman" w:hAnsi="Times New Roman" w:eastAsiaTheme="minorEastAsia"/>
            </w:rPr>
            <w:fldChar w:fldCharType="separate"/>
          </w:r>
          <w:r>
            <w:rPr>
              <w:rFonts w:ascii="Times New Roman" w:hAnsi="Times New Roman" w:eastAsiaTheme="minorEastAsia"/>
            </w:rPr>
            <w:t>108</w:t>
          </w:r>
          <w:r>
            <w:rPr>
              <w:rFonts w:ascii="Times New Roman" w:hAnsi="Times New Roman" w:eastAsiaTheme="minorEastAsia"/>
            </w:rPr>
            <w:fldChar w:fldCharType="end"/>
          </w:r>
          <w:r>
            <w:rPr>
              <w:rFonts w:ascii="Times New Roman" w:hAnsi="Times New Roman" w:eastAsiaTheme="minorEastAsia"/>
            </w:rPr>
            <w:fldChar w:fldCharType="end"/>
          </w:r>
        </w:p>
        <w:p w14:paraId="2D59C746">
          <w:pPr>
            <w:ind w:left="105" w:hanging="105"/>
            <w:rPr>
              <w:rFonts w:ascii="Times New Roman" w:hAnsi="Times New Roman" w:eastAsiaTheme="minorEastAsia"/>
            </w:rPr>
          </w:pPr>
          <w:r>
            <w:rPr>
              <w:rFonts w:ascii="Times New Roman" w:hAnsi="Times New Roman" w:eastAsiaTheme="minorEastAsia"/>
              <w:b/>
              <w:bCs/>
              <w:lang w:val="zh-CN"/>
            </w:rPr>
            <w:fldChar w:fldCharType="end"/>
          </w:r>
        </w:p>
      </w:sdtContent>
    </w:sdt>
    <w:p w14:paraId="683E8F4F">
      <w:pPr>
        <w:ind w:left="105" w:hanging="105"/>
        <w:rPr>
          <w:rFonts w:ascii="Times New Roman" w:hAnsi="Times New Roman" w:eastAsiaTheme="minorEastAsia"/>
        </w:rPr>
      </w:pPr>
    </w:p>
    <w:p w14:paraId="430CC375">
      <w:pPr>
        <w:ind w:left="105" w:hanging="105"/>
        <w:rPr>
          <w:rFonts w:ascii="Times New Roman" w:hAnsi="Times New Roman"/>
        </w:rPr>
      </w:pPr>
    </w:p>
    <w:p w14:paraId="5BB33FB6">
      <w:pPr>
        <w:ind w:left="105" w:hanging="105"/>
        <w:rPr>
          <w:rFonts w:ascii="Times New Roman" w:hAnsi="Times New Roman"/>
        </w:rPr>
      </w:pPr>
    </w:p>
    <w:p w14:paraId="06A00BA7">
      <w:pPr>
        <w:ind w:left="105" w:hanging="105"/>
        <w:rPr>
          <w:rFonts w:ascii="Times New Roman" w:hAnsi="Times New Roman"/>
        </w:rPr>
      </w:pPr>
    </w:p>
    <w:p w14:paraId="30664233">
      <w:pPr>
        <w:ind w:left="105" w:hanging="105"/>
        <w:rPr>
          <w:rFonts w:ascii="Times New Roman" w:hAnsi="Times New Roman"/>
        </w:rPr>
        <w:sectPr>
          <w:pgSz w:w="11900" w:h="16840"/>
          <w:pgMar w:top="1558" w:right="1544" w:bottom="1113" w:left="1564" w:header="0" w:footer="3" w:gutter="0"/>
          <w:cols w:space="720" w:num="1"/>
          <w:docGrid w:linePitch="360" w:charSpace="0"/>
        </w:sectPr>
      </w:pPr>
    </w:p>
    <w:p w14:paraId="26E4FFF8">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31" w:name="_Toc182487917"/>
      <w:bookmarkStart w:id="32" w:name="_Toc56517637"/>
      <w:bookmarkStart w:id="33" w:name="_Toc505844724"/>
      <w:bookmarkStart w:id="34" w:name="_Toc505887094"/>
      <w:bookmarkStart w:id="35" w:name="_Toc505844613"/>
      <w:bookmarkStart w:id="36" w:name="_Toc171955088"/>
      <w:bookmarkStart w:id="37" w:name="_Toc505887053"/>
      <w:r>
        <w:rPr>
          <w:rFonts w:ascii="Times New Roman" w:hAnsi="Times New Roman" w:eastAsia="黑体"/>
          <w:bCs/>
          <w:sz w:val="28"/>
          <w:szCs w:val="28"/>
        </w:rPr>
        <w:t>1 总   则</w:t>
      </w:r>
      <w:bookmarkEnd w:id="31"/>
    </w:p>
    <w:p w14:paraId="3A3C82BE">
      <w:pPr>
        <w:pStyle w:val="164"/>
        <w:numPr>
          <w:ilvl w:val="2"/>
          <w:numId w:val="1"/>
        </w:numPr>
        <w:spacing w:before="100" w:after="100"/>
        <w:ind w:left="0" w:firstLine="0" w:firstLineChars="0"/>
        <w:rPr>
          <w:rFonts w:eastAsiaTheme="minorEastAsia"/>
          <w:szCs w:val="21"/>
        </w:rPr>
      </w:pPr>
      <w:r>
        <w:rPr>
          <w:rFonts w:eastAsiaTheme="minorEastAsia"/>
          <w:szCs w:val="21"/>
        </w:rPr>
        <w:t xml:space="preserve">为了规范智能建筑施工，做到确保质量、 经济合理、安全适用、节能环保，制定本规程。 </w:t>
      </w:r>
    </w:p>
    <w:p w14:paraId="3E708EF6">
      <w:pPr>
        <w:pStyle w:val="164"/>
        <w:numPr>
          <w:ilvl w:val="2"/>
          <w:numId w:val="1"/>
        </w:numPr>
        <w:spacing w:before="100" w:after="100"/>
        <w:ind w:left="0" w:firstLine="0" w:firstLineChars="0"/>
        <w:rPr>
          <w:rFonts w:eastAsiaTheme="minorEastAsia"/>
          <w:szCs w:val="21"/>
        </w:rPr>
      </w:pPr>
      <w:r>
        <w:rPr>
          <w:rFonts w:eastAsiaTheme="minorEastAsia"/>
          <w:szCs w:val="21"/>
        </w:rPr>
        <w:t>本规程适用于新建、改建和扩建的智能建筑工程施工。</w:t>
      </w:r>
    </w:p>
    <w:p w14:paraId="7F294855">
      <w:pPr>
        <w:pStyle w:val="164"/>
        <w:numPr>
          <w:ilvl w:val="2"/>
          <w:numId w:val="1"/>
        </w:numPr>
        <w:spacing w:before="100" w:after="100"/>
        <w:ind w:left="0" w:firstLine="0" w:firstLineChars="0"/>
        <w:rPr>
          <w:rFonts w:eastAsiaTheme="minorEastAsia"/>
          <w:szCs w:val="21"/>
        </w:rPr>
      </w:pPr>
      <w:r>
        <w:rPr>
          <w:rFonts w:eastAsiaTheme="minorEastAsia"/>
          <w:szCs w:val="21"/>
        </w:rPr>
        <w:t>智能建筑工程的施工除应执行本规范外，尚应符合国家、行业及广西现行有关标准的规定。</w:t>
      </w:r>
    </w:p>
    <w:p w14:paraId="6DC8E454">
      <w:pPr>
        <w:ind w:left="0" w:firstLine="0" w:firstLineChars="0"/>
        <w:rPr>
          <w:rFonts w:ascii="Times New Roman" w:hAnsi="Times New Roman"/>
        </w:rPr>
      </w:pPr>
    </w:p>
    <w:p w14:paraId="4EEC69AB">
      <w:pPr>
        <w:widowControl/>
        <w:ind w:left="0" w:firstLine="0" w:firstLineChars="0"/>
        <w:jc w:val="left"/>
        <w:rPr>
          <w:rFonts w:ascii="Times New Roman" w:hAnsi="Times New Roman" w:eastAsiaTheme="minorEastAsia"/>
          <w:szCs w:val="21"/>
        </w:rPr>
      </w:pPr>
      <w:r>
        <w:rPr>
          <w:rFonts w:ascii="Times New Roman" w:hAnsi="Times New Roman" w:eastAsiaTheme="minorEastAsia"/>
          <w:szCs w:val="21"/>
        </w:rPr>
        <w:br w:type="page"/>
      </w:r>
    </w:p>
    <w:p w14:paraId="5E9EA866">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38" w:name="_Toc182487918"/>
      <w:r>
        <w:rPr>
          <w:rFonts w:ascii="Times New Roman" w:hAnsi="Times New Roman" w:eastAsia="黑体"/>
          <w:bCs/>
          <w:sz w:val="28"/>
          <w:szCs w:val="28"/>
        </w:rPr>
        <w:t>2 术   语</w:t>
      </w:r>
      <w:bookmarkEnd w:id="38"/>
    </w:p>
    <w:p w14:paraId="07AF44BF">
      <w:pPr>
        <w:pStyle w:val="164"/>
        <w:numPr>
          <w:ilvl w:val="0"/>
          <w:numId w:val="2"/>
        </w:numPr>
        <w:ind w:left="0" w:firstLine="0" w:firstLineChars="0"/>
        <w:rPr>
          <w:rFonts w:eastAsiaTheme="minorEastAsia"/>
          <w:vanish/>
        </w:rPr>
      </w:pPr>
    </w:p>
    <w:p w14:paraId="69ED183E">
      <w:pPr>
        <w:pStyle w:val="164"/>
        <w:numPr>
          <w:ilvl w:val="0"/>
          <w:numId w:val="2"/>
        </w:numPr>
        <w:ind w:left="0" w:firstLine="0" w:firstLineChars="0"/>
        <w:rPr>
          <w:rFonts w:eastAsiaTheme="minorEastAsia"/>
          <w:vanish/>
        </w:rPr>
      </w:pPr>
    </w:p>
    <w:p w14:paraId="47C7FFF4">
      <w:pPr>
        <w:pStyle w:val="164"/>
        <w:numPr>
          <w:ilvl w:val="1"/>
          <w:numId w:val="2"/>
        </w:numPr>
        <w:ind w:left="0" w:firstLine="0" w:firstLineChars="0"/>
        <w:rPr>
          <w:rFonts w:eastAsiaTheme="minorEastAsia"/>
          <w:vanish/>
        </w:rPr>
      </w:pPr>
    </w:p>
    <w:p w14:paraId="5EB31007">
      <w:pPr>
        <w:pStyle w:val="164"/>
        <w:numPr>
          <w:ilvl w:val="0"/>
          <w:numId w:val="1"/>
        </w:numPr>
        <w:tabs>
          <w:tab w:val="left" w:pos="624"/>
        </w:tabs>
        <w:spacing w:before="100" w:after="100"/>
        <w:ind w:firstLineChars="0"/>
        <w:rPr>
          <w:rFonts w:eastAsiaTheme="minorEastAsia"/>
          <w:vanish/>
          <w:szCs w:val="21"/>
        </w:rPr>
      </w:pPr>
    </w:p>
    <w:p w14:paraId="167AB4F6">
      <w:pPr>
        <w:pStyle w:val="164"/>
        <w:numPr>
          <w:ilvl w:val="1"/>
          <w:numId w:val="1"/>
        </w:numPr>
        <w:tabs>
          <w:tab w:val="left" w:pos="624"/>
        </w:tabs>
        <w:spacing w:before="100" w:after="100"/>
        <w:ind w:firstLineChars="0"/>
        <w:rPr>
          <w:rFonts w:eastAsiaTheme="minorEastAsia"/>
          <w:vanish/>
          <w:szCs w:val="21"/>
        </w:rPr>
      </w:pPr>
    </w:p>
    <w:p w14:paraId="7C7D01BA">
      <w:pPr>
        <w:pStyle w:val="164"/>
        <w:numPr>
          <w:ilvl w:val="2"/>
          <w:numId w:val="1"/>
        </w:numPr>
        <w:spacing w:before="100" w:after="100" w:line="330" w:lineRule="exact"/>
        <w:ind w:left="0" w:firstLine="0" w:firstLineChars="0"/>
        <w:rPr>
          <w:szCs w:val="21"/>
        </w:rPr>
      </w:pPr>
      <w:r>
        <w:rPr>
          <w:szCs w:val="21"/>
        </w:rPr>
        <w:t>智能建筑（IB）Intelligent Building</w:t>
      </w:r>
    </w:p>
    <w:p w14:paraId="62B83DE5">
      <w:pPr>
        <w:spacing w:line="330" w:lineRule="exact"/>
        <w:ind w:left="0" w:firstLine="420" w:firstLineChars="200"/>
        <w:rPr>
          <w:rFonts w:ascii="Times New Roman" w:hAnsi="Times New Roman" w:eastAsiaTheme="minorEastAsia"/>
        </w:rPr>
      </w:pPr>
      <w:r>
        <w:rPr>
          <w:rFonts w:ascii="Times New Roman" w:hAnsi="Times New Roman"/>
          <w:szCs w:val="21"/>
          <w:shd w:val="clear" w:color="auto" w:fill="FFFFFF"/>
        </w:rPr>
        <w:t>以</w:t>
      </w:r>
      <w:r>
        <w:rPr>
          <w:rFonts w:ascii="Times New Roman" w:hAnsi="Times New Roman" w:eastAsiaTheme="minorEastAsia"/>
          <w:szCs w:val="21"/>
        </w:rPr>
        <w:t>建筑物</w:t>
      </w:r>
      <w:r>
        <w:rPr>
          <w:rFonts w:ascii="Times New Roman" w:hAnsi="Times New Roman"/>
          <w:szCs w:val="21"/>
          <w:shd w:val="clear" w:color="auto" w:fill="FFFFFF"/>
        </w:rPr>
        <w:t>为平台，兼备信息设施系统、信息化应用系统、建筑设备管理系统、公共安全系统等，集结构、系统、服务、管理及其优化组合为一体，向人们提供安全、高效、便捷、节能、环保、健康的建筑环境</w:t>
      </w:r>
      <w:r>
        <w:rPr>
          <w:rFonts w:ascii="Times New Roman" w:hAnsi="Times New Roman"/>
        </w:rPr>
        <w:t>。</w:t>
      </w:r>
    </w:p>
    <w:p w14:paraId="512B67D0">
      <w:pPr>
        <w:pStyle w:val="164"/>
        <w:numPr>
          <w:ilvl w:val="2"/>
          <w:numId w:val="1"/>
        </w:numPr>
        <w:spacing w:before="100" w:after="100" w:line="330" w:lineRule="exact"/>
        <w:ind w:left="0" w:firstLine="0" w:firstLineChars="0"/>
        <w:rPr>
          <w:szCs w:val="21"/>
        </w:rPr>
      </w:pPr>
      <w:r>
        <w:rPr>
          <w:szCs w:val="21"/>
        </w:rPr>
        <w:t>综合布线系统（GCS）Generic Cabling System</w:t>
      </w:r>
    </w:p>
    <w:p w14:paraId="093A6671">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综合布线系统是建筑物和建筑群内的传输网络，它使语音和数据以及多媒体通信设备、 交换设备和其他信息管理系统彼此相连，将这些设备与外部通信网络相连接。系统包括建筑物到外部网络的连接点与工作区的信息点之间的所有电缆及相关联的布线部件。</w:t>
      </w:r>
    </w:p>
    <w:p w14:paraId="2078A24B">
      <w:pPr>
        <w:pStyle w:val="164"/>
        <w:numPr>
          <w:ilvl w:val="2"/>
          <w:numId w:val="1"/>
        </w:numPr>
        <w:spacing w:before="100" w:after="100" w:line="330" w:lineRule="exact"/>
        <w:ind w:left="0" w:firstLine="0" w:firstLineChars="0"/>
        <w:rPr>
          <w:szCs w:val="21"/>
        </w:rPr>
      </w:pPr>
      <w:r>
        <w:rPr>
          <w:szCs w:val="21"/>
        </w:rPr>
        <w:t>信息网络系统（INS）Information Network System</w:t>
      </w:r>
    </w:p>
    <w:p w14:paraId="4EF6D549">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信息网络系统是应用计算机技术、通信技术、多媒体技术、</w:t>
      </w:r>
      <w:r>
        <w:rPr>
          <w:rFonts w:ascii="Times New Roman" w:hAnsi="Times New Roman"/>
        </w:rPr>
        <w:fldChar w:fldCharType="begin"/>
      </w:r>
      <w:r>
        <w:rPr>
          <w:rFonts w:ascii="Times New Roman" w:hAnsi="Times New Roman"/>
        </w:rPr>
        <w:instrText xml:space="preserve">HYPERLINK "https://baike.baidu.com/item/%E4%BF%A1%E6%81%AF%E5%AE%89%E5%85%A8%E6%8A%80%E6%9C%AF" \t "_blank"</w:instrText>
      </w:r>
      <w:r>
        <w:rPr>
          <w:rFonts w:ascii="Times New Roman" w:hAnsi="Times New Roman"/>
        </w:rPr>
        <w:fldChar w:fldCharType="separate"/>
      </w:r>
      <w:r>
        <w:rPr>
          <w:rFonts w:ascii="Times New Roman" w:hAnsi="Times New Roman"/>
          <w:szCs w:val="21"/>
          <w:shd w:val="clear" w:color="auto" w:fill="FFFFFF"/>
        </w:rPr>
        <w:t>信息安全技术</w:t>
      </w:r>
      <w:r>
        <w:rPr>
          <w:rFonts w:ascii="Times New Roman" w:hAnsi="Times New Roman"/>
          <w:szCs w:val="21"/>
          <w:shd w:val="clear" w:color="auto" w:fill="FFFFFF"/>
        </w:rPr>
        <w:fldChar w:fldCharType="end"/>
      </w:r>
      <w:r>
        <w:rPr>
          <w:rFonts w:ascii="Times New Roman" w:hAnsi="Times New Roman"/>
          <w:szCs w:val="21"/>
          <w:shd w:val="clear" w:color="auto" w:fill="FFFFFF"/>
        </w:rPr>
        <w:t>和行为科学等，由相关设备构成，用以实现信息传递、</w:t>
      </w:r>
      <w:r>
        <w:fldChar w:fldCharType="begin"/>
      </w:r>
      <w:r>
        <w:instrText xml:space="preserve"> HYPERLINK "https://baike.baidu.com/item/%E4%BF%A1%E6%81%AF%E5%A4%84%E7%90%86" \t "_blank" </w:instrText>
      </w:r>
      <w:r>
        <w:fldChar w:fldCharType="separate"/>
      </w:r>
      <w:r>
        <w:rPr>
          <w:rFonts w:ascii="Times New Roman" w:hAnsi="Times New Roman"/>
          <w:szCs w:val="21"/>
          <w:shd w:val="clear" w:color="auto" w:fill="FFFFFF"/>
        </w:rPr>
        <w:t>信息处理</w:t>
      </w:r>
      <w:r>
        <w:rPr>
          <w:rFonts w:ascii="Times New Roman" w:hAnsi="Times New Roman"/>
          <w:szCs w:val="21"/>
          <w:shd w:val="clear" w:color="auto" w:fill="FFFFFF"/>
        </w:rPr>
        <w:fldChar w:fldCharType="end"/>
      </w:r>
      <w:r>
        <w:rPr>
          <w:rFonts w:ascii="Times New Roman" w:hAnsi="Times New Roman"/>
          <w:szCs w:val="21"/>
          <w:shd w:val="clear" w:color="auto" w:fill="FFFFFF"/>
        </w:rPr>
        <w:t>、信息共享，并在此基础上开展各种业务的系统，主要包括计算机网络、应用软件及网络安全等。</w:t>
      </w:r>
    </w:p>
    <w:p w14:paraId="6E613AA4">
      <w:pPr>
        <w:pStyle w:val="164"/>
        <w:numPr>
          <w:ilvl w:val="2"/>
          <w:numId w:val="1"/>
        </w:numPr>
        <w:spacing w:before="100" w:after="100" w:line="330" w:lineRule="exact"/>
        <w:ind w:left="0" w:firstLine="0" w:firstLineChars="0"/>
        <w:rPr>
          <w:szCs w:val="21"/>
        </w:rPr>
      </w:pPr>
      <w:r>
        <w:rPr>
          <w:szCs w:val="21"/>
        </w:rPr>
        <w:t>建筑设备自动化系统（BAS）Building Automation System</w:t>
      </w:r>
    </w:p>
    <w:p w14:paraId="23139FB7">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将建筑物或建筑群内的空调与通风、变配电、照明、给排水、热源与热交换、冷冻和冷却及电梯和自动扶梯等系统，以集中监视、控制和管理为目的构成的综合系统。本规程所用建筑设备监控系统与此条通用。</w:t>
      </w:r>
    </w:p>
    <w:p w14:paraId="42E2E5F4">
      <w:pPr>
        <w:pStyle w:val="164"/>
        <w:numPr>
          <w:ilvl w:val="2"/>
          <w:numId w:val="1"/>
        </w:numPr>
        <w:spacing w:before="100" w:after="100" w:line="330" w:lineRule="exact"/>
        <w:ind w:left="0" w:firstLine="0" w:firstLineChars="0"/>
        <w:rPr>
          <w:szCs w:val="21"/>
        </w:rPr>
      </w:pPr>
      <w:r>
        <w:rPr>
          <w:szCs w:val="21"/>
        </w:rPr>
        <w:t>智能化集成系统（ISI）Intelligent System Integrated</w:t>
      </w:r>
    </w:p>
    <w:p w14:paraId="159C9D81">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智能化系统集成应在建筑设备监控系统、安全防范系统、火灾自动报警系统及消防联动系统等各子分部工程的基础上，实现建筑物管理系统</w:t>
      </w:r>
      <w:r>
        <w:rPr>
          <w:rFonts w:ascii="Times New Roman" w:hAnsi="Times New Roman"/>
          <w:szCs w:val="21"/>
        </w:rPr>
        <w:t>（BMS）</w:t>
      </w:r>
      <w:r>
        <w:rPr>
          <w:rFonts w:ascii="Times New Roman" w:hAnsi="Times New Roman"/>
          <w:szCs w:val="21"/>
          <w:shd w:val="clear" w:color="auto" w:fill="FFFFFF"/>
        </w:rPr>
        <w:t>集成。</w:t>
      </w:r>
      <w:r>
        <w:rPr>
          <w:rFonts w:ascii="Times New Roman" w:hAnsi="Times New Roman"/>
          <w:szCs w:val="21"/>
        </w:rPr>
        <w:t>BMS</w:t>
      </w:r>
      <w:r>
        <w:rPr>
          <w:rFonts w:ascii="Times New Roman" w:hAnsi="Times New Roman"/>
          <w:szCs w:val="21"/>
          <w:shd w:val="clear" w:color="auto" w:fill="FFFFFF"/>
        </w:rPr>
        <w:t>可进一步与信息网络系统（</w:t>
      </w:r>
      <w:r>
        <w:rPr>
          <w:rFonts w:ascii="Times New Roman" w:hAnsi="Times New Roman"/>
          <w:szCs w:val="21"/>
        </w:rPr>
        <w:t>INS</w:t>
      </w:r>
      <w:r>
        <w:rPr>
          <w:rFonts w:ascii="Times New Roman" w:hAnsi="Times New Roman"/>
          <w:szCs w:val="21"/>
          <w:shd w:val="clear" w:color="auto" w:fill="FFFFFF"/>
        </w:rPr>
        <w:t>）、通信网络系统（</w:t>
      </w:r>
      <w:r>
        <w:rPr>
          <w:rFonts w:ascii="Times New Roman" w:hAnsi="Times New Roman"/>
          <w:szCs w:val="21"/>
        </w:rPr>
        <w:t>CNS</w:t>
      </w:r>
      <w:r>
        <w:rPr>
          <w:rFonts w:ascii="Times New Roman" w:hAnsi="Times New Roman"/>
          <w:szCs w:val="21"/>
          <w:shd w:val="clear" w:color="auto" w:fill="FFFFFF"/>
        </w:rPr>
        <w:t>） 进行系统集成，实现智能建筑管理集成系统（</w:t>
      </w:r>
      <w:r>
        <w:rPr>
          <w:rFonts w:ascii="Times New Roman" w:hAnsi="Times New Roman"/>
          <w:szCs w:val="21"/>
        </w:rPr>
        <w:t>IBMS</w:t>
      </w:r>
      <w:r>
        <w:rPr>
          <w:rFonts w:ascii="Times New Roman" w:hAnsi="Times New Roman"/>
          <w:szCs w:val="21"/>
          <w:shd w:val="clear" w:color="auto" w:fill="FFFFFF"/>
        </w:rPr>
        <w:t>）， 以满足建筑物的监控功能、管理功能和信息共享的需求。其目的是通过对建筑物和建筑设备的自动检测与优化控制，实现信息资源的优化管理和对使用者提供最佳的信息服务，使智能建筑达到投资合理、适应信息社会需要，并营造安全、舒适、高效和节能环保的环境。</w:t>
      </w:r>
    </w:p>
    <w:p w14:paraId="34532BDD">
      <w:pPr>
        <w:pStyle w:val="164"/>
        <w:numPr>
          <w:ilvl w:val="2"/>
          <w:numId w:val="1"/>
        </w:numPr>
        <w:spacing w:before="100" w:after="100" w:line="330" w:lineRule="exact"/>
        <w:ind w:left="0" w:firstLine="0" w:firstLineChars="0"/>
        <w:rPr>
          <w:szCs w:val="21"/>
        </w:rPr>
      </w:pPr>
      <w:r>
        <w:rPr>
          <w:szCs w:val="21"/>
        </w:rPr>
        <w:t>安全防范系统（SPS）Security And Protection System</w:t>
      </w:r>
    </w:p>
    <w:p w14:paraId="75C69A7E">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以维护社会公共安全为目的，运用安全防范产品和其他相关产品所构成的入侵报警系统、 视频安防监控系统、出入口控制系统、防爆安全检查系统等；或由这些系统为子系统组合或集成的电子系统或网络。</w:t>
      </w:r>
    </w:p>
    <w:p w14:paraId="5F21D27A">
      <w:pPr>
        <w:pStyle w:val="164"/>
        <w:numPr>
          <w:ilvl w:val="2"/>
          <w:numId w:val="1"/>
        </w:numPr>
        <w:spacing w:before="100" w:after="100" w:line="330" w:lineRule="exact"/>
        <w:ind w:left="0" w:firstLine="0" w:firstLineChars="0"/>
        <w:rPr>
          <w:szCs w:val="21"/>
        </w:rPr>
      </w:pPr>
      <w:r>
        <w:rPr>
          <w:szCs w:val="21"/>
        </w:rPr>
        <w:t>火灾自动报警系统（AFAS）Automatic Fire Alarm System</w:t>
      </w:r>
    </w:p>
    <w:p w14:paraId="2F947228">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由火灾探测系统、火灾自动报警系统及消防联动系统和自动灭火系统等部分组成，实现建筑物的火灾自动报警及消防联动。</w:t>
      </w:r>
    </w:p>
    <w:p w14:paraId="6CEC2838">
      <w:pPr>
        <w:pStyle w:val="164"/>
        <w:numPr>
          <w:ilvl w:val="2"/>
          <w:numId w:val="1"/>
        </w:numPr>
        <w:spacing w:before="100" w:after="100" w:line="330" w:lineRule="exact"/>
        <w:ind w:left="0" w:firstLine="0" w:firstLineChars="0"/>
        <w:rPr>
          <w:szCs w:val="21"/>
        </w:rPr>
      </w:pPr>
      <w:r>
        <w:rPr>
          <w:szCs w:val="21"/>
        </w:rPr>
        <w:t>信息导引及发布系统（IGARS）Information Guidance And Release System</w:t>
      </w:r>
    </w:p>
    <w:p w14:paraId="3ACFD552">
      <w:pPr>
        <w:spacing w:line="330" w:lineRule="exact"/>
        <w:ind w:left="0" w:firstLine="0" w:firstLineChars="0"/>
        <w:rPr>
          <w:rFonts w:ascii="Times New Roman" w:hAnsi="Times New Roman"/>
          <w:szCs w:val="21"/>
          <w:shd w:val="clear" w:color="auto" w:fill="FFFFFF"/>
        </w:rPr>
      </w:pPr>
      <w:r>
        <w:rPr>
          <w:rFonts w:ascii="Times New Roman" w:hAnsi="Times New Roman"/>
          <w:szCs w:val="21"/>
          <w:shd w:val="clear" w:color="auto" w:fill="FFFFFF"/>
        </w:rPr>
        <w:t>由服务器、网络、播放器、显示设备组成，将服务器的信息通过网络（广域网/局域网/专用网都适用，包括无线网络）发送给播放器， 再由播放器组合音视 频、图片、文字等信息（包括播放位置和播放内容等），输送给液晶电视机等显示设备可以接受的音视频输入形成音视频文件的播放，这样就形成了一套可通过网络将所有服务器信息发送到终端。</w:t>
      </w:r>
    </w:p>
    <w:p w14:paraId="523770B2">
      <w:pPr>
        <w:widowControl/>
        <w:spacing w:line="330" w:lineRule="exact"/>
        <w:ind w:left="0" w:firstLine="0" w:firstLineChars="0"/>
        <w:jc w:val="left"/>
        <w:rPr>
          <w:rFonts w:ascii="Times New Roman" w:hAnsi="Times New Roman" w:eastAsiaTheme="minorEastAsia"/>
        </w:rPr>
      </w:pPr>
      <w:r>
        <w:rPr>
          <w:rFonts w:ascii="Times New Roman" w:hAnsi="Times New Roman" w:eastAsiaTheme="minorEastAsia"/>
        </w:rPr>
        <w:br w:type="page"/>
      </w:r>
    </w:p>
    <w:p w14:paraId="33EB4890">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39" w:name="_Toc182487919"/>
      <w:r>
        <w:rPr>
          <w:rFonts w:ascii="Times New Roman" w:hAnsi="Times New Roman" w:eastAsia="黑体"/>
          <w:bCs/>
          <w:sz w:val="28"/>
          <w:szCs w:val="28"/>
        </w:rPr>
        <w:t>3 基 本 规 定</w:t>
      </w:r>
      <w:bookmarkEnd w:id="39"/>
    </w:p>
    <w:p w14:paraId="644B855E">
      <w:pPr>
        <w:pStyle w:val="3"/>
        <w:spacing w:before="240" w:after="120" w:afterLines="50" w:line="330" w:lineRule="exact"/>
        <w:rPr>
          <w:b w:val="0"/>
          <w:bCs w:val="0"/>
          <w:sz w:val="21"/>
          <w:szCs w:val="21"/>
          <w:lang w:val="en-US"/>
        </w:rPr>
      </w:pPr>
      <w:bookmarkStart w:id="40" w:name="_Toc182487920"/>
      <w:r>
        <w:rPr>
          <w:rFonts w:eastAsia="黑体"/>
          <w:b w:val="0"/>
          <w:bCs w:val="0"/>
          <w:sz w:val="21"/>
          <w:szCs w:val="21"/>
          <w:lang w:val="en-US"/>
        </w:rPr>
        <w:t>3.1</w:t>
      </w:r>
      <w:r>
        <w:rPr>
          <w:rStyle w:val="49"/>
          <w:rFonts w:eastAsia="黑体"/>
          <w:b w:val="0"/>
          <w:bCs w:val="0"/>
          <w:lang w:val="en-US"/>
        </w:rPr>
        <w:t>施工管理</w:t>
      </w:r>
      <w:bookmarkEnd w:id="40"/>
    </w:p>
    <w:p w14:paraId="404844CF">
      <w:pPr>
        <w:pStyle w:val="164"/>
        <w:numPr>
          <w:ilvl w:val="0"/>
          <w:numId w:val="2"/>
        </w:numPr>
        <w:spacing w:line="330" w:lineRule="exact"/>
        <w:ind w:firstLineChars="0"/>
        <w:rPr>
          <w:rFonts w:eastAsiaTheme="minorEastAsia"/>
          <w:vanish/>
        </w:rPr>
      </w:pPr>
    </w:p>
    <w:p w14:paraId="2F8494FD">
      <w:pPr>
        <w:pStyle w:val="164"/>
        <w:numPr>
          <w:ilvl w:val="1"/>
          <w:numId w:val="2"/>
        </w:numPr>
        <w:spacing w:line="330" w:lineRule="exact"/>
        <w:ind w:firstLineChars="0"/>
        <w:rPr>
          <w:rFonts w:eastAsiaTheme="minorEastAsia"/>
          <w:vanish/>
        </w:rPr>
      </w:pPr>
    </w:p>
    <w:p w14:paraId="0C5474F2">
      <w:pPr>
        <w:pStyle w:val="164"/>
        <w:numPr>
          <w:ilvl w:val="1"/>
          <w:numId w:val="2"/>
        </w:numPr>
        <w:spacing w:line="330" w:lineRule="exact"/>
        <w:ind w:firstLineChars="0"/>
        <w:rPr>
          <w:rFonts w:eastAsiaTheme="minorEastAsia"/>
          <w:vanish/>
        </w:rPr>
      </w:pPr>
    </w:p>
    <w:p w14:paraId="1F1722E3">
      <w:pPr>
        <w:pStyle w:val="164"/>
        <w:numPr>
          <w:ilvl w:val="0"/>
          <w:numId w:val="1"/>
        </w:numPr>
        <w:tabs>
          <w:tab w:val="left" w:pos="624"/>
        </w:tabs>
        <w:spacing w:before="100" w:after="100" w:line="330" w:lineRule="exact"/>
        <w:ind w:firstLineChars="0"/>
        <w:rPr>
          <w:vanish/>
          <w:szCs w:val="21"/>
        </w:rPr>
      </w:pPr>
    </w:p>
    <w:p w14:paraId="55A21011">
      <w:pPr>
        <w:pStyle w:val="164"/>
        <w:numPr>
          <w:ilvl w:val="1"/>
          <w:numId w:val="1"/>
        </w:numPr>
        <w:tabs>
          <w:tab w:val="left" w:pos="624"/>
        </w:tabs>
        <w:spacing w:before="100" w:after="100" w:line="330" w:lineRule="exact"/>
        <w:ind w:firstLineChars="0"/>
        <w:rPr>
          <w:vanish/>
          <w:szCs w:val="21"/>
        </w:rPr>
      </w:pPr>
    </w:p>
    <w:p w14:paraId="454F3F75">
      <w:pPr>
        <w:pStyle w:val="164"/>
        <w:numPr>
          <w:ilvl w:val="1"/>
          <w:numId w:val="1"/>
        </w:numPr>
        <w:tabs>
          <w:tab w:val="left" w:pos="624"/>
        </w:tabs>
        <w:spacing w:before="100" w:after="100" w:line="330" w:lineRule="exact"/>
        <w:ind w:firstLineChars="0"/>
        <w:rPr>
          <w:vanish/>
          <w:szCs w:val="21"/>
        </w:rPr>
      </w:pPr>
    </w:p>
    <w:p w14:paraId="638B083C">
      <w:pPr>
        <w:pStyle w:val="164"/>
        <w:numPr>
          <w:ilvl w:val="2"/>
          <w:numId w:val="1"/>
        </w:numPr>
        <w:spacing w:before="100" w:after="100" w:line="330" w:lineRule="exact"/>
        <w:ind w:left="0" w:firstLine="0" w:firstLineChars="0"/>
        <w:rPr>
          <w:rFonts w:eastAsiaTheme="minorEastAsia"/>
        </w:rPr>
      </w:pPr>
      <w:r>
        <w:rPr>
          <w:rFonts w:hint="eastAsia"/>
          <w:szCs w:val="21"/>
        </w:rPr>
        <w:t>施工前应由</w:t>
      </w:r>
      <w:r>
        <w:rPr>
          <w:rFonts w:eastAsiaTheme="minorEastAsia"/>
        </w:rPr>
        <w:t>施工单位制定完善的质量管理制度、施工技术措施和安全制度。</w:t>
      </w:r>
      <w:r>
        <w:rPr>
          <w:rFonts w:hint="eastAsia"/>
        </w:rPr>
        <w:t>并</w:t>
      </w:r>
      <w:r>
        <w:t>对工程所有的器材设备的规格、程序、数量、质量进行检查，无出厂检验证明材料或与设计不符的器材不得在工程中使用。</w:t>
      </w:r>
    </w:p>
    <w:p w14:paraId="43210D3C">
      <w:pPr>
        <w:pStyle w:val="164"/>
        <w:numPr>
          <w:ilvl w:val="2"/>
          <w:numId w:val="1"/>
        </w:numPr>
        <w:spacing w:before="100" w:after="100" w:line="330" w:lineRule="exact"/>
        <w:ind w:left="0" w:firstLine="0" w:firstLineChars="0"/>
        <w:rPr>
          <w:rFonts w:eastAsiaTheme="minorEastAsia"/>
        </w:rPr>
      </w:pPr>
      <w:r>
        <w:rPr>
          <w:rFonts w:hint="eastAsia" w:eastAsiaTheme="minorEastAsia"/>
        </w:rPr>
        <w:t>安装、调试人员应具有相应的专业资格或专项资格，作业人员应经培训合格并持有上岗证。</w:t>
      </w:r>
    </w:p>
    <w:p w14:paraId="406B996F">
      <w:pPr>
        <w:pStyle w:val="164"/>
        <w:numPr>
          <w:ilvl w:val="2"/>
          <w:numId w:val="1"/>
        </w:numPr>
        <w:spacing w:before="100" w:after="100" w:line="330" w:lineRule="exact"/>
        <w:ind w:left="0" w:firstLine="0" w:firstLineChars="0"/>
        <w:rPr>
          <w:rFonts w:eastAsiaTheme="minorEastAsia"/>
        </w:rPr>
      </w:pPr>
      <w:r>
        <w:rPr>
          <w:rFonts w:hint="eastAsia" w:eastAsiaTheme="minorEastAsia"/>
        </w:rPr>
        <w:t>安装调试使用的仪器仪表及计量器具应具有在有效期内的检验、校验合格证。</w:t>
      </w:r>
    </w:p>
    <w:p w14:paraId="6D38B887">
      <w:pPr>
        <w:pStyle w:val="164"/>
        <w:numPr>
          <w:ilvl w:val="2"/>
          <w:numId w:val="1"/>
        </w:numPr>
        <w:spacing w:before="100" w:after="100" w:line="330" w:lineRule="exact"/>
        <w:ind w:left="0" w:firstLine="0" w:firstLineChars="0"/>
        <w:rPr>
          <w:szCs w:val="21"/>
        </w:rPr>
      </w:pPr>
      <w:r>
        <w:rPr>
          <w:szCs w:val="21"/>
        </w:rPr>
        <w:t>施工过程应符合下列规定：</w:t>
      </w:r>
    </w:p>
    <w:p w14:paraId="340C0D41">
      <w:pPr>
        <w:pStyle w:val="164"/>
        <w:numPr>
          <w:ilvl w:val="0"/>
          <w:numId w:val="3"/>
        </w:numPr>
        <w:spacing w:line="330" w:lineRule="exact"/>
        <w:ind w:left="0" w:firstLine="420"/>
        <w:rPr>
          <w:rFonts w:eastAsiaTheme="minorEastAsia"/>
        </w:rPr>
      </w:pPr>
      <w:r>
        <w:rPr>
          <w:rFonts w:eastAsiaTheme="minorEastAsia"/>
        </w:rPr>
        <w:t>未经专业监理工程师同意，不得实施隐蔽作业。隐蔽工程的过程检查记录，应经专业监理工程师签字。</w:t>
      </w:r>
    </w:p>
    <w:p w14:paraId="4D6533FB">
      <w:pPr>
        <w:pStyle w:val="164"/>
        <w:numPr>
          <w:ilvl w:val="0"/>
          <w:numId w:val="3"/>
        </w:numPr>
        <w:spacing w:line="330" w:lineRule="exact"/>
        <w:ind w:left="0" w:firstLine="420"/>
        <w:rPr>
          <w:rFonts w:eastAsiaTheme="minorEastAsia"/>
        </w:rPr>
      </w:pPr>
      <w:r>
        <w:rPr>
          <w:rFonts w:eastAsiaTheme="minorEastAsia"/>
        </w:rPr>
        <w:t>工程设备安装质量</w:t>
      </w:r>
      <w:r>
        <w:rPr>
          <w:rFonts w:hint="eastAsia" w:eastAsiaTheme="minorEastAsia"/>
        </w:rPr>
        <w:t>检验</w:t>
      </w:r>
      <w:r>
        <w:rPr>
          <w:rFonts w:eastAsiaTheme="minorEastAsia"/>
        </w:rPr>
        <w:t xml:space="preserve">应符合现行国家标准《建筑工程施工质量验收统一标准》 </w:t>
      </w:r>
      <w:r>
        <w:rPr>
          <w:szCs w:val="22"/>
        </w:rPr>
        <w:t>GB 50300</w:t>
      </w:r>
      <w:r>
        <w:rPr>
          <w:rFonts w:eastAsiaTheme="minorEastAsia"/>
        </w:rPr>
        <w:t>的相关规定。</w:t>
      </w:r>
    </w:p>
    <w:p w14:paraId="3E87F4F5">
      <w:pPr>
        <w:pStyle w:val="164"/>
        <w:numPr>
          <w:ilvl w:val="0"/>
          <w:numId w:val="3"/>
        </w:numPr>
        <w:spacing w:line="330" w:lineRule="exact"/>
        <w:ind w:left="0" w:firstLine="420"/>
        <w:rPr>
          <w:rFonts w:eastAsiaTheme="minorEastAsia"/>
        </w:rPr>
      </w:pPr>
      <w:r>
        <w:rPr>
          <w:rFonts w:eastAsiaTheme="minorEastAsia"/>
        </w:rPr>
        <w:t>取源部件应与管道及主机同步安装。</w:t>
      </w:r>
    </w:p>
    <w:p w14:paraId="62F91660">
      <w:pPr>
        <w:pStyle w:val="164"/>
        <w:numPr>
          <w:ilvl w:val="0"/>
          <w:numId w:val="3"/>
        </w:numPr>
        <w:spacing w:line="330" w:lineRule="exact"/>
        <w:ind w:left="0" w:firstLine="420"/>
        <w:rPr>
          <w:rFonts w:eastAsiaTheme="minorEastAsia"/>
        </w:rPr>
      </w:pPr>
      <w:r>
        <w:rPr>
          <w:rFonts w:hint="eastAsia" w:eastAsiaTheme="minorEastAsia"/>
        </w:rPr>
        <w:t>工程施工中严禁使用不合格的器材，关键设备应有强制性产品认证证书和标志等文件。</w:t>
      </w:r>
    </w:p>
    <w:p w14:paraId="00CD2D81">
      <w:pPr>
        <w:pStyle w:val="3"/>
        <w:spacing w:before="240" w:after="120" w:afterLines="50" w:line="330" w:lineRule="exact"/>
        <w:rPr>
          <w:rFonts w:eastAsia="黑体"/>
          <w:b w:val="0"/>
          <w:bCs w:val="0"/>
          <w:sz w:val="21"/>
          <w:szCs w:val="21"/>
          <w:lang w:val="en-US"/>
        </w:rPr>
      </w:pPr>
      <w:bookmarkStart w:id="41" w:name="_Toc182487921"/>
      <w:r>
        <w:rPr>
          <w:rFonts w:eastAsia="黑体"/>
          <w:b w:val="0"/>
          <w:bCs w:val="0"/>
          <w:sz w:val="21"/>
          <w:szCs w:val="21"/>
          <w:lang w:val="en-US"/>
        </w:rPr>
        <w:t>3.2质量管理</w:t>
      </w:r>
      <w:bookmarkEnd w:id="41"/>
    </w:p>
    <w:p w14:paraId="5A5760D0">
      <w:pPr>
        <w:pStyle w:val="164"/>
        <w:numPr>
          <w:ilvl w:val="1"/>
          <w:numId w:val="2"/>
        </w:numPr>
        <w:spacing w:line="330" w:lineRule="exact"/>
        <w:ind w:firstLineChars="0"/>
        <w:rPr>
          <w:rFonts w:eastAsiaTheme="minorEastAsia"/>
          <w:vanish/>
        </w:rPr>
      </w:pPr>
    </w:p>
    <w:p w14:paraId="6529F92F">
      <w:pPr>
        <w:pStyle w:val="164"/>
        <w:numPr>
          <w:ilvl w:val="1"/>
          <w:numId w:val="1"/>
        </w:numPr>
        <w:tabs>
          <w:tab w:val="left" w:pos="624"/>
        </w:tabs>
        <w:spacing w:before="100" w:after="100" w:line="330" w:lineRule="exact"/>
        <w:ind w:firstLineChars="0"/>
        <w:rPr>
          <w:vanish/>
          <w:szCs w:val="21"/>
        </w:rPr>
      </w:pPr>
    </w:p>
    <w:p w14:paraId="16495B6A">
      <w:pPr>
        <w:pStyle w:val="164"/>
        <w:numPr>
          <w:ilvl w:val="2"/>
          <w:numId w:val="1"/>
        </w:numPr>
        <w:spacing w:before="100" w:after="100" w:line="330" w:lineRule="exact"/>
        <w:ind w:left="0" w:firstLine="0" w:firstLineChars="0"/>
        <w:rPr>
          <w:szCs w:val="21"/>
        </w:rPr>
      </w:pPr>
      <w:r>
        <w:rPr>
          <w:szCs w:val="21"/>
        </w:rPr>
        <w:t>材料、器具、设备进场质量</w:t>
      </w:r>
      <w:r>
        <w:rPr>
          <w:rFonts w:hint="eastAsia"/>
          <w:szCs w:val="21"/>
        </w:rPr>
        <w:t>检测</w:t>
      </w:r>
      <w:r>
        <w:rPr>
          <w:szCs w:val="21"/>
        </w:rPr>
        <w:t>应符合下列规定：</w:t>
      </w:r>
    </w:p>
    <w:p w14:paraId="1744B519">
      <w:pPr>
        <w:pStyle w:val="164"/>
        <w:numPr>
          <w:ilvl w:val="0"/>
          <w:numId w:val="4"/>
        </w:numPr>
        <w:spacing w:line="330" w:lineRule="exact"/>
        <w:ind w:left="0" w:firstLine="420"/>
        <w:rPr>
          <w:rFonts w:eastAsiaTheme="minorEastAsia"/>
        </w:rPr>
      </w:pPr>
      <w:r>
        <w:rPr>
          <w:rFonts w:eastAsiaTheme="minorEastAsia"/>
        </w:rPr>
        <w:t>列入《中华人民共和国实施强制性产品认证的产品目录》或实施生产许可证和上网许可证管理的产品应进行产品质量检查，未列入的产品也应按规定程序通过产品质量检测后方可使用。</w:t>
      </w:r>
    </w:p>
    <w:p w14:paraId="41E42D6A">
      <w:pPr>
        <w:pStyle w:val="164"/>
        <w:numPr>
          <w:ilvl w:val="0"/>
          <w:numId w:val="4"/>
        </w:numPr>
        <w:spacing w:line="330" w:lineRule="exact"/>
        <w:ind w:left="0" w:firstLine="420"/>
        <w:rPr>
          <w:rFonts w:eastAsiaTheme="minorEastAsia"/>
        </w:rPr>
      </w:pPr>
      <w:r>
        <w:rPr>
          <w:rFonts w:hint="eastAsia" w:eastAsiaTheme="minorEastAsia"/>
        </w:rPr>
        <w:t>材料</w:t>
      </w:r>
      <w:r>
        <w:rPr>
          <w:rFonts w:eastAsiaTheme="minorEastAsia"/>
        </w:rPr>
        <w:t>及</w:t>
      </w:r>
      <w:r>
        <w:rPr>
          <w:rFonts w:hint="eastAsia" w:eastAsiaTheme="minorEastAsia"/>
        </w:rPr>
        <w:t>设备</w:t>
      </w:r>
      <w:r>
        <w:rPr>
          <w:rFonts w:eastAsiaTheme="minorEastAsia"/>
        </w:rPr>
        <w:t>的质量检查应包括安全性、可靠性及电磁兼容性等项目，并由生产厂家出具相应检测报告。</w:t>
      </w:r>
    </w:p>
    <w:p w14:paraId="69AF1139">
      <w:pPr>
        <w:pStyle w:val="164"/>
        <w:numPr>
          <w:ilvl w:val="0"/>
          <w:numId w:val="4"/>
        </w:numPr>
        <w:spacing w:line="330" w:lineRule="exact"/>
        <w:ind w:left="0" w:firstLine="420"/>
        <w:rPr>
          <w:rFonts w:eastAsiaTheme="minorEastAsia"/>
        </w:rPr>
      </w:pPr>
      <w:r>
        <w:rPr>
          <w:rFonts w:eastAsiaTheme="minorEastAsia"/>
        </w:rPr>
        <w:t>材料及主要设备的检测应符合下列规定：</w:t>
      </w:r>
    </w:p>
    <w:p w14:paraId="7C34B01D">
      <w:pPr>
        <w:pStyle w:val="164"/>
        <w:numPr>
          <w:ilvl w:val="0"/>
          <w:numId w:val="5"/>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按工程设计文件进行进场</w:t>
      </w:r>
      <w:r>
        <w:rPr>
          <w:rFonts w:hint="eastAsia" w:eastAsiaTheme="minorEastAsia"/>
          <w:szCs w:val="21"/>
        </w:rPr>
        <w:t>检验</w:t>
      </w:r>
      <w:r>
        <w:rPr>
          <w:rFonts w:eastAsiaTheme="minorEastAsia"/>
          <w:szCs w:val="21"/>
        </w:rPr>
        <w:t>，进场</w:t>
      </w:r>
      <w:r>
        <w:rPr>
          <w:rFonts w:hint="eastAsia" w:eastAsiaTheme="minorEastAsia"/>
          <w:szCs w:val="21"/>
        </w:rPr>
        <w:t>检验</w:t>
      </w:r>
      <w:r>
        <w:rPr>
          <w:rFonts w:eastAsiaTheme="minorEastAsia"/>
          <w:szCs w:val="21"/>
        </w:rPr>
        <w:t>应有书面记录和参加人签字并经专业监理工程师或建设单位</w:t>
      </w:r>
      <w:r>
        <w:rPr>
          <w:rFonts w:hint="eastAsia" w:eastAsiaTheme="minorEastAsia"/>
          <w:szCs w:val="21"/>
        </w:rPr>
        <w:t>专业</w:t>
      </w:r>
      <w:r>
        <w:rPr>
          <w:rFonts w:eastAsiaTheme="minorEastAsia"/>
          <w:szCs w:val="21"/>
        </w:rPr>
        <w:t>人员确认。</w:t>
      </w:r>
    </w:p>
    <w:p w14:paraId="0C5544C5">
      <w:pPr>
        <w:pStyle w:val="164"/>
        <w:numPr>
          <w:ilvl w:val="0"/>
          <w:numId w:val="5"/>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对材料、设备的外观、规格、型号、数量及产地等进行检查复核。</w:t>
      </w:r>
    </w:p>
    <w:p w14:paraId="1CF305CF">
      <w:pPr>
        <w:pStyle w:val="164"/>
        <w:numPr>
          <w:ilvl w:val="0"/>
          <w:numId w:val="5"/>
        </w:numPr>
        <w:tabs>
          <w:tab w:val="left" w:pos="210"/>
          <w:tab w:val="left" w:pos="567"/>
        </w:tabs>
        <w:spacing w:line="330" w:lineRule="exact"/>
        <w:ind w:firstLine="630" w:firstLineChars="300"/>
        <w:rPr>
          <w:rFonts w:eastAsiaTheme="minorEastAsia"/>
        </w:rPr>
      </w:pPr>
      <w:r>
        <w:rPr>
          <w:rFonts w:eastAsiaTheme="minorEastAsia"/>
          <w:szCs w:val="21"/>
        </w:rPr>
        <w:t>主要设备、材料应有生产厂家的质量合格证明文件及性能的检测报告。</w:t>
      </w:r>
    </w:p>
    <w:p w14:paraId="57A4C5D9">
      <w:pPr>
        <w:pStyle w:val="164"/>
        <w:numPr>
          <w:ilvl w:val="2"/>
          <w:numId w:val="1"/>
        </w:numPr>
        <w:spacing w:before="100" w:after="100" w:line="330" w:lineRule="exact"/>
        <w:ind w:left="0" w:firstLine="0" w:firstLineChars="0"/>
        <w:rPr>
          <w:szCs w:val="21"/>
          <w:shd w:val="clear" w:color="auto" w:fill="FFFFFF"/>
        </w:rPr>
      </w:pPr>
      <w:r>
        <w:rPr>
          <w:rFonts w:hint="eastAsia"/>
          <w:szCs w:val="21"/>
        </w:rPr>
        <w:t>智能建筑</w:t>
      </w:r>
      <w:r>
        <w:rPr>
          <w:szCs w:val="21"/>
        </w:rPr>
        <w:t>各子</w:t>
      </w:r>
      <w:r>
        <w:rPr>
          <w:rFonts w:hint="eastAsia"/>
          <w:szCs w:val="21"/>
        </w:rPr>
        <w:t>系统的</w:t>
      </w:r>
      <w:r>
        <w:rPr>
          <w:szCs w:val="21"/>
        </w:rPr>
        <w:t>安装</w:t>
      </w:r>
      <w:r>
        <w:rPr>
          <w:rFonts w:hint="eastAsia"/>
          <w:szCs w:val="21"/>
        </w:rPr>
        <w:t>质量</w:t>
      </w:r>
      <w:r>
        <w:rPr>
          <w:szCs w:val="21"/>
          <w:shd w:val="clear" w:color="auto" w:fill="FFFFFF"/>
        </w:rPr>
        <w:t xml:space="preserve">应符合现行国家标准《建筑工程施工质量验收统一标准》 </w:t>
      </w:r>
      <w:r>
        <w:t>GB 50300</w:t>
      </w:r>
      <w:r>
        <w:rPr>
          <w:szCs w:val="21"/>
          <w:shd w:val="clear" w:color="auto" w:fill="FFFFFF"/>
        </w:rPr>
        <w:t>的相关规定</w:t>
      </w:r>
      <w:r>
        <w:rPr>
          <w:rFonts w:hint="eastAsia"/>
          <w:szCs w:val="21"/>
          <w:shd w:val="clear" w:color="auto" w:fill="FFFFFF"/>
        </w:rPr>
        <w:t>。</w:t>
      </w:r>
    </w:p>
    <w:p w14:paraId="54F7B2FB">
      <w:pPr>
        <w:pStyle w:val="164"/>
        <w:numPr>
          <w:ilvl w:val="2"/>
          <w:numId w:val="1"/>
        </w:numPr>
        <w:spacing w:before="100" w:after="100" w:line="330" w:lineRule="exact"/>
        <w:ind w:left="0" w:firstLine="0" w:firstLineChars="0"/>
        <w:rPr>
          <w:szCs w:val="21"/>
        </w:rPr>
      </w:pPr>
      <w:r>
        <w:rPr>
          <w:rFonts w:hint="eastAsia"/>
          <w:szCs w:val="21"/>
        </w:rPr>
        <w:t>智能建筑各子系统的安装质量</w:t>
      </w:r>
      <w:r>
        <w:rPr>
          <w:szCs w:val="21"/>
        </w:rPr>
        <w:t>的检测应符合下列规定：</w:t>
      </w:r>
    </w:p>
    <w:p w14:paraId="3D9A29DD">
      <w:pPr>
        <w:pStyle w:val="164"/>
        <w:numPr>
          <w:ilvl w:val="0"/>
          <w:numId w:val="6"/>
        </w:numPr>
        <w:spacing w:line="330" w:lineRule="exact"/>
        <w:ind w:left="0" w:firstLine="420"/>
        <w:rPr>
          <w:rFonts w:asciiTheme="majorEastAsia" w:hAnsiTheme="majorEastAsia" w:eastAsiaTheme="majorEastAsia"/>
          <w:szCs w:val="21"/>
        </w:rPr>
      </w:pPr>
      <w:r>
        <w:rPr>
          <w:rFonts w:hint="eastAsia" w:cs="微软雅黑" w:asciiTheme="majorEastAsia" w:hAnsiTheme="majorEastAsia" w:eastAsiaTheme="majorEastAsia"/>
          <w:color w:val="05073B"/>
          <w:szCs w:val="21"/>
          <w:shd w:val="clear" w:color="auto" w:fill="FDFDFE"/>
        </w:rPr>
        <w:t>各子系统的安装质量检测工作，</w:t>
      </w:r>
      <w:r>
        <w:rPr>
          <w:rFonts w:asciiTheme="majorEastAsia" w:hAnsiTheme="majorEastAsia" w:eastAsiaTheme="majorEastAsia"/>
          <w:color w:val="05073B"/>
          <w:szCs w:val="21"/>
          <w:shd w:val="clear" w:color="auto" w:fill="FDFDFE"/>
        </w:rPr>
        <w:t>应按</w:t>
      </w:r>
      <w:r>
        <w:rPr>
          <w:rFonts w:hint="eastAsia" w:cs="微软雅黑" w:asciiTheme="majorEastAsia" w:hAnsiTheme="majorEastAsia" w:eastAsiaTheme="majorEastAsia"/>
          <w:color w:val="05073B"/>
          <w:szCs w:val="21"/>
          <w:shd w:val="clear" w:color="auto" w:fill="FDFDFE"/>
        </w:rPr>
        <w:t>国家现行的相关标准、行业规范以及地方性的法规要求执行。</w:t>
      </w:r>
    </w:p>
    <w:p w14:paraId="5E44E597">
      <w:pPr>
        <w:pStyle w:val="164"/>
        <w:numPr>
          <w:ilvl w:val="0"/>
          <w:numId w:val="6"/>
        </w:numPr>
        <w:spacing w:line="330" w:lineRule="exact"/>
        <w:ind w:left="0" w:firstLine="420"/>
        <w:rPr>
          <w:rFonts w:eastAsiaTheme="minorEastAsia"/>
        </w:rPr>
      </w:pPr>
      <w:r>
        <w:rPr>
          <w:rFonts w:eastAsiaTheme="minorEastAsia"/>
        </w:rPr>
        <w:t>施工单位在完成系统安装后，应立即组织自检程序。自检过程中，应对检测项目逐项进行检测，并记录每一项检测的结果与数据。</w:t>
      </w:r>
    </w:p>
    <w:p w14:paraId="1428B7B0">
      <w:pPr>
        <w:pStyle w:val="164"/>
        <w:numPr>
          <w:ilvl w:val="0"/>
          <w:numId w:val="6"/>
        </w:numPr>
        <w:spacing w:line="330" w:lineRule="exact"/>
        <w:ind w:left="0" w:firstLine="420"/>
        <w:rPr>
          <w:rFonts w:eastAsiaTheme="minorEastAsia"/>
        </w:rPr>
      </w:pPr>
      <w:r>
        <w:rPr>
          <w:rFonts w:eastAsiaTheme="minorEastAsia"/>
        </w:rPr>
        <w:t>根据各子系统的不同要求，施工单位应组织系统试运行。试运行结束后，应编制并提交试运行报告。</w:t>
      </w:r>
    </w:p>
    <w:p w14:paraId="791B88A4">
      <w:pPr>
        <w:pStyle w:val="164"/>
        <w:numPr>
          <w:ilvl w:val="2"/>
          <w:numId w:val="1"/>
        </w:numPr>
        <w:spacing w:before="100" w:after="100" w:line="330" w:lineRule="exact"/>
        <w:ind w:left="0" w:firstLine="0" w:firstLineChars="0"/>
        <w:rPr>
          <w:szCs w:val="21"/>
        </w:rPr>
      </w:pPr>
      <w:r>
        <w:rPr>
          <w:szCs w:val="21"/>
        </w:rPr>
        <w:t>智能建筑</w:t>
      </w:r>
      <w:r>
        <w:rPr>
          <w:rFonts w:hint="eastAsia"/>
          <w:szCs w:val="21"/>
        </w:rPr>
        <w:t>工程</w:t>
      </w:r>
      <w:r>
        <w:rPr>
          <w:szCs w:val="21"/>
        </w:rPr>
        <w:t>的检测要求应符合下列规定：</w:t>
      </w:r>
    </w:p>
    <w:p w14:paraId="3055F424">
      <w:pPr>
        <w:pStyle w:val="164"/>
        <w:numPr>
          <w:ilvl w:val="0"/>
          <w:numId w:val="7"/>
        </w:numPr>
        <w:spacing w:line="330" w:lineRule="exact"/>
        <w:ind w:left="0" w:firstLine="420"/>
        <w:rPr>
          <w:rFonts w:eastAsiaTheme="minorEastAsia"/>
        </w:rPr>
      </w:pPr>
      <w:r>
        <w:rPr>
          <w:rFonts w:eastAsiaTheme="minorEastAsia"/>
        </w:rPr>
        <w:t>各子系统接口质量检查要求：</w:t>
      </w:r>
    </w:p>
    <w:p w14:paraId="6C83C698">
      <w:pPr>
        <w:pStyle w:val="164"/>
        <w:numPr>
          <w:ilvl w:val="0"/>
          <w:numId w:val="8"/>
        </w:numPr>
        <w:tabs>
          <w:tab w:val="left" w:pos="210"/>
          <w:tab w:val="left" w:pos="567"/>
        </w:tabs>
        <w:spacing w:line="330" w:lineRule="exact"/>
        <w:ind w:firstLine="630" w:firstLineChars="300"/>
        <w:rPr>
          <w:rFonts w:eastAsiaTheme="minorEastAsia"/>
          <w:szCs w:val="21"/>
        </w:rPr>
      </w:pPr>
      <w:r>
        <w:rPr>
          <w:rFonts w:eastAsiaTheme="minorEastAsia"/>
          <w:szCs w:val="21"/>
        </w:rPr>
        <w:t>所有接口应由接口供应商提交接口规范和接口测试大纲。</w:t>
      </w:r>
    </w:p>
    <w:p w14:paraId="166693EE">
      <w:pPr>
        <w:pStyle w:val="164"/>
        <w:numPr>
          <w:ilvl w:val="0"/>
          <w:numId w:val="8"/>
        </w:numPr>
        <w:tabs>
          <w:tab w:val="left" w:pos="210"/>
          <w:tab w:val="left" w:pos="567"/>
        </w:tabs>
        <w:spacing w:line="330" w:lineRule="exact"/>
        <w:ind w:firstLine="630" w:firstLineChars="300"/>
        <w:rPr>
          <w:rFonts w:eastAsiaTheme="minorEastAsia"/>
          <w:szCs w:val="21"/>
        </w:rPr>
      </w:pPr>
      <w:r>
        <w:rPr>
          <w:rFonts w:eastAsiaTheme="minorEastAsia"/>
          <w:szCs w:val="21"/>
        </w:rPr>
        <w:t>接口规范和接口测试大纲宜在合同签订时由合同签订双方审定。</w:t>
      </w:r>
    </w:p>
    <w:p w14:paraId="7845DBB6">
      <w:pPr>
        <w:pStyle w:val="164"/>
        <w:numPr>
          <w:ilvl w:val="0"/>
          <w:numId w:val="8"/>
        </w:numPr>
        <w:tabs>
          <w:tab w:val="left" w:pos="210"/>
          <w:tab w:val="left" w:pos="567"/>
        </w:tabs>
        <w:spacing w:line="330" w:lineRule="exact"/>
        <w:ind w:firstLine="630" w:firstLineChars="300"/>
        <w:rPr>
          <w:rFonts w:eastAsiaTheme="minorEastAsia"/>
          <w:szCs w:val="21"/>
        </w:rPr>
      </w:pPr>
      <w:r>
        <w:rPr>
          <w:rFonts w:eastAsiaTheme="minorEastAsia"/>
          <w:szCs w:val="21"/>
        </w:rPr>
        <w:t>由施工单位根据测试大纲予以实施，并保证系统接口的安装质量。</w:t>
      </w:r>
    </w:p>
    <w:p w14:paraId="2B0AD58C">
      <w:pPr>
        <w:pStyle w:val="164"/>
        <w:numPr>
          <w:ilvl w:val="0"/>
          <w:numId w:val="7"/>
        </w:numPr>
        <w:spacing w:line="330" w:lineRule="exact"/>
        <w:ind w:left="0" w:firstLine="420"/>
        <w:rPr>
          <w:rFonts w:eastAsiaTheme="minorEastAsia"/>
        </w:rPr>
      </w:pPr>
      <w:r>
        <w:rPr>
          <w:rFonts w:eastAsiaTheme="minorEastAsia"/>
        </w:rPr>
        <w:t>系统检测的条件</w:t>
      </w:r>
      <w:r>
        <w:rPr>
          <w:szCs w:val="21"/>
        </w:rPr>
        <w:t>应符合下列规定：</w:t>
      </w:r>
    </w:p>
    <w:p w14:paraId="59AF1C39">
      <w:pPr>
        <w:pStyle w:val="164"/>
        <w:numPr>
          <w:ilvl w:val="0"/>
          <w:numId w:val="9"/>
        </w:numPr>
        <w:tabs>
          <w:tab w:val="left" w:pos="210"/>
          <w:tab w:val="left" w:pos="567"/>
        </w:tabs>
        <w:spacing w:line="330" w:lineRule="exact"/>
        <w:ind w:firstLine="630" w:firstLineChars="300"/>
        <w:rPr>
          <w:rFonts w:eastAsiaTheme="minorEastAsia"/>
          <w:szCs w:val="21"/>
        </w:rPr>
      </w:pPr>
      <w:r>
        <w:rPr>
          <w:rFonts w:eastAsiaTheme="minorEastAsia"/>
          <w:szCs w:val="21"/>
        </w:rPr>
        <w:t>各子系统安装调试完成并进行试运行。</w:t>
      </w:r>
    </w:p>
    <w:p w14:paraId="2DDA91AC">
      <w:pPr>
        <w:pStyle w:val="164"/>
        <w:numPr>
          <w:ilvl w:val="0"/>
          <w:numId w:val="9"/>
        </w:numPr>
        <w:tabs>
          <w:tab w:val="left" w:pos="210"/>
          <w:tab w:val="left" w:pos="567"/>
        </w:tabs>
        <w:spacing w:line="330" w:lineRule="exact"/>
        <w:ind w:firstLine="630" w:firstLineChars="300"/>
        <w:rPr>
          <w:rFonts w:eastAsiaTheme="minorEastAsia"/>
          <w:szCs w:val="21"/>
        </w:rPr>
      </w:pPr>
      <w:r>
        <w:rPr>
          <w:rFonts w:eastAsiaTheme="minorEastAsia"/>
          <w:szCs w:val="21"/>
        </w:rPr>
        <w:t>已提供子系统完整的技术文件。</w:t>
      </w:r>
    </w:p>
    <w:p w14:paraId="35133A98">
      <w:pPr>
        <w:pStyle w:val="164"/>
        <w:numPr>
          <w:ilvl w:val="0"/>
          <w:numId w:val="7"/>
        </w:numPr>
        <w:spacing w:line="330" w:lineRule="exact"/>
        <w:ind w:left="0" w:firstLine="420"/>
        <w:rPr>
          <w:rFonts w:eastAsiaTheme="minorEastAsia"/>
        </w:rPr>
      </w:pPr>
      <w:r>
        <w:rPr>
          <w:rFonts w:eastAsiaTheme="minorEastAsia"/>
        </w:rPr>
        <w:t>施工单位应组织有关人员依据合同技术文件和设计文件，以及本规范的相应规定制定系统检测方案。</w:t>
      </w:r>
    </w:p>
    <w:p w14:paraId="3DBB9B28">
      <w:pPr>
        <w:pStyle w:val="164"/>
        <w:numPr>
          <w:ilvl w:val="0"/>
          <w:numId w:val="7"/>
        </w:numPr>
        <w:spacing w:line="330" w:lineRule="exact"/>
        <w:ind w:left="0" w:firstLine="420"/>
        <w:rPr>
          <w:rFonts w:eastAsiaTheme="minorEastAsia"/>
        </w:rPr>
      </w:pPr>
      <w:r>
        <w:rPr>
          <w:rFonts w:eastAsiaTheme="minorEastAsia"/>
        </w:rPr>
        <w:t>检测应按系统检测方案进行。</w:t>
      </w:r>
    </w:p>
    <w:p w14:paraId="613C2160">
      <w:pPr>
        <w:pStyle w:val="164"/>
        <w:numPr>
          <w:ilvl w:val="2"/>
          <w:numId w:val="1"/>
        </w:numPr>
        <w:spacing w:before="100" w:after="100" w:line="330" w:lineRule="exact"/>
        <w:ind w:left="0" w:firstLine="0" w:firstLineChars="0"/>
        <w:rPr>
          <w:szCs w:val="21"/>
        </w:rPr>
      </w:pPr>
      <w:r>
        <w:rPr>
          <w:szCs w:val="21"/>
        </w:rPr>
        <w:t>对应用于智能建筑系统的软件产品质量</w:t>
      </w:r>
      <w:r>
        <w:rPr>
          <w:rFonts w:hint="eastAsia"/>
          <w:szCs w:val="21"/>
        </w:rPr>
        <w:t>检查</w:t>
      </w:r>
      <w:r>
        <w:rPr>
          <w:szCs w:val="21"/>
        </w:rPr>
        <w:t>应</w:t>
      </w:r>
      <w:r>
        <w:rPr>
          <w:rFonts w:hint="eastAsia"/>
          <w:szCs w:val="21"/>
        </w:rPr>
        <w:t>符合</w:t>
      </w:r>
      <w:r>
        <w:rPr>
          <w:szCs w:val="21"/>
        </w:rPr>
        <w:t>下列</w:t>
      </w:r>
      <w:r>
        <w:rPr>
          <w:rFonts w:hint="eastAsia"/>
          <w:szCs w:val="21"/>
        </w:rPr>
        <w:t>规定</w:t>
      </w:r>
      <w:r>
        <w:rPr>
          <w:szCs w:val="21"/>
        </w:rPr>
        <w:t>：</w:t>
      </w:r>
    </w:p>
    <w:p w14:paraId="5AD94387">
      <w:pPr>
        <w:pStyle w:val="164"/>
        <w:numPr>
          <w:ilvl w:val="0"/>
          <w:numId w:val="10"/>
        </w:numPr>
        <w:spacing w:line="330" w:lineRule="exact"/>
        <w:ind w:left="0" w:firstLine="420"/>
        <w:rPr>
          <w:rFonts w:eastAsiaTheme="minorEastAsia"/>
        </w:rPr>
      </w:pPr>
      <w:r>
        <w:rPr>
          <w:rFonts w:hint="eastAsia" w:eastAsiaTheme="minorEastAsia"/>
        </w:rPr>
        <w:t>应</w:t>
      </w:r>
      <w:r>
        <w:rPr>
          <w:rFonts w:eastAsiaTheme="minorEastAsia"/>
        </w:rPr>
        <w:t>核查使用许可证及使用范围。</w:t>
      </w:r>
    </w:p>
    <w:p w14:paraId="5C008236">
      <w:pPr>
        <w:pStyle w:val="164"/>
        <w:numPr>
          <w:ilvl w:val="0"/>
          <w:numId w:val="10"/>
        </w:numPr>
        <w:spacing w:line="330" w:lineRule="exact"/>
        <w:ind w:left="0" w:firstLine="420"/>
        <w:rPr>
          <w:rFonts w:eastAsiaTheme="minorEastAsia"/>
        </w:rPr>
      </w:pPr>
      <w:r>
        <w:rPr>
          <w:rFonts w:eastAsiaTheme="minorEastAsia"/>
        </w:rPr>
        <w:t>对由系统承包商编制的用户应用软件、软件组态及接口软件等，应进行功能测试和系统测试。</w:t>
      </w:r>
    </w:p>
    <w:p w14:paraId="1A90283D">
      <w:pPr>
        <w:pStyle w:val="164"/>
        <w:numPr>
          <w:ilvl w:val="0"/>
          <w:numId w:val="10"/>
        </w:numPr>
        <w:spacing w:line="330" w:lineRule="exact"/>
        <w:ind w:left="0" w:firstLine="420"/>
        <w:rPr>
          <w:rFonts w:eastAsiaTheme="minorEastAsia"/>
        </w:rPr>
      </w:pPr>
      <w:r>
        <w:rPr>
          <w:rFonts w:eastAsiaTheme="minorEastAsia"/>
        </w:rPr>
        <w:t>所有</w:t>
      </w:r>
      <w:r>
        <w:rPr>
          <w:rFonts w:hint="eastAsia" w:eastAsiaTheme="minorEastAsia"/>
        </w:rPr>
        <w:t>软件产品</w:t>
      </w:r>
      <w:r>
        <w:rPr>
          <w:rFonts w:eastAsiaTheme="minorEastAsia"/>
        </w:rPr>
        <w:t>应提供完整的文档（包括程序结构说明、安装调试说明、使用和维护说明书等）。</w:t>
      </w:r>
    </w:p>
    <w:p w14:paraId="50934370">
      <w:pPr>
        <w:pStyle w:val="3"/>
        <w:spacing w:before="240" w:after="120" w:afterLines="50" w:line="330" w:lineRule="exact"/>
        <w:rPr>
          <w:rFonts w:eastAsia="黑体"/>
          <w:b w:val="0"/>
          <w:bCs w:val="0"/>
          <w:sz w:val="21"/>
          <w:szCs w:val="21"/>
          <w:lang w:val="en-US"/>
        </w:rPr>
      </w:pPr>
      <w:bookmarkStart w:id="42" w:name="_Toc182487922"/>
      <w:r>
        <w:rPr>
          <w:rFonts w:eastAsia="黑体"/>
          <w:b w:val="0"/>
          <w:bCs w:val="0"/>
          <w:sz w:val="21"/>
          <w:szCs w:val="21"/>
          <w:lang w:val="en-US"/>
        </w:rPr>
        <w:t>3.3成品保护</w:t>
      </w:r>
      <w:bookmarkEnd w:id="42"/>
    </w:p>
    <w:p w14:paraId="3C8F042B">
      <w:pPr>
        <w:pStyle w:val="164"/>
        <w:numPr>
          <w:ilvl w:val="1"/>
          <w:numId w:val="1"/>
        </w:numPr>
        <w:spacing w:line="330" w:lineRule="exact"/>
        <w:ind w:firstLineChars="0"/>
        <w:rPr>
          <w:rFonts w:eastAsiaTheme="minorEastAsia"/>
          <w:vanish/>
          <w:szCs w:val="21"/>
        </w:rPr>
      </w:pPr>
    </w:p>
    <w:p w14:paraId="559FAF59">
      <w:pPr>
        <w:pStyle w:val="164"/>
        <w:numPr>
          <w:ilvl w:val="2"/>
          <w:numId w:val="1"/>
        </w:numPr>
        <w:spacing w:before="100" w:after="100" w:line="330" w:lineRule="exact"/>
        <w:ind w:left="0" w:firstLine="0" w:firstLineChars="0"/>
        <w:rPr>
          <w:szCs w:val="21"/>
        </w:rPr>
      </w:pPr>
      <w:r>
        <w:rPr>
          <w:szCs w:val="21"/>
        </w:rPr>
        <w:t>设备机房、使用系统房间的门窗均应加锁，未经许可非安装人员不准入内。</w:t>
      </w:r>
    </w:p>
    <w:p w14:paraId="0A831009">
      <w:pPr>
        <w:pStyle w:val="164"/>
        <w:numPr>
          <w:ilvl w:val="2"/>
          <w:numId w:val="1"/>
        </w:numPr>
        <w:spacing w:before="100" w:after="100" w:line="330" w:lineRule="exact"/>
        <w:ind w:left="0" w:firstLine="0" w:firstLineChars="0"/>
        <w:rPr>
          <w:szCs w:val="21"/>
        </w:rPr>
      </w:pPr>
      <w:r>
        <w:rPr>
          <w:szCs w:val="21"/>
        </w:rPr>
        <w:t>室内保持清洁干净、走道畅通、通风良好，室温宜保持在18℃~28℃，相对湿度宜为30%~75%，室内严禁烟火。</w:t>
      </w:r>
    </w:p>
    <w:p w14:paraId="610ACD4F">
      <w:pPr>
        <w:pStyle w:val="164"/>
        <w:numPr>
          <w:ilvl w:val="2"/>
          <w:numId w:val="1"/>
        </w:numPr>
        <w:spacing w:before="100" w:after="100" w:line="330" w:lineRule="exact"/>
        <w:ind w:left="0" w:firstLine="0" w:firstLineChars="0"/>
        <w:rPr>
          <w:szCs w:val="21"/>
        </w:rPr>
      </w:pPr>
      <w:r>
        <w:rPr>
          <w:szCs w:val="21"/>
        </w:rPr>
        <w:t>对现场安装完成的设备，应采取包裹、遮盖、隔离等必要的防护措施，并避免碰撞及损坏。</w:t>
      </w:r>
    </w:p>
    <w:p w14:paraId="767337B2">
      <w:pPr>
        <w:pStyle w:val="164"/>
        <w:numPr>
          <w:ilvl w:val="2"/>
          <w:numId w:val="1"/>
        </w:numPr>
        <w:spacing w:before="100" w:after="100" w:line="330" w:lineRule="exact"/>
        <w:ind w:left="0" w:firstLine="0" w:firstLineChars="0"/>
        <w:rPr>
          <w:szCs w:val="21"/>
        </w:rPr>
      </w:pPr>
      <w:r>
        <w:rPr>
          <w:szCs w:val="21"/>
        </w:rPr>
        <w:t>软件和系统的保护应符合下列规定：</w:t>
      </w:r>
    </w:p>
    <w:p w14:paraId="3D2CAC5D">
      <w:pPr>
        <w:pStyle w:val="164"/>
        <w:numPr>
          <w:ilvl w:val="0"/>
          <w:numId w:val="11"/>
        </w:numPr>
        <w:spacing w:line="330" w:lineRule="exact"/>
        <w:ind w:left="0" w:firstLine="420"/>
        <w:rPr>
          <w:rFonts w:eastAsiaTheme="minorEastAsia"/>
        </w:rPr>
      </w:pPr>
      <w:r>
        <w:rPr>
          <w:rFonts w:eastAsiaTheme="minorEastAsia"/>
        </w:rPr>
        <w:t>更改软件和系统的配置应做好记录。</w:t>
      </w:r>
    </w:p>
    <w:p w14:paraId="75DD39A2">
      <w:pPr>
        <w:pStyle w:val="164"/>
        <w:numPr>
          <w:ilvl w:val="0"/>
          <w:numId w:val="11"/>
        </w:numPr>
        <w:spacing w:line="330" w:lineRule="exact"/>
        <w:ind w:left="0" w:firstLine="420"/>
        <w:rPr>
          <w:rFonts w:eastAsiaTheme="minorEastAsia"/>
        </w:rPr>
      </w:pPr>
      <w:r>
        <w:rPr>
          <w:rFonts w:eastAsiaTheme="minorEastAsia"/>
        </w:rPr>
        <w:t>在调试过程中应每天对软件进行备份，备份内容应包括系统软件、数据库、配置参数、系统镜像。</w:t>
      </w:r>
    </w:p>
    <w:p w14:paraId="42F8F17D">
      <w:pPr>
        <w:pStyle w:val="164"/>
        <w:numPr>
          <w:ilvl w:val="0"/>
          <w:numId w:val="11"/>
        </w:numPr>
        <w:spacing w:line="330" w:lineRule="exact"/>
        <w:ind w:left="0" w:firstLine="420"/>
        <w:rPr>
          <w:rFonts w:eastAsiaTheme="minorEastAsia"/>
        </w:rPr>
      </w:pPr>
      <w:r>
        <w:rPr>
          <w:rFonts w:eastAsiaTheme="minorEastAsia"/>
        </w:rPr>
        <w:t>备份文件应保存在独立的存储设备上。</w:t>
      </w:r>
    </w:p>
    <w:p w14:paraId="63552924">
      <w:pPr>
        <w:pStyle w:val="164"/>
        <w:numPr>
          <w:ilvl w:val="0"/>
          <w:numId w:val="11"/>
        </w:numPr>
        <w:spacing w:line="330" w:lineRule="exact"/>
        <w:ind w:left="0" w:firstLine="420"/>
        <w:rPr>
          <w:rFonts w:eastAsiaTheme="minorEastAsia"/>
        </w:rPr>
      </w:pPr>
      <w:r>
        <w:rPr>
          <w:rFonts w:eastAsiaTheme="minorEastAsia"/>
        </w:rPr>
        <w:t>系统设备宜设置不同权限的登录用户名和密码，并有专人管理，不应泄露。</w:t>
      </w:r>
    </w:p>
    <w:p w14:paraId="55183706">
      <w:pPr>
        <w:pStyle w:val="164"/>
        <w:numPr>
          <w:ilvl w:val="0"/>
          <w:numId w:val="11"/>
        </w:numPr>
        <w:spacing w:line="330" w:lineRule="exact"/>
        <w:ind w:left="0" w:firstLine="420"/>
        <w:rPr>
          <w:rFonts w:eastAsiaTheme="minorEastAsia"/>
        </w:rPr>
      </w:pPr>
      <w:r>
        <w:rPr>
          <w:rFonts w:eastAsiaTheme="minorEastAsia"/>
        </w:rPr>
        <w:t>计算机无人操作时应锁定。</w:t>
      </w:r>
    </w:p>
    <w:p w14:paraId="1D03BF11">
      <w:pPr>
        <w:pStyle w:val="164"/>
        <w:numPr>
          <w:ilvl w:val="2"/>
          <w:numId w:val="1"/>
        </w:numPr>
        <w:spacing w:before="100" w:after="100" w:line="330" w:lineRule="exact"/>
        <w:ind w:left="0" w:firstLine="0" w:firstLineChars="0"/>
        <w:rPr>
          <w:szCs w:val="21"/>
        </w:rPr>
      </w:pPr>
      <w:r>
        <w:rPr>
          <w:szCs w:val="21"/>
        </w:rPr>
        <w:t>安装完毕的设备应防止损坏及污染。地面线槽出线口应加强防水措施。</w:t>
      </w:r>
    </w:p>
    <w:p w14:paraId="33C5B981">
      <w:pPr>
        <w:pStyle w:val="3"/>
        <w:spacing w:before="240" w:after="120" w:afterLines="50" w:line="330" w:lineRule="exact"/>
        <w:rPr>
          <w:rFonts w:eastAsia="黑体"/>
          <w:b w:val="0"/>
          <w:bCs w:val="0"/>
          <w:sz w:val="21"/>
          <w:szCs w:val="21"/>
          <w:lang w:val="en-US"/>
        </w:rPr>
      </w:pPr>
      <w:bookmarkStart w:id="43" w:name="_Toc182487923"/>
      <w:r>
        <w:rPr>
          <w:rFonts w:eastAsia="黑体"/>
          <w:b w:val="0"/>
          <w:bCs w:val="0"/>
          <w:sz w:val="21"/>
          <w:szCs w:val="21"/>
          <w:lang w:val="en-US"/>
        </w:rPr>
        <w:t>3.4施工注意事项</w:t>
      </w:r>
      <w:bookmarkEnd w:id="43"/>
    </w:p>
    <w:p w14:paraId="436A6AE5">
      <w:pPr>
        <w:pStyle w:val="164"/>
        <w:numPr>
          <w:ilvl w:val="255"/>
          <w:numId w:val="0"/>
        </w:numPr>
        <w:spacing w:before="100" w:after="100" w:line="330" w:lineRule="exact"/>
        <w:rPr>
          <w:szCs w:val="21"/>
        </w:rPr>
      </w:pPr>
      <w:r>
        <w:rPr>
          <w:rFonts w:eastAsia="黑体"/>
          <w:szCs w:val="21"/>
        </w:rPr>
        <w:t xml:space="preserve">3.4.1  </w:t>
      </w:r>
      <w:r>
        <w:rPr>
          <w:szCs w:val="21"/>
        </w:rPr>
        <w:t>在施工现场存放的设备，应采取防尘、防潮、防砸、防压及防盗等措施。</w:t>
      </w:r>
    </w:p>
    <w:p w14:paraId="6493B5A5">
      <w:pPr>
        <w:pStyle w:val="164"/>
        <w:numPr>
          <w:ilvl w:val="255"/>
          <w:numId w:val="0"/>
        </w:numPr>
        <w:spacing w:before="100" w:after="100" w:line="330" w:lineRule="exact"/>
        <w:rPr>
          <w:szCs w:val="21"/>
        </w:rPr>
      </w:pPr>
      <w:r>
        <w:rPr>
          <w:rFonts w:eastAsia="黑体"/>
          <w:szCs w:val="21"/>
        </w:rPr>
        <w:t xml:space="preserve">3.4.2  </w:t>
      </w:r>
      <w:r>
        <w:rPr>
          <w:szCs w:val="21"/>
        </w:rPr>
        <w:t>施工过程中，遇有雷电、阴雨、潮湿天气或者长时间停用设备时，应关闭设备电源总闸。</w:t>
      </w:r>
    </w:p>
    <w:p w14:paraId="11AC6EB5">
      <w:pPr>
        <w:pStyle w:val="164"/>
        <w:numPr>
          <w:ilvl w:val="255"/>
          <w:numId w:val="0"/>
        </w:numPr>
        <w:spacing w:before="100" w:after="100" w:line="330" w:lineRule="exact"/>
        <w:rPr>
          <w:szCs w:val="21"/>
        </w:rPr>
      </w:pPr>
      <w:r>
        <w:rPr>
          <w:rFonts w:eastAsia="黑体"/>
          <w:szCs w:val="21"/>
        </w:rPr>
        <w:t xml:space="preserve">3.4.3  </w:t>
      </w:r>
      <w:r>
        <w:rPr>
          <w:szCs w:val="21"/>
        </w:rPr>
        <w:t>系统设备安装，不得损坏建筑物，并保持墙面清洁。</w:t>
      </w:r>
    </w:p>
    <w:p w14:paraId="1F1FE195">
      <w:pPr>
        <w:pStyle w:val="164"/>
        <w:numPr>
          <w:ilvl w:val="255"/>
          <w:numId w:val="0"/>
        </w:numPr>
        <w:spacing w:before="100" w:after="100" w:line="330" w:lineRule="exact"/>
        <w:rPr>
          <w:szCs w:val="21"/>
        </w:rPr>
      </w:pPr>
      <w:r>
        <w:rPr>
          <w:rFonts w:eastAsia="黑体"/>
          <w:szCs w:val="21"/>
        </w:rPr>
        <w:t>3.4.4</w:t>
      </w:r>
      <w:r>
        <w:rPr>
          <w:szCs w:val="21"/>
        </w:rPr>
        <w:t xml:space="preserve">  安装吊顶内线缆、线槽，不得损坏龙骨和吊顶。</w:t>
      </w:r>
    </w:p>
    <w:p w14:paraId="251DE414">
      <w:pPr>
        <w:pStyle w:val="164"/>
        <w:numPr>
          <w:ilvl w:val="255"/>
          <w:numId w:val="0"/>
        </w:numPr>
        <w:spacing w:before="100" w:after="100" w:line="330" w:lineRule="exact"/>
        <w:rPr>
          <w:szCs w:val="21"/>
        </w:rPr>
      </w:pPr>
      <w:r>
        <w:rPr>
          <w:rFonts w:eastAsia="黑体"/>
          <w:szCs w:val="21"/>
        </w:rPr>
        <w:t xml:space="preserve">3.4.5  </w:t>
      </w:r>
      <w:r>
        <w:rPr>
          <w:szCs w:val="21"/>
        </w:rPr>
        <w:t>若在地下</w:t>
      </w:r>
      <w:r>
        <w:rPr>
          <w:rFonts w:hint="eastAsia"/>
          <w:szCs w:val="21"/>
        </w:rPr>
        <w:t>施工</w:t>
      </w:r>
      <w:r>
        <w:rPr>
          <w:szCs w:val="21"/>
        </w:rPr>
        <w:t>，应进行防水防涝分析，并采取相应防护措施。</w:t>
      </w:r>
    </w:p>
    <w:p w14:paraId="168513A8">
      <w:pPr>
        <w:pStyle w:val="164"/>
        <w:numPr>
          <w:ilvl w:val="255"/>
          <w:numId w:val="0"/>
        </w:numPr>
        <w:spacing w:before="100" w:after="100" w:line="330" w:lineRule="exact"/>
        <w:rPr>
          <w:szCs w:val="21"/>
        </w:rPr>
      </w:pPr>
      <w:r>
        <w:rPr>
          <w:rFonts w:eastAsia="黑体"/>
          <w:szCs w:val="21"/>
        </w:rPr>
        <w:t xml:space="preserve">3.4.7  </w:t>
      </w:r>
      <w:r>
        <w:rPr>
          <w:szCs w:val="21"/>
        </w:rPr>
        <w:t>夏季施工时，如机房的环境温度不在设备允许的运行温度范围内，应暂停施工安装。</w:t>
      </w:r>
    </w:p>
    <w:p w14:paraId="0A4FBFCB">
      <w:pPr>
        <w:pStyle w:val="164"/>
        <w:numPr>
          <w:ilvl w:val="255"/>
          <w:numId w:val="0"/>
        </w:numPr>
        <w:spacing w:before="100" w:after="100" w:line="330" w:lineRule="exact"/>
        <w:rPr>
          <w:szCs w:val="21"/>
        </w:rPr>
      </w:pPr>
      <w:r>
        <w:rPr>
          <w:rFonts w:eastAsia="黑体"/>
          <w:szCs w:val="21"/>
        </w:rPr>
        <w:t>3.4.8</w:t>
      </w:r>
      <w:r>
        <w:rPr>
          <w:szCs w:val="21"/>
        </w:rPr>
        <w:t xml:space="preserve">  在建筑主体的防雷接地系统、弱电联合接地或单独接地系统尚未做好并投入运行的情况下， 遇到雷电天气，禁止施工安装，并将信息网络设备拆下并收回到现行国家标准《建筑物电子信息系统防雷技术规范》</w:t>
      </w:r>
      <w:r>
        <w:rPr>
          <w:szCs w:val="22"/>
        </w:rPr>
        <w:t>GB 50343</w:t>
      </w:r>
      <w:r>
        <w:rPr>
          <w:szCs w:val="21"/>
        </w:rPr>
        <w:t>规定的防护区内。</w:t>
      </w:r>
    </w:p>
    <w:p w14:paraId="307D8538">
      <w:pPr>
        <w:pStyle w:val="164"/>
        <w:widowControl/>
        <w:spacing w:before="100" w:after="100" w:line="330" w:lineRule="exact"/>
        <w:ind w:firstLine="0" w:firstLineChars="0"/>
        <w:jc w:val="left"/>
        <w:rPr>
          <w:szCs w:val="21"/>
        </w:rPr>
      </w:pPr>
      <w:r>
        <w:rPr>
          <w:lang w:val="zh-CN"/>
        </w:rPr>
        <w:br w:type="page"/>
      </w:r>
    </w:p>
    <w:p w14:paraId="5A6C9134">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44" w:name="_Toc182487924"/>
      <w:r>
        <w:rPr>
          <w:rFonts w:ascii="Times New Roman" w:hAnsi="Times New Roman" w:eastAsia="黑体"/>
          <w:bCs/>
          <w:sz w:val="28"/>
          <w:szCs w:val="28"/>
        </w:rPr>
        <w:t>4 智能化集成系统</w:t>
      </w:r>
      <w:bookmarkEnd w:id="44"/>
    </w:p>
    <w:p w14:paraId="120B6C42">
      <w:pPr>
        <w:pStyle w:val="3"/>
        <w:spacing w:before="240" w:after="120" w:afterLines="50" w:line="330" w:lineRule="exact"/>
        <w:rPr>
          <w:rFonts w:eastAsia="黑体"/>
          <w:b w:val="0"/>
          <w:bCs w:val="0"/>
          <w:sz w:val="21"/>
          <w:szCs w:val="21"/>
        </w:rPr>
      </w:pPr>
      <w:bookmarkStart w:id="45" w:name="_Toc182487925"/>
      <w:r>
        <w:rPr>
          <w:rFonts w:eastAsia="黑体"/>
          <w:b w:val="0"/>
          <w:bCs w:val="0"/>
          <w:sz w:val="21"/>
          <w:szCs w:val="21"/>
          <w:lang w:val="en-US"/>
        </w:rPr>
        <w:t xml:space="preserve">4.1 </w:t>
      </w:r>
      <w:r>
        <w:rPr>
          <w:rFonts w:eastAsia="黑体"/>
          <w:b w:val="0"/>
          <w:bCs w:val="0"/>
          <w:sz w:val="21"/>
          <w:szCs w:val="21"/>
        </w:rPr>
        <w:t>一般规定</w:t>
      </w:r>
      <w:bookmarkEnd w:id="45"/>
    </w:p>
    <w:p w14:paraId="5B44D6D3">
      <w:pPr>
        <w:pStyle w:val="164"/>
        <w:numPr>
          <w:ilvl w:val="0"/>
          <w:numId w:val="1"/>
        </w:numPr>
        <w:spacing w:line="330" w:lineRule="exact"/>
        <w:ind w:firstLineChars="0"/>
        <w:rPr>
          <w:rFonts w:eastAsiaTheme="minorEastAsia"/>
          <w:vanish/>
          <w:szCs w:val="21"/>
        </w:rPr>
      </w:pPr>
    </w:p>
    <w:p w14:paraId="7AF234FD">
      <w:pPr>
        <w:pStyle w:val="164"/>
        <w:numPr>
          <w:ilvl w:val="1"/>
          <w:numId w:val="1"/>
        </w:numPr>
        <w:spacing w:line="330" w:lineRule="exact"/>
        <w:ind w:firstLineChars="0"/>
        <w:rPr>
          <w:rFonts w:eastAsiaTheme="minorEastAsia"/>
          <w:vanish/>
          <w:szCs w:val="21"/>
        </w:rPr>
      </w:pPr>
    </w:p>
    <w:p w14:paraId="38E7D408">
      <w:pPr>
        <w:pStyle w:val="164"/>
        <w:numPr>
          <w:ilvl w:val="1"/>
          <w:numId w:val="1"/>
        </w:numPr>
        <w:spacing w:line="330" w:lineRule="exact"/>
        <w:ind w:firstLineChars="0"/>
        <w:rPr>
          <w:rFonts w:eastAsiaTheme="minorEastAsia"/>
          <w:vanish/>
          <w:szCs w:val="21"/>
        </w:rPr>
      </w:pPr>
    </w:p>
    <w:p w14:paraId="30BE1624">
      <w:pPr>
        <w:pStyle w:val="164"/>
        <w:numPr>
          <w:ilvl w:val="255"/>
          <w:numId w:val="0"/>
        </w:numPr>
        <w:spacing w:before="100" w:after="100"/>
        <w:ind w:firstLine="420" w:firstLineChars="200"/>
        <w:rPr>
          <w:szCs w:val="21"/>
        </w:rPr>
      </w:pPr>
      <w:r>
        <w:rPr>
          <w:szCs w:val="21"/>
        </w:rPr>
        <w:t>4.1.1 本章适用于智能建筑工程中的智能化系统集成的工程实施及质量控制、系统检测。</w:t>
      </w:r>
    </w:p>
    <w:p w14:paraId="076437C0">
      <w:pPr>
        <w:pStyle w:val="164"/>
        <w:numPr>
          <w:ilvl w:val="255"/>
          <w:numId w:val="0"/>
        </w:numPr>
        <w:spacing w:before="100" w:after="100" w:line="330" w:lineRule="exact"/>
        <w:ind w:firstLine="420" w:firstLineChars="200"/>
        <w:rPr>
          <w:szCs w:val="21"/>
        </w:rPr>
      </w:pPr>
      <w:r>
        <w:rPr>
          <w:szCs w:val="21"/>
        </w:rPr>
        <w:t xml:space="preserve">4.1.2 </w:t>
      </w:r>
      <w:r>
        <w:rPr>
          <w:rFonts w:hint="eastAsia"/>
          <w:szCs w:val="21"/>
        </w:rPr>
        <w:t>智能化</w:t>
      </w:r>
      <w:r>
        <w:rPr>
          <w:szCs w:val="21"/>
        </w:rPr>
        <w:t>系统集成的</w:t>
      </w:r>
      <w:r>
        <w:rPr>
          <w:rFonts w:hint="eastAsia"/>
          <w:szCs w:val="21"/>
        </w:rPr>
        <w:t>检验</w:t>
      </w:r>
      <w:r>
        <w:rPr>
          <w:szCs w:val="21"/>
        </w:rPr>
        <w:t>应包括各子系统之间的协调控制能力、信息共享综合管理能力、运行管理与系统维护的可实施性、使用的安全性和方便性等。</w:t>
      </w:r>
    </w:p>
    <w:p w14:paraId="330FF04B">
      <w:pPr>
        <w:pStyle w:val="164"/>
        <w:spacing w:before="100" w:after="100" w:line="330" w:lineRule="exact"/>
        <w:ind w:left="210" w:firstLine="210" w:firstLineChars="0"/>
        <w:rPr>
          <w:szCs w:val="21"/>
        </w:rPr>
      </w:pPr>
      <w:r>
        <w:rPr>
          <w:szCs w:val="21"/>
        </w:rPr>
        <w:t xml:space="preserve">4.1.3 </w:t>
      </w:r>
      <w:r>
        <w:rPr>
          <w:rFonts w:hint="eastAsia"/>
          <w:szCs w:val="21"/>
        </w:rPr>
        <w:t>智能化</w:t>
      </w:r>
      <w:r>
        <w:rPr>
          <w:rFonts w:eastAsiaTheme="minorEastAsia"/>
        </w:rPr>
        <w:t>集成系统所在的计算机机房应作必要的防静电、防雷击（含反击雷）、防火的防护措施，对于有高等级要求的网络、计算机设备，还应保证温湿度、空气洁净度</w:t>
      </w:r>
      <w:r>
        <w:rPr>
          <w:rFonts w:hint="eastAsia" w:eastAsiaTheme="minorEastAsia"/>
        </w:rPr>
        <w:t>满足设计</w:t>
      </w:r>
      <w:r>
        <w:rPr>
          <w:rFonts w:eastAsiaTheme="minorEastAsia"/>
        </w:rPr>
        <w:t>要求</w:t>
      </w:r>
      <w:r>
        <w:rPr>
          <w:rFonts w:hint="eastAsia"/>
          <w:szCs w:val="21"/>
        </w:rPr>
        <w:t>。</w:t>
      </w:r>
    </w:p>
    <w:p w14:paraId="2ABB7DF8">
      <w:pPr>
        <w:pStyle w:val="3"/>
        <w:spacing w:before="240" w:after="120" w:afterLines="50" w:line="330" w:lineRule="exact"/>
        <w:rPr>
          <w:rFonts w:eastAsia="黑体"/>
          <w:b w:val="0"/>
          <w:bCs w:val="0"/>
          <w:sz w:val="21"/>
          <w:szCs w:val="21"/>
          <w:lang w:val="en-US"/>
        </w:rPr>
      </w:pPr>
      <w:bookmarkStart w:id="46" w:name="_Toc182487926"/>
      <w:r>
        <w:rPr>
          <w:rFonts w:eastAsia="黑体"/>
          <w:b w:val="0"/>
          <w:bCs w:val="0"/>
          <w:sz w:val="21"/>
          <w:szCs w:val="21"/>
          <w:lang w:val="en-US"/>
        </w:rPr>
        <w:t>4.2 施工准备</w:t>
      </w:r>
      <w:bookmarkEnd w:id="46"/>
    </w:p>
    <w:p w14:paraId="75DC55ED">
      <w:pPr>
        <w:pStyle w:val="164"/>
        <w:numPr>
          <w:ilvl w:val="1"/>
          <w:numId w:val="1"/>
        </w:numPr>
        <w:spacing w:line="330" w:lineRule="exact"/>
        <w:ind w:firstLineChars="0"/>
        <w:rPr>
          <w:rFonts w:eastAsiaTheme="minorEastAsia"/>
          <w:vanish/>
          <w:szCs w:val="21"/>
        </w:rPr>
      </w:pPr>
    </w:p>
    <w:p w14:paraId="20D96634">
      <w:pPr>
        <w:pStyle w:val="164"/>
        <w:spacing w:before="100" w:after="100" w:line="330" w:lineRule="exact"/>
        <w:ind w:firstLine="0" w:firstLineChars="0"/>
        <w:rPr>
          <w:b/>
          <w:lang w:val="zh-CN"/>
        </w:rPr>
      </w:pPr>
      <w:r>
        <w:rPr>
          <w:szCs w:val="21"/>
        </w:rPr>
        <w:t>4.2.1 主要材料有</w:t>
      </w:r>
      <w:r>
        <w:rPr>
          <w:lang w:val="zh-CN"/>
        </w:rPr>
        <w:t>服务器、工作站、网关、防火墙、缆线、系统软件、应用软件、开发工具、通信接口转换器等。</w:t>
      </w:r>
    </w:p>
    <w:p w14:paraId="4F328B2B">
      <w:pPr>
        <w:pStyle w:val="164"/>
        <w:spacing w:before="100" w:after="100" w:line="330" w:lineRule="exact"/>
        <w:ind w:firstLine="0" w:firstLineChars="0"/>
        <w:rPr>
          <w:b/>
          <w:lang w:val="zh-CN"/>
        </w:rPr>
      </w:pPr>
      <w:r>
        <w:rPr>
          <w:szCs w:val="21"/>
        </w:rPr>
        <w:t>4.2.2 主要</w:t>
      </w:r>
      <w:r>
        <w:rPr>
          <w:rFonts w:hint="eastAsia"/>
          <w:szCs w:val="21"/>
        </w:rPr>
        <w:t>机</w:t>
      </w:r>
      <w:r>
        <w:rPr>
          <w:szCs w:val="21"/>
        </w:rPr>
        <w:t>具有</w:t>
      </w:r>
      <w:r>
        <w:rPr>
          <w:lang w:val="zh-CN"/>
        </w:rPr>
        <w:t>计算机、电工工具、对讲机、网络专用工具、测试软件及仪器等。</w:t>
      </w:r>
    </w:p>
    <w:p w14:paraId="6111C5E3">
      <w:pPr>
        <w:pStyle w:val="164"/>
        <w:spacing w:before="100" w:after="100" w:line="330" w:lineRule="exact"/>
        <w:ind w:firstLine="0" w:firstLineChars="0"/>
        <w:rPr>
          <w:szCs w:val="21"/>
        </w:rPr>
      </w:pPr>
      <w:r>
        <w:rPr>
          <w:szCs w:val="21"/>
        </w:rPr>
        <w:t>4.2.3 作业条件应符合下列规定：</w:t>
      </w:r>
    </w:p>
    <w:p w14:paraId="01E18A6F">
      <w:pPr>
        <w:pStyle w:val="164"/>
        <w:numPr>
          <w:ilvl w:val="0"/>
          <w:numId w:val="12"/>
        </w:numPr>
        <w:spacing w:line="330" w:lineRule="exact"/>
        <w:ind w:left="0" w:firstLine="420"/>
        <w:rPr>
          <w:rFonts w:eastAsiaTheme="minorEastAsia"/>
          <w:szCs w:val="28"/>
        </w:rPr>
      </w:pPr>
      <w:r>
        <w:rPr>
          <w:rFonts w:eastAsiaTheme="minorEastAsia"/>
          <w:szCs w:val="28"/>
        </w:rPr>
        <w:t>机房建筑情况（含防火安全措施）、机房地线和电源线的布放应满足设计要求。</w:t>
      </w:r>
    </w:p>
    <w:p w14:paraId="44886631">
      <w:pPr>
        <w:pStyle w:val="164"/>
        <w:numPr>
          <w:ilvl w:val="0"/>
          <w:numId w:val="12"/>
        </w:numPr>
        <w:spacing w:line="330" w:lineRule="exact"/>
        <w:ind w:left="0" w:firstLine="420"/>
        <w:rPr>
          <w:rFonts w:eastAsiaTheme="minorEastAsia"/>
        </w:rPr>
      </w:pPr>
      <w:r>
        <w:rPr>
          <w:rFonts w:eastAsiaTheme="minorEastAsia"/>
        </w:rPr>
        <w:t>智能化子系统已安装调试完成、达到工程</w:t>
      </w:r>
      <w:r>
        <w:rPr>
          <w:rFonts w:hint="eastAsia" w:eastAsiaTheme="minorEastAsia"/>
        </w:rPr>
        <w:t>检验</w:t>
      </w:r>
      <w:r>
        <w:rPr>
          <w:rFonts w:eastAsiaTheme="minorEastAsia"/>
        </w:rPr>
        <w:t>条件。</w:t>
      </w:r>
    </w:p>
    <w:p w14:paraId="21A2E426">
      <w:pPr>
        <w:pStyle w:val="164"/>
        <w:numPr>
          <w:ilvl w:val="0"/>
          <w:numId w:val="12"/>
        </w:numPr>
        <w:spacing w:line="330" w:lineRule="exact"/>
        <w:ind w:left="0" w:firstLine="420"/>
        <w:rPr>
          <w:rFonts w:eastAsiaTheme="minorEastAsia"/>
          <w:szCs w:val="21"/>
        </w:rPr>
      </w:pPr>
      <w:r>
        <w:rPr>
          <w:rFonts w:eastAsiaTheme="minorEastAsia"/>
        </w:rPr>
        <w:t>应用软件均应提供完备齐全的</w:t>
      </w:r>
      <w:r>
        <w:rPr>
          <w:rFonts w:eastAsiaTheme="minorEastAsia"/>
          <w:szCs w:val="21"/>
        </w:rPr>
        <w:t>软件资料、程序结构说明、安装调试说明、使用和维护说明。</w:t>
      </w:r>
    </w:p>
    <w:p w14:paraId="3FC5438A">
      <w:pPr>
        <w:pStyle w:val="3"/>
        <w:spacing w:before="240" w:after="120" w:afterLines="50" w:line="330" w:lineRule="exact"/>
        <w:rPr>
          <w:rFonts w:eastAsia="黑体"/>
          <w:b w:val="0"/>
          <w:bCs w:val="0"/>
          <w:sz w:val="21"/>
          <w:szCs w:val="21"/>
          <w:lang w:val="en-US"/>
        </w:rPr>
      </w:pPr>
      <w:bookmarkStart w:id="47" w:name="_Toc182487927"/>
      <w:r>
        <w:rPr>
          <w:rFonts w:eastAsia="黑体"/>
          <w:b w:val="0"/>
          <w:bCs w:val="0"/>
          <w:sz w:val="21"/>
          <w:szCs w:val="21"/>
          <w:lang w:val="en-US"/>
        </w:rPr>
        <w:t>4.3 施工工艺</w:t>
      </w:r>
      <w:bookmarkEnd w:id="47"/>
    </w:p>
    <w:p w14:paraId="0DBCD888">
      <w:pPr>
        <w:pStyle w:val="164"/>
        <w:numPr>
          <w:ilvl w:val="1"/>
          <w:numId w:val="1"/>
        </w:numPr>
        <w:spacing w:line="330" w:lineRule="exact"/>
        <w:ind w:firstLineChars="0"/>
        <w:rPr>
          <w:rFonts w:eastAsiaTheme="minorEastAsia"/>
          <w:vanish/>
          <w:szCs w:val="21"/>
        </w:rPr>
      </w:pPr>
      <w:r>
        <w:rPr>
          <w:rFonts w:eastAsiaTheme="minorEastAsia"/>
        </w:rPr>
        <mc:AlternateContent>
          <mc:Choice Requires="wpc">
            <w:drawing>
              <wp:anchor distT="0" distB="0" distL="114300" distR="114300" simplePos="0" relativeHeight="251672576" behindDoc="1" locked="0" layoutInCell="1" allowOverlap="1">
                <wp:simplePos x="0" y="0"/>
                <wp:positionH relativeFrom="column">
                  <wp:posOffset>194945</wp:posOffset>
                </wp:positionH>
                <wp:positionV relativeFrom="paragraph">
                  <wp:posOffset>354330</wp:posOffset>
                </wp:positionV>
                <wp:extent cx="5524500" cy="673100"/>
                <wp:effectExtent l="3810" t="0" r="15240" b="0"/>
                <wp:wrapSquare wrapText="bothSides"/>
                <wp:docPr id="10" name="画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Text Box 4"/>
                        <wps:cNvSpPr txBox="1">
                          <a:spLocks noChangeArrowheads="1"/>
                        </wps:cNvSpPr>
                        <wps:spPr bwMode="auto">
                          <a:xfrm>
                            <a:off x="635" y="103029"/>
                            <a:ext cx="1342422" cy="435747"/>
                          </a:xfrm>
                          <a:prstGeom prst="rect">
                            <a:avLst/>
                          </a:prstGeom>
                          <a:solidFill>
                            <a:srgbClr val="FFFFFF"/>
                          </a:solidFill>
                          <a:ln w="9525">
                            <a:solidFill>
                              <a:srgbClr val="000000"/>
                            </a:solidFill>
                            <a:miter lim="800000"/>
                          </a:ln>
                        </wps:spPr>
                        <wps:txbx>
                          <w:txbxContent>
                            <w:p w14:paraId="16037785">
                              <w:pPr>
                                <w:ind w:left="105" w:hanging="105"/>
                                <w:rPr>
                                  <w:szCs w:val="21"/>
                                </w:rPr>
                              </w:pPr>
                              <w:r>
                                <w:rPr>
                                  <w:rFonts w:hint="eastAsia"/>
                                  <w:szCs w:val="21"/>
                                </w:rPr>
                                <w:t>选择集成协议、集成核心和系统平台</w:t>
                              </w:r>
                            </w:p>
                          </w:txbxContent>
                        </wps:txbx>
                        <wps:bodyPr rot="0" vert="horz" wrap="square" lIns="91440" tIns="45720" rIns="91440" bIns="45720" anchor="t" anchorCtr="0" upright="1">
                          <a:noAutofit/>
                        </wps:bodyPr>
                      </wps:wsp>
                      <wps:wsp>
                        <wps:cNvPr id="12" name="Line 5"/>
                        <wps:cNvCnPr>
                          <a:cxnSpLocks noChangeShapeType="1"/>
                        </wps:cNvCnPr>
                        <wps:spPr bwMode="auto">
                          <a:xfrm>
                            <a:off x="1343057" y="314767"/>
                            <a:ext cx="228568" cy="0"/>
                          </a:xfrm>
                          <a:prstGeom prst="line">
                            <a:avLst/>
                          </a:prstGeom>
                          <a:noFill/>
                          <a:ln w="9525">
                            <a:solidFill>
                              <a:srgbClr val="000000"/>
                            </a:solidFill>
                            <a:round/>
                            <a:tailEnd type="triangle" w="med" len="med"/>
                          </a:ln>
                        </wps:spPr>
                        <wps:bodyPr/>
                      </wps:wsp>
                      <wps:wsp>
                        <wps:cNvPr id="14" name="Text Box 6"/>
                        <wps:cNvSpPr txBox="1">
                          <a:spLocks noChangeArrowheads="1"/>
                        </wps:cNvSpPr>
                        <wps:spPr bwMode="auto">
                          <a:xfrm>
                            <a:off x="1571624" y="123052"/>
                            <a:ext cx="752507" cy="435747"/>
                          </a:xfrm>
                          <a:prstGeom prst="rect">
                            <a:avLst/>
                          </a:prstGeom>
                          <a:solidFill>
                            <a:srgbClr val="FFFFFF"/>
                          </a:solidFill>
                          <a:ln w="9525">
                            <a:solidFill>
                              <a:srgbClr val="000000"/>
                            </a:solidFill>
                            <a:miter lim="800000"/>
                          </a:ln>
                        </wps:spPr>
                        <wps:txbx>
                          <w:txbxContent>
                            <w:p w14:paraId="7161E82E">
                              <w:pPr>
                                <w:ind w:left="105" w:hanging="105"/>
                                <w:jc w:val="left"/>
                                <w:rPr>
                                  <w:szCs w:val="21"/>
                                </w:rPr>
                              </w:pPr>
                              <w:r>
                                <w:rPr>
                                  <w:rFonts w:hint="eastAsia"/>
                                  <w:szCs w:val="21"/>
                                </w:rPr>
                                <w:t>集成网络系统</w:t>
                              </w:r>
                            </w:p>
                          </w:txbxContent>
                        </wps:txbx>
                        <wps:bodyPr rot="0" vert="horz" wrap="square" lIns="91440" tIns="45720" rIns="91440" bIns="45720" anchor="t" anchorCtr="0" upright="1">
                          <a:noAutofit/>
                        </wps:bodyPr>
                      </wps:wsp>
                      <wps:wsp>
                        <wps:cNvPr id="15" name="Line 7"/>
                        <wps:cNvCnPr>
                          <a:cxnSpLocks noChangeShapeType="1"/>
                        </wps:cNvCnPr>
                        <wps:spPr bwMode="auto">
                          <a:xfrm>
                            <a:off x="2324132" y="314767"/>
                            <a:ext cx="228568" cy="729"/>
                          </a:xfrm>
                          <a:prstGeom prst="line">
                            <a:avLst/>
                          </a:prstGeom>
                          <a:noFill/>
                          <a:ln w="9525">
                            <a:solidFill>
                              <a:srgbClr val="000000"/>
                            </a:solidFill>
                            <a:round/>
                            <a:tailEnd type="triangle" w="med" len="med"/>
                          </a:ln>
                        </wps:spPr>
                        <wps:bodyPr/>
                      </wps:wsp>
                      <wps:wsp>
                        <wps:cNvPr id="16" name="Text Box 8"/>
                        <wps:cNvSpPr txBox="1">
                          <a:spLocks noChangeArrowheads="1"/>
                        </wps:cNvSpPr>
                        <wps:spPr bwMode="auto">
                          <a:xfrm>
                            <a:off x="2552431" y="122969"/>
                            <a:ext cx="723823" cy="420568"/>
                          </a:xfrm>
                          <a:prstGeom prst="rect">
                            <a:avLst/>
                          </a:prstGeom>
                          <a:solidFill>
                            <a:srgbClr val="FFFFFF"/>
                          </a:solidFill>
                          <a:ln w="9525">
                            <a:solidFill>
                              <a:srgbClr val="000000"/>
                            </a:solidFill>
                            <a:miter lim="800000"/>
                          </a:ln>
                        </wps:spPr>
                        <wps:txbx>
                          <w:txbxContent>
                            <w:p w14:paraId="47D9A7D3">
                              <w:pPr>
                                <w:ind w:left="105" w:hanging="105"/>
                                <w:rPr>
                                  <w:szCs w:val="21"/>
                                </w:rPr>
                              </w:pPr>
                              <w:r>
                                <w:rPr>
                                  <w:rFonts w:hint="eastAsia"/>
                                  <w:szCs w:val="21"/>
                                </w:rPr>
                                <w:t>集成应用软件</w:t>
                              </w:r>
                            </w:p>
                          </w:txbxContent>
                        </wps:txbx>
                        <wps:bodyPr rot="0" vert="horz" wrap="square" lIns="91440" tIns="45720" rIns="91440" bIns="45720" anchor="t" anchorCtr="0" upright="1">
                          <a:noAutofit/>
                        </wps:bodyPr>
                      </wps:wsp>
                      <wps:wsp>
                        <wps:cNvPr id="17" name="Line 9"/>
                        <wps:cNvCnPr>
                          <a:cxnSpLocks noChangeShapeType="1"/>
                        </wps:cNvCnPr>
                        <wps:spPr bwMode="auto">
                          <a:xfrm>
                            <a:off x="3276600" y="298268"/>
                            <a:ext cx="228568" cy="729"/>
                          </a:xfrm>
                          <a:prstGeom prst="line">
                            <a:avLst/>
                          </a:prstGeom>
                          <a:noFill/>
                          <a:ln w="9525">
                            <a:solidFill>
                              <a:srgbClr val="000000"/>
                            </a:solidFill>
                            <a:round/>
                            <a:tailEnd type="triangle" w="med" len="med"/>
                          </a:ln>
                        </wps:spPr>
                        <wps:bodyPr/>
                      </wps:wsp>
                      <wps:wsp>
                        <wps:cNvPr id="20" name="Text Box 10"/>
                        <wps:cNvSpPr txBox="1">
                          <a:spLocks noChangeArrowheads="1"/>
                        </wps:cNvSpPr>
                        <wps:spPr bwMode="auto">
                          <a:xfrm>
                            <a:off x="4504690" y="133350"/>
                            <a:ext cx="963295" cy="435610"/>
                          </a:xfrm>
                          <a:prstGeom prst="rect">
                            <a:avLst/>
                          </a:prstGeom>
                          <a:solidFill>
                            <a:srgbClr val="FFFFFF"/>
                          </a:solidFill>
                          <a:ln w="9525">
                            <a:solidFill>
                              <a:srgbClr val="000000"/>
                            </a:solidFill>
                            <a:miter lim="800000"/>
                          </a:ln>
                        </wps:spPr>
                        <wps:txbx>
                          <w:txbxContent>
                            <w:p w14:paraId="49996FAD">
                              <w:pPr>
                                <w:ind w:left="105" w:hanging="105"/>
                                <w:rPr>
                                  <w:szCs w:val="21"/>
                                </w:rPr>
                              </w:pPr>
                              <w:r>
                                <w:rPr>
                                  <w:rFonts w:hint="eastAsia"/>
                                  <w:szCs w:val="21"/>
                                </w:rPr>
                                <w:t>集成系统测试及试运行</w:t>
                              </w:r>
                            </w:p>
                          </w:txbxContent>
                        </wps:txbx>
                        <wps:bodyPr rot="0" vert="horz" wrap="square" lIns="91440" tIns="45720" rIns="91440" bIns="45720" anchor="t" anchorCtr="0" upright="1">
                          <a:noAutofit/>
                        </wps:bodyPr>
                      </wps:wsp>
                      <wps:wsp>
                        <wps:cNvPr id="21" name="Line 11"/>
                        <wps:cNvCnPr>
                          <a:cxnSpLocks noChangeShapeType="1"/>
                        </wps:cNvCnPr>
                        <wps:spPr bwMode="auto">
                          <a:xfrm>
                            <a:off x="4276739" y="298996"/>
                            <a:ext cx="228568" cy="729"/>
                          </a:xfrm>
                          <a:prstGeom prst="line">
                            <a:avLst/>
                          </a:prstGeom>
                          <a:noFill/>
                          <a:ln w="9525">
                            <a:solidFill>
                              <a:srgbClr val="000000"/>
                            </a:solidFill>
                            <a:round/>
                            <a:tailEnd type="triangle" w="med" len="med"/>
                          </a:ln>
                        </wps:spPr>
                        <wps:bodyPr/>
                      </wps:wsp>
                      <wps:wsp>
                        <wps:cNvPr id="28" name="Text Box 14"/>
                        <wps:cNvSpPr txBox="1">
                          <a:spLocks noChangeArrowheads="1"/>
                        </wps:cNvSpPr>
                        <wps:spPr bwMode="auto">
                          <a:xfrm>
                            <a:off x="3580765" y="123190"/>
                            <a:ext cx="730885" cy="450850"/>
                          </a:xfrm>
                          <a:prstGeom prst="rect">
                            <a:avLst/>
                          </a:prstGeom>
                          <a:solidFill>
                            <a:srgbClr val="FFFFFF"/>
                          </a:solidFill>
                          <a:ln w="9525">
                            <a:solidFill>
                              <a:srgbClr val="000000"/>
                            </a:solidFill>
                            <a:miter lim="800000"/>
                          </a:ln>
                        </wps:spPr>
                        <wps:txbx>
                          <w:txbxContent>
                            <w:p w14:paraId="0C0F1FF3">
                              <w:pPr>
                                <w:ind w:left="105" w:hanging="105"/>
                                <w:rPr>
                                  <w:szCs w:val="21"/>
                                </w:rPr>
                              </w:pPr>
                              <w:r>
                                <w:rPr>
                                  <w:rFonts w:hint="eastAsia"/>
                                  <w:szCs w:val="21"/>
                                </w:rPr>
                                <w:t>实现系统安全</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5.35pt;margin-top:27.9pt;height:53pt;width:435pt;mso-wrap-distance-bottom:0pt;mso-wrap-distance-left:9pt;mso-wrap-distance-right:9pt;mso-wrap-distance-top:0pt;z-index:-251643904;mso-width-relative:page;mso-height-relative:page;" coordsize="5524500,673100" editas="canvas" o:gfxdata="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ISs&#10;Zt7ZAAAACQEAAA8AAAAAAAAAAQAgAAAAIgAAAGRycy9kb3ducmV2LnhtbFBLAQIUABQAAAAIAIdO&#10;4kCk4C3oXAQAAHwYAAAOAAAAAAAAAAEAIAAAACgBAABkcnMvZTJvRG9jLnhtbFBLBQYAAAAABgAG&#10;AFkBAAD2BwAAAAA=&#10;">
                <o:lock v:ext="edit" aspectratio="f"/>
                <v:shape id="_x0000_s1026" o:spid="_x0000_s1026" style="position:absolute;left:0;top:0;height:673100;width:5524500;" filled="f" stroked="f" coordsize="21600,21600" o:gfxdata="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ISsZt7ZAAAACQEAAA8AAAAAAAAA&#10;AQAgAAAAIgAAAGRycy9kb3ducmV2LnhtbFBLAQIUABQAAAAIAIdO4kCyLvRmEQQAANYXAAAOAAAA&#10;AAAAAAEAIAAAACgBAABkcnMvZTJvRG9jLnhtbFBLBQYAAAAABgAGAFkBAACrBwAAAAA=&#10;">
                  <v:fill on="f" focussize="0,0"/>
                  <v:stroke on="f"/>
                  <v:imagedata o:title=""/>
                  <o:lock v:ext="edit" aspectratio="t"/>
                </v:shape>
                <v:shape id="Text Box 4" o:spid="_x0000_s1026" o:spt="202" type="#_x0000_t202" style="position:absolute;left:635;top:103029;height:435747;width:1342422;" fillcolor="#FFFFFF" filled="t" stroked="t" coordsize="21600,21600" o:gfxdata="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4mucXXAAAACQEAAA8AAAAAAAAAAQAgAAAAIgAAAGRycy9kb3du&#10;cmV2LnhtbFBLAQIUABQAAAAIAIdO4kCoU9k6OQIAAI4EAAAOAAAAAAAAAAEAIAAAACYBAABkcnMv&#10;ZTJvRG9jLnhtbFBLBQYAAAAABgAGAFkBAADRBQAAAAA=&#10;">
                  <v:fill on="t" focussize="0,0"/>
                  <v:stroke color="#000000" miterlimit="8" joinstyle="miter"/>
                  <v:imagedata o:title=""/>
                  <o:lock v:ext="edit" aspectratio="f"/>
                  <v:textbox>
                    <w:txbxContent>
                      <w:p w14:paraId="16037785">
                        <w:pPr>
                          <w:ind w:left="105" w:hanging="105"/>
                          <w:rPr>
                            <w:szCs w:val="21"/>
                          </w:rPr>
                        </w:pPr>
                        <w:r>
                          <w:rPr>
                            <w:rFonts w:hint="eastAsia"/>
                            <w:szCs w:val="21"/>
                          </w:rPr>
                          <w:t>选择集成协议、集成核心和系统平台</w:t>
                        </w:r>
                      </w:p>
                    </w:txbxContent>
                  </v:textbox>
                </v:shape>
                <v:line id="Line 5" o:spid="_x0000_s1026" o:spt="20" style="position:absolute;left:1343057;top:314767;height:0;width:228568;" filled="f" stroked="t" coordsize="21600,21600" o:gfxdata="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U0Pc2QAAAAkBAAAPAAAAAAAAAAEAIAAAACIAAABkcnMvZG93bnJldi54bWxQSwEC&#10;FAAUAAAACACHTuJAizr8D/MBAADYAwAADgAAAAAAAAABACAAAAAoAQAAZHJzL2Uyb0RvYy54bWxQ&#10;SwUGAAAAAAYABgBZAQAAjQUAAAAA&#10;">
                  <v:fill on="f" focussize="0,0"/>
                  <v:stroke color="#000000" joinstyle="round" endarrow="block"/>
                  <v:imagedata o:title=""/>
                  <o:lock v:ext="edit" aspectratio="f"/>
                </v:line>
                <v:shape id="Text Box 6" o:spid="_x0000_s1026" o:spt="202" type="#_x0000_t202" style="position:absolute;left:1571624;top:123052;height:435747;width:752507;" fillcolor="#FFFFFF" filled="t" stroked="t" coordsize="21600,21600" o:gfxdata="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rnF1wAAAAkBAAAPAAAAAAAAAAEAIAAAACIAAABkcnMvZG93&#10;bnJldi54bWxQSwECFAAUAAAACACHTuJAlBbGZDoCAACRBAAADgAAAAAAAAABACAAAAAmAQAAZHJz&#10;L2Uyb0RvYy54bWxQSwUGAAAAAAYABgBZAQAA0gUAAAAA&#10;">
                  <v:fill on="t" focussize="0,0"/>
                  <v:stroke color="#000000" miterlimit="8" joinstyle="miter"/>
                  <v:imagedata o:title=""/>
                  <o:lock v:ext="edit" aspectratio="f"/>
                  <v:textbox>
                    <w:txbxContent>
                      <w:p w14:paraId="7161E82E">
                        <w:pPr>
                          <w:ind w:left="105" w:hanging="105"/>
                          <w:jc w:val="left"/>
                          <w:rPr>
                            <w:szCs w:val="21"/>
                          </w:rPr>
                        </w:pPr>
                        <w:r>
                          <w:rPr>
                            <w:rFonts w:hint="eastAsia"/>
                            <w:szCs w:val="21"/>
                          </w:rPr>
                          <w:t>集成网络系统</w:t>
                        </w:r>
                      </w:p>
                    </w:txbxContent>
                  </v:textbox>
                </v:shape>
                <v:line id="Line 7" o:spid="_x0000_s1026" o:spt="20" style="position:absolute;left:2324132;top:314767;height:729;width:228568;" filled="f" stroked="t" coordsize="21600,21600" o:gfxdata="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U0Pc2QAAAAkBAAAPAAAAAAAAAAEAIAAAACIAAABkcnMvZG93bnJldi54bWxQSwEC&#10;FAAUAAAACACHTuJAwdgZM/MBAADaAwAADgAAAAAAAAABACAAAAAoAQAAZHJzL2Uyb0RvYy54bWxQ&#10;SwUGAAAAAAYABgBZAQAAjQUAAAAA&#10;">
                  <v:fill on="f" focussize="0,0"/>
                  <v:stroke color="#000000" joinstyle="round" endarrow="block"/>
                  <v:imagedata o:title=""/>
                  <o:lock v:ext="edit" aspectratio="f"/>
                </v:line>
                <v:shape id="Text Box 8" o:spid="_x0000_s1026" o:spt="202" type="#_x0000_t202" style="position:absolute;left:2552431;top:122969;height:420568;width:723823;" fillcolor="#FFFFFF" filled="t" stroked="t" coordsize="21600,21600" o:gfxdata="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4mucXXAAAACQEAAA8AAAAAAAAAAQAgAAAAIgAAAGRycy9k&#10;b3ducmV2LnhtbFBLAQIUABQAAAAIAIdO4kAH1PtGPAIAAJEEAAAOAAAAAAAAAAEAIAAAACYBAABk&#10;cnMvZTJvRG9jLnhtbFBLBQYAAAAABgAGAFkBAADUBQAAAAA=&#10;">
                  <v:fill on="t" focussize="0,0"/>
                  <v:stroke color="#000000" miterlimit="8" joinstyle="miter"/>
                  <v:imagedata o:title=""/>
                  <o:lock v:ext="edit" aspectratio="f"/>
                  <v:textbox>
                    <w:txbxContent>
                      <w:p w14:paraId="47D9A7D3">
                        <w:pPr>
                          <w:ind w:left="105" w:hanging="105"/>
                          <w:rPr>
                            <w:szCs w:val="21"/>
                          </w:rPr>
                        </w:pPr>
                        <w:r>
                          <w:rPr>
                            <w:rFonts w:hint="eastAsia"/>
                            <w:szCs w:val="21"/>
                          </w:rPr>
                          <w:t>集成应用软件</w:t>
                        </w:r>
                      </w:p>
                    </w:txbxContent>
                  </v:textbox>
                </v:shape>
                <v:line id="Line 9" o:spid="_x0000_s1026" o:spt="20" style="position:absolute;left:3276600;top:298268;height:729;width:228568;" filled="f" stroked="t" coordsize="21600,21600" o:gfxdata="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U0Pc2QAAAAkBAAAPAAAAAAAAAAEAIAAAACIAAABkcnMvZG93bnJldi54bWxQSwEC&#10;FAAUAAAACACHTuJA1lMhzvMBAADaAwAADgAAAAAAAAABACAAAAAoAQAAZHJzL2Uyb0RvYy54bWxQ&#10;SwUGAAAAAAYABgBZAQAAjQUAAAAA&#10;">
                  <v:fill on="f" focussize="0,0"/>
                  <v:stroke color="#000000" joinstyle="round" endarrow="block"/>
                  <v:imagedata o:title=""/>
                  <o:lock v:ext="edit" aspectratio="f"/>
                </v:line>
                <v:shape id="Text Box 10" o:spid="_x0000_s1026" o:spt="202" type="#_x0000_t202" style="position:absolute;left:4504690;top:133350;height:435610;width:963295;" fillcolor="#FFFFFF" filled="t" stroked="t" coordsize="21600,21600" o:gfxdata="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rnF1wAAAAkBAAAPAAAAAAAAAAEAIAAAACIAAABkcnMvZG93&#10;bnJldi54bWxQSwECFAAUAAAACACHTuJA7ISj2joCAACSBAAADgAAAAAAAAABACAAAAAmAQAAZHJz&#10;L2Uyb0RvYy54bWxQSwUGAAAAAAYABgBZAQAA0gUAAAAA&#10;">
                  <v:fill on="t" focussize="0,0"/>
                  <v:stroke color="#000000" miterlimit="8" joinstyle="miter"/>
                  <v:imagedata o:title=""/>
                  <o:lock v:ext="edit" aspectratio="f"/>
                  <v:textbox>
                    <w:txbxContent>
                      <w:p w14:paraId="49996FAD">
                        <w:pPr>
                          <w:ind w:left="105" w:hanging="105"/>
                          <w:rPr>
                            <w:szCs w:val="21"/>
                          </w:rPr>
                        </w:pPr>
                        <w:r>
                          <w:rPr>
                            <w:rFonts w:hint="eastAsia"/>
                            <w:szCs w:val="21"/>
                          </w:rPr>
                          <w:t>集成系统测试及试运行</w:t>
                        </w:r>
                      </w:p>
                    </w:txbxContent>
                  </v:textbox>
                </v:shape>
                <v:line id="Line 11" o:spid="_x0000_s1026" o:spt="20" style="position:absolute;left:4276739;top:298996;height:729;width:228568;" filled="f" stroked="t" coordsize="21600,21600" o:gfxdata="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TQ9zZAAAACQEAAA8AAAAAAAAAAQAgAAAAIgAAAGRycy9kb3ducmV2LnhtbFBLAQIU&#10;ABQAAAAIAIdO4kCYgOLo8gEAANsDAAAOAAAAAAAAAAEAIAAAACgBAABkcnMvZTJvRG9jLnhtbFBL&#10;BQYAAAAABgAGAFkBAACMBQAAAAA=&#10;">
                  <v:fill on="f" focussize="0,0"/>
                  <v:stroke color="#000000" joinstyle="round" endarrow="block"/>
                  <v:imagedata o:title=""/>
                  <o:lock v:ext="edit" aspectratio="f"/>
                </v:line>
                <v:shape id="Text Box 14" o:spid="_x0000_s1026" o:spt="202" type="#_x0000_t202" style="position:absolute;left:3580765;top:123190;height:450850;width:730885;" fillcolor="#FFFFFF" filled="t" stroked="t" coordsize="21600,21600" o:gfxdata="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a5xdcAAAAJAQAADwAAAAAAAAABACAAAAAiAAAAZHJzL2Rv&#10;d25yZXYueG1sUEsBAhQAFAAAAAgAh07iQEEsk1U7AgAAkgQAAA4AAAAAAAAAAQAgAAAAJgEAAGRy&#10;cy9lMm9Eb2MueG1sUEsFBgAAAAAGAAYAWQEAANMFAAAAAA==&#10;">
                  <v:fill on="t" focussize="0,0"/>
                  <v:stroke color="#000000" miterlimit="8" joinstyle="miter"/>
                  <v:imagedata o:title=""/>
                  <o:lock v:ext="edit" aspectratio="f"/>
                  <v:textbox>
                    <w:txbxContent>
                      <w:p w14:paraId="0C0F1FF3">
                        <w:pPr>
                          <w:ind w:left="105" w:hanging="105"/>
                          <w:rPr>
                            <w:szCs w:val="21"/>
                          </w:rPr>
                        </w:pPr>
                        <w:r>
                          <w:rPr>
                            <w:rFonts w:hint="eastAsia"/>
                            <w:szCs w:val="21"/>
                          </w:rPr>
                          <w:t>实现系统安全</w:t>
                        </w:r>
                      </w:p>
                    </w:txbxContent>
                  </v:textbox>
                </v:shape>
                <w10:wrap type="square"/>
              </v:group>
            </w:pict>
          </mc:Fallback>
        </mc:AlternateContent>
      </w:r>
    </w:p>
    <w:p w14:paraId="20CB9341">
      <w:pPr>
        <w:pStyle w:val="164"/>
        <w:spacing w:before="100" w:after="100" w:line="330" w:lineRule="exact"/>
        <w:ind w:firstLine="0" w:firstLineChars="0"/>
        <w:rPr>
          <w:rFonts w:eastAsiaTheme="minorEastAsia"/>
          <w:szCs w:val="28"/>
        </w:rPr>
      </w:pPr>
      <w:r>
        <w:rPr>
          <w:szCs w:val="21"/>
        </w:rPr>
        <w:t xml:space="preserve">4.3.1 </w:t>
      </w:r>
      <w:r>
        <w:rPr>
          <w:rFonts w:eastAsiaTheme="minorEastAsia"/>
          <w:szCs w:val="21"/>
        </w:rPr>
        <w:t>智能化集成系统施工工艺流程见图4.3.1。</w:t>
      </w:r>
    </w:p>
    <w:p w14:paraId="3CDCE0C8">
      <w:pPr>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图4.3.1 智能化集成系统施工工艺流程图</w:t>
      </w:r>
    </w:p>
    <w:p w14:paraId="00A82D08">
      <w:pPr>
        <w:pStyle w:val="164"/>
        <w:spacing w:before="100" w:after="100" w:line="330" w:lineRule="exact"/>
        <w:ind w:firstLine="0" w:firstLineChars="0"/>
        <w:rPr>
          <w:szCs w:val="21"/>
        </w:rPr>
      </w:pPr>
      <w:r>
        <w:rPr>
          <w:szCs w:val="21"/>
        </w:rPr>
        <w:t>4.3.2 选择集成协议、集成核心和系统平台应符合下列规定：</w:t>
      </w:r>
    </w:p>
    <w:p w14:paraId="4ED42D40">
      <w:pPr>
        <w:pStyle w:val="164"/>
        <w:numPr>
          <w:ilvl w:val="0"/>
          <w:numId w:val="13"/>
        </w:numPr>
        <w:spacing w:line="330" w:lineRule="exact"/>
        <w:ind w:left="0" w:firstLine="420"/>
        <w:rPr>
          <w:rFonts w:eastAsiaTheme="minorEastAsia"/>
        </w:rPr>
      </w:pPr>
      <w:r>
        <w:rPr>
          <w:rFonts w:eastAsiaTheme="minorEastAsia"/>
        </w:rPr>
        <w:t>集成系统与各子系统协议应保持兼容</w:t>
      </w:r>
      <w:r>
        <w:rPr>
          <w:rFonts w:hint="eastAsia" w:eastAsiaTheme="minorEastAsia"/>
        </w:rPr>
        <w:t>，</w:t>
      </w:r>
      <w:r>
        <w:rPr>
          <w:rFonts w:eastAsiaTheme="minorEastAsia"/>
        </w:rPr>
        <w:t>协议不兼容时应编制通信接口</w:t>
      </w:r>
      <w:r>
        <w:rPr>
          <w:rFonts w:hint="eastAsia" w:eastAsiaTheme="minorEastAsia"/>
        </w:rPr>
        <w:t>。</w:t>
      </w:r>
      <w:r>
        <w:rPr>
          <w:rFonts w:eastAsiaTheme="minorEastAsia"/>
        </w:rPr>
        <w:t>系统集成的互联和互操作可采用下列技术手段之一实现：</w:t>
      </w:r>
    </w:p>
    <w:p w14:paraId="3CD8C392">
      <w:pPr>
        <w:pStyle w:val="164"/>
        <w:numPr>
          <w:ilvl w:val="0"/>
          <w:numId w:val="14"/>
        </w:numPr>
        <w:tabs>
          <w:tab w:val="left" w:pos="210"/>
          <w:tab w:val="left" w:pos="567"/>
        </w:tabs>
        <w:spacing w:line="330" w:lineRule="exact"/>
        <w:ind w:firstLine="630" w:firstLineChars="300"/>
        <w:rPr>
          <w:rFonts w:eastAsiaTheme="minorEastAsia"/>
          <w:szCs w:val="21"/>
        </w:rPr>
      </w:pPr>
      <w:r>
        <w:rPr>
          <w:rFonts w:eastAsiaTheme="minorEastAsia"/>
          <w:szCs w:val="21"/>
        </w:rPr>
        <w:t>采用统一的通信协议实现系统集成。</w:t>
      </w:r>
    </w:p>
    <w:p w14:paraId="62D39CBE">
      <w:pPr>
        <w:pStyle w:val="164"/>
        <w:numPr>
          <w:ilvl w:val="0"/>
          <w:numId w:val="14"/>
        </w:numPr>
        <w:tabs>
          <w:tab w:val="left" w:pos="210"/>
          <w:tab w:val="left" w:pos="567"/>
        </w:tabs>
        <w:spacing w:line="330" w:lineRule="exact"/>
        <w:ind w:firstLine="630" w:firstLineChars="300"/>
        <w:rPr>
          <w:rFonts w:eastAsiaTheme="minorEastAsia"/>
          <w:szCs w:val="21"/>
        </w:rPr>
      </w:pPr>
      <w:r>
        <w:rPr>
          <w:rFonts w:eastAsiaTheme="minorEastAsia"/>
          <w:szCs w:val="21"/>
        </w:rPr>
        <w:t>采用协议转换实现系统集成。具有不同协议的网络互联，可以采用协议转换器。</w:t>
      </w:r>
    </w:p>
    <w:p w14:paraId="6B3103A8">
      <w:pPr>
        <w:pStyle w:val="164"/>
        <w:numPr>
          <w:ilvl w:val="0"/>
          <w:numId w:val="14"/>
        </w:numPr>
        <w:tabs>
          <w:tab w:val="left" w:pos="210"/>
          <w:tab w:val="left" w:pos="567"/>
        </w:tabs>
        <w:spacing w:line="330" w:lineRule="exact"/>
        <w:ind w:firstLine="630" w:firstLineChars="300"/>
        <w:rPr>
          <w:rFonts w:eastAsiaTheme="minorEastAsia"/>
          <w:szCs w:val="21"/>
        </w:rPr>
      </w:pPr>
      <w:r>
        <w:rPr>
          <w:rFonts w:eastAsiaTheme="minorEastAsia"/>
          <w:szCs w:val="21"/>
        </w:rPr>
        <w:t>采用OPC技术实现系统集成。</w:t>
      </w:r>
    </w:p>
    <w:p w14:paraId="52662DAE">
      <w:pPr>
        <w:pStyle w:val="164"/>
        <w:numPr>
          <w:ilvl w:val="0"/>
          <w:numId w:val="14"/>
        </w:numPr>
        <w:tabs>
          <w:tab w:val="left" w:pos="210"/>
          <w:tab w:val="left" w:pos="567"/>
        </w:tabs>
        <w:spacing w:line="330" w:lineRule="exact"/>
        <w:ind w:firstLine="630" w:firstLineChars="300"/>
        <w:rPr>
          <w:rFonts w:eastAsiaTheme="minorEastAsia"/>
          <w:szCs w:val="21"/>
        </w:rPr>
      </w:pPr>
      <w:r>
        <w:rPr>
          <w:rFonts w:eastAsiaTheme="minorEastAsia"/>
          <w:szCs w:val="21"/>
        </w:rPr>
        <w:t>采用ODBC技术实现系统集成。</w:t>
      </w:r>
    </w:p>
    <w:p w14:paraId="34F34A8C">
      <w:pPr>
        <w:pStyle w:val="164"/>
        <w:numPr>
          <w:ilvl w:val="0"/>
          <w:numId w:val="13"/>
        </w:numPr>
        <w:spacing w:line="330" w:lineRule="exact"/>
        <w:ind w:left="0" w:firstLine="420"/>
        <w:rPr>
          <w:rFonts w:eastAsiaTheme="minorEastAsia"/>
        </w:rPr>
      </w:pPr>
      <w:r>
        <w:rPr>
          <w:rFonts w:eastAsiaTheme="minorEastAsia"/>
        </w:rPr>
        <w:t>选择集成核心应符合下列</w:t>
      </w:r>
      <w:r>
        <w:rPr>
          <w:rFonts w:hint="eastAsia" w:eastAsiaTheme="minorEastAsia"/>
        </w:rPr>
        <w:t>原则</w:t>
      </w:r>
      <w:r>
        <w:rPr>
          <w:rFonts w:eastAsiaTheme="minorEastAsia"/>
        </w:rPr>
        <w:t>：</w:t>
      </w:r>
    </w:p>
    <w:p w14:paraId="747FAAA2">
      <w:pPr>
        <w:pStyle w:val="164"/>
        <w:numPr>
          <w:ilvl w:val="0"/>
          <w:numId w:val="15"/>
        </w:numPr>
        <w:tabs>
          <w:tab w:val="left" w:pos="210"/>
          <w:tab w:val="left" w:pos="567"/>
        </w:tabs>
        <w:spacing w:line="330" w:lineRule="exact"/>
        <w:ind w:firstLine="630" w:firstLineChars="300"/>
        <w:rPr>
          <w:rFonts w:eastAsiaTheme="minorEastAsia"/>
          <w:szCs w:val="21"/>
        </w:rPr>
      </w:pPr>
      <w:r>
        <w:rPr>
          <w:rFonts w:eastAsiaTheme="minorEastAsia"/>
          <w:szCs w:val="21"/>
        </w:rPr>
        <w:t>选择在整个智能化系统中比重最大系统的软件。</w:t>
      </w:r>
    </w:p>
    <w:p w14:paraId="60C1F785">
      <w:pPr>
        <w:pStyle w:val="164"/>
        <w:numPr>
          <w:ilvl w:val="0"/>
          <w:numId w:val="15"/>
        </w:numPr>
        <w:tabs>
          <w:tab w:val="left" w:pos="210"/>
          <w:tab w:val="left" w:pos="567"/>
        </w:tabs>
        <w:spacing w:line="330" w:lineRule="exact"/>
        <w:ind w:firstLine="630" w:firstLineChars="300"/>
        <w:rPr>
          <w:rFonts w:eastAsiaTheme="minorEastAsia"/>
          <w:szCs w:val="21"/>
        </w:rPr>
      </w:pPr>
      <w:r>
        <w:rPr>
          <w:rFonts w:eastAsiaTheme="minorEastAsia"/>
          <w:szCs w:val="21"/>
        </w:rPr>
        <w:t>选择在各种控制系统中采用最先进技术的软件。</w:t>
      </w:r>
    </w:p>
    <w:p w14:paraId="0C418E19">
      <w:pPr>
        <w:pStyle w:val="164"/>
        <w:numPr>
          <w:ilvl w:val="0"/>
          <w:numId w:val="15"/>
        </w:numPr>
        <w:tabs>
          <w:tab w:val="left" w:pos="210"/>
          <w:tab w:val="left" w:pos="567"/>
        </w:tabs>
        <w:spacing w:line="330" w:lineRule="exact"/>
        <w:ind w:firstLine="630" w:firstLineChars="300"/>
        <w:rPr>
          <w:rFonts w:eastAsiaTheme="minorEastAsia"/>
          <w:szCs w:val="21"/>
        </w:rPr>
      </w:pPr>
      <w:r>
        <w:rPr>
          <w:rFonts w:eastAsiaTheme="minorEastAsia"/>
          <w:szCs w:val="21"/>
        </w:rPr>
        <w:t>选择高层通信技术最开放的软件。</w:t>
      </w:r>
    </w:p>
    <w:p w14:paraId="49F51452">
      <w:pPr>
        <w:pStyle w:val="164"/>
        <w:numPr>
          <w:ilvl w:val="0"/>
          <w:numId w:val="15"/>
        </w:numPr>
        <w:tabs>
          <w:tab w:val="left" w:pos="210"/>
          <w:tab w:val="left" w:pos="567"/>
        </w:tabs>
        <w:spacing w:line="330" w:lineRule="exact"/>
        <w:ind w:firstLine="630" w:firstLineChars="300"/>
        <w:rPr>
          <w:rFonts w:eastAsiaTheme="minorEastAsia"/>
          <w:szCs w:val="21"/>
        </w:rPr>
      </w:pPr>
      <w:r>
        <w:rPr>
          <w:rFonts w:eastAsiaTheme="minorEastAsia"/>
          <w:szCs w:val="21"/>
        </w:rPr>
        <w:t>宜以BAS或</w:t>
      </w:r>
      <w:r>
        <w:rPr>
          <w:rFonts w:hint="eastAsia" w:eastAsiaTheme="minorEastAsia"/>
          <w:szCs w:val="21"/>
        </w:rPr>
        <w:t>OA</w:t>
      </w:r>
      <w:r>
        <w:rPr>
          <w:rFonts w:eastAsiaTheme="minorEastAsia"/>
          <w:szCs w:val="21"/>
        </w:rPr>
        <w:t>系统的软件为集成核心。</w:t>
      </w:r>
    </w:p>
    <w:p w14:paraId="5A197351">
      <w:pPr>
        <w:pStyle w:val="164"/>
        <w:numPr>
          <w:ilvl w:val="0"/>
          <w:numId w:val="13"/>
        </w:numPr>
        <w:spacing w:line="330" w:lineRule="exact"/>
        <w:ind w:left="0" w:firstLine="420"/>
        <w:rPr>
          <w:rFonts w:eastAsiaTheme="minorEastAsia"/>
        </w:rPr>
      </w:pPr>
      <w:r>
        <w:rPr>
          <w:rFonts w:eastAsiaTheme="minorEastAsia"/>
        </w:rPr>
        <w:t>选择系统平台应满足操作、维护的便利性及系统</w:t>
      </w:r>
      <w:r>
        <w:rPr>
          <w:rFonts w:hint="eastAsia" w:eastAsiaTheme="minorEastAsia"/>
        </w:rPr>
        <w:t>安全性</w:t>
      </w:r>
      <w:r>
        <w:rPr>
          <w:rFonts w:eastAsiaTheme="minorEastAsia"/>
        </w:rPr>
        <w:t>要求。</w:t>
      </w:r>
    </w:p>
    <w:p w14:paraId="1D69C8FD">
      <w:pPr>
        <w:pStyle w:val="164"/>
        <w:numPr>
          <w:ilvl w:val="255"/>
          <w:numId w:val="0"/>
        </w:numPr>
        <w:spacing w:before="100" w:after="100" w:line="330" w:lineRule="exact"/>
        <w:rPr>
          <w:rFonts w:eastAsiaTheme="minorEastAsia"/>
        </w:rPr>
      </w:pPr>
      <w:r>
        <w:rPr>
          <w:szCs w:val="21"/>
        </w:rPr>
        <w:t>4.3.3 集成网络系统应符合下列规定：</w:t>
      </w:r>
    </w:p>
    <w:p w14:paraId="7E504E39">
      <w:pPr>
        <w:pStyle w:val="164"/>
        <w:numPr>
          <w:ilvl w:val="0"/>
          <w:numId w:val="16"/>
        </w:numPr>
        <w:spacing w:line="330" w:lineRule="exact"/>
        <w:ind w:left="0" w:firstLine="420"/>
        <w:rPr>
          <w:rFonts w:eastAsiaTheme="minorEastAsia"/>
        </w:rPr>
      </w:pPr>
      <w:r>
        <w:rPr>
          <w:rFonts w:eastAsiaTheme="minorEastAsia"/>
        </w:rPr>
        <w:t>集成网络系统应采用分层网络结构，高层网络</w:t>
      </w:r>
      <w:r>
        <w:rPr>
          <w:rFonts w:hint="eastAsia" w:eastAsiaTheme="minorEastAsia"/>
        </w:rPr>
        <w:t>宜</w:t>
      </w:r>
      <w:r>
        <w:rPr>
          <w:rFonts w:eastAsiaTheme="minorEastAsia"/>
        </w:rPr>
        <w:t>采用通用的办公网络系统，底层网络</w:t>
      </w:r>
      <w:r>
        <w:rPr>
          <w:rFonts w:hint="eastAsia" w:eastAsiaTheme="minorEastAsia"/>
        </w:rPr>
        <w:t>宜</w:t>
      </w:r>
      <w:r>
        <w:rPr>
          <w:rFonts w:eastAsiaTheme="minorEastAsia"/>
        </w:rPr>
        <w:t>根据数据流、稳定性等要求选择相应的工业控制网络。</w:t>
      </w:r>
    </w:p>
    <w:p w14:paraId="69D5E960">
      <w:pPr>
        <w:pStyle w:val="164"/>
        <w:numPr>
          <w:ilvl w:val="0"/>
          <w:numId w:val="16"/>
        </w:numPr>
        <w:spacing w:line="330" w:lineRule="exact"/>
        <w:ind w:left="0" w:firstLine="420"/>
        <w:rPr>
          <w:rFonts w:eastAsiaTheme="minorEastAsia"/>
        </w:rPr>
      </w:pPr>
      <w:r>
        <w:rPr>
          <w:rFonts w:eastAsiaTheme="minorEastAsia"/>
        </w:rPr>
        <w:t>常用的网络设备应符合下列规定：</w:t>
      </w:r>
    </w:p>
    <w:p w14:paraId="4E66EDB4">
      <w:pPr>
        <w:pStyle w:val="164"/>
        <w:numPr>
          <w:ilvl w:val="0"/>
          <w:numId w:val="17"/>
        </w:numPr>
        <w:tabs>
          <w:tab w:val="left" w:pos="210"/>
          <w:tab w:val="left" w:pos="567"/>
        </w:tabs>
        <w:spacing w:line="330" w:lineRule="exact"/>
        <w:ind w:firstLine="630" w:firstLineChars="300"/>
        <w:rPr>
          <w:rFonts w:eastAsiaTheme="minorEastAsia"/>
          <w:szCs w:val="21"/>
        </w:rPr>
      </w:pPr>
      <w:r>
        <w:rPr>
          <w:rFonts w:eastAsiaTheme="minorEastAsia"/>
          <w:szCs w:val="21"/>
        </w:rPr>
        <w:t>网卡的计算机接口和网络接口应适合所用的计算机和网络系统物理层要求。</w:t>
      </w:r>
    </w:p>
    <w:p w14:paraId="5DB9E675">
      <w:pPr>
        <w:pStyle w:val="164"/>
        <w:numPr>
          <w:ilvl w:val="0"/>
          <w:numId w:val="17"/>
        </w:numPr>
        <w:tabs>
          <w:tab w:val="left" w:pos="210"/>
          <w:tab w:val="left" w:pos="567"/>
        </w:tabs>
        <w:spacing w:line="330" w:lineRule="exact"/>
        <w:ind w:firstLine="630" w:firstLineChars="300"/>
        <w:rPr>
          <w:rFonts w:eastAsiaTheme="minorEastAsia"/>
          <w:szCs w:val="21"/>
        </w:rPr>
      </w:pPr>
      <w:r>
        <w:rPr>
          <w:rFonts w:eastAsiaTheme="minorEastAsia"/>
          <w:szCs w:val="21"/>
        </w:rPr>
        <w:t>集线器</w:t>
      </w:r>
      <w:r>
        <w:rPr>
          <w:rFonts w:hint="eastAsia" w:eastAsiaTheme="minorEastAsia"/>
          <w:szCs w:val="21"/>
        </w:rPr>
        <w:t>（</w:t>
      </w:r>
      <w:r>
        <w:rPr>
          <w:rFonts w:eastAsiaTheme="minorEastAsia"/>
          <w:szCs w:val="21"/>
        </w:rPr>
        <w:t>HUB</w:t>
      </w:r>
      <w:r>
        <w:rPr>
          <w:rFonts w:hint="eastAsia" w:eastAsiaTheme="minorEastAsia"/>
          <w:szCs w:val="21"/>
        </w:rPr>
        <w:t>）</w:t>
      </w:r>
      <w:r>
        <w:rPr>
          <w:rFonts w:eastAsiaTheme="minorEastAsia"/>
          <w:szCs w:val="21"/>
        </w:rPr>
        <w:t>应具备产品说明书，相关参数应满足设计要求。机架式的HUB，还应检查机架质量，应具有相应的质保资料。</w:t>
      </w:r>
    </w:p>
    <w:p w14:paraId="3FCB0F10">
      <w:pPr>
        <w:pStyle w:val="164"/>
        <w:numPr>
          <w:ilvl w:val="0"/>
          <w:numId w:val="17"/>
        </w:numPr>
        <w:tabs>
          <w:tab w:val="left" w:pos="210"/>
          <w:tab w:val="left" w:pos="567"/>
        </w:tabs>
        <w:spacing w:line="330" w:lineRule="exact"/>
        <w:ind w:firstLine="630" w:firstLineChars="300"/>
        <w:rPr>
          <w:rFonts w:eastAsiaTheme="minorEastAsia"/>
          <w:szCs w:val="21"/>
        </w:rPr>
      </w:pPr>
      <w:r>
        <w:rPr>
          <w:rFonts w:eastAsiaTheme="minorEastAsia"/>
          <w:szCs w:val="21"/>
        </w:rPr>
        <w:t>交换机宜采用VRRP</w:t>
      </w:r>
      <w:r>
        <w:rPr>
          <w:rFonts w:hint="eastAsia" w:eastAsiaTheme="minorEastAsia"/>
          <w:szCs w:val="21"/>
        </w:rPr>
        <w:t>、</w:t>
      </w:r>
      <w:r>
        <w:rPr>
          <w:rFonts w:eastAsiaTheme="minorEastAsia"/>
          <w:szCs w:val="21"/>
        </w:rPr>
        <w:t>以太网链路聚合等技术保证应用的可用性。</w:t>
      </w:r>
    </w:p>
    <w:p w14:paraId="6C0DBC9D">
      <w:pPr>
        <w:pStyle w:val="164"/>
        <w:numPr>
          <w:ilvl w:val="0"/>
          <w:numId w:val="17"/>
        </w:numPr>
        <w:tabs>
          <w:tab w:val="left" w:pos="210"/>
          <w:tab w:val="left" w:pos="567"/>
        </w:tabs>
        <w:spacing w:line="330" w:lineRule="exact"/>
        <w:ind w:firstLine="630" w:firstLineChars="300"/>
        <w:rPr>
          <w:rFonts w:eastAsiaTheme="minorEastAsia"/>
          <w:szCs w:val="21"/>
        </w:rPr>
      </w:pPr>
      <w:r>
        <w:rPr>
          <w:rFonts w:eastAsiaTheme="minorEastAsia"/>
          <w:szCs w:val="21"/>
        </w:rPr>
        <w:t>路由器应支持用户所采用的网络协议，并满足系统接口和软件协议需求。</w:t>
      </w:r>
    </w:p>
    <w:p w14:paraId="6609D123">
      <w:pPr>
        <w:pStyle w:val="164"/>
        <w:spacing w:before="100" w:after="100" w:line="330" w:lineRule="exact"/>
        <w:ind w:firstLine="0" w:firstLineChars="0"/>
        <w:rPr>
          <w:szCs w:val="21"/>
        </w:rPr>
      </w:pPr>
      <w:r>
        <w:rPr>
          <w:szCs w:val="21"/>
        </w:rPr>
        <w:t>4.3.4</w:t>
      </w:r>
      <w:r>
        <w:rPr>
          <w:rFonts w:eastAsiaTheme="minorEastAsia"/>
        </w:rPr>
        <w:t>应用软件集成包括系统功能接口</w:t>
      </w:r>
      <w:r>
        <w:rPr>
          <w:rFonts w:hint="eastAsia" w:eastAsiaTheme="minorEastAsia"/>
        </w:rPr>
        <w:t>的</w:t>
      </w:r>
      <w:r>
        <w:rPr>
          <w:rFonts w:eastAsiaTheme="minorEastAsia"/>
        </w:rPr>
        <w:t>实现、</w:t>
      </w:r>
      <w:r>
        <w:rPr>
          <w:rFonts w:hint="eastAsia" w:eastAsiaTheme="minorEastAsia"/>
        </w:rPr>
        <w:t>实时数据库及系统功能集成</w:t>
      </w:r>
      <w:r>
        <w:rPr>
          <w:rFonts w:eastAsiaTheme="minorEastAsia"/>
        </w:rPr>
        <w:t>，并</w:t>
      </w:r>
      <w:r>
        <w:rPr>
          <w:szCs w:val="21"/>
        </w:rPr>
        <w:t>应符合下列规定：</w:t>
      </w:r>
    </w:p>
    <w:p w14:paraId="21A92088">
      <w:pPr>
        <w:pStyle w:val="164"/>
        <w:numPr>
          <w:ilvl w:val="0"/>
          <w:numId w:val="18"/>
        </w:numPr>
        <w:spacing w:line="330" w:lineRule="exact"/>
        <w:ind w:left="0" w:firstLine="420"/>
        <w:rPr>
          <w:rFonts w:eastAsiaTheme="minorEastAsia"/>
        </w:rPr>
      </w:pPr>
      <w:r>
        <w:rPr>
          <w:rFonts w:eastAsiaTheme="minorEastAsia"/>
        </w:rPr>
        <w:t>功能接口的</w:t>
      </w:r>
      <w:r>
        <w:rPr>
          <w:rFonts w:hint="eastAsia" w:eastAsiaTheme="minorEastAsia"/>
        </w:rPr>
        <w:t>软硬件</w:t>
      </w:r>
      <w:r>
        <w:rPr>
          <w:rFonts w:eastAsiaTheme="minorEastAsia"/>
        </w:rPr>
        <w:t>性能要求、功能要求、技术标准应</w:t>
      </w:r>
      <w:r>
        <w:rPr>
          <w:rFonts w:hint="eastAsia" w:eastAsiaTheme="minorEastAsia"/>
        </w:rPr>
        <w:t>满足设计要求</w:t>
      </w:r>
      <w:r>
        <w:rPr>
          <w:rFonts w:eastAsiaTheme="minorEastAsia"/>
        </w:rPr>
        <w:t>和国家现行标准的相关规定。</w:t>
      </w:r>
    </w:p>
    <w:p w14:paraId="7051BBB3">
      <w:pPr>
        <w:pStyle w:val="164"/>
        <w:numPr>
          <w:ilvl w:val="0"/>
          <w:numId w:val="18"/>
        </w:numPr>
        <w:spacing w:line="330" w:lineRule="exact"/>
        <w:ind w:left="0" w:firstLine="420"/>
        <w:rPr>
          <w:rFonts w:eastAsiaTheme="minorEastAsia"/>
        </w:rPr>
      </w:pPr>
      <w:r>
        <w:rPr>
          <w:rFonts w:eastAsiaTheme="minorEastAsia"/>
        </w:rPr>
        <w:t>应用软件集成的接口开发工作应调研工作流程和数据流，并进行模块测试、组装测试和总体测试，形成软件测试报告。</w:t>
      </w:r>
    </w:p>
    <w:p w14:paraId="0A9AA802">
      <w:pPr>
        <w:pStyle w:val="164"/>
        <w:numPr>
          <w:ilvl w:val="0"/>
          <w:numId w:val="18"/>
        </w:numPr>
        <w:spacing w:line="330" w:lineRule="exact"/>
        <w:ind w:left="0" w:firstLine="420"/>
        <w:rPr>
          <w:rFonts w:eastAsiaTheme="minorEastAsia"/>
        </w:rPr>
      </w:pPr>
      <w:r>
        <w:rPr>
          <w:rFonts w:eastAsiaTheme="minorEastAsia"/>
        </w:rPr>
        <w:t>应根据接口</w:t>
      </w:r>
      <w:r>
        <w:rPr>
          <w:rFonts w:hint="eastAsia" w:eastAsiaTheme="minorEastAsia"/>
        </w:rPr>
        <w:t>规范</w:t>
      </w:r>
      <w:r>
        <w:rPr>
          <w:rFonts w:eastAsiaTheme="minorEastAsia"/>
        </w:rPr>
        <w:t>制定接口测试大纲并经</w:t>
      </w:r>
      <w:r>
        <w:rPr>
          <w:rFonts w:hint="eastAsia" w:eastAsiaTheme="minorEastAsia"/>
        </w:rPr>
        <w:t>有关方</w:t>
      </w:r>
      <w:r>
        <w:rPr>
          <w:rFonts w:eastAsiaTheme="minorEastAsia"/>
        </w:rPr>
        <w:t>批准，然后按大纲逐项检测接口的软、硬件</w:t>
      </w:r>
      <w:r>
        <w:rPr>
          <w:rFonts w:hint="eastAsia" w:eastAsiaTheme="minorEastAsia"/>
        </w:rPr>
        <w:t>，保证接口性能符合设计要求，能实现</w:t>
      </w:r>
      <w:r>
        <w:rPr>
          <w:rFonts w:eastAsiaTheme="minorEastAsia"/>
        </w:rPr>
        <w:t>接口</w:t>
      </w:r>
      <w:r>
        <w:rPr>
          <w:rFonts w:hint="eastAsia" w:eastAsiaTheme="minorEastAsia"/>
        </w:rPr>
        <w:t>规范</w:t>
      </w:r>
      <w:r>
        <w:rPr>
          <w:rFonts w:eastAsiaTheme="minorEastAsia"/>
        </w:rPr>
        <w:t>中规定的各项功能，</w:t>
      </w:r>
      <w:r>
        <w:rPr>
          <w:rFonts w:hint="eastAsia" w:eastAsiaTheme="minorEastAsia"/>
        </w:rPr>
        <w:t>并</w:t>
      </w:r>
      <w:r>
        <w:rPr>
          <w:rFonts w:eastAsiaTheme="minorEastAsia"/>
        </w:rPr>
        <w:t>不发生通信瓶颈及系统兼容性问题。功能接口产品的检测报告应包括检测依据、检测设备和检测结果记录。</w:t>
      </w:r>
    </w:p>
    <w:p w14:paraId="6D187AEB">
      <w:pPr>
        <w:pStyle w:val="164"/>
        <w:numPr>
          <w:ilvl w:val="0"/>
          <w:numId w:val="18"/>
        </w:numPr>
        <w:spacing w:line="330" w:lineRule="exact"/>
        <w:ind w:left="0" w:firstLine="420"/>
        <w:rPr>
          <w:rFonts w:eastAsiaTheme="minorEastAsia"/>
        </w:rPr>
      </w:pPr>
      <w:r>
        <w:rPr>
          <w:rFonts w:hint="eastAsia" w:eastAsiaTheme="minorEastAsia"/>
        </w:rPr>
        <w:t>实时数据库应具</w:t>
      </w:r>
      <w:r>
        <w:rPr>
          <w:rFonts w:hint="eastAsia" w:eastAsiaTheme="minorEastAsia"/>
          <w:szCs w:val="21"/>
        </w:rPr>
        <w:t>数据的安全性、完整性和并发控制功能，</w:t>
      </w:r>
      <w:r>
        <w:rPr>
          <w:rFonts w:hint="eastAsia" w:eastAsiaTheme="minorEastAsia"/>
        </w:rPr>
        <w:t>安装数据库</w:t>
      </w:r>
      <w:r>
        <w:rPr>
          <w:rFonts w:eastAsiaTheme="minorEastAsia"/>
        </w:rPr>
        <w:t>前，应作</w:t>
      </w:r>
      <w:r>
        <w:rPr>
          <w:rFonts w:hint="eastAsia" w:eastAsiaTheme="minorEastAsia"/>
        </w:rPr>
        <w:t>下列</w:t>
      </w:r>
      <w:r>
        <w:rPr>
          <w:rFonts w:eastAsiaTheme="minorEastAsia"/>
        </w:rPr>
        <w:t xml:space="preserve">检查： </w:t>
      </w:r>
    </w:p>
    <w:p w14:paraId="5F3077BD">
      <w:pPr>
        <w:pStyle w:val="164"/>
        <w:numPr>
          <w:ilvl w:val="0"/>
          <w:numId w:val="19"/>
        </w:numPr>
        <w:tabs>
          <w:tab w:val="left" w:pos="210"/>
          <w:tab w:val="left" w:pos="567"/>
        </w:tabs>
        <w:spacing w:line="330" w:lineRule="exact"/>
        <w:ind w:firstLine="630" w:firstLineChars="300"/>
        <w:rPr>
          <w:rFonts w:eastAsiaTheme="minorEastAsia"/>
          <w:szCs w:val="21"/>
        </w:rPr>
      </w:pPr>
      <w:r>
        <w:rPr>
          <w:rFonts w:eastAsiaTheme="minorEastAsia"/>
          <w:szCs w:val="21"/>
        </w:rPr>
        <w:t>检查网络操作系统与被安装的数据库是否相匹配。</w:t>
      </w:r>
    </w:p>
    <w:p w14:paraId="616E7CED">
      <w:pPr>
        <w:pStyle w:val="164"/>
        <w:numPr>
          <w:ilvl w:val="0"/>
          <w:numId w:val="19"/>
        </w:numPr>
        <w:tabs>
          <w:tab w:val="left" w:pos="210"/>
          <w:tab w:val="left" w:pos="567"/>
        </w:tabs>
        <w:spacing w:line="330" w:lineRule="exact"/>
        <w:ind w:firstLine="630" w:firstLineChars="300"/>
        <w:rPr>
          <w:rFonts w:eastAsiaTheme="minorEastAsia"/>
          <w:szCs w:val="21"/>
        </w:rPr>
      </w:pPr>
      <w:r>
        <w:rPr>
          <w:rFonts w:eastAsiaTheme="minorEastAsia"/>
          <w:szCs w:val="21"/>
        </w:rPr>
        <w:t>检查数据库的版本是否</w:t>
      </w:r>
      <w:r>
        <w:rPr>
          <w:rFonts w:hint="eastAsia" w:eastAsiaTheme="minorEastAsia"/>
          <w:szCs w:val="21"/>
        </w:rPr>
        <w:t>满足</w:t>
      </w:r>
      <w:r>
        <w:rPr>
          <w:rFonts w:eastAsiaTheme="minorEastAsia"/>
          <w:szCs w:val="21"/>
        </w:rPr>
        <w:t>设计要求，对商用数据库软件检查有无使用许可证。</w:t>
      </w:r>
    </w:p>
    <w:p w14:paraId="66BB862F">
      <w:pPr>
        <w:pStyle w:val="164"/>
        <w:numPr>
          <w:ilvl w:val="0"/>
          <w:numId w:val="19"/>
        </w:numPr>
        <w:tabs>
          <w:tab w:val="left" w:pos="210"/>
          <w:tab w:val="left" w:pos="567"/>
        </w:tabs>
        <w:spacing w:line="330" w:lineRule="exact"/>
        <w:ind w:firstLine="630" w:firstLineChars="300"/>
        <w:rPr>
          <w:rFonts w:eastAsiaTheme="minorEastAsia"/>
          <w:szCs w:val="21"/>
        </w:rPr>
      </w:pPr>
      <w:r>
        <w:rPr>
          <w:rFonts w:eastAsiaTheme="minorEastAsia"/>
          <w:szCs w:val="21"/>
        </w:rPr>
        <w:t>数据库应有技术和使用说明书等全套文档资料。</w:t>
      </w:r>
    </w:p>
    <w:p w14:paraId="7BF2DB17">
      <w:pPr>
        <w:pStyle w:val="164"/>
        <w:numPr>
          <w:ilvl w:val="0"/>
          <w:numId w:val="18"/>
        </w:numPr>
        <w:spacing w:line="330" w:lineRule="exact"/>
        <w:ind w:left="0" w:firstLine="420"/>
        <w:rPr>
          <w:rFonts w:eastAsiaTheme="minorEastAsia"/>
        </w:rPr>
      </w:pPr>
      <w:r>
        <w:rPr>
          <w:rFonts w:eastAsiaTheme="minorEastAsia"/>
        </w:rPr>
        <w:t>集成系统应具有</w:t>
      </w:r>
      <w:r>
        <w:rPr>
          <w:rFonts w:hint="eastAsia" w:eastAsiaTheme="minorEastAsia"/>
        </w:rPr>
        <w:t>下列</w:t>
      </w:r>
      <w:r>
        <w:rPr>
          <w:rFonts w:eastAsiaTheme="minorEastAsia"/>
        </w:rPr>
        <w:t>管理功能接口：</w:t>
      </w:r>
    </w:p>
    <w:p w14:paraId="2ECBE9BB">
      <w:pPr>
        <w:pStyle w:val="164"/>
        <w:numPr>
          <w:ilvl w:val="0"/>
          <w:numId w:val="20"/>
        </w:numPr>
        <w:tabs>
          <w:tab w:val="left" w:pos="210"/>
          <w:tab w:val="left" w:pos="567"/>
        </w:tabs>
        <w:spacing w:line="330" w:lineRule="exact"/>
        <w:ind w:firstLine="630" w:firstLineChars="300"/>
        <w:rPr>
          <w:rFonts w:eastAsiaTheme="minorEastAsia"/>
          <w:szCs w:val="21"/>
        </w:rPr>
      </w:pPr>
      <w:r>
        <w:rPr>
          <w:rFonts w:eastAsiaTheme="minorEastAsia"/>
          <w:szCs w:val="21"/>
        </w:rPr>
        <w:t>建筑设备监控系统、安全技术防范系统、火灾自动报警系统、一卡通系统、车库管理等系统的网络运行状态</w:t>
      </w:r>
      <w:r>
        <w:rPr>
          <w:rFonts w:hint="eastAsia" w:eastAsiaTheme="minorEastAsia"/>
          <w:szCs w:val="21"/>
        </w:rPr>
        <w:t>应有</w:t>
      </w:r>
      <w:r>
        <w:rPr>
          <w:rFonts w:eastAsiaTheme="minorEastAsia"/>
          <w:szCs w:val="21"/>
        </w:rPr>
        <w:t>集中监视与管理功能接口。</w:t>
      </w:r>
    </w:p>
    <w:p w14:paraId="5FD285D2">
      <w:pPr>
        <w:pStyle w:val="164"/>
        <w:numPr>
          <w:ilvl w:val="0"/>
          <w:numId w:val="20"/>
        </w:numPr>
        <w:tabs>
          <w:tab w:val="left" w:pos="210"/>
          <w:tab w:val="left" w:pos="567"/>
        </w:tabs>
        <w:spacing w:line="330" w:lineRule="exact"/>
        <w:ind w:firstLine="630" w:firstLineChars="300"/>
        <w:rPr>
          <w:rFonts w:eastAsiaTheme="minorEastAsia"/>
          <w:szCs w:val="21"/>
        </w:rPr>
      </w:pPr>
      <w:r>
        <w:rPr>
          <w:rFonts w:eastAsiaTheme="minorEastAsia"/>
          <w:szCs w:val="21"/>
        </w:rPr>
        <w:t>建筑设备监控系统、安全技术防范系统、火灾自动报警系统、一卡通系统</w:t>
      </w:r>
      <w:r>
        <w:rPr>
          <w:rFonts w:hint="eastAsia" w:eastAsiaTheme="minorEastAsia"/>
          <w:szCs w:val="21"/>
        </w:rPr>
        <w:t>应有</w:t>
      </w:r>
      <w:r>
        <w:rPr>
          <w:rFonts w:eastAsiaTheme="minorEastAsia"/>
          <w:szCs w:val="21"/>
        </w:rPr>
        <w:t>联动控制功能接口。</w:t>
      </w:r>
    </w:p>
    <w:p w14:paraId="2A64AFCB">
      <w:pPr>
        <w:pStyle w:val="164"/>
        <w:numPr>
          <w:ilvl w:val="0"/>
          <w:numId w:val="20"/>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应有</w:t>
      </w:r>
      <w:r>
        <w:rPr>
          <w:rFonts w:eastAsiaTheme="minorEastAsia"/>
          <w:szCs w:val="21"/>
        </w:rPr>
        <w:t>集中控制功能接口，包括系统运行的启、停时间表，需要中央控制室控制的动作和系统监视控制功能等。</w:t>
      </w:r>
    </w:p>
    <w:p w14:paraId="73B8C4CD">
      <w:pPr>
        <w:pStyle w:val="164"/>
        <w:numPr>
          <w:ilvl w:val="0"/>
          <w:numId w:val="20"/>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应有</w:t>
      </w:r>
      <w:r>
        <w:rPr>
          <w:rFonts w:eastAsiaTheme="minorEastAsia"/>
          <w:szCs w:val="21"/>
        </w:rPr>
        <w:t>全局事件的决策管理功能接口。</w:t>
      </w:r>
    </w:p>
    <w:p w14:paraId="1262E64F">
      <w:pPr>
        <w:pStyle w:val="164"/>
        <w:numPr>
          <w:ilvl w:val="0"/>
          <w:numId w:val="20"/>
        </w:numPr>
        <w:tabs>
          <w:tab w:val="left" w:pos="210"/>
          <w:tab w:val="left" w:pos="567"/>
        </w:tabs>
        <w:spacing w:line="330" w:lineRule="exact"/>
        <w:ind w:firstLine="630" w:firstLineChars="300"/>
        <w:rPr>
          <w:rFonts w:eastAsiaTheme="minorEastAsia"/>
          <w:szCs w:val="21"/>
        </w:rPr>
      </w:pPr>
      <w:r>
        <w:rPr>
          <w:rFonts w:eastAsiaTheme="minorEastAsia"/>
          <w:szCs w:val="21"/>
        </w:rPr>
        <w:t>对集成在IBMS上的各个子网的管理系统，除了共享信息和资源外，还应对建立的各个虚拟子网进行配置和安全管理。</w:t>
      </w:r>
    </w:p>
    <w:p w14:paraId="772A25A9">
      <w:pPr>
        <w:pStyle w:val="164"/>
        <w:numPr>
          <w:ilvl w:val="0"/>
          <w:numId w:val="20"/>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应有</w:t>
      </w:r>
      <w:r>
        <w:rPr>
          <w:rFonts w:eastAsiaTheme="minorEastAsia"/>
          <w:szCs w:val="21"/>
        </w:rPr>
        <w:t>系统的运行、维护、管理和流程自动化管理功能接口。</w:t>
      </w:r>
    </w:p>
    <w:p w14:paraId="26F3B0BE">
      <w:pPr>
        <w:pStyle w:val="164"/>
        <w:numPr>
          <w:ilvl w:val="0"/>
          <w:numId w:val="18"/>
        </w:numPr>
        <w:spacing w:line="330" w:lineRule="exact"/>
        <w:ind w:left="0" w:firstLine="420"/>
        <w:rPr>
          <w:rFonts w:eastAsiaTheme="minorEastAsia"/>
        </w:rPr>
      </w:pPr>
      <w:r>
        <w:rPr>
          <w:rFonts w:eastAsiaTheme="minorEastAsia"/>
        </w:rPr>
        <w:t>应提供自编软件的软件测试大纲、必要的调试检测用的软件和开发工具。软件应通过功能测试、性能测试和安全测</w:t>
      </w:r>
      <w:r>
        <w:rPr>
          <w:rFonts w:hint="eastAsia" w:eastAsiaTheme="minorEastAsia"/>
        </w:rPr>
        <w:t>试</w:t>
      </w:r>
      <w:r>
        <w:rPr>
          <w:rFonts w:eastAsiaTheme="minorEastAsia"/>
        </w:rPr>
        <w:t>并检验合格，且持续运行时间不低于1个月。</w:t>
      </w:r>
    </w:p>
    <w:p w14:paraId="6DD035AC">
      <w:pPr>
        <w:pStyle w:val="164"/>
        <w:spacing w:before="100" w:after="100" w:line="330" w:lineRule="exact"/>
        <w:ind w:firstLine="0" w:firstLineChars="0"/>
        <w:rPr>
          <w:szCs w:val="21"/>
        </w:rPr>
      </w:pPr>
      <w:r>
        <w:rPr>
          <w:szCs w:val="21"/>
        </w:rPr>
        <w:t>4.3.5 实现系统安全应符合下列规定：</w:t>
      </w:r>
    </w:p>
    <w:p w14:paraId="67A800B7">
      <w:pPr>
        <w:pStyle w:val="164"/>
        <w:numPr>
          <w:ilvl w:val="0"/>
          <w:numId w:val="21"/>
        </w:numPr>
        <w:autoSpaceDE w:val="0"/>
        <w:autoSpaceDN w:val="0"/>
        <w:adjustRightInd w:val="0"/>
        <w:spacing w:line="330" w:lineRule="exact"/>
        <w:ind w:firstLine="420"/>
        <w:rPr>
          <w:rFonts w:eastAsiaTheme="minorEastAsia"/>
        </w:rPr>
      </w:pPr>
      <w:r>
        <w:rPr>
          <w:rFonts w:eastAsiaTheme="minorEastAsia"/>
        </w:rPr>
        <w:t>应采用多级客户机/服务器模式，内外交换处应利用防火墙隔离，防火墙应</w:t>
      </w:r>
      <w:r>
        <w:rPr>
          <w:rFonts w:hint="eastAsia" w:eastAsiaTheme="minorEastAsia"/>
        </w:rPr>
        <w:t>具有下列功能</w:t>
      </w:r>
      <w:r>
        <w:rPr>
          <w:rFonts w:eastAsiaTheme="minorEastAsia"/>
        </w:rPr>
        <w:t>：</w:t>
      </w:r>
    </w:p>
    <w:p w14:paraId="333068CA">
      <w:pPr>
        <w:pStyle w:val="164"/>
        <w:numPr>
          <w:ilvl w:val="0"/>
          <w:numId w:val="22"/>
        </w:numPr>
        <w:tabs>
          <w:tab w:val="left" w:pos="210"/>
          <w:tab w:val="left" w:pos="567"/>
        </w:tabs>
        <w:spacing w:line="330" w:lineRule="exact"/>
        <w:ind w:firstLine="630" w:firstLineChars="300"/>
        <w:rPr>
          <w:rFonts w:eastAsiaTheme="minorEastAsia"/>
          <w:szCs w:val="21"/>
        </w:rPr>
      </w:pPr>
      <w:r>
        <w:rPr>
          <w:rFonts w:eastAsiaTheme="minorEastAsia"/>
          <w:szCs w:val="21"/>
        </w:rPr>
        <w:t>网络安全屏障功能：可禁止不安全的协议进出受保护的网络，可以拒绝攻击的报文并通知防火墙管理员。</w:t>
      </w:r>
    </w:p>
    <w:p w14:paraId="6330CDF8">
      <w:pPr>
        <w:pStyle w:val="164"/>
        <w:numPr>
          <w:ilvl w:val="0"/>
          <w:numId w:val="22"/>
        </w:numPr>
        <w:tabs>
          <w:tab w:val="left" w:pos="210"/>
          <w:tab w:val="left" w:pos="567"/>
        </w:tabs>
        <w:spacing w:line="330" w:lineRule="exact"/>
        <w:ind w:firstLine="630" w:firstLineChars="300"/>
        <w:rPr>
          <w:rFonts w:eastAsiaTheme="minorEastAsia"/>
          <w:szCs w:val="21"/>
        </w:rPr>
      </w:pPr>
      <w:r>
        <w:rPr>
          <w:rFonts w:eastAsiaTheme="minorEastAsia"/>
          <w:szCs w:val="21"/>
        </w:rPr>
        <w:t>网络安全策略配置功能：</w:t>
      </w:r>
      <w:r>
        <w:rPr>
          <w:rFonts w:hint="eastAsia" w:eastAsiaTheme="minorEastAsia"/>
          <w:szCs w:val="21"/>
        </w:rPr>
        <w:t>应能</w:t>
      </w:r>
      <w:r>
        <w:rPr>
          <w:rFonts w:eastAsiaTheme="minorEastAsia"/>
          <w:szCs w:val="21"/>
        </w:rPr>
        <w:t>通过防火墙的安全配置将所有安全措施配置在防火墙上</w:t>
      </w:r>
      <w:r>
        <w:rPr>
          <w:rFonts w:hint="eastAsia" w:eastAsiaTheme="minorEastAsia"/>
          <w:szCs w:val="21"/>
        </w:rPr>
        <w:t>，</w:t>
      </w:r>
      <w:r>
        <w:rPr>
          <w:rFonts w:eastAsiaTheme="minorEastAsia"/>
          <w:szCs w:val="21"/>
        </w:rPr>
        <w:t>如口令、加密、身份认证、审计等。</w:t>
      </w:r>
    </w:p>
    <w:p w14:paraId="625A92F6">
      <w:pPr>
        <w:pStyle w:val="164"/>
        <w:numPr>
          <w:ilvl w:val="0"/>
          <w:numId w:val="22"/>
        </w:numPr>
        <w:tabs>
          <w:tab w:val="left" w:pos="210"/>
          <w:tab w:val="left" w:pos="567"/>
        </w:tabs>
        <w:spacing w:line="330" w:lineRule="exact"/>
        <w:ind w:firstLine="630" w:firstLineChars="300"/>
        <w:rPr>
          <w:rFonts w:eastAsiaTheme="minorEastAsia"/>
          <w:szCs w:val="21"/>
        </w:rPr>
      </w:pPr>
      <w:r>
        <w:rPr>
          <w:rFonts w:eastAsiaTheme="minorEastAsia"/>
          <w:szCs w:val="21"/>
        </w:rPr>
        <w:t>网络监控审计功能：防火墙应能</w:t>
      </w:r>
      <w:r>
        <w:rPr>
          <w:rFonts w:hint="eastAsia" w:eastAsiaTheme="minorEastAsia"/>
          <w:szCs w:val="21"/>
        </w:rPr>
        <w:t>记录</w:t>
      </w:r>
      <w:r>
        <w:rPr>
          <w:rFonts w:eastAsiaTheme="minorEastAsia"/>
          <w:szCs w:val="21"/>
        </w:rPr>
        <w:t>所有</w:t>
      </w:r>
      <w:r>
        <w:rPr>
          <w:rFonts w:hint="eastAsia" w:eastAsiaTheme="minorEastAsia"/>
          <w:szCs w:val="21"/>
        </w:rPr>
        <w:t>的</w:t>
      </w:r>
      <w:r>
        <w:rPr>
          <w:rFonts w:eastAsiaTheme="minorEastAsia"/>
          <w:szCs w:val="21"/>
        </w:rPr>
        <w:t>访问</w:t>
      </w:r>
      <w:r>
        <w:rPr>
          <w:rFonts w:hint="eastAsia" w:eastAsiaTheme="minorEastAsia"/>
          <w:szCs w:val="21"/>
        </w:rPr>
        <w:t>记录</w:t>
      </w:r>
      <w:r>
        <w:rPr>
          <w:rFonts w:eastAsiaTheme="minorEastAsia"/>
          <w:szCs w:val="21"/>
        </w:rPr>
        <w:t>，</w:t>
      </w:r>
      <w:r>
        <w:rPr>
          <w:rFonts w:hint="eastAsia" w:eastAsiaTheme="minorEastAsia"/>
          <w:szCs w:val="21"/>
        </w:rPr>
        <w:t>并</w:t>
      </w:r>
      <w:r>
        <w:rPr>
          <w:rFonts w:eastAsiaTheme="minorEastAsia"/>
          <w:szCs w:val="21"/>
        </w:rPr>
        <w:t>提供网络使用情况的统计数据。</w:t>
      </w:r>
      <w:r>
        <w:rPr>
          <w:rFonts w:hint="eastAsia" w:eastAsiaTheme="minorEastAsia"/>
          <w:szCs w:val="21"/>
        </w:rPr>
        <w:t>出现</w:t>
      </w:r>
      <w:r>
        <w:rPr>
          <w:rFonts w:eastAsiaTheme="minorEastAsia"/>
          <w:szCs w:val="21"/>
        </w:rPr>
        <w:t>可疑动作时，</w:t>
      </w:r>
      <w:r>
        <w:rPr>
          <w:rFonts w:hint="eastAsia" w:eastAsiaTheme="minorEastAsia"/>
          <w:szCs w:val="21"/>
        </w:rPr>
        <w:t>应</w:t>
      </w:r>
      <w:r>
        <w:rPr>
          <w:rFonts w:eastAsiaTheme="minorEastAsia"/>
          <w:szCs w:val="21"/>
        </w:rPr>
        <w:t>报警并提供网络是否受到监测和攻击的详细信息。</w:t>
      </w:r>
    </w:p>
    <w:p w14:paraId="47C4C879">
      <w:pPr>
        <w:pStyle w:val="164"/>
        <w:numPr>
          <w:ilvl w:val="0"/>
          <w:numId w:val="22"/>
        </w:numPr>
        <w:tabs>
          <w:tab w:val="left" w:pos="210"/>
          <w:tab w:val="left" w:pos="567"/>
        </w:tabs>
        <w:spacing w:line="330" w:lineRule="exact"/>
        <w:ind w:firstLine="630" w:firstLineChars="300"/>
        <w:rPr>
          <w:rFonts w:eastAsiaTheme="minorEastAsia"/>
          <w:szCs w:val="21"/>
        </w:rPr>
      </w:pPr>
      <w:r>
        <w:rPr>
          <w:rFonts w:eastAsiaTheme="minorEastAsia"/>
          <w:szCs w:val="21"/>
        </w:rPr>
        <w:t>信息防泄露功能：</w:t>
      </w:r>
      <w:r>
        <w:rPr>
          <w:rFonts w:hint="eastAsia" w:eastAsiaTheme="minorEastAsia"/>
          <w:szCs w:val="21"/>
        </w:rPr>
        <w:t>可</w:t>
      </w:r>
      <w:r>
        <w:rPr>
          <w:rFonts w:eastAsiaTheme="minorEastAsia"/>
          <w:szCs w:val="21"/>
        </w:rPr>
        <w:t>通过防火墙对内部网络的划分实现内部</w:t>
      </w:r>
      <w:r>
        <w:rPr>
          <w:rFonts w:hint="eastAsia" w:eastAsiaTheme="minorEastAsia"/>
          <w:szCs w:val="21"/>
        </w:rPr>
        <w:t>网络</w:t>
      </w:r>
      <w:r>
        <w:rPr>
          <w:rFonts w:eastAsiaTheme="minorEastAsia"/>
          <w:szCs w:val="21"/>
        </w:rPr>
        <w:t>重点网段的隔离，</w:t>
      </w:r>
      <w:r>
        <w:rPr>
          <w:rFonts w:hint="eastAsia" w:eastAsiaTheme="minorEastAsia"/>
          <w:szCs w:val="21"/>
        </w:rPr>
        <w:t>阻止安全漏洞</w:t>
      </w:r>
      <w:r>
        <w:rPr>
          <w:rFonts w:eastAsiaTheme="minorEastAsia"/>
          <w:szCs w:val="21"/>
        </w:rPr>
        <w:t>暴露内部网络。</w:t>
      </w:r>
    </w:p>
    <w:p w14:paraId="634BB361">
      <w:pPr>
        <w:pStyle w:val="164"/>
        <w:numPr>
          <w:ilvl w:val="0"/>
          <w:numId w:val="21"/>
        </w:numPr>
        <w:spacing w:line="330" w:lineRule="exact"/>
        <w:ind w:firstLine="420"/>
        <w:rPr>
          <w:rFonts w:eastAsiaTheme="minorEastAsia"/>
        </w:rPr>
      </w:pPr>
      <w:r>
        <w:rPr>
          <w:rFonts w:eastAsiaTheme="minorEastAsia"/>
        </w:rPr>
        <w:t>应使用入侵检测 (IDS) 技术进一步加强网络安全。</w:t>
      </w:r>
    </w:p>
    <w:p w14:paraId="6A2D7FE1">
      <w:pPr>
        <w:pStyle w:val="164"/>
        <w:numPr>
          <w:ilvl w:val="0"/>
          <w:numId w:val="21"/>
        </w:numPr>
        <w:spacing w:line="330" w:lineRule="exact"/>
        <w:ind w:firstLine="420"/>
        <w:rPr>
          <w:rFonts w:eastAsiaTheme="minorEastAsia"/>
        </w:rPr>
      </w:pPr>
      <w:r>
        <w:rPr>
          <w:rFonts w:eastAsiaTheme="minorEastAsia"/>
        </w:rPr>
        <w:t>各类网络的安全</w:t>
      </w:r>
      <w:r>
        <w:rPr>
          <w:szCs w:val="21"/>
        </w:rPr>
        <w:t>应</w:t>
      </w:r>
      <w:r>
        <w:rPr>
          <w:rFonts w:eastAsiaTheme="minorEastAsia"/>
          <w:szCs w:val="21"/>
        </w:rPr>
        <w:t>符合下列规定</w:t>
      </w:r>
      <w:r>
        <w:rPr>
          <w:rFonts w:eastAsiaTheme="minorEastAsia"/>
        </w:rPr>
        <w:t>：</w:t>
      </w:r>
    </w:p>
    <w:p w14:paraId="6E8FCD4D">
      <w:pPr>
        <w:pStyle w:val="164"/>
        <w:numPr>
          <w:ilvl w:val="0"/>
          <w:numId w:val="23"/>
        </w:numPr>
        <w:tabs>
          <w:tab w:val="left" w:pos="210"/>
          <w:tab w:val="left" w:pos="567"/>
        </w:tabs>
        <w:spacing w:line="330" w:lineRule="exact"/>
        <w:ind w:firstLine="630" w:firstLineChars="300"/>
        <w:rPr>
          <w:rFonts w:eastAsiaTheme="minorEastAsia"/>
          <w:szCs w:val="21"/>
        </w:rPr>
      </w:pPr>
      <w:r>
        <w:rPr>
          <w:rFonts w:eastAsiaTheme="minorEastAsia"/>
          <w:szCs w:val="21"/>
        </w:rPr>
        <w:t>语音网络应保证通信服务不中断，</w:t>
      </w:r>
      <w:r>
        <w:rPr>
          <w:rFonts w:hint="eastAsia" w:eastAsiaTheme="minorEastAsia"/>
          <w:szCs w:val="21"/>
        </w:rPr>
        <w:t>并</w:t>
      </w:r>
      <w:r>
        <w:rPr>
          <w:rFonts w:eastAsiaTheme="minorEastAsia"/>
          <w:szCs w:val="21"/>
        </w:rPr>
        <w:t>防止线路盗用、语音窃听。</w:t>
      </w:r>
    </w:p>
    <w:p w14:paraId="1DC3F8C3">
      <w:pPr>
        <w:pStyle w:val="164"/>
        <w:numPr>
          <w:ilvl w:val="0"/>
          <w:numId w:val="23"/>
        </w:numPr>
        <w:tabs>
          <w:tab w:val="left" w:pos="210"/>
          <w:tab w:val="left" w:pos="567"/>
        </w:tabs>
        <w:spacing w:line="330" w:lineRule="exact"/>
        <w:ind w:firstLine="630" w:firstLineChars="300"/>
        <w:rPr>
          <w:rFonts w:eastAsiaTheme="minorEastAsia"/>
          <w:szCs w:val="21"/>
        </w:rPr>
      </w:pPr>
      <w:r>
        <w:rPr>
          <w:rFonts w:eastAsiaTheme="minorEastAsia"/>
          <w:szCs w:val="21"/>
        </w:rPr>
        <w:t>基础数据网(X. 25/DDN/FR/ATM)应保证通信的高可靠性</w:t>
      </w:r>
      <w:r>
        <w:rPr>
          <w:rFonts w:hint="eastAsia" w:eastAsiaTheme="minorEastAsia"/>
          <w:szCs w:val="21"/>
        </w:rPr>
        <w:t>及</w:t>
      </w:r>
      <w:r>
        <w:rPr>
          <w:rFonts w:eastAsiaTheme="minorEastAsia"/>
          <w:szCs w:val="21"/>
        </w:rPr>
        <w:t>不间断的服务。</w:t>
      </w:r>
    </w:p>
    <w:p w14:paraId="022B1900">
      <w:pPr>
        <w:pStyle w:val="164"/>
        <w:numPr>
          <w:ilvl w:val="0"/>
          <w:numId w:val="23"/>
        </w:numPr>
        <w:tabs>
          <w:tab w:val="left" w:pos="210"/>
          <w:tab w:val="left" w:pos="567"/>
        </w:tabs>
        <w:spacing w:line="330" w:lineRule="exact"/>
        <w:ind w:firstLine="630" w:firstLineChars="300"/>
        <w:rPr>
          <w:rFonts w:eastAsiaTheme="minorEastAsia"/>
          <w:szCs w:val="21"/>
        </w:rPr>
      </w:pPr>
      <w:r>
        <w:rPr>
          <w:rFonts w:eastAsiaTheme="minorEastAsia"/>
          <w:szCs w:val="21"/>
        </w:rPr>
        <w:t>宽带IP数据网应</w:t>
      </w:r>
      <w:r>
        <w:rPr>
          <w:rFonts w:hint="eastAsia" w:eastAsiaTheme="minorEastAsia"/>
          <w:szCs w:val="21"/>
        </w:rPr>
        <w:t>具</w:t>
      </w:r>
      <w:r>
        <w:rPr>
          <w:rFonts w:eastAsiaTheme="minorEastAsia"/>
          <w:szCs w:val="21"/>
        </w:rPr>
        <w:t>有防止地址盗用、地址欺骗、内容窃取或更改、计算机病毒等风险的措施。</w:t>
      </w:r>
    </w:p>
    <w:p w14:paraId="4A6AC567">
      <w:pPr>
        <w:pStyle w:val="164"/>
        <w:numPr>
          <w:ilvl w:val="0"/>
          <w:numId w:val="21"/>
        </w:numPr>
        <w:spacing w:line="330" w:lineRule="exact"/>
        <w:ind w:firstLine="420"/>
        <w:rPr>
          <w:rFonts w:eastAsiaTheme="minorEastAsia"/>
          <w:szCs w:val="21"/>
        </w:rPr>
      </w:pPr>
      <w:r>
        <w:rPr>
          <w:rFonts w:eastAsiaTheme="minorEastAsia"/>
        </w:rPr>
        <w:t>应用访问控制策略控制用户</w:t>
      </w:r>
      <w:r>
        <w:rPr>
          <w:rFonts w:hint="eastAsia" w:eastAsiaTheme="minorEastAsia"/>
        </w:rPr>
        <w:t>使用</w:t>
      </w:r>
      <w:r>
        <w:rPr>
          <w:rFonts w:eastAsiaTheme="minorEastAsia"/>
        </w:rPr>
        <w:t>资源，宜从</w:t>
      </w:r>
      <w:r>
        <w:rPr>
          <w:rFonts w:eastAsiaTheme="minorEastAsia"/>
          <w:szCs w:val="21"/>
        </w:rPr>
        <w:t>网络用户验证、网络用户访问资源的权限、传输安全</w:t>
      </w:r>
      <w:r>
        <w:rPr>
          <w:rFonts w:hint="eastAsia" w:eastAsiaTheme="minorEastAsia"/>
        </w:rPr>
        <w:t>等</w:t>
      </w:r>
      <w:r>
        <w:rPr>
          <w:rFonts w:eastAsiaTheme="minorEastAsia"/>
        </w:rPr>
        <w:t>方面进行控制。</w:t>
      </w:r>
    </w:p>
    <w:p w14:paraId="7D23E74B">
      <w:pPr>
        <w:pStyle w:val="164"/>
        <w:numPr>
          <w:ilvl w:val="0"/>
          <w:numId w:val="21"/>
        </w:numPr>
        <w:spacing w:line="330" w:lineRule="exact"/>
        <w:ind w:firstLine="420"/>
        <w:rPr>
          <w:rFonts w:eastAsiaTheme="minorEastAsia"/>
        </w:rPr>
      </w:pPr>
      <w:r>
        <w:rPr>
          <w:rFonts w:eastAsiaTheme="minorEastAsia"/>
        </w:rPr>
        <w:t>网络防病毒软件应能有效地检测和清除各种已知和未知病毒。</w:t>
      </w:r>
    </w:p>
    <w:p w14:paraId="656D2826">
      <w:pPr>
        <w:pStyle w:val="164"/>
        <w:spacing w:before="100" w:after="100" w:line="330" w:lineRule="exact"/>
        <w:ind w:firstLine="0" w:firstLineChars="0"/>
        <w:rPr>
          <w:szCs w:val="21"/>
        </w:rPr>
      </w:pPr>
      <w:r>
        <w:rPr>
          <w:szCs w:val="21"/>
        </w:rPr>
        <w:t>4.3.6 集成系统测试</w:t>
      </w:r>
      <w:r>
        <w:rPr>
          <w:rFonts w:hint="eastAsia"/>
          <w:szCs w:val="21"/>
        </w:rPr>
        <w:t>及试运行</w:t>
      </w:r>
      <w:r>
        <w:rPr>
          <w:szCs w:val="21"/>
        </w:rPr>
        <w:t>应符合下列规定：</w:t>
      </w:r>
    </w:p>
    <w:p w14:paraId="27AA160B">
      <w:pPr>
        <w:pStyle w:val="164"/>
        <w:numPr>
          <w:ilvl w:val="0"/>
          <w:numId w:val="24"/>
        </w:numPr>
        <w:autoSpaceDE w:val="0"/>
        <w:autoSpaceDN w:val="0"/>
        <w:adjustRightInd w:val="0"/>
        <w:spacing w:line="330" w:lineRule="exact"/>
        <w:ind w:firstLine="420"/>
        <w:rPr>
          <w:rFonts w:eastAsiaTheme="minorEastAsia"/>
        </w:rPr>
      </w:pPr>
      <w:r>
        <w:rPr>
          <w:rFonts w:hint="eastAsia" w:eastAsiaTheme="minorEastAsia"/>
        </w:rPr>
        <w:t>应</w:t>
      </w:r>
      <w:r>
        <w:rPr>
          <w:rFonts w:eastAsiaTheme="minorEastAsia"/>
        </w:rPr>
        <w:t>确认在统一操作界面上对所有系统工作情况</w:t>
      </w:r>
      <w:r>
        <w:rPr>
          <w:rFonts w:hint="eastAsia" w:eastAsiaTheme="minorEastAsia"/>
        </w:rPr>
        <w:t>实现</w:t>
      </w:r>
      <w:r>
        <w:rPr>
          <w:rFonts w:eastAsiaTheme="minorEastAsia"/>
        </w:rPr>
        <w:t>监视。</w:t>
      </w:r>
    </w:p>
    <w:p w14:paraId="431C6E7A">
      <w:pPr>
        <w:pStyle w:val="164"/>
        <w:numPr>
          <w:ilvl w:val="0"/>
          <w:numId w:val="24"/>
        </w:numPr>
        <w:autoSpaceDE w:val="0"/>
        <w:autoSpaceDN w:val="0"/>
        <w:adjustRightInd w:val="0"/>
        <w:spacing w:line="330" w:lineRule="exact"/>
        <w:ind w:firstLine="420"/>
        <w:rPr>
          <w:rFonts w:eastAsiaTheme="minorEastAsia"/>
        </w:rPr>
      </w:pPr>
      <w:r>
        <w:rPr>
          <w:rFonts w:eastAsiaTheme="minorEastAsia"/>
        </w:rPr>
        <w:t>对各智能化系统的联动功能</w:t>
      </w:r>
      <w:r>
        <w:rPr>
          <w:rFonts w:hint="eastAsia" w:eastAsiaTheme="minorEastAsia"/>
        </w:rPr>
        <w:t>应</w:t>
      </w:r>
      <w:r>
        <w:rPr>
          <w:rFonts w:eastAsiaTheme="minorEastAsia"/>
        </w:rPr>
        <w:t>进行全面测试，验证其协同工作的有效性和准确性。</w:t>
      </w:r>
    </w:p>
    <w:p w14:paraId="34C706ED">
      <w:pPr>
        <w:pStyle w:val="164"/>
        <w:numPr>
          <w:ilvl w:val="0"/>
          <w:numId w:val="24"/>
        </w:numPr>
        <w:autoSpaceDE w:val="0"/>
        <w:autoSpaceDN w:val="0"/>
        <w:adjustRightInd w:val="0"/>
        <w:spacing w:line="330" w:lineRule="exact"/>
        <w:ind w:firstLine="420"/>
        <w:rPr>
          <w:rFonts w:eastAsiaTheme="minorEastAsia"/>
        </w:rPr>
      </w:pPr>
      <w:r>
        <w:rPr>
          <w:rFonts w:hint="eastAsia" w:eastAsiaTheme="minorEastAsia"/>
        </w:rPr>
        <w:t>应</w:t>
      </w:r>
      <w:r>
        <w:rPr>
          <w:rFonts w:eastAsiaTheme="minorEastAsia"/>
        </w:rPr>
        <w:t>测试物业管理、设备管理及人员管理系统，其功能</w:t>
      </w:r>
      <w:r>
        <w:rPr>
          <w:rFonts w:hint="eastAsia" w:eastAsiaTheme="minorEastAsia"/>
        </w:rPr>
        <w:t>满足</w:t>
      </w:r>
      <w:r>
        <w:rPr>
          <w:rFonts w:eastAsiaTheme="minorEastAsia"/>
        </w:rPr>
        <w:t>设计要求。</w:t>
      </w:r>
    </w:p>
    <w:p w14:paraId="52618C4F">
      <w:pPr>
        <w:pStyle w:val="164"/>
        <w:numPr>
          <w:ilvl w:val="0"/>
          <w:numId w:val="24"/>
        </w:numPr>
        <w:autoSpaceDE w:val="0"/>
        <w:autoSpaceDN w:val="0"/>
        <w:adjustRightInd w:val="0"/>
        <w:spacing w:line="330" w:lineRule="exact"/>
        <w:ind w:firstLine="420"/>
        <w:rPr>
          <w:rFonts w:eastAsiaTheme="minorEastAsia"/>
        </w:rPr>
      </w:pPr>
      <w:r>
        <w:rPr>
          <w:rFonts w:hint="eastAsia" w:eastAsiaTheme="minorEastAsia"/>
        </w:rPr>
        <w:t>应</w:t>
      </w:r>
      <w:r>
        <w:rPr>
          <w:rFonts w:eastAsiaTheme="minorEastAsia"/>
        </w:rPr>
        <w:t>评估建筑物信息服务系统</w:t>
      </w:r>
      <w:r>
        <w:rPr>
          <w:rFonts w:hint="eastAsia" w:eastAsiaTheme="minorEastAsia"/>
        </w:rPr>
        <w:t>的</w:t>
      </w:r>
      <w:r>
        <w:rPr>
          <w:rFonts w:eastAsiaTheme="minorEastAsia"/>
        </w:rPr>
        <w:t>关键信息、资料、数据库及信息传输渠道</w:t>
      </w:r>
      <w:r>
        <w:rPr>
          <w:rFonts w:hint="eastAsia" w:eastAsiaTheme="minorEastAsia"/>
        </w:rPr>
        <w:t>满足</w:t>
      </w:r>
      <w:r>
        <w:rPr>
          <w:rFonts w:eastAsiaTheme="minorEastAsia"/>
        </w:rPr>
        <w:t>设计要求。</w:t>
      </w:r>
    </w:p>
    <w:p w14:paraId="0350A737">
      <w:pPr>
        <w:pStyle w:val="164"/>
        <w:numPr>
          <w:ilvl w:val="0"/>
          <w:numId w:val="24"/>
        </w:numPr>
        <w:autoSpaceDE w:val="0"/>
        <w:autoSpaceDN w:val="0"/>
        <w:adjustRightInd w:val="0"/>
        <w:spacing w:line="330" w:lineRule="exact"/>
        <w:ind w:firstLine="420"/>
        <w:rPr>
          <w:rFonts w:eastAsiaTheme="minorEastAsia"/>
        </w:rPr>
      </w:pPr>
      <w:r>
        <w:rPr>
          <w:rFonts w:hint="eastAsia" w:eastAsiaTheme="minorEastAsia"/>
        </w:rPr>
        <w:t>应</w:t>
      </w:r>
      <w:r>
        <w:rPr>
          <w:rFonts w:eastAsiaTheme="minorEastAsia"/>
        </w:rPr>
        <w:t>对用于系统集成的各类通信设备进行功能性测试，通信畅通无阻</w:t>
      </w:r>
      <w:r>
        <w:rPr>
          <w:rFonts w:hint="eastAsia" w:eastAsiaTheme="minorEastAsia"/>
        </w:rPr>
        <w:t>并且</w:t>
      </w:r>
      <w:r>
        <w:rPr>
          <w:rFonts w:eastAsiaTheme="minorEastAsia"/>
        </w:rPr>
        <w:t>满足系统集成</w:t>
      </w:r>
      <w:r>
        <w:rPr>
          <w:rFonts w:hint="eastAsia" w:eastAsiaTheme="minorEastAsia"/>
        </w:rPr>
        <w:t>要求</w:t>
      </w:r>
      <w:r>
        <w:rPr>
          <w:rFonts w:eastAsiaTheme="minorEastAsia"/>
        </w:rPr>
        <w:t>。</w:t>
      </w:r>
    </w:p>
    <w:p w14:paraId="482BADC4">
      <w:pPr>
        <w:pStyle w:val="164"/>
        <w:numPr>
          <w:ilvl w:val="0"/>
          <w:numId w:val="24"/>
        </w:numPr>
        <w:autoSpaceDE w:val="0"/>
        <w:autoSpaceDN w:val="0"/>
        <w:adjustRightInd w:val="0"/>
        <w:spacing w:line="330" w:lineRule="exact"/>
        <w:ind w:firstLine="420"/>
        <w:rPr>
          <w:rFonts w:eastAsiaTheme="minorEastAsia"/>
        </w:rPr>
      </w:pPr>
      <w:r>
        <w:rPr>
          <w:rFonts w:hint="eastAsia" w:eastAsiaTheme="minorEastAsia"/>
        </w:rPr>
        <w:t>应</w:t>
      </w:r>
      <w:r>
        <w:rPr>
          <w:rFonts w:eastAsiaTheme="minorEastAsia"/>
        </w:rPr>
        <w:t>模拟非法访问和系统入侵等场景</w:t>
      </w:r>
      <w:r>
        <w:rPr>
          <w:rFonts w:hint="eastAsia" w:eastAsiaTheme="minorEastAsia"/>
        </w:rPr>
        <w:t>，并</w:t>
      </w:r>
      <w:r>
        <w:rPr>
          <w:rFonts w:eastAsiaTheme="minorEastAsia"/>
        </w:rPr>
        <w:t>测试系统安全性能达到</w:t>
      </w:r>
      <w:r>
        <w:rPr>
          <w:rFonts w:hint="eastAsia" w:eastAsiaTheme="minorEastAsia"/>
        </w:rPr>
        <w:t>设计要求</w:t>
      </w:r>
      <w:r>
        <w:rPr>
          <w:rFonts w:eastAsiaTheme="minorEastAsia"/>
        </w:rPr>
        <w:t>。</w:t>
      </w:r>
    </w:p>
    <w:p w14:paraId="4EB6084E">
      <w:pPr>
        <w:pStyle w:val="164"/>
        <w:numPr>
          <w:ilvl w:val="0"/>
          <w:numId w:val="24"/>
        </w:numPr>
        <w:autoSpaceDE w:val="0"/>
        <w:autoSpaceDN w:val="0"/>
        <w:adjustRightInd w:val="0"/>
        <w:spacing w:line="330" w:lineRule="exact"/>
        <w:ind w:firstLine="420"/>
        <w:rPr>
          <w:rFonts w:eastAsiaTheme="minorEastAsia"/>
        </w:rPr>
      </w:pPr>
      <w:r>
        <w:rPr>
          <w:rFonts w:eastAsiaTheme="minorEastAsia"/>
        </w:rPr>
        <w:t>软硬件产品检测：</w:t>
      </w:r>
    </w:p>
    <w:p w14:paraId="3869697C">
      <w:pPr>
        <w:pStyle w:val="164"/>
        <w:numPr>
          <w:ilvl w:val="0"/>
          <w:numId w:val="25"/>
        </w:numPr>
        <w:tabs>
          <w:tab w:val="left" w:pos="210"/>
          <w:tab w:val="left" w:pos="567"/>
        </w:tabs>
        <w:spacing w:line="330" w:lineRule="exact"/>
        <w:ind w:firstLine="630" w:firstLineChars="300"/>
        <w:rPr>
          <w:rFonts w:eastAsiaTheme="minorEastAsia"/>
        </w:rPr>
      </w:pPr>
      <w:r>
        <w:rPr>
          <w:rFonts w:hint="eastAsia" w:eastAsiaTheme="minorEastAsia"/>
          <w:szCs w:val="21"/>
        </w:rPr>
        <w:t>应</w:t>
      </w:r>
      <w:r>
        <w:rPr>
          <w:rFonts w:eastAsiaTheme="minorEastAsia"/>
          <w:szCs w:val="21"/>
        </w:rPr>
        <w:t>验证硬件</w:t>
      </w:r>
      <w:r>
        <w:rPr>
          <w:rFonts w:eastAsiaTheme="minorEastAsia"/>
        </w:rPr>
        <w:t>产品性能、功能、安全性、电源与接地、可靠性及电磁兼容性。</w:t>
      </w:r>
    </w:p>
    <w:p w14:paraId="3F008906">
      <w:pPr>
        <w:pStyle w:val="164"/>
        <w:numPr>
          <w:ilvl w:val="0"/>
          <w:numId w:val="25"/>
        </w:numPr>
        <w:tabs>
          <w:tab w:val="left" w:pos="210"/>
          <w:tab w:val="left" w:pos="567"/>
        </w:tabs>
        <w:spacing w:line="330" w:lineRule="exact"/>
        <w:ind w:firstLine="630" w:firstLineChars="300"/>
        <w:rPr>
          <w:rFonts w:eastAsiaTheme="minorEastAsia"/>
        </w:rPr>
      </w:pPr>
      <w:r>
        <w:rPr>
          <w:rFonts w:hint="eastAsia" w:eastAsiaTheme="minorEastAsia"/>
        </w:rPr>
        <w:t>应</w:t>
      </w:r>
      <w:r>
        <w:rPr>
          <w:rFonts w:eastAsiaTheme="minorEastAsia"/>
        </w:rPr>
        <w:t>进行软件功能测试</w:t>
      </w:r>
      <w:r>
        <w:rPr>
          <w:rFonts w:hint="eastAsia" w:eastAsiaTheme="minorEastAsia"/>
        </w:rPr>
        <w:t>，包括</w:t>
      </w:r>
      <w:r>
        <w:rPr>
          <w:rFonts w:eastAsiaTheme="minorEastAsia"/>
        </w:rPr>
        <w:t>容量、可用性、安全性、可恢复性、兼容性</w:t>
      </w:r>
      <w:r>
        <w:rPr>
          <w:rFonts w:hint="eastAsia" w:eastAsiaTheme="minorEastAsia"/>
        </w:rPr>
        <w:t>、</w:t>
      </w:r>
      <w:r>
        <w:rPr>
          <w:rFonts w:eastAsiaTheme="minorEastAsia"/>
        </w:rPr>
        <w:t>可维护性、数据传输格式与速率验证</w:t>
      </w:r>
      <w:r>
        <w:rPr>
          <w:rFonts w:hint="eastAsia" w:eastAsiaTheme="minorEastAsia"/>
        </w:rPr>
        <w:t>等</w:t>
      </w:r>
      <w:r>
        <w:rPr>
          <w:rFonts w:eastAsiaTheme="minorEastAsia"/>
        </w:rPr>
        <w:t>。</w:t>
      </w:r>
    </w:p>
    <w:p w14:paraId="12956FE4">
      <w:pPr>
        <w:pStyle w:val="164"/>
        <w:numPr>
          <w:ilvl w:val="0"/>
          <w:numId w:val="24"/>
        </w:numPr>
        <w:autoSpaceDE w:val="0"/>
        <w:autoSpaceDN w:val="0"/>
        <w:adjustRightInd w:val="0"/>
        <w:spacing w:line="330" w:lineRule="exact"/>
        <w:ind w:firstLine="420"/>
        <w:rPr>
          <w:rFonts w:eastAsiaTheme="minorEastAsia"/>
        </w:rPr>
      </w:pPr>
      <w:r>
        <w:rPr>
          <w:rFonts w:eastAsiaTheme="minorEastAsia"/>
        </w:rPr>
        <w:t>系统集成调试完成后，经与建设方协商投入试运行。试运行期间，由建设单位或物业管理单位负责记录值班试运行情况，并妥善保存所有测试与试运行记录，纳入文档管理体系。</w:t>
      </w:r>
    </w:p>
    <w:p w14:paraId="4D381304">
      <w:pPr>
        <w:pStyle w:val="3"/>
        <w:spacing w:before="240" w:after="120" w:afterLines="50" w:line="330" w:lineRule="exact"/>
        <w:rPr>
          <w:rFonts w:eastAsia="黑体"/>
          <w:b w:val="0"/>
          <w:bCs w:val="0"/>
          <w:sz w:val="21"/>
          <w:szCs w:val="21"/>
          <w:lang w:val="en-US"/>
        </w:rPr>
      </w:pPr>
      <w:bookmarkStart w:id="48" w:name="_Toc182487928"/>
      <w:r>
        <w:rPr>
          <w:rFonts w:eastAsia="黑体"/>
          <w:b w:val="0"/>
          <w:bCs w:val="0"/>
          <w:sz w:val="21"/>
          <w:szCs w:val="21"/>
          <w:lang w:val="en-US"/>
        </w:rPr>
        <w:t>4.4 质量记录</w:t>
      </w:r>
      <w:bookmarkEnd w:id="48"/>
    </w:p>
    <w:p w14:paraId="7B3E6A2C">
      <w:pPr>
        <w:pStyle w:val="164"/>
        <w:numPr>
          <w:ilvl w:val="1"/>
          <w:numId w:val="1"/>
        </w:numPr>
        <w:spacing w:line="330" w:lineRule="exact"/>
        <w:ind w:firstLineChars="0"/>
        <w:rPr>
          <w:rFonts w:eastAsiaTheme="minorEastAsia"/>
          <w:vanish/>
          <w:szCs w:val="21"/>
        </w:rPr>
      </w:pPr>
    </w:p>
    <w:p w14:paraId="247C2581">
      <w:pPr>
        <w:pStyle w:val="164"/>
        <w:spacing w:before="100" w:after="100" w:line="330" w:lineRule="exact"/>
        <w:ind w:firstLine="0" w:firstLineChars="0"/>
        <w:rPr>
          <w:szCs w:val="21"/>
        </w:rPr>
      </w:pPr>
      <w:r>
        <w:rPr>
          <w:szCs w:val="21"/>
        </w:rPr>
        <w:t>4.4.1 质量记录应包含下列内容：</w:t>
      </w:r>
    </w:p>
    <w:p w14:paraId="49B781BB">
      <w:pPr>
        <w:pStyle w:val="164"/>
        <w:numPr>
          <w:ilvl w:val="0"/>
          <w:numId w:val="26"/>
        </w:numPr>
        <w:spacing w:line="330" w:lineRule="exact"/>
        <w:ind w:left="0" w:firstLine="420"/>
        <w:rPr>
          <w:rFonts w:eastAsiaTheme="minorEastAsia"/>
        </w:rPr>
      </w:pPr>
      <w:r>
        <w:rPr>
          <w:rFonts w:eastAsiaTheme="minorEastAsia"/>
        </w:rPr>
        <w:t>所用材料及设备的出厂合格证、使用说明书、质量检验报告、进场抽样检查报告。</w:t>
      </w:r>
    </w:p>
    <w:p w14:paraId="1FF8C1CC">
      <w:pPr>
        <w:pStyle w:val="164"/>
        <w:numPr>
          <w:ilvl w:val="0"/>
          <w:numId w:val="26"/>
        </w:numPr>
        <w:spacing w:line="330" w:lineRule="exact"/>
        <w:ind w:left="0" w:firstLine="420"/>
        <w:rPr>
          <w:rFonts w:eastAsiaTheme="minorEastAsia"/>
        </w:rPr>
      </w:pPr>
      <w:r>
        <w:rPr>
          <w:rFonts w:eastAsiaTheme="minorEastAsia"/>
        </w:rPr>
        <w:t>系统各项软件功能测试记录。</w:t>
      </w:r>
    </w:p>
    <w:p w14:paraId="252F60F0">
      <w:pPr>
        <w:pStyle w:val="164"/>
        <w:numPr>
          <w:ilvl w:val="0"/>
          <w:numId w:val="26"/>
        </w:numPr>
        <w:spacing w:line="330" w:lineRule="exact"/>
        <w:ind w:left="0" w:firstLine="420"/>
        <w:rPr>
          <w:rFonts w:eastAsiaTheme="minorEastAsia"/>
        </w:rPr>
      </w:pPr>
      <w:r>
        <w:rPr>
          <w:rFonts w:eastAsiaTheme="minorEastAsia"/>
        </w:rPr>
        <w:t>系统各项硬件功能测试记录。</w:t>
      </w:r>
    </w:p>
    <w:p w14:paraId="25A6A903">
      <w:pPr>
        <w:pStyle w:val="164"/>
        <w:numPr>
          <w:ilvl w:val="0"/>
          <w:numId w:val="26"/>
        </w:numPr>
        <w:spacing w:line="330" w:lineRule="exact"/>
        <w:ind w:left="0" w:firstLine="420"/>
        <w:rPr>
          <w:rFonts w:eastAsiaTheme="minorEastAsia"/>
        </w:rPr>
      </w:pPr>
      <w:r>
        <w:rPr>
          <w:rFonts w:eastAsiaTheme="minorEastAsia"/>
        </w:rPr>
        <w:t>系统试运行记录</w:t>
      </w:r>
      <w:r>
        <w:rPr>
          <w:rFonts w:hint="eastAsia" w:eastAsiaTheme="minorEastAsia"/>
        </w:rPr>
        <w:t>。</w:t>
      </w:r>
    </w:p>
    <w:p w14:paraId="05AE990E">
      <w:pPr>
        <w:pStyle w:val="164"/>
        <w:spacing w:before="100" w:after="100" w:line="330" w:lineRule="exact"/>
        <w:ind w:firstLine="0" w:firstLineChars="0"/>
        <w:rPr>
          <w:szCs w:val="21"/>
        </w:rPr>
      </w:pPr>
    </w:p>
    <w:p w14:paraId="16327412">
      <w:pPr>
        <w:pStyle w:val="164"/>
        <w:spacing w:before="100" w:after="100" w:line="330" w:lineRule="exact"/>
        <w:ind w:firstLine="0" w:firstLineChars="0"/>
        <w:rPr>
          <w:szCs w:val="21"/>
        </w:rPr>
      </w:pPr>
    </w:p>
    <w:p w14:paraId="289BA30B">
      <w:pPr>
        <w:pStyle w:val="164"/>
        <w:spacing w:before="100" w:after="100" w:line="330" w:lineRule="exact"/>
        <w:ind w:firstLine="0" w:firstLineChars="0"/>
        <w:rPr>
          <w:szCs w:val="21"/>
        </w:rPr>
      </w:pPr>
    </w:p>
    <w:p w14:paraId="75CAA1ED">
      <w:pPr>
        <w:pStyle w:val="164"/>
        <w:spacing w:before="100" w:after="100" w:line="330" w:lineRule="exact"/>
        <w:ind w:firstLine="0" w:firstLineChars="0"/>
        <w:rPr>
          <w:szCs w:val="21"/>
        </w:rPr>
      </w:pPr>
    </w:p>
    <w:p w14:paraId="79B3057E">
      <w:pPr>
        <w:pStyle w:val="164"/>
        <w:spacing w:before="100" w:after="100" w:line="330" w:lineRule="exact"/>
        <w:ind w:firstLine="0" w:firstLineChars="0"/>
        <w:rPr>
          <w:szCs w:val="21"/>
        </w:rPr>
      </w:pPr>
    </w:p>
    <w:p w14:paraId="63E6B17A">
      <w:pPr>
        <w:pStyle w:val="164"/>
        <w:spacing w:before="100" w:after="100" w:line="330" w:lineRule="exact"/>
        <w:ind w:firstLine="0" w:firstLineChars="0"/>
        <w:rPr>
          <w:szCs w:val="21"/>
        </w:rPr>
      </w:pPr>
    </w:p>
    <w:p w14:paraId="24337528">
      <w:pPr>
        <w:pStyle w:val="164"/>
        <w:spacing w:before="100" w:after="100" w:line="330" w:lineRule="exact"/>
        <w:ind w:firstLine="0" w:firstLineChars="0"/>
        <w:rPr>
          <w:szCs w:val="21"/>
        </w:rPr>
      </w:pPr>
    </w:p>
    <w:p w14:paraId="65223F38">
      <w:pPr>
        <w:pStyle w:val="164"/>
        <w:spacing w:before="100" w:after="100" w:line="330" w:lineRule="exact"/>
        <w:ind w:firstLine="0" w:firstLineChars="0"/>
        <w:rPr>
          <w:szCs w:val="21"/>
        </w:rPr>
      </w:pPr>
    </w:p>
    <w:p w14:paraId="6DE03051">
      <w:pPr>
        <w:pStyle w:val="164"/>
        <w:spacing w:before="100" w:after="100" w:line="330" w:lineRule="exact"/>
        <w:ind w:firstLine="0" w:firstLineChars="0"/>
        <w:rPr>
          <w:szCs w:val="21"/>
        </w:rPr>
      </w:pPr>
    </w:p>
    <w:p w14:paraId="1BC4EA27">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49" w:name="_Toc182487929"/>
      <w:r>
        <w:rPr>
          <w:rFonts w:ascii="Times New Roman" w:hAnsi="Times New Roman" w:eastAsia="黑体"/>
          <w:bCs/>
          <w:sz w:val="28"/>
          <w:szCs w:val="28"/>
        </w:rPr>
        <w:t>5 信息接入系统</w:t>
      </w:r>
      <w:bookmarkEnd w:id="49"/>
    </w:p>
    <w:p w14:paraId="6C57A8D7">
      <w:pPr>
        <w:pStyle w:val="3"/>
        <w:spacing w:before="240" w:after="120" w:afterLines="50" w:line="330" w:lineRule="exact"/>
        <w:rPr>
          <w:rFonts w:eastAsia="黑体"/>
          <w:b w:val="0"/>
          <w:bCs w:val="0"/>
          <w:sz w:val="21"/>
          <w:szCs w:val="21"/>
          <w:lang w:val="en-US"/>
        </w:rPr>
      </w:pPr>
      <w:bookmarkStart w:id="50" w:name="_Toc182487930"/>
      <w:r>
        <w:rPr>
          <w:rFonts w:eastAsia="黑体"/>
          <w:b w:val="0"/>
          <w:bCs w:val="0"/>
          <w:sz w:val="21"/>
          <w:szCs w:val="21"/>
          <w:lang w:val="en-US"/>
        </w:rPr>
        <w:t>5.1 一般规定</w:t>
      </w:r>
      <w:bookmarkEnd w:id="50"/>
    </w:p>
    <w:p w14:paraId="79F535AA">
      <w:pPr>
        <w:widowControl/>
        <w:spacing w:line="330" w:lineRule="exact"/>
        <w:ind w:left="0" w:firstLine="0" w:firstLineChars="0"/>
        <w:jc w:val="left"/>
        <w:rPr>
          <w:rFonts w:ascii="Times New Roman" w:hAnsi="Times New Roman"/>
        </w:rPr>
      </w:pPr>
      <w:r>
        <w:rPr>
          <w:rFonts w:ascii="Times New Roman" w:hAnsi="Times New Roman"/>
          <w:szCs w:val="21"/>
        </w:rPr>
        <w:t>5.1.1</w:t>
      </w:r>
      <w:r>
        <w:rPr>
          <w:rFonts w:ascii="Times New Roman" w:hAnsi="Times New Roman"/>
        </w:rPr>
        <w:t xml:space="preserve"> 本章适用于智能建筑工程中安装的信息接入系统的系统施工、</w:t>
      </w:r>
      <w:r>
        <w:rPr>
          <w:rFonts w:hint="eastAsia" w:ascii="Times New Roman" w:hAnsi="Times New Roman"/>
        </w:rPr>
        <w:t>测试</w:t>
      </w:r>
      <w:r>
        <w:rPr>
          <w:rFonts w:ascii="Times New Roman" w:hAnsi="Times New Roman"/>
        </w:rPr>
        <w:t>和</w:t>
      </w:r>
      <w:r>
        <w:rPr>
          <w:rFonts w:hint="eastAsia" w:ascii="Times New Roman" w:hAnsi="Times New Roman"/>
        </w:rPr>
        <w:t>检验</w:t>
      </w:r>
      <w:r>
        <w:rPr>
          <w:rFonts w:ascii="Times New Roman" w:hAnsi="Times New Roman"/>
        </w:rPr>
        <w:t>。</w:t>
      </w:r>
    </w:p>
    <w:p w14:paraId="4F18BACF">
      <w:pPr>
        <w:widowControl/>
        <w:spacing w:line="330" w:lineRule="exact"/>
        <w:ind w:left="0" w:firstLine="0" w:firstLineChars="0"/>
        <w:jc w:val="left"/>
        <w:rPr>
          <w:rFonts w:ascii="Times New Roman" w:hAnsi="Times New Roman"/>
        </w:rPr>
      </w:pPr>
      <w:r>
        <w:rPr>
          <w:rFonts w:ascii="Times New Roman" w:hAnsi="Times New Roman"/>
          <w:szCs w:val="21"/>
        </w:rPr>
        <w:t>5.1.2</w:t>
      </w:r>
      <w:r>
        <w:rPr>
          <w:rFonts w:ascii="Times New Roman" w:hAnsi="Times New Roman"/>
        </w:rPr>
        <w:t xml:space="preserve"> 信息接入系统的机房环境应符合本规程第21章的</w:t>
      </w:r>
      <w:r>
        <w:rPr>
          <w:rFonts w:hint="eastAsia" w:ascii="Times New Roman" w:hAnsi="Times New Roman"/>
        </w:rPr>
        <w:t>相关</w:t>
      </w:r>
      <w:r>
        <w:rPr>
          <w:rFonts w:ascii="Times New Roman" w:hAnsi="Times New Roman"/>
        </w:rPr>
        <w:t>规定，机房安全、电源与接地应符合</w:t>
      </w:r>
      <w:r>
        <w:rPr>
          <w:rFonts w:hint="eastAsia" w:ascii="Times New Roman" w:hAnsi="Times New Roman"/>
        </w:rPr>
        <w:t>本规程</w:t>
      </w:r>
      <w:r>
        <w:rPr>
          <w:rFonts w:ascii="Times New Roman" w:hAnsi="Times New Roman"/>
        </w:rPr>
        <w:t>第 19 章、第 22 章的相关规定。</w:t>
      </w:r>
    </w:p>
    <w:p w14:paraId="02C38160">
      <w:pPr>
        <w:widowControl/>
        <w:spacing w:line="330" w:lineRule="exact"/>
        <w:ind w:left="0" w:firstLine="0" w:firstLineChars="0"/>
        <w:jc w:val="left"/>
        <w:rPr>
          <w:rFonts w:ascii="Times New Roman" w:hAnsi="Times New Roman"/>
        </w:rPr>
      </w:pPr>
      <w:r>
        <w:rPr>
          <w:rFonts w:ascii="Times New Roman" w:hAnsi="Times New Roman"/>
          <w:szCs w:val="21"/>
        </w:rPr>
        <w:t xml:space="preserve">5.1.3 </w:t>
      </w:r>
      <w:r>
        <w:rPr>
          <w:rFonts w:ascii="Times New Roman" w:hAnsi="Times New Roman"/>
        </w:rPr>
        <w:t>信息接入系统缆线的敷设应符合本规程第8章综合布线系统的</w:t>
      </w:r>
      <w:r>
        <w:rPr>
          <w:rFonts w:hint="eastAsia" w:ascii="Times New Roman" w:hAnsi="Times New Roman"/>
        </w:rPr>
        <w:t>相关</w:t>
      </w:r>
      <w:r>
        <w:rPr>
          <w:rFonts w:ascii="Times New Roman" w:hAnsi="Times New Roman"/>
        </w:rPr>
        <w:t>规定。</w:t>
      </w:r>
    </w:p>
    <w:p w14:paraId="2147021D">
      <w:pPr>
        <w:pStyle w:val="3"/>
        <w:spacing w:before="240" w:after="120" w:afterLines="50" w:line="330" w:lineRule="exact"/>
        <w:rPr>
          <w:rFonts w:eastAsia="黑体"/>
          <w:b w:val="0"/>
          <w:bCs w:val="0"/>
          <w:sz w:val="21"/>
          <w:szCs w:val="21"/>
          <w:lang w:val="en-US"/>
        </w:rPr>
      </w:pPr>
      <w:bookmarkStart w:id="51" w:name="_Toc182487931"/>
      <w:r>
        <w:rPr>
          <w:rFonts w:eastAsia="黑体"/>
          <w:b w:val="0"/>
          <w:bCs w:val="0"/>
          <w:sz w:val="21"/>
          <w:szCs w:val="21"/>
          <w:lang w:val="en-US"/>
        </w:rPr>
        <w:t>5.2 施工准备</w:t>
      </w:r>
      <w:bookmarkEnd w:id="51"/>
    </w:p>
    <w:p w14:paraId="3C28DBE5">
      <w:pPr>
        <w:widowControl/>
        <w:spacing w:line="330" w:lineRule="exact"/>
        <w:ind w:left="0" w:firstLine="0" w:firstLineChars="0"/>
        <w:jc w:val="left"/>
        <w:rPr>
          <w:rFonts w:ascii="Times New Roman" w:hAnsi="Times New Roman"/>
        </w:rPr>
      </w:pPr>
      <w:r>
        <w:rPr>
          <w:rFonts w:ascii="Times New Roman" w:hAnsi="Times New Roman"/>
          <w:szCs w:val="21"/>
        </w:rPr>
        <w:t xml:space="preserve">5.2.1 </w:t>
      </w:r>
      <w:r>
        <w:rPr>
          <w:rFonts w:ascii="Times New Roman" w:hAnsi="Times New Roman"/>
        </w:rPr>
        <w:t>主要材料有数字程控交换机、数字资料接点机（DDN）、宽频接入设备（DSLAM、LAN，SWITCH等）、数字传输设备、电源等机房设备；电话机、传真机、计算机等终端设备；桥架、线槽、光缆、电缆、电线、支吊架管材、型材等安装用料。</w:t>
      </w:r>
    </w:p>
    <w:p w14:paraId="0688A401">
      <w:pPr>
        <w:widowControl/>
        <w:spacing w:line="330" w:lineRule="exact"/>
        <w:ind w:left="0" w:firstLine="0" w:firstLineChars="0"/>
        <w:jc w:val="left"/>
        <w:rPr>
          <w:rFonts w:ascii="Times New Roman" w:hAnsi="Times New Roman"/>
        </w:rPr>
      </w:pPr>
      <w:r>
        <w:rPr>
          <w:rFonts w:ascii="Times New Roman" w:hAnsi="Times New Roman"/>
          <w:szCs w:val="21"/>
        </w:rPr>
        <w:t>5.2.2主要机具</w:t>
      </w:r>
      <w:r>
        <w:rPr>
          <w:rFonts w:ascii="Times New Roman" w:hAnsi="Times New Roman"/>
        </w:rPr>
        <w:t>有电焊机、切割机、砂轮机、专用工具、光纤熔接机等施工机具；场强仪、综合数字分析仪、网络测试仪、示波器、数字万用表、PCM呼叫分析器、PCM信道测试仪、信令分析仪、对讲机等测试仪器。</w:t>
      </w:r>
    </w:p>
    <w:p w14:paraId="43087C9A">
      <w:pPr>
        <w:widowControl/>
        <w:spacing w:line="330" w:lineRule="exact"/>
        <w:ind w:left="0" w:firstLine="0" w:firstLineChars="0"/>
        <w:jc w:val="left"/>
        <w:rPr>
          <w:rFonts w:ascii="Times New Roman" w:hAnsi="Times New Roman"/>
        </w:rPr>
      </w:pPr>
      <w:r>
        <w:rPr>
          <w:rFonts w:ascii="Times New Roman" w:hAnsi="Times New Roman"/>
          <w:szCs w:val="21"/>
        </w:rPr>
        <w:t xml:space="preserve">5.2.3 </w:t>
      </w:r>
      <w:r>
        <w:rPr>
          <w:rFonts w:ascii="Times New Roman" w:hAnsi="Times New Roman"/>
        </w:rPr>
        <w:t>作业条件应符合下列规定：</w:t>
      </w:r>
    </w:p>
    <w:p w14:paraId="1BEC5EC9">
      <w:pPr>
        <w:pStyle w:val="164"/>
        <w:numPr>
          <w:ilvl w:val="0"/>
          <w:numId w:val="27"/>
        </w:numPr>
        <w:spacing w:line="330" w:lineRule="exact"/>
        <w:ind w:left="0" w:firstLine="420"/>
      </w:pPr>
      <w:r>
        <w:rPr>
          <w:rFonts w:hint="eastAsia"/>
        </w:rPr>
        <w:t>施工前应进行场地检查，机房建筑情况应满足设计要求，并且应符合下列规定：</w:t>
      </w:r>
    </w:p>
    <w:p w14:paraId="55FD09F4">
      <w:pPr>
        <w:pStyle w:val="164"/>
        <w:numPr>
          <w:ilvl w:val="0"/>
          <w:numId w:val="28"/>
        </w:numPr>
        <w:tabs>
          <w:tab w:val="left" w:pos="210"/>
          <w:tab w:val="left" w:pos="567"/>
        </w:tabs>
        <w:spacing w:line="330" w:lineRule="exact"/>
        <w:ind w:firstLine="630" w:firstLineChars="300"/>
        <w:rPr>
          <w:rFonts w:eastAsiaTheme="minorEastAsia"/>
        </w:rPr>
      </w:pPr>
      <w:r>
        <w:rPr>
          <w:rFonts w:hint="eastAsia" w:eastAsiaTheme="minorEastAsia"/>
        </w:rPr>
        <w:t>机房应远离电梯机房、水泵房等易产生电磁辐射干扰的场所，相隔距离应＞</w:t>
      </w:r>
      <w:r>
        <w:rPr>
          <w:rFonts w:eastAsiaTheme="minorEastAsia"/>
        </w:rPr>
        <w:t>15m</w:t>
      </w:r>
      <w:r>
        <w:rPr>
          <w:rFonts w:hint="eastAsia" w:eastAsiaTheme="minorEastAsia"/>
        </w:rPr>
        <w:t>；</w:t>
      </w:r>
    </w:p>
    <w:p w14:paraId="6773B3AC">
      <w:pPr>
        <w:pStyle w:val="164"/>
        <w:numPr>
          <w:ilvl w:val="0"/>
          <w:numId w:val="28"/>
        </w:numPr>
        <w:tabs>
          <w:tab w:val="left" w:pos="210"/>
          <w:tab w:val="left" w:pos="567"/>
        </w:tabs>
        <w:spacing w:line="330" w:lineRule="exact"/>
        <w:ind w:firstLine="630" w:firstLineChars="300"/>
        <w:rPr>
          <w:rFonts w:eastAsiaTheme="minorEastAsia"/>
        </w:rPr>
      </w:pPr>
      <w:r>
        <w:rPr>
          <w:rFonts w:hint="eastAsia" w:eastAsiaTheme="minorEastAsia"/>
        </w:rPr>
        <w:t>应无有害气体或蒸汽以及烟尘侵入，并远离易燃易爆场所；</w:t>
      </w:r>
    </w:p>
    <w:p w14:paraId="5CC0CC1D">
      <w:pPr>
        <w:pStyle w:val="164"/>
        <w:numPr>
          <w:ilvl w:val="0"/>
          <w:numId w:val="28"/>
        </w:numPr>
        <w:tabs>
          <w:tab w:val="left" w:pos="210"/>
          <w:tab w:val="left" w:pos="567"/>
        </w:tabs>
        <w:spacing w:line="330" w:lineRule="exact"/>
        <w:ind w:firstLine="630" w:firstLineChars="300"/>
        <w:rPr>
          <w:rFonts w:eastAsiaTheme="minorEastAsia"/>
        </w:rPr>
      </w:pPr>
      <w:r>
        <w:rPr>
          <w:rFonts w:hint="eastAsia" w:eastAsiaTheme="minorEastAsia"/>
        </w:rPr>
        <w:t>机房内应根据规模大小设置七氟丙烷或二氧化碳等固定式或手提式灭火装置，禁止采用水喷淋装置。</w:t>
      </w:r>
    </w:p>
    <w:p w14:paraId="37A0E94D">
      <w:pPr>
        <w:pStyle w:val="164"/>
        <w:numPr>
          <w:ilvl w:val="0"/>
          <w:numId w:val="27"/>
        </w:numPr>
        <w:spacing w:line="330" w:lineRule="exact"/>
        <w:ind w:left="0" w:firstLine="420"/>
        <w:rPr>
          <w:rFonts w:eastAsiaTheme="minorEastAsia"/>
        </w:rPr>
      </w:pPr>
      <w:r>
        <w:rPr>
          <w:rFonts w:eastAsiaTheme="minorEastAsia"/>
        </w:rPr>
        <w:t>机房地线和电源线的布放应</w:t>
      </w:r>
      <w:r>
        <w:rPr>
          <w:rFonts w:hint="eastAsia" w:eastAsiaTheme="minorEastAsia"/>
        </w:rPr>
        <w:t>满足</w:t>
      </w:r>
      <w:r>
        <w:rPr>
          <w:rFonts w:eastAsiaTheme="minorEastAsia"/>
        </w:rPr>
        <w:t>设计要求。</w:t>
      </w:r>
    </w:p>
    <w:p w14:paraId="33230225">
      <w:pPr>
        <w:pStyle w:val="164"/>
        <w:numPr>
          <w:ilvl w:val="0"/>
          <w:numId w:val="27"/>
        </w:numPr>
        <w:spacing w:line="330" w:lineRule="exact"/>
        <w:ind w:left="0" w:firstLine="420"/>
        <w:rPr>
          <w:rFonts w:eastAsiaTheme="minorEastAsia"/>
        </w:rPr>
      </w:pPr>
      <w:r>
        <w:rPr>
          <w:rFonts w:hint="eastAsia" w:eastAsiaTheme="minorEastAsia"/>
        </w:rPr>
        <w:t>应在</w:t>
      </w:r>
      <w:r>
        <w:rPr>
          <w:rFonts w:eastAsiaTheme="minorEastAsia"/>
        </w:rPr>
        <w:t>首批机房设备、终端设备、电源设备等全部到齐</w:t>
      </w:r>
      <w:r>
        <w:rPr>
          <w:rFonts w:hint="eastAsia" w:eastAsiaTheme="minorEastAsia"/>
        </w:rPr>
        <w:t>方可进行施工</w:t>
      </w:r>
      <w:r>
        <w:rPr>
          <w:rFonts w:eastAsiaTheme="minorEastAsia"/>
        </w:rPr>
        <w:t>，其他设备和材料数量应满足连续施工的要求。</w:t>
      </w:r>
    </w:p>
    <w:p w14:paraId="611610BE">
      <w:pPr>
        <w:pStyle w:val="164"/>
        <w:numPr>
          <w:ilvl w:val="0"/>
          <w:numId w:val="27"/>
        </w:numPr>
        <w:spacing w:line="330" w:lineRule="exact"/>
        <w:ind w:left="0" w:firstLine="420"/>
        <w:rPr>
          <w:rFonts w:eastAsiaTheme="minorEastAsia"/>
        </w:rPr>
      </w:pPr>
      <w:r>
        <w:rPr>
          <w:rFonts w:eastAsiaTheme="minorEastAsia"/>
        </w:rPr>
        <w:t>通信接入系统接入公用通信网信道的传输率、信号方式、物理接口和接口协议</w:t>
      </w:r>
      <w:r>
        <w:rPr>
          <w:rFonts w:hint="eastAsia" w:eastAsiaTheme="minorEastAsia"/>
        </w:rPr>
        <w:t>应满足</w:t>
      </w:r>
      <w:r>
        <w:rPr>
          <w:rFonts w:eastAsiaTheme="minorEastAsia"/>
        </w:rPr>
        <w:t>设计要求。</w:t>
      </w:r>
    </w:p>
    <w:p w14:paraId="268D37EB">
      <w:pPr>
        <w:pStyle w:val="3"/>
        <w:spacing w:before="240" w:after="120" w:afterLines="50" w:line="330" w:lineRule="exact"/>
        <w:rPr>
          <w:rFonts w:eastAsia="黑体"/>
          <w:b w:val="0"/>
          <w:bCs w:val="0"/>
          <w:sz w:val="21"/>
          <w:szCs w:val="21"/>
          <w:lang w:val="en-US"/>
        </w:rPr>
      </w:pPr>
      <w:bookmarkStart w:id="52" w:name="_Toc182487932"/>
      <w:r>
        <w:rPr>
          <w:rFonts w:eastAsia="黑体"/>
          <w:b w:val="0"/>
          <w:bCs w:val="0"/>
          <w:sz w:val="21"/>
          <w:szCs w:val="21"/>
          <w:lang w:val="en-US"/>
        </w:rPr>
        <w:t>5.3 施工工艺</w:t>
      </w:r>
      <w:bookmarkEnd w:id="52"/>
    </w:p>
    <w:p w14:paraId="12A7059F">
      <w:pPr>
        <w:widowControl/>
        <w:spacing w:line="330" w:lineRule="exact"/>
        <w:ind w:left="0" w:firstLine="0" w:firstLineChars="0"/>
        <w:jc w:val="left"/>
        <w:rPr>
          <w:rFonts w:ascii="Times New Roman" w:hAnsi="Times New Roman"/>
        </w:rPr>
      </w:pPr>
      <w:r>
        <w:rPr>
          <w:rFonts w:ascii="Times New Roman" w:hAnsi="Times New Roman" w:eastAsiaTheme="minorEastAsia"/>
        </w:rPr>
        <mc:AlternateContent>
          <mc:Choice Requires="wpc">
            <w:drawing>
              <wp:anchor distT="0" distB="0" distL="114300" distR="114300" simplePos="0" relativeHeight="251673600" behindDoc="1" locked="0" layoutInCell="1" allowOverlap="1">
                <wp:simplePos x="0" y="0"/>
                <wp:positionH relativeFrom="margin">
                  <wp:align>left</wp:align>
                </wp:positionH>
                <wp:positionV relativeFrom="paragraph">
                  <wp:posOffset>289560</wp:posOffset>
                </wp:positionV>
                <wp:extent cx="5533390" cy="1168400"/>
                <wp:effectExtent l="0" t="0" r="0" b="12700"/>
                <wp:wrapSquare wrapText="bothSides"/>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Text Box 6"/>
                        <wps:cNvSpPr txBox="1">
                          <a:spLocks noChangeArrowheads="1"/>
                        </wps:cNvSpPr>
                        <wps:spPr bwMode="auto">
                          <a:xfrm>
                            <a:off x="23292" y="103029"/>
                            <a:ext cx="752507" cy="438402"/>
                          </a:xfrm>
                          <a:prstGeom prst="rect">
                            <a:avLst/>
                          </a:prstGeom>
                          <a:solidFill>
                            <a:srgbClr val="FFFFFF"/>
                          </a:solidFill>
                          <a:ln w="9525">
                            <a:solidFill>
                              <a:srgbClr val="000000"/>
                            </a:solidFill>
                            <a:miter lim="800000"/>
                          </a:ln>
                        </wps:spPr>
                        <wps:txbx>
                          <w:txbxContent>
                            <w:p w14:paraId="210736D2">
                              <w:pPr>
                                <w:ind w:left="105" w:hanging="105"/>
                                <w:jc w:val="left"/>
                                <w:rPr>
                                  <w:szCs w:val="21"/>
                                </w:rPr>
                              </w:pPr>
                              <w:r>
                                <w:rPr>
                                  <w:rFonts w:hint="eastAsia" w:ascii="宋体" w:hAnsi="宋体" w:cs="宋体"/>
                                  <w:szCs w:val="21"/>
                                </w:rPr>
                                <w:t>线缆敷设</w:t>
                              </w:r>
                            </w:p>
                          </w:txbxContent>
                        </wps:txbx>
                        <wps:bodyPr rot="0" vert="horz" wrap="square" lIns="91440" tIns="45720" rIns="91440" bIns="45720" anchor="ctr" anchorCtr="0" upright="1">
                          <a:noAutofit/>
                        </wps:bodyPr>
                      </wps:wsp>
                      <wps:wsp>
                        <wps:cNvPr id="33" name="Line 7"/>
                        <wps:cNvCnPr>
                          <a:cxnSpLocks noChangeShapeType="1"/>
                        </wps:cNvCnPr>
                        <wps:spPr bwMode="auto">
                          <a:xfrm flipV="1">
                            <a:off x="775799" y="321834"/>
                            <a:ext cx="249512" cy="396"/>
                          </a:xfrm>
                          <a:prstGeom prst="line">
                            <a:avLst/>
                          </a:prstGeom>
                          <a:noFill/>
                          <a:ln w="9525">
                            <a:solidFill>
                              <a:srgbClr val="000000"/>
                            </a:solidFill>
                            <a:round/>
                            <a:tailEnd type="triangle" w="med" len="med"/>
                          </a:ln>
                        </wps:spPr>
                        <wps:bodyPr/>
                      </wps:wsp>
                      <wps:wsp>
                        <wps:cNvPr id="34" name="Text Box 8"/>
                        <wps:cNvSpPr txBox="1">
                          <a:spLocks noChangeArrowheads="1"/>
                        </wps:cNvSpPr>
                        <wps:spPr bwMode="auto">
                          <a:xfrm>
                            <a:off x="1025311" y="110268"/>
                            <a:ext cx="723823" cy="423131"/>
                          </a:xfrm>
                          <a:prstGeom prst="rect">
                            <a:avLst/>
                          </a:prstGeom>
                          <a:solidFill>
                            <a:srgbClr val="FFFFFF"/>
                          </a:solidFill>
                          <a:ln w="9525">
                            <a:solidFill>
                              <a:srgbClr val="000000"/>
                            </a:solidFill>
                            <a:miter lim="800000"/>
                          </a:ln>
                        </wps:spPr>
                        <wps:txbx>
                          <w:txbxContent>
                            <w:p w14:paraId="14FF6BCA">
                              <w:pPr>
                                <w:ind w:left="105" w:hanging="105"/>
                                <w:rPr>
                                  <w:szCs w:val="21"/>
                                </w:rPr>
                              </w:pPr>
                              <w:r>
                                <w:rPr>
                                  <w:rFonts w:hint="eastAsia" w:ascii="宋体" w:hAnsi="宋体" w:cs="宋体"/>
                                  <w:szCs w:val="21"/>
                                </w:rPr>
                                <w:t>机架设备安装</w:t>
                              </w:r>
                            </w:p>
                          </w:txbxContent>
                        </wps:txbx>
                        <wps:bodyPr rot="0" vert="horz" wrap="square" lIns="91440" tIns="45720" rIns="91440" bIns="45720" anchor="ctr" anchorCtr="0" upright="1">
                          <a:noAutofit/>
                        </wps:bodyPr>
                      </wps:wsp>
                      <wps:wsp>
                        <wps:cNvPr id="35" name="Line 9"/>
                        <wps:cNvCnPr>
                          <a:cxnSpLocks noChangeShapeType="1"/>
                        </wps:cNvCnPr>
                        <wps:spPr bwMode="auto">
                          <a:xfrm flipV="1">
                            <a:off x="1749134" y="315916"/>
                            <a:ext cx="359756" cy="5918"/>
                          </a:xfrm>
                          <a:prstGeom prst="line">
                            <a:avLst/>
                          </a:prstGeom>
                          <a:noFill/>
                          <a:ln w="9525">
                            <a:solidFill>
                              <a:srgbClr val="000000"/>
                            </a:solidFill>
                            <a:round/>
                            <a:tailEnd type="triangle" w="med" len="med"/>
                          </a:ln>
                        </wps:spPr>
                        <wps:bodyPr/>
                      </wps:wsp>
                      <wps:wsp>
                        <wps:cNvPr id="36" name="Text Box 10"/>
                        <wps:cNvSpPr txBox="1">
                          <a:spLocks noChangeArrowheads="1"/>
                        </wps:cNvSpPr>
                        <wps:spPr bwMode="auto">
                          <a:xfrm>
                            <a:off x="3089868" y="96138"/>
                            <a:ext cx="833108" cy="438402"/>
                          </a:xfrm>
                          <a:prstGeom prst="rect">
                            <a:avLst/>
                          </a:prstGeom>
                          <a:solidFill>
                            <a:srgbClr val="FFFFFF"/>
                          </a:solidFill>
                          <a:ln w="9525">
                            <a:solidFill>
                              <a:srgbClr val="000000"/>
                            </a:solidFill>
                            <a:miter lim="800000"/>
                          </a:ln>
                        </wps:spPr>
                        <wps:txbx>
                          <w:txbxContent>
                            <w:p w14:paraId="41A4BC3F">
                              <w:pPr>
                                <w:ind w:left="105" w:hanging="105"/>
                                <w:rPr>
                                  <w:szCs w:val="21"/>
                                </w:rPr>
                              </w:pPr>
                              <w:r>
                                <w:rPr>
                                  <w:rFonts w:hint="eastAsia" w:ascii="宋体" w:hAnsi="宋体" w:cs="宋体"/>
                                  <w:szCs w:val="21"/>
                                </w:rPr>
                                <w:t>机台和终端设备安装</w:t>
                              </w:r>
                            </w:p>
                          </w:txbxContent>
                        </wps:txbx>
                        <wps:bodyPr rot="0" vert="horz" wrap="square" lIns="91440" tIns="45720" rIns="91440" bIns="45720" anchor="ctr" anchorCtr="0" upright="1">
                          <a:noAutofit/>
                        </wps:bodyPr>
                      </wps:wsp>
                      <wps:wsp>
                        <wps:cNvPr id="37" name="Line 11"/>
                        <wps:cNvCnPr>
                          <a:cxnSpLocks noChangeShapeType="1"/>
                        </wps:cNvCnPr>
                        <wps:spPr bwMode="auto">
                          <a:xfrm flipV="1">
                            <a:off x="2804593" y="315339"/>
                            <a:ext cx="285275" cy="577"/>
                          </a:xfrm>
                          <a:prstGeom prst="line">
                            <a:avLst/>
                          </a:prstGeom>
                          <a:noFill/>
                          <a:ln w="9525">
                            <a:solidFill>
                              <a:srgbClr val="000000"/>
                            </a:solidFill>
                            <a:round/>
                            <a:tailEnd type="triangle" w="med" len="med"/>
                          </a:ln>
                        </wps:spPr>
                        <wps:bodyPr/>
                      </wps:wsp>
                      <wps:wsp>
                        <wps:cNvPr id="38" name="Text Box 14"/>
                        <wps:cNvSpPr txBox="1">
                          <a:spLocks noChangeArrowheads="1"/>
                        </wps:cNvSpPr>
                        <wps:spPr bwMode="auto">
                          <a:xfrm>
                            <a:off x="2108890" y="89146"/>
                            <a:ext cx="695703" cy="453539"/>
                          </a:xfrm>
                          <a:prstGeom prst="rect">
                            <a:avLst/>
                          </a:prstGeom>
                          <a:solidFill>
                            <a:srgbClr val="FFFFFF"/>
                          </a:solidFill>
                          <a:ln w="9525">
                            <a:solidFill>
                              <a:srgbClr val="000000"/>
                            </a:solidFill>
                            <a:miter lim="800000"/>
                          </a:ln>
                        </wps:spPr>
                        <wps:txbx>
                          <w:txbxContent>
                            <w:p w14:paraId="2B591229">
                              <w:pPr>
                                <w:ind w:left="105" w:hanging="105"/>
                                <w:rPr>
                                  <w:szCs w:val="21"/>
                                </w:rPr>
                              </w:pPr>
                              <w:r>
                                <w:rPr>
                                  <w:rFonts w:hint="eastAsia" w:ascii="宋体" w:hAnsi="宋体" w:cs="宋体"/>
                                  <w:szCs w:val="21"/>
                                </w:rPr>
                                <w:t>配线架安装</w:t>
                              </w:r>
                            </w:p>
                          </w:txbxContent>
                        </wps:txbx>
                        <wps:bodyPr rot="0" vert="horz" wrap="square" lIns="91440" tIns="45720" rIns="91440" bIns="45720" anchor="ctr" anchorCtr="0" upright="1">
                          <a:noAutofit/>
                        </wps:bodyPr>
                      </wps:wsp>
                      <wps:wsp>
                        <wps:cNvPr id="39" name="Text Box 10"/>
                        <wps:cNvSpPr txBox="1">
                          <a:spLocks noChangeArrowheads="1"/>
                        </wps:cNvSpPr>
                        <wps:spPr bwMode="auto">
                          <a:xfrm>
                            <a:off x="4164940" y="104283"/>
                            <a:ext cx="833108" cy="438402"/>
                          </a:xfrm>
                          <a:prstGeom prst="rect">
                            <a:avLst/>
                          </a:prstGeom>
                          <a:solidFill>
                            <a:srgbClr val="FFFFFF"/>
                          </a:solidFill>
                          <a:ln w="9525">
                            <a:solidFill>
                              <a:srgbClr val="000000"/>
                            </a:solidFill>
                            <a:miter lim="800000"/>
                          </a:ln>
                        </wps:spPr>
                        <wps:txbx>
                          <w:txbxContent>
                            <w:p w14:paraId="7BF0E67C">
                              <w:pPr>
                                <w:ind w:left="105" w:hanging="105"/>
                                <w:rPr>
                                  <w:szCs w:val="21"/>
                                </w:rPr>
                              </w:pPr>
                              <w:r>
                                <w:rPr>
                                  <w:rFonts w:hint="eastAsia" w:ascii="宋体" w:hAnsi="宋体" w:cs="宋体"/>
                                  <w:szCs w:val="21"/>
                                </w:rPr>
                                <w:t>系统测试</w:t>
                              </w:r>
                            </w:p>
                          </w:txbxContent>
                        </wps:txbx>
                        <wps:bodyPr rot="0" vert="horz" wrap="square" lIns="91440" tIns="45720" rIns="91440" bIns="45720" anchor="ctr" anchorCtr="0" upright="1">
                          <a:noAutofit/>
                        </wps:bodyPr>
                      </wps:wsp>
                      <wps:wsp>
                        <wps:cNvPr id="40" name="Text Box 10"/>
                        <wps:cNvSpPr txBox="1">
                          <a:spLocks noChangeArrowheads="1"/>
                        </wps:cNvSpPr>
                        <wps:spPr bwMode="auto">
                          <a:xfrm>
                            <a:off x="23292" y="729998"/>
                            <a:ext cx="833108" cy="438402"/>
                          </a:xfrm>
                          <a:prstGeom prst="rect">
                            <a:avLst/>
                          </a:prstGeom>
                          <a:solidFill>
                            <a:srgbClr val="FFFFFF"/>
                          </a:solidFill>
                          <a:ln w="9525">
                            <a:solidFill>
                              <a:srgbClr val="000000"/>
                            </a:solidFill>
                            <a:miter lim="800000"/>
                          </a:ln>
                        </wps:spPr>
                        <wps:txbx>
                          <w:txbxContent>
                            <w:p w14:paraId="66478689">
                              <w:pPr>
                                <w:ind w:left="105" w:hanging="105"/>
                                <w:rPr>
                                  <w:szCs w:val="21"/>
                                </w:rPr>
                              </w:pPr>
                              <w:r>
                                <w:rPr>
                                  <w:rFonts w:hint="eastAsia" w:ascii="宋体" w:hAnsi="宋体" w:cs="宋体"/>
                                  <w:szCs w:val="21"/>
                                </w:rPr>
                                <w:t>试运行及检验测试</w:t>
                              </w:r>
                            </w:p>
                          </w:txbxContent>
                        </wps:txbx>
                        <wps:bodyPr rot="0" vert="horz" wrap="square" lIns="91440" tIns="45720" rIns="91440" bIns="45720" anchor="ctr" anchorCtr="0" upright="1">
                          <a:noAutofit/>
                        </wps:bodyPr>
                      </wps:wsp>
                      <wps:wsp>
                        <wps:cNvPr id="41" name="Line 5"/>
                        <wps:cNvCnPr>
                          <a:cxnSpLocks noChangeShapeType="1"/>
                        </wps:cNvCnPr>
                        <wps:spPr bwMode="auto">
                          <a:xfrm>
                            <a:off x="3922976" y="310912"/>
                            <a:ext cx="228568" cy="0"/>
                          </a:xfrm>
                          <a:prstGeom prst="line">
                            <a:avLst/>
                          </a:prstGeom>
                          <a:noFill/>
                          <a:ln w="9525">
                            <a:solidFill>
                              <a:srgbClr val="000000"/>
                            </a:solidFill>
                            <a:round/>
                            <a:tailEnd type="triangle" w="med" len="med"/>
                          </a:ln>
                        </wps:spPr>
                        <wps:bodyPr/>
                      </wps:wsp>
                      <wps:wsp>
                        <wps:cNvPr id="42" name="Line 5"/>
                        <wps:cNvCnPr>
                          <a:cxnSpLocks noChangeShapeType="1"/>
                        </wps:cNvCnPr>
                        <wps:spPr bwMode="auto">
                          <a:xfrm>
                            <a:off x="4998048" y="323484"/>
                            <a:ext cx="367042" cy="6350"/>
                          </a:xfrm>
                          <a:prstGeom prst="line">
                            <a:avLst/>
                          </a:prstGeom>
                          <a:noFill/>
                          <a:ln w="9525">
                            <a:solidFill>
                              <a:srgbClr val="000000"/>
                            </a:solidFill>
                            <a:round/>
                            <a:tailEnd type="triangle" w="med" len="med"/>
                          </a:ln>
                        </wps:spPr>
                        <wps:bodyPr/>
                      </wps:wsp>
                    </wpc:wpc>
                  </a:graphicData>
                </a:graphic>
              </wp:anchor>
            </w:drawing>
          </mc:Choice>
          <mc:Fallback>
            <w:pict>
              <v:group id="_x0000_s1026" o:spid="_x0000_s1026" o:spt="203" style="position:absolute;left:0pt;margin-top:22.8pt;height:92pt;width:435.7pt;mso-position-horizontal:left;mso-position-horizontal-relative:margin;mso-wrap-distance-bottom:0pt;mso-wrap-distance-left:9pt;mso-wrap-distance-right:9pt;mso-wrap-distance-top:0pt;z-index:-251642880;mso-width-relative:page;mso-height-relative:page;" coordsize="5533390,1168400" editas="canvas" o:gfxdata="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DFzfITZAAAABwEA&#10;AA8AAAAAAAAAAQAgAAAAIgAAAGRycy9kb3ducmV2LnhtbFBLAQIUABQAAAAIAIdO4kBeStHWxQQA&#10;AFcdAAAOAAAAAAAAAAEAIAAAACgBAABkcnMvZTJvRG9jLnhtbFBLBQYAAAAABgAGAFkBAABfCAAA&#10;AAA=&#10;">
                <o:lock v:ext="edit" aspectratio="f"/>
                <v:shape id="_x0000_s1026" o:spid="_x0000_s1026" style="position:absolute;left:0;top:0;height:1168400;width:5533390;" filled="f" stroked="f" coordsize="21600,21600" o:gfxdata="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DFzfITZAAAABwEAAA8AAAAAAAAAAQAgAAAAIgAAAGRycy9k&#10;b3ducmV2LnhtbFBLAQIUABQAAAAIAIdO4kBXip9XdAQAAK8cAAAOAAAAAAAAAAEAIAAAACgBAABk&#10;cnMvZTJvRG9jLnhtbFBLBQYAAAAABgAGAFkBAAAOCAAAAAA=&#10;">
                  <v:fill on="f" focussize="0,0"/>
                  <v:stroke on="f"/>
                  <v:imagedata o:title=""/>
                  <o:lock v:ext="edit" aspectratio="t"/>
                </v:shape>
                <v:shape id="Text Box 6" o:spid="_x0000_s1026" o:spt="202" type="#_x0000_t202" style="position:absolute;left:23292;top:103029;height:438402;width:752507;v-text-anchor:middle;" fillcolor="#FFFFFF" filled="t" stroked="t" coordsize="21600,21600" o:gfxdata="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PhUCPVAAAABwEAAA8AAAAAAAAAAQAgAAAAIgAAAGRycy9kb3du&#10;cmV2LnhtbFBLAQIUABQAAAAIAIdO4kDFqh0rOwIAAJEEAAAOAAAAAAAAAAEAIAAAACQBAABkcnMv&#10;ZTJvRG9jLnhtbFBLBQYAAAAABgAGAFkBAADRBQAAAAA=&#10;">
                  <v:fill on="t" focussize="0,0"/>
                  <v:stroke color="#000000" miterlimit="8" joinstyle="miter"/>
                  <v:imagedata o:title=""/>
                  <o:lock v:ext="edit" aspectratio="f"/>
                  <v:textbox>
                    <w:txbxContent>
                      <w:p w14:paraId="210736D2">
                        <w:pPr>
                          <w:ind w:left="105" w:hanging="105"/>
                          <w:jc w:val="left"/>
                          <w:rPr>
                            <w:szCs w:val="21"/>
                          </w:rPr>
                        </w:pPr>
                        <w:r>
                          <w:rPr>
                            <w:rFonts w:hint="eastAsia" w:ascii="宋体" w:hAnsi="宋体" w:cs="宋体"/>
                            <w:szCs w:val="21"/>
                          </w:rPr>
                          <w:t>线缆敷设</w:t>
                        </w:r>
                      </w:p>
                    </w:txbxContent>
                  </v:textbox>
                </v:shape>
                <v:line id="Line 7" o:spid="_x0000_s1026" o:spt="20" style="position:absolute;left:775799;top:321834;flip:y;height:396;width:249512;" filled="f" stroked="t" coordsize="21600,21600" o:gfxdata="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HB4a2AAAAAcBAAAPAAAAAAAAAAEAIAAAACIAAABkcnMvZG93bnJldi54bWxQ&#10;SwECFAAUAAAACACHTuJAUOTvg/cBAADjAwAADgAAAAAAAAABACAAAAAnAQAAZHJzL2Uyb0RvYy54&#10;bWxQSwUGAAAAAAYABgBZAQAAkAUAAAAA&#10;">
                  <v:fill on="f" focussize="0,0"/>
                  <v:stroke color="#000000" joinstyle="round" endarrow="block"/>
                  <v:imagedata o:title=""/>
                  <o:lock v:ext="edit" aspectratio="f"/>
                </v:line>
                <v:shape id="Text Box 8" o:spid="_x0000_s1026" o:spt="202" type="#_x0000_t202" style="position:absolute;left:1025311;top:110268;height:423131;width:723823;v-text-anchor:middle;" fillcolor="#FFFFFF" filled="t" stroked="t" coordsize="21600,21600" o:gfxdata="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PhUCPVAAAABwEAAA8AAAAAAAAAAQAgAAAAIgAAAGRycy9kb3du&#10;cmV2LnhtbFBLAQIUABQAAAAIAIdO4kDCi/kzOwIAAJMEAAAOAAAAAAAAAAEAIAAAACQBAABkcnMv&#10;ZTJvRG9jLnhtbFBLBQYAAAAABgAGAFkBAADRBQAAAAA=&#10;">
                  <v:fill on="t" focussize="0,0"/>
                  <v:stroke color="#000000" miterlimit="8" joinstyle="miter"/>
                  <v:imagedata o:title=""/>
                  <o:lock v:ext="edit" aspectratio="f"/>
                  <v:textbox>
                    <w:txbxContent>
                      <w:p w14:paraId="14FF6BCA">
                        <w:pPr>
                          <w:ind w:left="105" w:hanging="105"/>
                          <w:rPr>
                            <w:szCs w:val="21"/>
                          </w:rPr>
                        </w:pPr>
                        <w:r>
                          <w:rPr>
                            <w:rFonts w:hint="eastAsia" w:ascii="宋体" w:hAnsi="宋体" w:cs="宋体"/>
                            <w:szCs w:val="21"/>
                          </w:rPr>
                          <w:t>机架设备安装</w:t>
                        </w:r>
                      </w:p>
                    </w:txbxContent>
                  </v:textbox>
                </v:shape>
                <v:line id="Line 9" o:spid="_x0000_s1026" o:spt="20" style="position:absolute;left:1749134;top:315916;flip:y;height:5918;width:359756;" filled="f" stroked="t" coordsize="21600,21600" o:gfxdata="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HB4a2AAAAAcBAAAPAAAAAAAAAAEAIAAAACIAAABkcnMvZG93bnJldi54bWxQ&#10;SwECFAAUAAAACACHTuJAUncEofcBAADlAwAADgAAAAAAAAABACAAAAAnAQAAZHJzL2Uyb0RvYy54&#10;bWxQSwUGAAAAAAYABgBZAQAAkAUAAAAA&#10;">
                  <v:fill on="f" focussize="0,0"/>
                  <v:stroke color="#000000" joinstyle="round" endarrow="block"/>
                  <v:imagedata o:title=""/>
                  <o:lock v:ext="edit" aspectratio="f"/>
                </v:line>
                <v:shape id="Text Box 10" o:spid="_x0000_s1026" o:spt="202" type="#_x0000_t202" style="position:absolute;left:3089868;top:96138;height:438402;width:833108;v-text-anchor:middle;" fillcolor="#FFFFFF" filled="t" stroked="t" coordsize="21600,21600" o:gfxdata="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FQI9UAAAAHAQAADwAAAAAAAAABACAAAAAiAAAAZHJzL2Rv&#10;d25yZXYueG1sUEsBAhQAFAAAAAgAh07iQCG2MVM9AgAAkwQAAA4AAAAAAAAAAQAgAAAAJAEAAGRy&#10;cy9lMm9Eb2MueG1sUEsFBgAAAAAGAAYAWQEAANMFAAAAAA==&#10;">
                  <v:fill on="t" focussize="0,0"/>
                  <v:stroke color="#000000" miterlimit="8" joinstyle="miter"/>
                  <v:imagedata o:title=""/>
                  <o:lock v:ext="edit" aspectratio="f"/>
                  <v:textbox>
                    <w:txbxContent>
                      <w:p w14:paraId="41A4BC3F">
                        <w:pPr>
                          <w:ind w:left="105" w:hanging="105"/>
                          <w:rPr>
                            <w:szCs w:val="21"/>
                          </w:rPr>
                        </w:pPr>
                        <w:r>
                          <w:rPr>
                            <w:rFonts w:hint="eastAsia" w:ascii="宋体" w:hAnsi="宋体" w:cs="宋体"/>
                            <w:szCs w:val="21"/>
                          </w:rPr>
                          <w:t>机台和终端设备安装</w:t>
                        </w:r>
                      </w:p>
                    </w:txbxContent>
                  </v:textbox>
                </v:shape>
                <v:line id="Line 11" o:spid="_x0000_s1026" o:spt="20" style="position:absolute;left:2804593;top:315339;flip:y;height:577;width:285275;" filled="f" stroked="t" coordsize="21600,21600" o:gfxdata="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HB4a2AAAAAcBAAAPAAAAAAAAAAEAIAAAACIAAABkcnMvZG93bnJldi54bWxQ&#10;SwECFAAUAAAACACHTuJAPtOLBPcBAADlAwAADgAAAAAAAAABACAAAAAnAQAAZHJzL2Uyb0RvYy54&#10;bWxQSwUGAAAAAAYABgBZAQAAkAUAAAAA&#10;">
                  <v:fill on="f" focussize="0,0"/>
                  <v:stroke color="#000000" joinstyle="round" endarrow="block"/>
                  <v:imagedata o:title=""/>
                  <o:lock v:ext="edit" aspectratio="f"/>
                </v:line>
                <v:shape id="Text Box 14" o:spid="_x0000_s1026" o:spt="202" type="#_x0000_t202" style="position:absolute;left:2108890;top:89146;height:453539;width:695703;v-text-anchor:middle;" fillcolor="#FFFFFF" filled="t" stroked="t" coordsize="21600,21600" o:gfxdata="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FQI9UAAAAHAQAADwAAAAAAAAABACAAAAAiAAAAZHJzL2Rv&#10;d25yZXYueG1sUEsBAhQAFAAAAAgAh07iQBsLnZY9AgAAkwQAAA4AAAAAAAAAAQAgAAAAJAEAAGRy&#10;cy9lMm9Eb2MueG1sUEsFBgAAAAAGAAYAWQEAANMFAAAAAA==&#10;">
                  <v:fill on="t" focussize="0,0"/>
                  <v:stroke color="#000000" miterlimit="8" joinstyle="miter"/>
                  <v:imagedata o:title=""/>
                  <o:lock v:ext="edit" aspectratio="f"/>
                  <v:textbox>
                    <w:txbxContent>
                      <w:p w14:paraId="2B591229">
                        <w:pPr>
                          <w:ind w:left="105" w:hanging="105"/>
                          <w:rPr>
                            <w:szCs w:val="21"/>
                          </w:rPr>
                        </w:pPr>
                        <w:r>
                          <w:rPr>
                            <w:rFonts w:hint="eastAsia" w:ascii="宋体" w:hAnsi="宋体" w:cs="宋体"/>
                            <w:szCs w:val="21"/>
                          </w:rPr>
                          <w:t>配线架安装</w:t>
                        </w:r>
                      </w:p>
                    </w:txbxContent>
                  </v:textbox>
                </v:shape>
                <v:shape id="Text Box 10" o:spid="_x0000_s1026" o:spt="202" type="#_x0000_t202" style="position:absolute;left:4164940;top:104283;height:438402;width:833108;v-text-anchor:middle;" fillcolor="#FFFFFF" filled="t" stroked="t" coordsize="21600,21600" o:gfxdata="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FQI9UAAAAHAQAADwAAAAAAAAABACAAAAAiAAAAZHJzL2Rv&#10;d25yZXYueG1sUEsBAhQAFAAAAAgAh07iQJiJ+YY9AgAAlAQAAA4AAAAAAAAAAQAgAAAAJAEAAGRy&#10;cy9lMm9Eb2MueG1sUEsFBgAAAAAGAAYAWQEAANMFAAAAAA==&#10;">
                  <v:fill on="t" focussize="0,0"/>
                  <v:stroke color="#000000" miterlimit="8" joinstyle="miter"/>
                  <v:imagedata o:title=""/>
                  <o:lock v:ext="edit" aspectratio="f"/>
                  <v:textbox>
                    <w:txbxContent>
                      <w:p w14:paraId="7BF0E67C">
                        <w:pPr>
                          <w:ind w:left="105" w:hanging="105"/>
                          <w:rPr>
                            <w:szCs w:val="21"/>
                          </w:rPr>
                        </w:pPr>
                        <w:r>
                          <w:rPr>
                            <w:rFonts w:hint="eastAsia" w:ascii="宋体" w:hAnsi="宋体" w:cs="宋体"/>
                            <w:szCs w:val="21"/>
                          </w:rPr>
                          <w:t>系统测试</w:t>
                        </w:r>
                      </w:p>
                    </w:txbxContent>
                  </v:textbox>
                </v:shape>
                <v:shape id="Text Box 10" o:spid="_x0000_s1026" o:spt="202" type="#_x0000_t202" style="position:absolute;left:23292;top:729998;height:438402;width:833108;v-text-anchor:middle;" fillcolor="#FFFFFF" filled="t" stroked="t" coordsize="21600,21600" o:gfxdata="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FQI9UAAAAHAQAADwAAAAAAAAABACAAAAAiAAAAZHJzL2Rv&#10;d25yZXYueG1sUEsBAhQAFAAAAAgAh07iQPHzmDg9AgAAkgQAAA4AAAAAAAAAAQAgAAAAJAEAAGRy&#10;cy9lMm9Eb2MueG1sUEsFBgAAAAAGAAYAWQEAANMFAAAAAA==&#10;">
                  <v:fill on="t" focussize="0,0"/>
                  <v:stroke color="#000000" miterlimit="8" joinstyle="miter"/>
                  <v:imagedata o:title=""/>
                  <o:lock v:ext="edit" aspectratio="f"/>
                  <v:textbox>
                    <w:txbxContent>
                      <w:p w14:paraId="66478689">
                        <w:pPr>
                          <w:ind w:left="105" w:hanging="105"/>
                          <w:rPr>
                            <w:szCs w:val="21"/>
                          </w:rPr>
                        </w:pPr>
                        <w:r>
                          <w:rPr>
                            <w:rFonts w:hint="eastAsia" w:ascii="宋体" w:hAnsi="宋体" w:cs="宋体"/>
                            <w:szCs w:val="21"/>
                          </w:rPr>
                          <w:t>试运行及检验测试</w:t>
                        </w:r>
                      </w:p>
                    </w:txbxContent>
                  </v:textbox>
                </v:shape>
                <v:line id="Line 5" o:spid="_x0000_s1026" o:spt="20" style="position:absolute;left:3922976;top:310912;height:0;width:228568;" filled="f" stroked="t" coordsize="21600,21600" o:gfxdata="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7VFrZAAAABwEAAA8AAAAAAAAAAQAgAAAAIgAAAGRycy9kb3ducmV2LnhtbFBLAQIU&#10;ABQAAAAIAIdO4kD4RF5x8gEAANgDAAAOAAAAAAAAAAEAIAAAACgBAABkcnMvZTJvRG9jLnhtbFBL&#10;BQYAAAAABgAGAFkBAACMBQAAAAA=&#10;">
                  <v:fill on="f" focussize="0,0"/>
                  <v:stroke color="#000000" joinstyle="round" endarrow="block"/>
                  <v:imagedata o:title=""/>
                  <o:lock v:ext="edit" aspectratio="f"/>
                </v:line>
                <v:line id="Line 5" o:spid="_x0000_s1026" o:spt="20" style="position:absolute;left:4998048;top:323484;height:6350;width:367042;" filled="f" stroked="t" coordsize="21600,21600" o:gfxdata="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vtUWtkAAAAHAQAADwAAAAAAAAABACAAAAAiAAAAZHJzL2Rvd25yZXYueG1sUEsB&#10;AhQAFAAAAAgAh07iQJfXEmb0AQAA2wMAAA4AAAAAAAAAAQAgAAAAKAEAAGRycy9lMm9Eb2MueG1s&#10;UEsFBgAAAAAGAAYAWQEAAI4FAAAAAA==&#10;">
                  <v:fill on="f" focussize="0,0"/>
                  <v:stroke color="#000000" joinstyle="round" endarrow="block"/>
                  <v:imagedata o:title=""/>
                  <o:lock v:ext="edit" aspectratio="f"/>
                </v:line>
                <w10:wrap type="square"/>
              </v:group>
            </w:pict>
          </mc:Fallback>
        </mc:AlternateContent>
      </w:r>
      <w:r>
        <w:rPr>
          <w:rFonts w:ascii="Times New Roman" w:hAnsi="Times New Roman"/>
          <w:szCs w:val="21"/>
        </w:rPr>
        <w:t xml:space="preserve">5.3.1 </w:t>
      </w:r>
      <w:r>
        <w:rPr>
          <w:rFonts w:ascii="Times New Roman" w:hAnsi="Times New Roman" w:eastAsiaTheme="minorEastAsia"/>
          <w:szCs w:val="21"/>
        </w:rPr>
        <w:t>信息接入系统施工工艺流程见图5.3.1。</w:t>
      </w:r>
    </w:p>
    <w:p w14:paraId="11169AE6">
      <w:pPr>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图5.3.1   信息接入系统施工工艺流程图</w:t>
      </w:r>
    </w:p>
    <w:p w14:paraId="60CDB7D4">
      <w:pPr>
        <w:widowControl/>
        <w:spacing w:line="330" w:lineRule="exact"/>
        <w:ind w:left="0" w:firstLine="0" w:firstLineChars="0"/>
        <w:jc w:val="left"/>
        <w:rPr>
          <w:rFonts w:ascii="Times New Roman" w:hAnsi="Times New Roman"/>
        </w:rPr>
      </w:pPr>
      <w:r>
        <w:rPr>
          <w:rFonts w:ascii="Times New Roman" w:hAnsi="Times New Roman"/>
          <w:szCs w:val="21"/>
        </w:rPr>
        <w:t xml:space="preserve">5.3.2 </w:t>
      </w:r>
      <w:r>
        <w:rPr>
          <w:rFonts w:hint="eastAsia" w:ascii="Times New Roman" w:hAnsi="Times New Roman"/>
        </w:rPr>
        <w:t>线缆敷设与设备接地要求</w:t>
      </w:r>
      <w:r>
        <w:rPr>
          <w:rFonts w:ascii="Times New Roman" w:hAnsi="Times New Roman"/>
        </w:rPr>
        <w:t>应符合下列规定：</w:t>
      </w:r>
    </w:p>
    <w:p w14:paraId="4F121B81">
      <w:pPr>
        <w:pStyle w:val="164"/>
        <w:numPr>
          <w:ilvl w:val="0"/>
          <w:numId w:val="29"/>
        </w:numPr>
        <w:spacing w:line="330" w:lineRule="exact"/>
        <w:ind w:left="0" w:firstLine="420"/>
      </w:pPr>
      <w:r>
        <w:rPr>
          <w:rFonts w:hint="eastAsia"/>
        </w:rPr>
        <w:t>线</w:t>
      </w:r>
      <w:r>
        <w:t>缆敷设要求应</w:t>
      </w:r>
      <w:r>
        <w:rPr>
          <w:rFonts w:hint="eastAsia"/>
        </w:rPr>
        <w:t>符合</w:t>
      </w:r>
      <w:r>
        <w:t>下列</w:t>
      </w:r>
      <w:r>
        <w:rPr>
          <w:rFonts w:hint="eastAsia"/>
        </w:rPr>
        <w:t>规定</w:t>
      </w:r>
      <w:r>
        <w:t>：</w:t>
      </w:r>
    </w:p>
    <w:p w14:paraId="04B5F564">
      <w:pPr>
        <w:pStyle w:val="164"/>
        <w:numPr>
          <w:ilvl w:val="0"/>
          <w:numId w:val="30"/>
        </w:numPr>
        <w:tabs>
          <w:tab w:val="left" w:pos="210"/>
          <w:tab w:val="left" w:pos="567"/>
        </w:tabs>
        <w:spacing w:line="330" w:lineRule="exact"/>
        <w:ind w:firstLine="630" w:firstLineChars="300"/>
      </w:pPr>
      <w:r>
        <w:t>电源线宜与信号线、控制线分开敷设。</w:t>
      </w:r>
    </w:p>
    <w:p w14:paraId="5393A26B">
      <w:pPr>
        <w:pStyle w:val="164"/>
        <w:numPr>
          <w:ilvl w:val="0"/>
          <w:numId w:val="30"/>
        </w:numPr>
        <w:tabs>
          <w:tab w:val="left" w:pos="210"/>
          <w:tab w:val="left" w:pos="567"/>
        </w:tabs>
        <w:spacing w:line="330" w:lineRule="exact"/>
        <w:ind w:firstLine="630" w:firstLineChars="300"/>
      </w:pPr>
      <w:r>
        <w:t>电缆布放的路线、位置和截面应满足设计要求。</w:t>
      </w:r>
    </w:p>
    <w:p w14:paraId="61CAB956">
      <w:pPr>
        <w:pStyle w:val="164"/>
        <w:numPr>
          <w:ilvl w:val="0"/>
          <w:numId w:val="30"/>
        </w:numPr>
        <w:tabs>
          <w:tab w:val="left" w:pos="210"/>
          <w:tab w:val="left" w:pos="567"/>
        </w:tabs>
        <w:spacing w:line="330" w:lineRule="exact"/>
        <w:ind w:firstLine="630" w:firstLineChars="300"/>
      </w:pPr>
      <w:r>
        <w:t>捆绑电缆弯曲半径不宜小于电缆直径的10倍，同一类型的电缆弯度应一致；穿放光缆时，其弯曲半径不宜小于其外径的10倍。</w:t>
      </w:r>
    </w:p>
    <w:p w14:paraId="3935099C">
      <w:pPr>
        <w:pStyle w:val="164"/>
        <w:numPr>
          <w:ilvl w:val="0"/>
          <w:numId w:val="30"/>
        </w:numPr>
        <w:tabs>
          <w:tab w:val="left" w:pos="210"/>
          <w:tab w:val="left" w:pos="567"/>
        </w:tabs>
        <w:spacing w:line="330" w:lineRule="exact"/>
        <w:ind w:firstLine="630" w:firstLineChars="300"/>
      </w:pPr>
      <w:r>
        <w:t>软光纤应采用独用塑料线槽敷设，与其他缆线交叉时应采用穿塑料管保护。</w:t>
      </w:r>
    </w:p>
    <w:p w14:paraId="42BE78B1">
      <w:pPr>
        <w:pStyle w:val="164"/>
        <w:numPr>
          <w:ilvl w:val="0"/>
          <w:numId w:val="30"/>
        </w:numPr>
        <w:tabs>
          <w:tab w:val="left" w:pos="210"/>
          <w:tab w:val="left" w:pos="567"/>
        </w:tabs>
        <w:spacing w:line="330" w:lineRule="exact"/>
        <w:ind w:firstLine="630" w:firstLineChars="300"/>
      </w:pPr>
      <w:r>
        <w:t>电缆或光纤两端成端后应按设计作好标记。</w:t>
      </w:r>
    </w:p>
    <w:p w14:paraId="20290208">
      <w:pPr>
        <w:pStyle w:val="164"/>
        <w:numPr>
          <w:ilvl w:val="0"/>
          <w:numId w:val="30"/>
        </w:numPr>
        <w:tabs>
          <w:tab w:val="left" w:pos="210"/>
          <w:tab w:val="left" w:pos="567"/>
        </w:tabs>
        <w:spacing w:line="330" w:lineRule="exact"/>
        <w:ind w:firstLine="630" w:firstLineChars="300"/>
      </w:pPr>
      <w:r>
        <w:t>电源线的敷设应满足下列要求：</w:t>
      </w:r>
    </w:p>
    <w:p w14:paraId="603FBDAD">
      <w:pPr>
        <w:pStyle w:val="164"/>
        <w:numPr>
          <w:ilvl w:val="0"/>
          <w:numId w:val="31"/>
        </w:numPr>
        <w:autoSpaceDE w:val="0"/>
        <w:autoSpaceDN w:val="0"/>
        <w:adjustRightInd w:val="0"/>
        <w:snapToGrid w:val="0"/>
        <w:spacing w:line="330" w:lineRule="exact"/>
        <w:ind w:left="0" w:firstLine="840" w:firstLineChars="400"/>
      </w:pPr>
      <w:r>
        <w:t>交换机系统使用的交流电源线（110V/220V）应有接地保护线。</w:t>
      </w:r>
    </w:p>
    <w:p w14:paraId="085C8EB6">
      <w:pPr>
        <w:pStyle w:val="164"/>
        <w:numPr>
          <w:ilvl w:val="0"/>
          <w:numId w:val="31"/>
        </w:numPr>
        <w:autoSpaceDE w:val="0"/>
        <w:autoSpaceDN w:val="0"/>
        <w:adjustRightInd w:val="0"/>
        <w:snapToGrid w:val="0"/>
        <w:spacing w:line="330" w:lineRule="exact"/>
        <w:ind w:left="0" w:firstLine="840" w:firstLineChars="400"/>
      </w:pPr>
      <w:r>
        <w:t>直流电源线应保证电压降指标及对地电位满足设计要求。</w:t>
      </w:r>
    </w:p>
    <w:p w14:paraId="61DB8F11">
      <w:pPr>
        <w:pStyle w:val="164"/>
        <w:numPr>
          <w:ilvl w:val="0"/>
          <w:numId w:val="31"/>
        </w:numPr>
        <w:autoSpaceDE w:val="0"/>
        <w:autoSpaceDN w:val="0"/>
        <w:adjustRightInd w:val="0"/>
        <w:snapToGrid w:val="0"/>
        <w:spacing w:line="330" w:lineRule="exact"/>
        <w:ind w:left="0" w:firstLine="840" w:firstLineChars="400"/>
      </w:pPr>
      <w:r>
        <w:t>机房的每路直流馈电线两端腾空时，用500V的兆欧表测试正负线间和负线对地间绝缘电阻均应≥1MΩ，交换系统使用的交流电源线两端腾空时，用500V的兆欧表测试芯线间和芯线对地间绝缘电阻均应</w:t>
      </w:r>
      <w:r>
        <w:rPr>
          <w:rFonts w:hint="eastAsia"/>
        </w:rPr>
        <w:t>≥</w:t>
      </w:r>
      <w:r>
        <w:t>1MΩ。</w:t>
      </w:r>
    </w:p>
    <w:p w14:paraId="3F0C6CCC">
      <w:pPr>
        <w:pStyle w:val="164"/>
        <w:numPr>
          <w:ilvl w:val="0"/>
          <w:numId w:val="31"/>
        </w:numPr>
        <w:autoSpaceDE w:val="0"/>
        <w:autoSpaceDN w:val="0"/>
        <w:adjustRightInd w:val="0"/>
        <w:snapToGrid w:val="0"/>
        <w:spacing w:line="330" w:lineRule="exact"/>
        <w:ind w:left="0" w:firstLine="840" w:firstLineChars="400"/>
      </w:pPr>
      <w:r>
        <w:t>电源导线的固定方法和要求，应满足设计要求。</w:t>
      </w:r>
    </w:p>
    <w:p w14:paraId="5AB69DFB">
      <w:pPr>
        <w:pStyle w:val="164"/>
        <w:numPr>
          <w:ilvl w:val="0"/>
          <w:numId w:val="31"/>
        </w:numPr>
        <w:autoSpaceDE w:val="0"/>
        <w:autoSpaceDN w:val="0"/>
        <w:adjustRightInd w:val="0"/>
        <w:snapToGrid w:val="0"/>
        <w:spacing w:line="330" w:lineRule="exact"/>
        <w:ind w:left="0" w:firstLine="840" w:firstLineChars="400"/>
      </w:pPr>
      <w:r>
        <w:t>电源线色标应清晰、正确，正线为红色，负线为蓝色。</w:t>
      </w:r>
    </w:p>
    <w:p w14:paraId="2AD79827">
      <w:pPr>
        <w:pStyle w:val="164"/>
        <w:numPr>
          <w:ilvl w:val="0"/>
          <w:numId w:val="31"/>
        </w:numPr>
        <w:autoSpaceDE w:val="0"/>
        <w:autoSpaceDN w:val="0"/>
        <w:adjustRightInd w:val="0"/>
        <w:snapToGrid w:val="0"/>
        <w:spacing w:line="330" w:lineRule="exact"/>
        <w:ind w:left="0" w:firstLine="840" w:firstLineChars="400"/>
      </w:pPr>
      <w:r>
        <w:t>汇流条转弯和电源线转弯时的曲率半径应满足</w:t>
      </w:r>
      <w:r>
        <w:rPr>
          <w:rFonts w:hint="eastAsia"/>
        </w:rPr>
        <w:t>设计</w:t>
      </w:r>
      <w:r>
        <w:t>要求。</w:t>
      </w:r>
    </w:p>
    <w:p w14:paraId="2BF4CE36">
      <w:pPr>
        <w:pStyle w:val="164"/>
        <w:numPr>
          <w:ilvl w:val="0"/>
          <w:numId w:val="31"/>
        </w:numPr>
        <w:autoSpaceDE w:val="0"/>
        <w:autoSpaceDN w:val="0"/>
        <w:adjustRightInd w:val="0"/>
        <w:snapToGrid w:val="0"/>
        <w:spacing w:line="330" w:lineRule="exact"/>
        <w:ind w:left="0" w:firstLine="840" w:firstLineChars="400"/>
      </w:pPr>
      <w:r>
        <w:t>汇流条鸭脖弯连接的铜排搭接长度应等于其宽度。</w:t>
      </w:r>
    </w:p>
    <w:p w14:paraId="6997B060">
      <w:pPr>
        <w:pStyle w:val="164"/>
        <w:numPr>
          <w:ilvl w:val="0"/>
          <w:numId w:val="29"/>
        </w:numPr>
        <w:spacing w:line="330" w:lineRule="exact"/>
        <w:ind w:left="0" w:firstLine="420"/>
      </w:pPr>
      <w:r>
        <w:t>电信设备的工作接地，</w:t>
      </w:r>
      <w:r>
        <w:rPr>
          <w:rFonts w:hint="eastAsia"/>
        </w:rPr>
        <w:t>应</w:t>
      </w:r>
      <w:r>
        <w:t>单独设置或与建筑物内变压器的工作接地共享接地装置</w:t>
      </w:r>
      <w:r>
        <w:rPr>
          <w:rFonts w:hint="eastAsia"/>
        </w:rPr>
        <w:t>。</w:t>
      </w:r>
      <w:r>
        <w:t>采用共同接地装置时，应通过绝缘的专用接地线与接地装置相连，其接地电阻应</w:t>
      </w:r>
      <w:r>
        <w:rPr>
          <w:rFonts w:hint="eastAsia"/>
        </w:rPr>
        <w:t>≤</w:t>
      </w:r>
      <w:r>
        <w:t>12Ω，宜用两根截面</w:t>
      </w:r>
      <w:r>
        <w:rPr>
          <w:rFonts w:hint="eastAsia"/>
        </w:rPr>
        <w:t>≥</w:t>
      </w:r>
      <w:r>
        <w:t>25mm</w:t>
      </w:r>
      <w:r>
        <w:rPr>
          <w:vertAlign w:val="superscript"/>
        </w:rPr>
        <w:t>2</w:t>
      </w:r>
      <w:r>
        <w:t>的铜芯绝缘线穿管敷设到共同接地极上</w:t>
      </w:r>
      <w:r>
        <w:rPr>
          <w:rFonts w:hint="eastAsia"/>
        </w:rPr>
        <w:t>，</w:t>
      </w:r>
      <w:r>
        <w:t>音频信号传输导线的屏蔽层应牢固接地。</w:t>
      </w:r>
    </w:p>
    <w:p w14:paraId="7B564D01">
      <w:pPr>
        <w:widowControl/>
        <w:spacing w:line="330" w:lineRule="exact"/>
        <w:ind w:left="0" w:firstLine="0" w:firstLineChars="0"/>
        <w:jc w:val="left"/>
        <w:rPr>
          <w:rFonts w:ascii="Times New Roman" w:hAnsi="Times New Roman"/>
        </w:rPr>
      </w:pPr>
      <w:r>
        <w:rPr>
          <w:rFonts w:ascii="Times New Roman" w:hAnsi="Times New Roman"/>
          <w:szCs w:val="21"/>
        </w:rPr>
        <w:t xml:space="preserve">5.3.3 </w:t>
      </w:r>
      <w:r>
        <w:rPr>
          <w:rFonts w:ascii="Times New Roman" w:hAnsi="Times New Roman"/>
        </w:rPr>
        <w:t>机架设备安装应符合下列规定：</w:t>
      </w:r>
    </w:p>
    <w:p w14:paraId="38D5226A">
      <w:pPr>
        <w:pStyle w:val="164"/>
        <w:numPr>
          <w:ilvl w:val="0"/>
          <w:numId w:val="32"/>
        </w:numPr>
        <w:spacing w:line="330" w:lineRule="exact"/>
        <w:ind w:left="0" w:firstLine="420"/>
      </w:pPr>
      <w:r>
        <w:t>机架安装垂直度偏差应</w:t>
      </w:r>
      <w:r>
        <w:rPr>
          <w:rFonts w:hint="eastAsia"/>
        </w:rPr>
        <w:t>≤</w:t>
      </w:r>
      <w:r>
        <w:t>3mm</w:t>
      </w:r>
      <w:r>
        <w:rPr>
          <w:rFonts w:hint="eastAsia"/>
        </w:rPr>
        <w:t>。</w:t>
      </w:r>
    </w:p>
    <w:p w14:paraId="63960A82">
      <w:pPr>
        <w:pStyle w:val="164"/>
        <w:numPr>
          <w:ilvl w:val="0"/>
          <w:numId w:val="32"/>
        </w:numPr>
        <w:spacing w:line="330" w:lineRule="exact"/>
        <w:ind w:left="0" w:firstLine="420"/>
      </w:pPr>
      <w:r>
        <w:rPr>
          <w:rFonts w:hint="eastAsia"/>
        </w:rPr>
        <w:t>大列</w:t>
      </w:r>
      <w:r>
        <w:t>主走道侧应对齐成直线，误差应≤5mm，相邻机架应紧密靠拢，整列</w:t>
      </w:r>
      <w:r>
        <w:rPr>
          <w:rFonts w:hint="eastAsia"/>
        </w:rPr>
        <w:t>机架</w:t>
      </w:r>
      <w:r>
        <w:t>应在同一平面上，无凹凸现象。</w:t>
      </w:r>
    </w:p>
    <w:p w14:paraId="0E1DFA71">
      <w:pPr>
        <w:pStyle w:val="164"/>
        <w:numPr>
          <w:ilvl w:val="0"/>
          <w:numId w:val="32"/>
        </w:numPr>
        <w:spacing w:line="330" w:lineRule="exact"/>
        <w:ind w:left="0" w:firstLine="420"/>
      </w:pPr>
      <w:r>
        <w:t>有抗震要求时，机架应按设计的抗震要求进行加固。</w:t>
      </w:r>
    </w:p>
    <w:p w14:paraId="2F1D7308">
      <w:pPr>
        <w:pStyle w:val="164"/>
        <w:numPr>
          <w:ilvl w:val="0"/>
          <w:numId w:val="32"/>
        </w:numPr>
        <w:spacing w:line="330" w:lineRule="exact"/>
        <w:ind w:left="0" w:firstLine="420"/>
      </w:pPr>
      <w:r>
        <w:t>告警显示单元</w:t>
      </w:r>
      <w:r>
        <w:rPr>
          <w:rFonts w:hint="eastAsia"/>
        </w:rPr>
        <w:t>应</w:t>
      </w:r>
      <w:r>
        <w:t>安装位置端正合理，标志清楚。</w:t>
      </w:r>
    </w:p>
    <w:p w14:paraId="17D2B34E">
      <w:pPr>
        <w:widowControl/>
        <w:spacing w:line="330" w:lineRule="exact"/>
        <w:ind w:left="0" w:firstLine="0" w:firstLineChars="0"/>
        <w:jc w:val="left"/>
        <w:rPr>
          <w:rFonts w:ascii="Times New Roman" w:hAnsi="Times New Roman"/>
        </w:rPr>
      </w:pPr>
      <w:r>
        <w:rPr>
          <w:rFonts w:ascii="Times New Roman" w:hAnsi="Times New Roman"/>
          <w:szCs w:val="21"/>
        </w:rPr>
        <w:t xml:space="preserve">5.3.4 </w:t>
      </w:r>
      <w:r>
        <w:rPr>
          <w:rFonts w:ascii="Times New Roman" w:hAnsi="Times New Roman"/>
        </w:rPr>
        <w:t>配线架安装应符合下列规定：</w:t>
      </w:r>
    </w:p>
    <w:p w14:paraId="0935700F">
      <w:pPr>
        <w:pStyle w:val="164"/>
        <w:numPr>
          <w:ilvl w:val="0"/>
          <w:numId w:val="33"/>
        </w:numPr>
        <w:spacing w:line="330" w:lineRule="exact"/>
        <w:ind w:left="0" w:firstLine="420"/>
      </w:pPr>
      <w:r>
        <w:t>配线架的位置应</w:t>
      </w:r>
      <w:r>
        <w:rPr>
          <w:rFonts w:hint="eastAsia"/>
        </w:rPr>
        <w:t>符合设计要求</w:t>
      </w:r>
      <w:r>
        <w:t>，垂直度偏差应＜3mm，底座水平度偏差应＜1mm/m。</w:t>
      </w:r>
    </w:p>
    <w:p w14:paraId="6911EE88">
      <w:pPr>
        <w:pStyle w:val="164"/>
        <w:numPr>
          <w:ilvl w:val="0"/>
          <w:numId w:val="33"/>
        </w:numPr>
        <w:spacing w:line="330" w:lineRule="exact"/>
        <w:ind w:left="0" w:firstLine="420"/>
      </w:pPr>
      <w:r>
        <w:t>金属架应接地良好</w:t>
      </w:r>
      <w:r>
        <w:rPr>
          <w:rFonts w:hint="eastAsia"/>
        </w:rPr>
        <w:t>，告警装置应</w:t>
      </w:r>
      <w:r>
        <w:t>完整、可靠。</w:t>
      </w:r>
    </w:p>
    <w:p w14:paraId="6FF8BFDB">
      <w:pPr>
        <w:pStyle w:val="164"/>
        <w:numPr>
          <w:ilvl w:val="0"/>
          <w:numId w:val="33"/>
        </w:numPr>
        <w:spacing w:line="330" w:lineRule="exact"/>
        <w:ind w:left="0" w:firstLine="420"/>
      </w:pPr>
      <w:r>
        <w:t>有抗震要求时，配线架应按设计要求进行抗震加固。</w:t>
      </w:r>
    </w:p>
    <w:p w14:paraId="34E51657">
      <w:pPr>
        <w:widowControl/>
        <w:spacing w:line="330" w:lineRule="exact"/>
        <w:ind w:left="0" w:firstLine="0" w:firstLineChars="0"/>
        <w:jc w:val="left"/>
        <w:rPr>
          <w:rFonts w:ascii="Times New Roman" w:hAnsi="Times New Roman"/>
        </w:rPr>
      </w:pPr>
      <w:r>
        <w:rPr>
          <w:rFonts w:ascii="Times New Roman" w:hAnsi="Times New Roman"/>
          <w:szCs w:val="21"/>
        </w:rPr>
        <w:t xml:space="preserve">5.3.5 </w:t>
      </w:r>
      <w:r>
        <w:rPr>
          <w:rFonts w:ascii="Times New Roman" w:hAnsi="Times New Roman"/>
        </w:rPr>
        <w:t>机台和终端设备安装</w:t>
      </w:r>
      <w:r>
        <w:rPr>
          <w:rFonts w:hint="eastAsia" w:ascii="Times New Roman" w:hAnsi="Times New Roman"/>
        </w:rPr>
        <w:t>应</w:t>
      </w:r>
      <w:r>
        <w:rPr>
          <w:rFonts w:ascii="Times New Roman" w:hAnsi="Times New Roman"/>
        </w:rPr>
        <w:t>台列安装整齐，机台边缘应成一直线，相邻机台紧密靠拢，台面相互保持水平，衔接处无明显高低不平现象；终端设备应配备完整，安装就位，标志齐全、正确。</w:t>
      </w:r>
    </w:p>
    <w:p w14:paraId="5396E318">
      <w:pPr>
        <w:widowControl/>
        <w:spacing w:line="330" w:lineRule="exact"/>
        <w:ind w:left="0" w:firstLine="0" w:firstLineChars="0"/>
        <w:jc w:val="left"/>
        <w:rPr>
          <w:rFonts w:ascii="Times New Roman" w:hAnsi="Times New Roman"/>
        </w:rPr>
      </w:pPr>
      <w:r>
        <w:rPr>
          <w:rFonts w:ascii="Times New Roman" w:hAnsi="Times New Roman"/>
          <w:szCs w:val="21"/>
        </w:rPr>
        <w:t xml:space="preserve">5.3.6 </w:t>
      </w:r>
      <w:r>
        <w:rPr>
          <w:rFonts w:ascii="Times New Roman" w:hAnsi="Times New Roman"/>
        </w:rPr>
        <w:t>系统测试应符合下列规定：</w:t>
      </w:r>
    </w:p>
    <w:p w14:paraId="5E92E13D">
      <w:pPr>
        <w:pStyle w:val="164"/>
        <w:numPr>
          <w:ilvl w:val="0"/>
          <w:numId w:val="34"/>
        </w:numPr>
        <w:spacing w:line="330" w:lineRule="exact"/>
        <w:ind w:left="0" w:firstLine="420"/>
      </w:pPr>
      <w:r>
        <w:t>数字程控交换机的系统检查测试</w:t>
      </w:r>
      <w:r>
        <w:rPr>
          <w:rFonts w:hint="eastAsia"/>
        </w:rPr>
        <w:t>应</w:t>
      </w:r>
      <w:r>
        <w:t>符合下列</w:t>
      </w:r>
      <w:r>
        <w:rPr>
          <w:rFonts w:hint="eastAsia"/>
        </w:rPr>
        <w:t>规定</w:t>
      </w:r>
      <w:r>
        <w:t>：</w:t>
      </w:r>
    </w:p>
    <w:p w14:paraId="43D7D2FA">
      <w:pPr>
        <w:pStyle w:val="164"/>
        <w:numPr>
          <w:ilvl w:val="0"/>
          <w:numId w:val="35"/>
        </w:numPr>
        <w:tabs>
          <w:tab w:val="left" w:pos="210"/>
          <w:tab w:val="left" w:pos="567"/>
        </w:tabs>
        <w:spacing w:line="330" w:lineRule="exact"/>
        <w:ind w:firstLine="630" w:firstLineChars="300"/>
      </w:pPr>
      <w:r>
        <w:t>通电测试前</w:t>
      </w:r>
      <w:r>
        <w:rPr>
          <w:rFonts w:hint="eastAsia"/>
        </w:rPr>
        <w:t>，</w:t>
      </w:r>
      <w:r>
        <w:t>机房温度</w:t>
      </w:r>
      <w:r>
        <w:rPr>
          <w:rFonts w:hint="eastAsia"/>
        </w:rPr>
        <w:t>应为</w:t>
      </w:r>
      <w:r>
        <w:t>18℃～28℃，相对湿度</w:t>
      </w:r>
      <w:r>
        <w:rPr>
          <w:rFonts w:hint="eastAsia"/>
        </w:rPr>
        <w:t>应为</w:t>
      </w:r>
      <w:r>
        <w:t>30%～75%，直流电压</w:t>
      </w:r>
      <w:r>
        <w:rPr>
          <w:rFonts w:hint="eastAsia"/>
        </w:rPr>
        <w:t>应</w:t>
      </w:r>
      <w:r>
        <w:t>满足设计要求。设备的各种熔丝规格应</w:t>
      </w:r>
      <w:r>
        <w:rPr>
          <w:rFonts w:hint="eastAsia"/>
        </w:rPr>
        <w:t>满足</w:t>
      </w:r>
      <w:r>
        <w:t>要求；列架、机架</w:t>
      </w:r>
      <w:r>
        <w:rPr>
          <w:rFonts w:hint="eastAsia"/>
        </w:rPr>
        <w:t>应</w:t>
      </w:r>
      <w:r>
        <w:t>接地良好；设备内部的电源布线无接地现象</w:t>
      </w:r>
      <w:r>
        <w:rPr>
          <w:rFonts w:hint="eastAsia"/>
        </w:rPr>
        <w:t>且</w:t>
      </w:r>
      <w:r>
        <w:t>主电源正常。</w:t>
      </w:r>
    </w:p>
    <w:p w14:paraId="49C5974A">
      <w:pPr>
        <w:pStyle w:val="164"/>
        <w:numPr>
          <w:ilvl w:val="0"/>
          <w:numId w:val="35"/>
        </w:numPr>
        <w:tabs>
          <w:tab w:val="left" w:pos="210"/>
          <w:tab w:val="left" w:pos="567"/>
        </w:tabs>
        <w:spacing w:line="330" w:lineRule="exact"/>
        <w:ind w:firstLine="630" w:firstLineChars="300"/>
      </w:pPr>
      <w:r>
        <w:t>硬件通电测试应按厂商提供的设备技术资料测试。</w:t>
      </w:r>
    </w:p>
    <w:p w14:paraId="3C49BCE3">
      <w:pPr>
        <w:pStyle w:val="164"/>
        <w:numPr>
          <w:ilvl w:val="0"/>
          <w:numId w:val="35"/>
        </w:numPr>
        <w:tabs>
          <w:tab w:val="left" w:pos="210"/>
          <w:tab w:val="left" w:pos="567"/>
        </w:tabs>
        <w:spacing w:line="330" w:lineRule="exact"/>
        <w:ind w:firstLine="630" w:firstLineChars="300"/>
      </w:pPr>
      <w:r>
        <w:t>系统功能测试应包括下列内容：</w:t>
      </w:r>
    </w:p>
    <w:p w14:paraId="73E0237C">
      <w:pPr>
        <w:pStyle w:val="164"/>
        <w:numPr>
          <w:ilvl w:val="0"/>
          <w:numId w:val="36"/>
        </w:numPr>
        <w:autoSpaceDE w:val="0"/>
        <w:autoSpaceDN w:val="0"/>
        <w:adjustRightInd w:val="0"/>
        <w:snapToGrid w:val="0"/>
        <w:spacing w:line="330" w:lineRule="exact"/>
        <w:ind w:left="0" w:firstLine="840" w:firstLineChars="400"/>
      </w:pPr>
      <w:r>
        <w:t>系统建立功能测试</w:t>
      </w:r>
      <w:r>
        <w:rPr>
          <w:rFonts w:hint="eastAsia"/>
        </w:rPr>
        <w:t>，应</w:t>
      </w:r>
      <w:r>
        <w:t>包括系统初始化；系统自动/人工再装入；系统自动/人工再启动等</w:t>
      </w:r>
      <w:r>
        <w:rPr>
          <w:rFonts w:hint="eastAsia"/>
        </w:rPr>
        <w:t>。</w:t>
      </w:r>
    </w:p>
    <w:p w14:paraId="78BE2FC6">
      <w:pPr>
        <w:pStyle w:val="164"/>
        <w:numPr>
          <w:ilvl w:val="0"/>
          <w:numId w:val="36"/>
        </w:numPr>
        <w:autoSpaceDE w:val="0"/>
        <w:autoSpaceDN w:val="0"/>
        <w:adjustRightInd w:val="0"/>
        <w:snapToGrid w:val="0"/>
        <w:spacing w:line="330" w:lineRule="exact"/>
        <w:ind w:left="0" w:firstLine="840" w:firstLineChars="400"/>
      </w:pPr>
      <w:r>
        <w:t>系统交换功能测试</w:t>
      </w:r>
      <w:r>
        <w:rPr>
          <w:rFonts w:hint="eastAsia"/>
        </w:rPr>
        <w:t>，应</w:t>
      </w:r>
      <w:r>
        <w:t>包括本局及出入局呼叫；市话汇接呼叫；各种用户交换机的来去话呼叫；长途及国际来、去呼叫；计费；非电话业务；特种业务呼叫；新业务性能等</w:t>
      </w:r>
      <w:r>
        <w:rPr>
          <w:rFonts w:hint="eastAsia"/>
        </w:rPr>
        <w:t>。</w:t>
      </w:r>
    </w:p>
    <w:p w14:paraId="333BB624">
      <w:pPr>
        <w:pStyle w:val="164"/>
        <w:numPr>
          <w:ilvl w:val="0"/>
          <w:numId w:val="36"/>
        </w:numPr>
        <w:autoSpaceDE w:val="0"/>
        <w:autoSpaceDN w:val="0"/>
        <w:adjustRightInd w:val="0"/>
        <w:snapToGrid w:val="0"/>
        <w:spacing w:line="330" w:lineRule="exact"/>
        <w:ind w:left="0" w:firstLine="840" w:firstLineChars="400"/>
      </w:pPr>
      <w:r>
        <w:t>系统维护管理功能测试</w:t>
      </w:r>
      <w:r>
        <w:rPr>
          <w:rFonts w:hint="eastAsia"/>
        </w:rPr>
        <w:t>，应</w:t>
      </w:r>
      <w:r>
        <w:t>包括人机命令核实、告警系统测试；话务观察和统计；例行测试；中继和用户线的人工测试；用户资料和局数的管理；故障诊断；冗余设备的人工/自动倒换；输入、输出设备的性能测试等</w:t>
      </w:r>
      <w:r>
        <w:rPr>
          <w:rFonts w:hint="eastAsia"/>
        </w:rPr>
        <w:t>。</w:t>
      </w:r>
    </w:p>
    <w:p w14:paraId="14C75C9F">
      <w:pPr>
        <w:pStyle w:val="164"/>
        <w:numPr>
          <w:ilvl w:val="0"/>
          <w:numId w:val="36"/>
        </w:numPr>
        <w:autoSpaceDE w:val="0"/>
        <w:autoSpaceDN w:val="0"/>
        <w:adjustRightInd w:val="0"/>
        <w:snapToGrid w:val="0"/>
        <w:spacing w:line="330" w:lineRule="exact"/>
        <w:ind w:left="0" w:firstLine="840" w:firstLineChars="400"/>
      </w:pPr>
      <w:r>
        <w:t>系统信号方式及网络支撑测试，</w:t>
      </w:r>
      <w:r>
        <w:rPr>
          <w:rFonts w:hint="eastAsia"/>
        </w:rPr>
        <w:t>应</w:t>
      </w:r>
      <w:r>
        <w:t>包括用户的信号方式（脉冲、多频）、局间信令方式（随路、共路）、系统的网同步功能、系统的网管功能等。</w:t>
      </w:r>
    </w:p>
    <w:p w14:paraId="3F38F590">
      <w:pPr>
        <w:pStyle w:val="164"/>
        <w:numPr>
          <w:ilvl w:val="0"/>
          <w:numId w:val="34"/>
        </w:numPr>
        <w:spacing w:line="330" w:lineRule="exact"/>
        <w:ind w:left="0" w:firstLine="420"/>
      </w:pPr>
      <w:r>
        <w:t>程控用户交换机或其他通信设备的测试应符合下列规定：</w:t>
      </w:r>
    </w:p>
    <w:p w14:paraId="073158D4">
      <w:pPr>
        <w:pStyle w:val="164"/>
        <w:numPr>
          <w:ilvl w:val="0"/>
          <w:numId w:val="37"/>
        </w:numPr>
        <w:tabs>
          <w:tab w:val="left" w:pos="210"/>
          <w:tab w:val="left" w:pos="567"/>
        </w:tabs>
        <w:spacing w:line="330" w:lineRule="exact"/>
        <w:ind w:firstLine="630" w:firstLineChars="300"/>
      </w:pPr>
      <w:r>
        <w:t>可靠性测试应符合下列规定：</w:t>
      </w:r>
    </w:p>
    <w:p w14:paraId="0B296362">
      <w:pPr>
        <w:pStyle w:val="164"/>
        <w:numPr>
          <w:ilvl w:val="0"/>
          <w:numId w:val="38"/>
        </w:numPr>
        <w:autoSpaceDE w:val="0"/>
        <w:autoSpaceDN w:val="0"/>
        <w:adjustRightInd w:val="0"/>
        <w:snapToGrid w:val="0"/>
        <w:spacing w:line="330" w:lineRule="exact"/>
        <w:ind w:left="0" w:firstLine="840" w:firstLineChars="400"/>
      </w:pPr>
      <w:r>
        <w:t>软件测试故障不应大于8个，更换印刷板次数不应大于0.05次/100户及0.005次/30 路PCM系统；全局处理机再启动指标应符合表 5.3.6-1 的规定</w:t>
      </w:r>
      <w:r>
        <w:rPr>
          <w:rFonts w:hint="eastAsia"/>
        </w:rPr>
        <w:t>。</w:t>
      </w:r>
    </w:p>
    <w:p w14:paraId="4DD65A14">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 5.3.6-1 全局处理机再启动指标要求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1"/>
      </w:tblGrid>
      <w:tr w14:paraId="0038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1" w:type="dxa"/>
            <w:vMerge w:val="restart"/>
            <w:vAlign w:val="center"/>
          </w:tcPr>
          <w:p w14:paraId="334A82F0">
            <w:pPr>
              <w:widowControl/>
              <w:spacing w:line="330" w:lineRule="exact"/>
              <w:ind w:left="90" w:hanging="90"/>
              <w:jc w:val="center"/>
              <w:rPr>
                <w:rFonts w:ascii="Times New Roman" w:hAnsi="Times New Roman"/>
                <w:sz w:val="18"/>
                <w:szCs w:val="18"/>
              </w:rPr>
            </w:pPr>
            <w:r>
              <w:rPr>
                <w:rFonts w:ascii="Times New Roman" w:hAnsi="Times New Roman"/>
                <w:sz w:val="18"/>
                <w:szCs w:val="18"/>
              </w:rPr>
              <w:t>类   别</w:t>
            </w:r>
          </w:p>
        </w:tc>
        <w:tc>
          <w:tcPr>
            <w:tcW w:w="5682" w:type="dxa"/>
            <w:gridSpan w:val="2"/>
            <w:vAlign w:val="center"/>
          </w:tcPr>
          <w:p w14:paraId="4C8E0A94">
            <w:pPr>
              <w:widowControl/>
              <w:spacing w:line="330" w:lineRule="exact"/>
              <w:ind w:left="90" w:hanging="90"/>
              <w:jc w:val="center"/>
              <w:rPr>
                <w:rFonts w:ascii="Times New Roman" w:hAnsi="Times New Roman"/>
                <w:sz w:val="18"/>
                <w:szCs w:val="18"/>
              </w:rPr>
            </w:pPr>
            <w:r>
              <w:rPr>
                <w:rFonts w:ascii="Times New Roman" w:hAnsi="Times New Roman"/>
                <w:sz w:val="18"/>
                <w:szCs w:val="18"/>
              </w:rPr>
              <w:t>全局处理机</w:t>
            </w:r>
          </w:p>
        </w:tc>
      </w:tr>
      <w:tr w14:paraId="2278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vMerge w:val="continue"/>
          </w:tcPr>
          <w:p w14:paraId="1711E507">
            <w:pPr>
              <w:widowControl/>
              <w:spacing w:line="330" w:lineRule="exact"/>
              <w:ind w:left="90" w:hanging="90"/>
              <w:jc w:val="left"/>
              <w:rPr>
                <w:rFonts w:ascii="Times New Roman" w:hAnsi="Times New Roman"/>
                <w:sz w:val="18"/>
                <w:szCs w:val="18"/>
              </w:rPr>
            </w:pPr>
          </w:p>
        </w:tc>
        <w:tc>
          <w:tcPr>
            <w:tcW w:w="2841" w:type="dxa"/>
            <w:vAlign w:val="center"/>
          </w:tcPr>
          <w:p w14:paraId="248C0986">
            <w:pPr>
              <w:widowControl/>
              <w:spacing w:line="330" w:lineRule="exact"/>
              <w:ind w:left="90" w:hanging="90"/>
              <w:jc w:val="center"/>
              <w:rPr>
                <w:rFonts w:ascii="Times New Roman" w:hAnsi="Times New Roman"/>
                <w:sz w:val="18"/>
                <w:szCs w:val="18"/>
              </w:rPr>
            </w:pPr>
            <w:r>
              <w:rPr>
                <w:rFonts w:ascii="Times New Roman" w:hAnsi="Times New Roman"/>
                <w:sz w:val="18"/>
                <w:szCs w:val="18"/>
              </w:rPr>
              <w:t>1对~3对（次）</w:t>
            </w:r>
          </w:p>
        </w:tc>
        <w:tc>
          <w:tcPr>
            <w:tcW w:w="2841" w:type="dxa"/>
            <w:vAlign w:val="center"/>
          </w:tcPr>
          <w:p w14:paraId="2B562291">
            <w:pPr>
              <w:widowControl/>
              <w:spacing w:line="330" w:lineRule="exact"/>
              <w:ind w:left="90" w:hanging="90"/>
              <w:jc w:val="center"/>
              <w:rPr>
                <w:rFonts w:ascii="Times New Roman" w:hAnsi="Times New Roman"/>
                <w:sz w:val="18"/>
                <w:szCs w:val="18"/>
              </w:rPr>
            </w:pPr>
            <w:r>
              <w:rPr>
                <w:rFonts w:ascii="Times New Roman" w:hAnsi="Times New Roman"/>
                <w:sz w:val="18"/>
                <w:szCs w:val="18"/>
              </w:rPr>
              <w:t>3对以上（次）</w:t>
            </w:r>
          </w:p>
        </w:tc>
      </w:tr>
      <w:tr w14:paraId="18AC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140CD382">
            <w:pPr>
              <w:widowControl/>
              <w:spacing w:line="330" w:lineRule="exact"/>
              <w:ind w:left="90" w:hanging="90"/>
              <w:jc w:val="center"/>
              <w:rPr>
                <w:rFonts w:ascii="Times New Roman" w:hAnsi="Times New Roman"/>
                <w:sz w:val="18"/>
                <w:szCs w:val="18"/>
              </w:rPr>
            </w:pPr>
            <w:r>
              <w:rPr>
                <w:rFonts w:ascii="Times New Roman" w:hAnsi="Times New Roman"/>
                <w:sz w:val="18"/>
                <w:szCs w:val="18"/>
              </w:rPr>
              <w:t>次要</w:t>
            </w:r>
          </w:p>
        </w:tc>
        <w:tc>
          <w:tcPr>
            <w:tcW w:w="2841" w:type="dxa"/>
            <w:vAlign w:val="center"/>
          </w:tcPr>
          <w:p w14:paraId="4B1ADDCB">
            <w:pPr>
              <w:widowControl/>
              <w:spacing w:line="330" w:lineRule="exact"/>
              <w:ind w:left="90" w:hanging="90"/>
              <w:jc w:val="center"/>
              <w:rPr>
                <w:rFonts w:ascii="Times New Roman" w:hAnsi="Times New Roman"/>
                <w:sz w:val="18"/>
                <w:szCs w:val="18"/>
              </w:rPr>
            </w:pPr>
            <w:r>
              <w:rPr>
                <w:rFonts w:ascii="Times New Roman" w:hAnsi="Times New Roman"/>
                <w:sz w:val="18"/>
                <w:szCs w:val="18"/>
              </w:rPr>
              <w:t>3</w:t>
            </w:r>
          </w:p>
        </w:tc>
        <w:tc>
          <w:tcPr>
            <w:tcW w:w="2841" w:type="dxa"/>
            <w:vAlign w:val="center"/>
          </w:tcPr>
          <w:p w14:paraId="60BB9E18">
            <w:pPr>
              <w:widowControl/>
              <w:spacing w:line="330" w:lineRule="exact"/>
              <w:ind w:left="90" w:hanging="90"/>
              <w:jc w:val="center"/>
              <w:rPr>
                <w:rFonts w:ascii="Times New Roman" w:hAnsi="Times New Roman"/>
                <w:sz w:val="18"/>
                <w:szCs w:val="18"/>
              </w:rPr>
            </w:pPr>
            <w:r>
              <w:rPr>
                <w:rFonts w:ascii="Times New Roman" w:hAnsi="Times New Roman"/>
                <w:sz w:val="18"/>
                <w:szCs w:val="18"/>
              </w:rPr>
              <w:t>4</w:t>
            </w:r>
          </w:p>
        </w:tc>
      </w:tr>
      <w:tr w14:paraId="3259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3C35DE04">
            <w:pPr>
              <w:widowControl/>
              <w:spacing w:line="330" w:lineRule="exact"/>
              <w:ind w:left="90" w:hanging="90"/>
              <w:jc w:val="center"/>
              <w:rPr>
                <w:rFonts w:ascii="Times New Roman" w:hAnsi="Times New Roman"/>
                <w:sz w:val="18"/>
                <w:szCs w:val="18"/>
              </w:rPr>
            </w:pPr>
            <w:r>
              <w:rPr>
                <w:rFonts w:ascii="Times New Roman" w:hAnsi="Times New Roman"/>
                <w:sz w:val="18"/>
                <w:szCs w:val="18"/>
              </w:rPr>
              <w:t>严重</w:t>
            </w:r>
          </w:p>
        </w:tc>
        <w:tc>
          <w:tcPr>
            <w:tcW w:w="2841" w:type="dxa"/>
            <w:vAlign w:val="center"/>
          </w:tcPr>
          <w:p w14:paraId="79930E80">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c>
          <w:tcPr>
            <w:tcW w:w="2841" w:type="dxa"/>
            <w:vAlign w:val="center"/>
          </w:tcPr>
          <w:p w14:paraId="19A0368B">
            <w:pPr>
              <w:widowControl/>
              <w:spacing w:line="330" w:lineRule="exact"/>
              <w:ind w:left="90" w:hanging="90"/>
              <w:jc w:val="center"/>
              <w:rPr>
                <w:rFonts w:ascii="Times New Roman" w:hAnsi="Times New Roman"/>
                <w:sz w:val="18"/>
                <w:szCs w:val="18"/>
              </w:rPr>
            </w:pPr>
            <w:r>
              <w:rPr>
                <w:rFonts w:ascii="Times New Roman" w:hAnsi="Times New Roman"/>
                <w:sz w:val="18"/>
                <w:szCs w:val="18"/>
              </w:rPr>
              <w:t>2</w:t>
            </w:r>
          </w:p>
        </w:tc>
      </w:tr>
      <w:tr w14:paraId="494A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23B8F49C">
            <w:pPr>
              <w:widowControl/>
              <w:spacing w:line="330" w:lineRule="exact"/>
              <w:ind w:left="90" w:hanging="90"/>
              <w:jc w:val="center"/>
              <w:rPr>
                <w:rFonts w:ascii="Times New Roman" w:hAnsi="Times New Roman"/>
                <w:sz w:val="18"/>
                <w:szCs w:val="18"/>
              </w:rPr>
            </w:pPr>
            <w:r>
              <w:rPr>
                <w:rFonts w:ascii="Times New Roman" w:hAnsi="Times New Roman"/>
                <w:sz w:val="18"/>
                <w:szCs w:val="18"/>
              </w:rPr>
              <w:t>再装入</w:t>
            </w:r>
          </w:p>
        </w:tc>
        <w:tc>
          <w:tcPr>
            <w:tcW w:w="2841" w:type="dxa"/>
            <w:vAlign w:val="center"/>
          </w:tcPr>
          <w:p w14:paraId="098CD094">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c>
          <w:tcPr>
            <w:tcW w:w="2841" w:type="dxa"/>
            <w:vAlign w:val="center"/>
          </w:tcPr>
          <w:p w14:paraId="7A2A7150">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r>
    </w:tbl>
    <w:p w14:paraId="22E311E3">
      <w:pPr>
        <w:pStyle w:val="164"/>
        <w:numPr>
          <w:ilvl w:val="0"/>
          <w:numId w:val="38"/>
        </w:numPr>
        <w:autoSpaceDE w:val="0"/>
        <w:autoSpaceDN w:val="0"/>
        <w:adjustRightInd w:val="0"/>
        <w:snapToGrid w:val="0"/>
        <w:spacing w:line="330" w:lineRule="exact"/>
        <w:ind w:left="0" w:firstLine="840" w:firstLineChars="400"/>
      </w:pPr>
      <w:r>
        <w:t>分群设备的可靠性指标应符合下列规定：</w:t>
      </w:r>
    </w:p>
    <w:p w14:paraId="7C31F592">
      <w:pPr>
        <w:widowControl/>
        <w:spacing w:line="330" w:lineRule="exact"/>
        <w:ind w:left="210" w:leftChars="100" w:firstLine="525" w:firstLineChars="250"/>
        <w:jc w:val="left"/>
        <w:rPr>
          <w:rFonts w:ascii="Times New Roman" w:hAnsi="Times New Roman"/>
        </w:rPr>
      </w:pPr>
      <w:r>
        <w:rPr>
          <w:rFonts w:ascii="Times New Roman" w:hAnsi="Times New Roman"/>
        </w:rPr>
        <w:t>a.每一用户级群公共设备产生通话中断或停止接续超出1min以上的故障，每群每月≤0.1次</w:t>
      </w:r>
      <w:r>
        <w:rPr>
          <w:rFonts w:hint="eastAsia" w:ascii="Times New Roman" w:hAnsi="Times New Roman"/>
        </w:rPr>
        <w:t>。</w:t>
      </w:r>
    </w:p>
    <w:p w14:paraId="23A6E684">
      <w:pPr>
        <w:widowControl/>
        <w:spacing w:line="330" w:lineRule="exact"/>
        <w:ind w:left="210" w:leftChars="100" w:firstLine="525" w:firstLineChars="250"/>
        <w:jc w:val="left"/>
        <w:rPr>
          <w:rFonts w:ascii="Times New Roman" w:hAnsi="Times New Roman"/>
        </w:rPr>
      </w:pPr>
      <w:r>
        <w:rPr>
          <w:rFonts w:ascii="Times New Roman" w:hAnsi="Times New Roman"/>
        </w:rPr>
        <w:t>b.由中继级群公共设备产生通话中断或停止接续超出1min以上的中继级分群阻断率，不得大于表5.3.6-2 的规定</w:t>
      </w:r>
      <w:r>
        <w:rPr>
          <w:rFonts w:hint="eastAsia" w:ascii="Times New Roman" w:hAnsi="Times New Roman"/>
        </w:rPr>
        <w:t>。</w:t>
      </w:r>
    </w:p>
    <w:p w14:paraId="54E60ED3">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表5.3.6-2 中继级分群阻断率指标</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2"/>
      </w:tblGrid>
      <w:tr w14:paraId="1129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8D38953">
            <w:pPr>
              <w:widowControl/>
              <w:spacing w:line="330" w:lineRule="exact"/>
              <w:ind w:left="90" w:hanging="90"/>
              <w:jc w:val="center"/>
              <w:rPr>
                <w:rFonts w:ascii="Times New Roman" w:hAnsi="Times New Roman"/>
                <w:sz w:val="18"/>
                <w:szCs w:val="18"/>
              </w:rPr>
            </w:pPr>
            <w:r>
              <w:rPr>
                <w:rFonts w:ascii="Times New Roman" w:hAnsi="Times New Roman"/>
                <w:sz w:val="18"/>
                <w:szCs w:val="18"/>
              </w:rPr>
              <w:t>中继级群容量（话路）</w:t>
            </w:r>
          </w:p>
        </w:tc>
        <w:tc>
          <w:tcPr>
            <w:tcW w:w="4262" w:type="dxa"/>
          </w:tcPr>
          <w:p w14:paraId="0647F25F">
            <w:pPr>
              <w:widowControl/>
              <w:spacing w:line="330" w:lineRule="exact"/>
              <w:ind w:left="90" w:hanging="90"/>
              <w:jc w:val="center"/>
              <w:rPr>
                <w:rFonts w:ascii="Times New Roman" w:hAnsi="Times New Roman"/>
                <w:sz w:val="18"/>
                <w:szCs w:val="18"/>
              </w:rPr>
            </w:pPr>
            <w:r>
              <w:rPr>
                <w:rFonts w:ascii="Times New Roman" w:hAnsi="Times New Roman"/>
                <w:sz w:val="18"/>
                <w:szCs w:val="18"/>
              </w:rPr>
              <w:t>中继级群阻断率</w:t>
            </w:r>
          </w:p>
        </w:tc>
      </w:tr>
      <w:tr w14:paraId="09EF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FE9D613">
            <w:pPr>
              <w:widowControl/>
              <w:spacing w:line="330" w:lineRule="exact"/>
              <w:ind w:left="90" w:hanging="90"/>
              <w:jc w:val="center"/>
              <w:rPr>
                <w:rFonts w:ascii="Times New Roman" w:hAnsi="Times New Roman"/>
                <w:sz w:val="18"/>
                <w:szCs w:val="18"/>
              </w:rPr>
            </w:pPr>
            <w:r>
              <w:rPr>
                <w:rFonts w:ascii="Times New Roman" w:hAnsi="Times New Roman"/>
                <w:sz w:val="18"/>
                <w:szCs w:val="18"/>
              </w:rPr>
              <w:t>≤64</w:t>
            </w:r>
          </w:p>
        </w:tc>
        <w:tc>
          <w:tcPr>
            <w:tcW w:w="4262" w:type="dxa"/>
          </w:tcPr>
          <w:p w14:paraId="18C6491B">
            <w:pPr>
              <w:widowControl/>
              <w:spacing w:line="330" w:lineRule="exact"/>
              <w:ind w:left="90" w:hanging="90"/>
              <w:jc w:val="center"/>
              <w:rPr>
                <w:rFonts w:ascii="Times New Roman" w:hAnsi="Times New Roman"/>
                <w:sz w:val="18"/>
                <w:szCs w:val="18"/>
              </w:rPr>
            </w:pPr>
            <w:r>
              <w:rPr>
                <w:rFonts w:ascii="Times New Roman" w:hAnsi="Times New Roman"/>
                <w:sz w:val="18"/>
                <w:szCs w:val="18"/>
              </w:rPr>
              <w:t>0.15次/每月/每群</w:t>
            </w:r>
          </w:p>
        </w:tc>
      </w:tr>
      <w:tr w14:paraId="4615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F2087E5">
            <w:pPr>
              <w:widowControl/>
              <w:spacing w:line="330" w:lineRule="exact"/>
              <w:ind w:left="90" w:hanging="90"/>
              <w:jc w:val="center"/>
              <w:rPr>
                <w:rFonts w:ascii="Times New Roman" w:hAnsi="Times New Roman"/>
                <w:sz w:val="18"/>
                <w:szCs w:val="18"/>
              </w:rPr>
            </w:pPr>
            <w:r>
              <w:rPr>
                <w:rFonts w:ascii="Times New Roman" w:hAnsi="Times New Roman"/>
                <w:sz w:val="18"/>
                <w:szCs w:val="18"/>
              </w:rPr>
              <w:t>64~480</w:t>
            </w:r>
          </w:p>
        </w:tc>
        <w:tc>
          <w:tcPr>
            <w:tcW w:w="4262" w:type="dxa"/>
          </w:tcPr>
          <w:p w14:paraId="5E0A240C">
            <w:pPr>
              <w:widowControl/>
              <w:spacing w:line="330" w:lineRule="exact"/>
              <w:ind w:left="90" w:hanging="90"/>
              <w:jc w:val="center"/>
              <w:rPr>
                <w:rFonts w:ascii="Times New Roman" w:hAnsi="Times New Roman"/>
                <w:sz w:val="18"/>
                <w:szCs w:val="18"/>
              </w:rPr>
            </w:pPr>
            <w:r>
              <w:rPr>
                <w:rFonts w:ascii="Times New Roman" w:hAnsi="Times New Roman"/>
                <w:sz w:val="18"/>
                <w:szCs w:val="18"/>
              </w:rPr>
              <w:t>0.1次/每月/每群</w:t>
            </w:r>
          </w:p>
        </w:tc>
      </w:tr>
    </w:tbl>
    <w:p w14:paraId="4BB19B65">
      <w:pPr>
        <w:widowControl/>
        <w:spacing w:line="330" w:lineRule="exact"/>
        <w:ind w:left="210" w:leftChars="100" w:firstLine="525" w:firstLineChars="250"/>
        <w:jc w:val="left"/>
        <w:rPr>
          <w:rFonts w:ascii="Times New Roman" w:hAnsi="Times New Roman"/>
        </w:rPr>
      </w:pPr>
      <w:r>
        <w:rPr>
          <w:rFonts w:ascii="Times New Roman" w:hAnsi="Times New Roman"/>
        </w:rPr>
        <w:t>c.选组级交换网络不得产生通话用户阻断。</w:t>
      </w:r>
    </w:p>
    <w:p w14:paraId="77A35917">
      <w:pPr>
        <w:widowControl/>
        <w:spacing w:line="330" w:lineRule="exact"/>
        <w:ind w:left="210" w:leftChars="100" w:firstLine="525" w:firstLineChars="250"/>
        <w:jc w:val="left"/>
        <w:rPr>
          <w:rFonts w:ascii="Times New Roman" w:hAnsi="Times New Roman"/>
        </w:rPr>
      </w:pPr>
      <w:r>
        <w:rPr>
          <w:rFonts w:ascii="Times New Roman" w:hAnsi="Times New Roman"/>
        </w:rPr>
        <w:t>d.分散设备的可靠性指标应符合表 5.3.6-3 的规定</w:t>
      </w:r>
      <w:r>
        <w:rPr>
          <w:rFonts w:hint="eastAsia" w:ascii="Times New Roman" w:hAnsi="Times New Roman"/>
        </w:rPr>
        <w:t>。</w:t>
      </w:r>
    </w:p>
    <w:p w14:paraId="509DBAAB">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 5.3.6-3 个别用户不正常呼出或呼入接续</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2"/>
      </w:tblGrid>
      <w:tr w14:paraId="1307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E0F20F1">
            <w:pPr>
              <w:widowControl/>
              <w:spacing w:line="330" w:lineRule="exact"/>
              <w:ind w:left="90" w:hanging="90"/>
              <w:jc w:val="center"/>
              <w:rPr>
                <w:rFonts w:ascii="Times New Roman" w:hAnsi="Times New Roman"/>
                <w:sz w:val="18"/>
                <w:szCs w:val="18"/>
              </w:rPr>
            </w:pPr>
            <w:r>
              <w:rPr>
                <w:rFonts w:ascii="Times New Roman" w:hAnsi="Times New Roman"/>
                <w:sz w:val="18"/>
                <w:szCs w:val="18"/>
              </w:rPr>
              <w:t>每千门用户</w:t>
            </w:r>
          </w:p>
        </w:tc>
        <w:tc>
          <w:tcPr>
            <w:tcW w:w="4262" w:type="dxa"/>
          </w:tcPr>
          <w:p w14:paraId="356F89D4">
            <w:pPr>
              <w:widowControl/>
              <w:spacing w:line="330" w:lineRule="exact"/>
              <w:ind w:left="90" w:hanging="90"/>
              <w:jc w:val="center"/>
              <w:rPr>
                <w:rFonts w:ascii="Times New Roman" w:hAnsi="Times New Roman"/>
                <w:sz w:val="18"/>
                <w:szCs w:val="18"/>
              </w:rPr>
            </w:pPr>
            <w:r>
              <w:rPr>
                <w:rFonts w:ascii="Times New Roman" w:hAnsi="Times New Roman"/>
                <w:sz w:val="18"/>
                <w:szCs w:val="18"/>
              </w:rPr>
              <w:t>0.5户次/月</w:t>
            </w:r>
          </w:p>
        </w:tc>
      </w:tr>
      <w:tr w14:paraId="751F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D0A602F">
            <w:pPr>
              <w:widowControl/>
              <w:spacing w:line="330" w:lineRule="exact"/>
              <w:ind w:left="90" w:hanging="90"/>
              <w:jc w:val="center"/>
              <w:rPr>
                <w:rFonts w:ascii="Times New Roman" w:hAnsi="Times New Roman"/>
                <w:sz w:val="18"/>
                <w:szCs w:val="18"/>
              </w:rPr>
            </w:pPr>
            <w:r>
              <w:rPr>
                <w:rFonts w:ascii="Times New Roman" w:hAnsi="Times New Roman"/>
                <w:sz w:val="18"/>
                <w:szCs w:val="18"/>
              </w:rPr>
              <w:t>每百条中继线</w:t>
            </w:r>
          </w:p>
        </w:tc>
        <w:tc>
          <w:tcPr>
            <w:tcW w:w="4262" w:type="dxa"/>
          </w:tcPr>
          <w:p w14:paraId="32189BDB">
            <w:pPr>
              <w:widowControl/>
              <w:spacing w:line="330" w:lineRule="exact"/>
              <w:ind w:left="90" w:hanging="90"/>
              <w:jc w:val="center"/>
              <w:rPr>
                <w:rFonts w:ascii="Times New Roman" w:hAnsi="Times New Roman"/>
                <w:sz w:val="18"/>
                <w:szCs w:val="18"/>
              </w:rPr>
            </w:pPr>
            <w:r>
              <w:rPr>
                <w:rFonts w:ascii="Times New Roman" w:hAnsi="Times New Roman"/>
                <w:sz w:val="18"/>
                <w:szCs w:val="18"/>
              </w:rPr>
              <w:t>0.5线次/月</w:t>
            </w:r>
          </w:p>
        </w:tc>
      </w:tr>
    </w:tbl>
    <w:p w14:paraId="62833E84">
      <w:pPr>
        <w:pStyle w:val="164"/>
        <w:numPr>
          <w:ilvl w:val="0"/>
          <w:numId w:val="37"/>
        </w:numPr>
        <w:tabs>
          <w:tab w:val="left" w:pos="210"/>
          <w:tab w:val="left" w:pos="567"/>
        </w:tabs>
        <w:spacing w:line="330" w:lineRule="exact"/>
        <w:ind w:firstLine="630" w:firstLineChars="300"/>
      </w:pPr>
      <w:r>
        <w:t>接通率测试应满足局内接通率应达到99.96%以上，局间接通率应达到98%以上。</w:t>
      </w:r>
    </w:p>
    <w:p w14:paraId="60023521">
      <w:pPr>
        <w:pStyle w:val="164"/>
        <w:numPr>
          <w:ilvl w:val="0"/>
          <w:numId w:val="37"/>
        </w:numPr>
        <w:tabs>
          <w:tab w:val="left" w:pos="210"/>
          <w:tab w:val="left" w:pos="567"/>
        </w:tabs>
        <w:spacing w:line="330" w:lineRule="exact"/>
        <w:ind w:firstLine="630" w:firstLineChars="300"/>
      </w:pPr>
      <w:r>
        <w:t>处理能力和过负荷测试应满足下列要求：</w:t>
      </w:r>
    </w:p>
    <w:p w14:paraId="4FBD1166">
      <w:pPr>
        <w:pStyle w:val="164"/>
        <w:numPr>
          <w:ilvl w:val="0"/>
          <w:numId w:val="39"/>
        </w:numPr>
        <w:autoSpaceDE w:val="0"/>
        <w:autoSpaceDN w:val="0"/>
        <w:adjustRightInd w:val="0"/>
        <w:snapToGrid w:val="0"/>
        <w:spacing w:line="330" w:lineRule="exact"/>
        <w:ind w:left="0" w:firstLine="840" w:firstLineChars="400"/>
      </w:pPr>
      <w:r>
        <w:t>当系统达到BHCA（中继模块的处理能力）值时，对人机命令的响应90%均应在3s以内</w:t>
      </w:r>
      <w:r>
        <w:rPr>
          <w:rFonts w:hint="eastAsia"/>
        </w:rPr>
        <w:t>。</w:t>
      </w:r>
    </w:p>
    <w:p w14:paraId="23514ACD">
      <w:pPr>
        <w:pStyle w:val="164"/>
        <w:numPr>
          <w:ilvl w:val="0"/>
          <w:numId w:val="39"/>
        </w:numPr>
        <w:autoSpaceDE w:val="0"/>
        <w:autoSpaceDN w:val="0"/>
        <w:adjustRightInd w:val="0"/>
        <w:snapToGrid w:val="0"/>
        <w:spacing w:line="330" w:lineRule="exact"/>
        <w:ind w:left="0" w:firstLine="840" w:firstLineChars="400"/>
      </w:pPr>
      <w:r>
        <w:t>当处理机的处理能力超过上限值时，应自动逐步限制普通用户的呼出；所限制的用户应均匀分布，优先用户不受限制；不允许同时对所有普通用户停止服务。</w:t>
      </w:r>
    </w:p>
    <w:p w14:paraId="00AF5EA9">
      <w:pPr>
        <w:pStyle w:val="164"/>
        <w:numPr>
          <w:ilvl w:val="0"/>
          <w:numId w:val="37"/>
        </w:numPr>
        <w:tabs>
          <w:tab w:val="left" w:pos="210"/>
          <w:tab w:val="left" w:pos="567"/>
        </w:tabs>
        <w:spacing w:line="330" w:lineRule="exact"/>
        <w:ind w:firstLine="630" w:firstLineChars="300"/>
      </w:pPr>
      <w:r>
        <w:t>系统信号测试，</w:t>
      </w:r>
      <w:r>
        <w:rPr>
          <w:rFonts w:hint="eastAsia"/>
        </w:rPr>
        <w:t>应</w:t>
      </w:r>
      <w:r>
        <w:t>包括用户信号方式、局间信号方式、组网能力、网同步功能等。</w:t>
      </w:r>
    </w:p>
    <w:p w14:paraId="62CF381C">
      <w:pPr>
        <w:pStyle w:val="164"/>
        <w:numPr>
          <w:ilvl w:val="0"/>
          <w:numId w:val="37"/>
        </w:numPr>
        <w:tabs>
          <w:tab w:val="left" w:pos="210"/>
          <w:tab w:val="left" w:pos="567"/>
        </w:tabs>
        <w:spacing w:line="330" w:lineRule="exact"/>
        <w:ind w:firstLine="630" w:firstLineChars="300"/>
      </w:pPr>
      <w:r>
        <w:t>系统建立</w:t>
      </w:r>
      <w:r>
        <w:rPr>
          <w:rFonts w:hint="eastAsia"/>
        </w:rPr>
        <w:t>测试</w:t>
      </w:r>
      <w:r>
        <w:t>，</w:t>
      </w:r>
      <w:r>
        <w:rPr>
          <w:rFonts w:hint="eastAsia"/>
        </w:rPr>
        <w:t>应</w:t>
      </w:r>
      <w:r>
        <w:t>包括初始化、系统自动/人工再装入、系统自动/人工再启动等。</w:t>
      </w:r>
    </w:p>
    <w:p w14:paraId="42A86549">
      <w:pPr>
        <w:pStyle w:val="164"/>
        <w:numPr>
          <w:ilvl w:val="0"/>
          <w:numId w:val="37"/>
        </w:numPr>
        <w:tabs>
          <w:tab w:val="left" w:pos="210"/>
          <w:tab w:val="left" w:pos="567"/>
        </w:tabs>
        <w:spacing w:line="330" w:lineRule="exact"/>
        <w:ind w:firstLine="630" w:firstLineChars="300"/>
      </w:pPr>
      <w:r>
        <w:t>系统维护管理功能测试，应包括人机命令核实、告警系统测试、话务观察和统计、例行测试中继和用户线的人工测试、用户资料和局资料的管理、故障诊断、冗余设备的自动/人工倒换、输入、输出设备的性能测试等。</w:t>
      </w:r>
    </w:p>
    <w:p w14:paraId="51428207">
      <w:pPr>
        <w:pStyle w:val="164"/>
        <w:numPr>
          <w:ilvl w:val="0"/>
          <w:numId w:val="37"/>
        </w:numPr>
        <w:tabs>
          <w:tab w:val="left" w:pos="210"/>
          <w:tab w:val="left" w:pos="567"/>
        </w:tabs>
        <w:spacing w:line="330" w:lineRule="exact"/>
        <w:ind w:firstLine="630" w:firstLineChars="300"/>
      </w:pPr>
      <w:r>
        <w:t>系统信号方式及配合测试，应包括用户的信号方式（脉冲、多频）、局间信号方式（随路、共路）、系统的网同步功能等。</w:t>
      </w:r>
    </w:p>
    <w:p w14:paraId="7F831E95">
      <w:pPr>
        <w:widowControl/>
        <w:spacing w:line="330" w:lineRule="exact"/>
        <w:ind w:left="0" w:firstLine="0" w:firstLineChars="0"/>
        <w:jc w:val="left"/>
        <w:rPr>
          <w:rFonts w:ascii="Times New Roman" w:hAnsi="Times New Roman"/>
        </w:rPr>
      </w:pPr>
      <w:r>
        <w:rPr>
          <w:rFonts w:ascii="Times New Roman" w:hAnsi="Times New Roman"/>
        </w:rPr>
        <w:t>5.3.7 试运行及</w:t>
      </w:r>
      <w:r>
        <w:rPr>
          <w:rFonts w:hint="eastAsia" w:ascii="Times New Roman" w:hAnsi="Times New Roman"/>
        </w:rPr>
        <w:t>检验</w:t>
      </w:r>
      <w:r>
        <w:rPr>
          <w:rFonts w:ascii="Times New Roman" w:hAnsi="Times New Roman"/>
        </w:rPr>
        <w:t>测试应符合下列规定：</w:t>
      </w:r>
    </w:p>
    <w:p w14:paraId="64392460">
      <w:pPr>
        <w:pStyle w:val="164"/>
        <w:numPr>
          <w:ilvl w:val="0"/>
          <w:numId w:val="40"/>
        </w:numPr>
        <w:spacing w:line="330" w:lineRule="exact"/>
        <w:ind w:left="0" w:firstLine="420"/>
      </w:pPr>
      <w:r>
        <w:t>试运行应符合下列规定：</w:t>
      </w:r>
    </w:p>
    <w:p w14:paraId="7F356697">
      <w:pPr>
        <w:pStyle w:val="164"/>
        <w:numPr>
          <w:ilvl w:val="0"/>
          <w:numId w:val="41"/>
        </w:numPr>
        <w:tabs>
          <w:tab w:val="left" w:pos="210"/>
          <w:tab w:val="left" w:pos="567"/>
        </w:tabs>
        <w:spacing w:line="330" w:lineRule="exact"/>
        <w:ind w:firstLine="630" w:firstLineChars="300"/>
      </w:pPr>
      <w:r>
        <w:t>试运行阶段应从初验测试完毕、割接开通后开始，时间应不少于3个月。</w:t>
      </w:r>
    </w:p>
    <w:p w14:paraId="3EADA864">
      <w:pPr>
        <w:pStyle w:val="164"/>
        <w:numPr>
          <w:ilvl w:val="0"/>
          <w:numId w:val="41"/>
        </w:numPr>
        <w:tabs>
          <w:tab w:val="left" w:pos="210"/>
          <w:tab w:val="left" w:pos="567"/>
        </w:tabs>
        <w:spacing w:line="330" w:lineRule="exact"/>
        <w:ind w:firstLine="630" w:firstLineChars="300"/>
      </w:pPr>
      <w:r>
        <w:t>试运行</w:t>
      </w:r>
      <w:r>
        <w:rPr>
          <w:rFonts w:hint="eastAsia"/>
        </w:rPr>
        <w:t>检验</w:t>
      </w:r>
      <w:r>
        <w:t>测试的主要指标和性能应达到试运行观察指标。如果主要指标不</w:t>
      </w:r>
      <w:r>
        <w:rPr>
          <w:rFonts w:hint="eastAsia"/>
        </w:rPr>
        <w:t>满足</w:t>
      </w:r>
      <w:r>
        <w:t>要求，应从次月开始，重新进行3个月。在试运转期间，如果障碍率总指标合格，但某月的指标不合格时，应追加1个月，直到合格为止。</w:t>
      </w:r>
    </w:p>
    <w:p w14:paraId="2721CFC8">
      <w:pPr>
        <w:pStyle w:val="164"/>
        <w:numPr>
          <w:ilvl w:val="0"/>
          <w:numId w:val="41"/>
        </w:numPr>
        <w:tabs>
          <w:tab w:val="left" w:pos="210"/>
          <w:tab w:val="left" w:pos="567"/>
        </w:tabs>
        <w:spacing w:line="330" w:lineRule="exact"/>
        <w:ind w:firstLine="630" w:firstLineChars="300"/>
      </w:pPr>
      <w:r>
        <w:t>在试运行期间，应至少接入设备容量20%以上的用户联网运行。</w:t>
      </w:r>
    </w:p>
    <w:p w14:paraId="572D021F">
      <w:pPr>
        <w:pStyle w:val="164"/>
        <w:numPr>
          <w:ilvl w:val="0"/>
          <w:numId w:val="40"/>
        </w:numPr>
        <w:spacing w:line="330" w:lineRule="exact"/>
        <w:ind w:left="0" w:firstLine="420"/>
      </w:pPr>
      <w:r>
        <w:t>试运行观察指标应符合下列规定：</w:t>
      </w:r>
    </w:p>
    <w:p w14:paraId="74B750A0">
      <w:pPr>
        <w:pStyle w:val="164"/>
        <w:numPr>
          <w:ilvl w:val="0"/>
          <w:numId w:val="42"/>
        </w:numPr>
        <w:tabs>
          <w:tab w:val="left" w:pos="210"/>
          <w:tab w:val="left" w:pos="567"/>
        </w:tabs>
        <w:spacing w:line="330" w:lineRule="exact"/>
        <w:ind w:firstLine="630" w:firstLineChars="300"/>
      </w:pPr>
      <w:r>
        <w:t>硬件故障率。因元器件损坏，须更换印制板的次数：应≤0.04次/（100户·每月）及0.004次/（30路PCM系统·每月）。</w:t>
      </w:r>
    </w:p>
    <w:p w14:paraId="379D0382">
      <w:pPr>
        <w:pStyle w:val="164"/>
        <w:numPr>
          <w:ilvl w:val="0"/>
          <w:numId w:val="42"/>
        </w:numPr>
        <w:tabs>
          <w:tab w:val="left" w:pos="210"/>
          <w:tab w:val="left" w:pos="567"/>
        </w:tabs>
        <w:spacing w:line="330" w:lineRule="exact"/>
        <w:ind w:firstLine="630" w:firstLineChars="300"/>
      </w:pPr>
      <w:r>
        <w:t>试运行期间，系统自动再启动的指标要求应符合表5.3.8的规定。</w:t>
      </w:r>
    </w:p>
    <w:p w14:paraId="1D9C75F5">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表5.3.7 系统自动再启动的指标要求</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267"/>
        <w:gridCol w:w="1283"/>
        <w:gridCol w:w="1345"/>
        <w:gridCol w:w="1348"/>
        <w:gridCol w:w="1406"/>
        <w:gridCol w:w="1300"/>
      </w:tblGrid>
      <w:tr w14:paraId="3FD0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restart"/>
            <w:vAlign w:val="center"/>
          </w:tcPr>
          <w:p w14:paraId="166608C8">
            <w:pPr>
              <w:widowControl/>
              <w:spacing w:line="330" w:lineRule="exact"/>
              <w:ind w:left="90" w:hanging="90"/>
              <w:jc w:val="center"/>
              <w:rPr>
                <w:rFonts w:ascii="Times New Roman" w:hAnsi="Times New Roman"/>
                <w:sz w:val="18"/>
                <w:szCs w:val="18"/>
              </w:rPr>
            </w:pPr>
            <w:r>
              <w:rPr>
                <w:rFonts w:ascii="Times New Roman" w:hAnsi="Times New Roman"/>
                <w:sz w:val="18"/>
                <w:szCs w:val="18"/>
              </w:rPr>
              <w:t>类别</w:t>
            </w:r>
          </w:p>
        </w:tc>
        <w:tc>
          <w:tcPr>
            <w:tcW w:w="1415" w:type="pct"/>
            <w:gridSpan w:val="2"/>
          </w:tcPr>
          <w:p w14:paraId="636B8CCA">
            <w:pPr>
              <w:widowControl/>
              <w:spacing w:line="330" w:lineRule="exact"/>
              <w:ind w:left="90" w:hanging="90"/>
              <w:jc w:val="center"/>
              <w:rPr>
                <w:rFonts w:ascii="Times New Roman" w:hAnsi="Times New Roman"/>
                <w:sz w:val="18"/>
                <w:szCs w:val="18"/>
              </w:rPr>
            </w:pPr>
            <w:r>
              <w:rPr>
                <w:rFonts w:ascii="Times New Roman" w:hAnsi="Times New Roman"/>
                <w:sz w:val="18"/>
                <w:szCs w:val="18"/>
              </w:rPr>
              <w:t>第一月</w:t>
            </w:r>
          </w:p>
        </w:tc>
        <w:tc>
          <w:tcPr>
            <w:tcW w:w="1494" w:type="pct"/>
            <w:gridSpan w:val="2"/>
          </w:tcPr>
          <w:p w14:paraId="3004FAB3">
            <w:pPr>
              <w:widowControl/>
              <w:spacing w:line="330" w:lineRule="exact"/>
              <w:ind w:left="90" w:hanging="90"/>
              <w:jc w:val="center"/>
              <w:rPr>
                <w:rFonts w:ascii="Times New Roman" w:hAnsi="Times New Roman"/>
                <w:sz w:val="18"/>
                <w:szCs w:val="18"/>
              </w:rPr>
            </w:pPr>
            <w:r>
              <w:rPr>
                <w:rFonts w:ascii="Times New Roman" w:hAnsi="Times New Roman"/>
                <w:sz w:val="18"/>
                <w:szCs w:val="18"/>
              </w:rPr>
              <w:t>第二月</w:t>
            </w:r>
          </w:p>
        </w:tc>
        <w:tc>
          <w:tcPr>
            <w:tcW w:w="1501" w:type="pct"/>
            <w:gridSpan w:val="2"/>
          </w:tcPr>
          <w:p w14:paraId="4A126C49">
            <w:pPr>
              <w:widowControl/>
              <w:spacing w:line="330" w:lineRule="exact"/>
              <w:ind w:left="90" w:hanging="90"/>
              <w:jc w:val="center"/>
              <w:rPr>
                <w:rFonts w:ascii="Times New Roman" w:hAnsi="Times New Roman"/>
                <w:sz w:val="18"/>
                <w:szCs w:val="18"/>
              </w:rPr>
            </w:pPr>
            <w:r>
              <w:rPr>
                <w:rFonts w:ascii="Times New Roman" w:hAnsi="Times New Roman"/>
                <w:sz w:val="18"/>
                <w:szCs w:val="18"/>
              </w:rPr>
              <w:t>第三月</w:t>
            </w:r>
          </w:p>
        </w:tc>
      </w:tr>
      <w:tr w14:paraId="03F1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continue"/>
          </w:tcPr>
          <w:p w14:paraId="4F6F7A4B">
            <w:pPr>
              <w:widowControl/>
              <w:spacing w:line="330" w:lineRule="exact"/>
              <w:ind w:left="90" w:hanging="90"/>
              <w:jc w:val="left"/>
              <w:rPr>
                <w:rFonts w:ascii="Times New Roman" w:hAnsi="Times New Roman"/>
                <w:sz w:val="18"/>
                <w:szCs w:val="18"/>
              </w:rPr>
            </w:pPr>
          </w:p>
        </w:tc>
        <w:tc>
          <w:tcPr>
            <w:tcW w:w="1415" w:type="pct"/>
            <w:gridSpan w:val="2"/>
          </w:tcPr>
          <w:p w14:paraId="02B373A7">
            <w:pPr>
              <w:widowControl/>
              <w:spacing w:line="330" w:lineRule="exact"/>
              <w:ind w:left="90" w:hanging="90"/>
              <w:jc w:val="center"/>
              <w:rPr>
                <w:rFonts w:ascii="Times New Roman" w:hAnsi="Times New Roman"/>
                <w:sz w:val="18"/>
                <w:szCs w:val="18"/>
              </w:rPr>
            </w:pPr>
            <w:r>
              <w:rPr>
                <w:rFonts w:ascii="Times New Roman" w:hAnsi="Times New Roman"/>
                <w:sz w:val="18"/>
                <w:szCs w:val="18"/>
              </w:rPr>
              <w:t>全局处理机</w:t>
            </w:r>
          </w:p>
        </w:tc>
        <w:tc>
          <w:tcPr>
            <w:tcW w:w="1494" w:type="pct"/>
            <w:gridSpan w:val="2"/>
          </w:tcPr>
          <w:p w14:paraId="3968906E">
            <w:pPr>
              <w:widowControl/>
              <w:spacing w:line="330" w:lineRule="exact"/>
              <w:ind w:left="90" w:hanging="90"/>
              <w:jc w:val="center"/>
              <w:rPr>
                <w:rFonts w:ascii="Times New Roman" w:hAnsi="Times New Roman"/>
                <w:sz w:val="18"/>
                <w:szCs w:val="18"/>
              </w:rPr>
            </w:pPr>
            <w:r>
              <w:rPr>
                <w:rFonts w:ascii="Times New Roman" w:hAnsi="Times New Roman"/>
                <w:sz w:val="18"/>
                <w:szCs w:val="18"/>
              </w:rPr>
              <w:t>全局处理机</w:t>
            </w:r>
          </w:p>
        </w:tc>
        <w:tc>
          <w:tcPr>
            <w:tcW w:w="1501" w:type="pct"/>
            <w:gridSpan w:val="2"/>
          </w:tcPr>
          <w:p w14:paraId="7B799FBB">
            <w:pPr>
              <w:widowControl/>
              <w:spacing w:line="330" w:lineRule="exact"/>
              <w:ind w:left="90" w:hanging="90"/>
              <w:jc w:val="center"/>
              <w:rPr>
                <w:rFonts w:ascii="Times New Roman" w:hAnsi="Times New Roman"/>
                <w:sz w:val="18"/>
                <w:szCs w:val="18"/>
              </w:rPr>
            </w:pPr>
            <w:r>
              <w:rPr>
                <w:rFonts w:ascii="Times New Roman" w:hAnsi="Times New Roman"/>
                <w:sz w:val="18"/>
                <w:szCs w:val="18"/>
              </w:rPr>
              <w:t>全局处理机</w:t>
            </w:r>
          </w:p>
        </w:tc>
      </w:tr>
      <w:tr w14:paraId="412D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continue"/>
          </w:tcPr>
          <w:p w14:paraId="6BDE0AFB">
            <w:pPr>
              <w:widowControl/>
              <w:spacing w:line="330" w:lineRule="exact"/>
              <w:ind w:left="90" w:hanging="90"/>
              <w:jc w:val="left"/>
              <w:rPr>
                <w:rFonts w:ascii="Times New Roman" w:hAnsi="Times New Roman"/>
                <w:sz w:val="18"/>
                <w:szCs w:val="18"/>
              </w:rPr>
            </w:pPr>
          </w:p>
        </w:tc>
        <w:tc>
          <w:tcPr>
            <w:tcW w:w="703" w:type="pct"/>
          </w:tcPr>
          <w:p w14:paraId="40583C9D">
            <w:pPr>
              <w:widowControl/>
              <w:spacing w:line="330" w:lineRule="exact"/>
              <w:ind w:left="90" w:hanging="90"/>
              <w:jc w:val="center"/>
              <w:rPr>
                <w:rFonts w:ascii="Times New Roman" w:hAnsi="Times New Roman"/>
                <w:sz w:val="18"/>
                <w:szCs w:val="18"/>
              </w:rPr>
            </w:pPr>
            <w:r>
              <w:rPr>
                <w:rFonts w:ascii="Times New Roman" w:hAnsi="Times New Roman"/>
                <w:sz w:val="18"/>
                <w:szCs w:val="18"/>
              </w:rPr>
              <w:t>1~3对</w:t>
            </w:r>
          </w:p>
        </w:tc>
        <w:tc>
          <w:tcPr>
            <w:tcW w:w="712" w:type="pct"/>
          </w:tcPr>
          <w:p w14:paraId="141A2F93">
            <w:pPr>
              <w:widowControl/>
              <w:spacing w:line="330" w:lineRule="exact"/>
              <w:ind w:left="90" w:hanging="90"/>
              <w:jc w:val="center"/>
              <w:rPr>
                <w:rFonts w:ascii="Times New Roman" w:hAnsi="Times New Roman"/>
                <w:sz w:val="18"/>
                <w:szCs w:val="18"/>
              </w:rPr>
            </w:pPr>
            <w:r>
              <w:rPr>
                <w:rFonts w:ascii="Times New Roman" w:hAnsi="Times New Roman"/>
                <w:sz w:val="18"/>
                <w:szCs w:val="18"/>
              </w:rPr>
              <w:t>3对以上</w:t>
            </w:r>
          </w:p>
        </w:tc>
        <w:tc>
          <w:tcPr>
            <w:tcW w:w="746" w:type="pct"/>
          </w:tcPr>
          <w:p w14:paraId="4B9FDA64">
            <w:pPr>
              <w:widowControl/>
              <w:spacing w:line="330" w:lineRule="exact"/>
              <w:ind w:left="90" w:hanging="90"/>
              <w:jc w:val="center"/>
              <w:rPr>
                <w:rFonts w:ascii="Times New Roman" w:hAnsi="Times New Roman"/>
                <w:sz w:val="18"/>
                <w:szCs w:val="18"/>
              </w:rPr>
            </w:pPr>
            <w:r>
              <w:rPr>
                <w:rFonts w:ascii="Times New Roman" w:hAnsi="Times New Roman"/>
                <w:sz w:val="18"/>
                <w:szCs w:val="18"/>
              </w:rPr>
              <w:t>1~3对</w:t>
            </w:r>
          </w:p>
        </w:tc>
        <w:tc>
          <w:tcPr>
            <w:tcW w:w="747" w:type="pct"/>
          </w:tcPr>
          <w:p w14:paraId="4E8A0CD0">
            <w:pPr>
              <w:widowControl/>
              <w:spacing w:line="330" w:lineRule="exact"/>
              <w:ind w:left="90" w:hanging="90"/>
              <w:jc w:val="center"/>
              <w:rPr>
                <w:rFonts w:ascii="Times New Roman" w:hAnsi="Times New Roman"/>
                <w:sz w:val="18"/>
                <w:szCs w:val="18"/>
              </w:rPr>
            </w:pPr>
            <w:r>
              <w:rPr>
                <w:rFonts w:ascii="Times New Roman" w:hAnsi="Times New Roman"/>
                <w:sz w:val="18"/>
                <w:szCs w:val="18"/>
              </w:rPr>
              <w:t>3对以上</w:t>
            </w:r>
          </w:p>
        </w:tc>
        <w:tc>
          <w:tcPr>
            <w:tcW w:w="780" w:type="pct"/>
          </w:tcPr>
          <w:p w14:paraId="211A6347">
            <w:pPr>
              <w:widowControl/>
              <w:spacing w:line="330" w:lineRule="exact"/>
              <w:ind w:left="90" w:hanging="90"/>
              <w:jc w:val="center"/>
              <w:rPr>
                <w:rFonts w:ascii="Times New Roman" w:hAnsi="Times New Roman"/>
                <w:sz w:val="18"/>
                <w:szCs w:val="18"/>
              </w:rPr>
            </w:pPr>
            <w:r>
              <w:rPr>
                <w:rFonts w:ascii="Times New Roman" w:hAnsi="Times New Roman"/>
                <w:sz w:val="18"/>
                <w:szCs w:val="18"/>
              </w:rPr>
              <w:t>1~3对</w:t>
            </w:r>
          </w:p>
        </w:tc>
        <w:tc>
          <w:tcPr>
            <w:tcW w:w="721" w:type="pct"/>
          </w:tcPr>
          <w:p w14:paraId="0C5F5ADC">
            <w:pPr>
              <w:widowControl/>
              <w:spacing w:line="330" w:lineRule="exact"/>
              <w:ind w:left="90" w:hanging="90"/>
              <w:jc w:val="center"/>
              <w:rPr>
                <w:rFonts w:ascii="Times New Roman" w:hAnsi="Times New Roman"/>
                <w:sz w:val="18"/>
                <w:szCs w:val="18"/>
              </w:rPr>
            </w:pPr>
            <w:r>
              <w:rPr>
                <w:rFonts w:ascii="Times New Roman" w:hAnsi="Times New Roman"/>
                <w:sz w:val="18"/>
                <w:szCs w:val="18"/>
              </w:rPr>
              <w:t>3对以上</w:t>
            </w:r>
          </w:p>
        </w:tc>
      </w:tr>
      <w:tr w14:paraId="4BB6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06226FAF">
            <w:pPr>
              <w:widowControl/>
              <w:spacing w:line="330" w:lineRule="exact"/>
              <w:ind w:left="90" w:hanging="90"/>
              <w:jc w:val="center"/>
              <w:rPr>
                <w:rFonts w:ascii="Times New Roman" w:hAnsi="Times New Roman"/>
                <w:sz w:val="18"/>
                <w:szCs w:val="18"/>
              </w:rPr>
            </w:pPr>
            <w:r>
              <w:rPr>
                <w:rFonts w:ascii="Times New Roman" w:hAnsi="Times New Roman"/>
                <w:sz w:val="18"/>
                <w:szCs w:val="18"/>
              </w:rPr>
              <w:t>次 要</w:t>
            </w:r>
          </w:p>
        </w:tc>
        <w:tc>
          <w:tcPr>
            <w:tcW w:w="703" w:type="pct"/>
          </w:tcPr>
          <w:p w14:paraId="72234D03">
            <w:pPr>
              <w:widowControl/>
              <w:spacing w:line="330" w:lineRule="exact"/>
              <w:ind w:left="90" w:hanging="90"/>
              <w:jc w:val="center"/>
              <w:rPr>
                <w:rFonts w:ascii="Times New Roman" w:hAnsi="Times New Roman"/>
                <w:sz w:val="18"/>
                <w:szCs w:val="18"/>
              </w:rPr>
            </w:pPr>
            <w:r>
              <w:rPr>
                <w:rFonts w:ascii="Times New Roman" w:hAnsi="Times New Roman"/>
                <w:sz w:val="18"/>
                <w:szCs w:val="18"/>
              </w:rPr>
              <w:t>＜3</w:t>
            </w:r>
          </w:p>
        </w:tc>
        <w:tc>
          <w:tcPr>
            <w:tcW w:w="712" w:type="pct"/>
          </w:tcPr>
          <w:p w14:paraId="4F4E4E05">
            <w:pPr>
              <w:widowControl/>
              <w:spacing w:line="330" w:lineRule="exact"/>
              <w:ind w:left="90" w:hanging="90"/>
              <w:jc w:val="center"/>
              <w:rPr>
                <w:rFonts w:ascii="Times New Roman" w:hAnsi="Times New Roman"/>
                <w:sz w:val="18"/>
                <w:szCs w:val="18"/>
              </w:rPr>
            </w:pPr>
            <w:r>
              <w:rPr>
                <w:rFonts w:ascii="Times New Roman" w:hAnsi="Times New Roman"/>
                <w:sz w:val="18"/>
                <w:szCs w:val="18"/>
              </w:rPr>
              <w:t>＜4</w:t>
            </w:r>
          </w:p>
        </w:tc>
        <w:tc>
          <w:tcPr>
            <w:tcW w:w="746" w:type="pct"/>
          </w:tcPr>
          <w:p w14:paraId="0A13FF3E">
            <w:pPr>
              <w:widowControl/>
              <w:spacing w:line="330" w:lineRule="exact"/>
              <w:ind w:left="90" w:hanging="90"/>
              <w:jc w:val="center"/>
              <w:rPr>
                <w:rFonts w:ascii="Times New Roman" w:hAnsi="Times New Roman"/>
                <w:sz w:val="18"/>
                <w:szCs w:val="18"/>
              </w:rPr>
            </w:pPr>
            <w:r>
              <w:rPr>
                <w:rFonts w:ascii="Times New Roman" w:hAnsi="Times New Roman"/>
                <w:sz w:val="18"/>
                <w:szCs w:val="18"/>
              </w:rPr>
              <w:t>＜2</w:t>
            </w:r>
          </w:p>
        </w:tc>
        <w:tc>
          <w:tcPr>
            <w:tcW w:w="747" w:type="pct"/>
          </w:tcPr>
          <w:p w14:paraId="3C33B6CE">
            <w:pPr>
              <w:widowControl/>
              <w:spacing w:line="330" w:lineRule="exact"/>
              <w:ind w:left="90" w:hanging="90"/>
              <w:jc w:val="center"/>
              <w:rPr>
                <w:rFonts w:ascii="Times New Roman" w:hAnsi="Times New Roman"/>
                <w:sz w:val="18"/>
                <w:szCs w:val="18"/>
              </w:rPr>
            </w:pPr>
            <w:r>
              <w:rPr>
                <w:rFonts w:ascii="Times New Roman" w:hAnsi="Times New Roman"/>
                <w:sz w:val="18"/>
                <w:szCs w:val="18"/>
              </w:rPr>
              <w:t>＜3</w:t>
            </w:r>
          </w:p>
        </w:tc>
        <w:tc>
          <w:tcPr>
            <w:tcW w:w="780" w:type="pct"/>
          </w:tcPr>
          <w:p w14:paraId="26F8C90A">
            <w:pPr>
              <w:widowControl/>
              <w:spacing w:line="330" w:lineRule="exact"/>
              <w:ind w:left="90" w:hanging="90"/>
              <w:jc w:val="center"/>
              <w:rPr>
                <w:rFonts w:ascii="Times New Roman" w:hAnsi="Times New Roman"/>
                <w:sz w:val="18"/>
                <w:szCs w:val="18"/>
              </w:rPr>
            </w:pPr>
            <w:r>
              <w:rPr>
                <w:rFonts w:ascii="Times New Roman" w:hAnsi="Times New Roman"/>
                <w:sz w:val="18"/>
                <w:szCs w:val="18"/>
              </w:rPr>
              <w:t>＜2</w:t>
            </w:r>
          </w:p>
        </w:tc>
        <w:tc>
          <w:tcPr>
            <w:tcW w:w="721" w:type="pct"/>
          </w:tcPr>
          <w:p w14:paraId="3145540F">
            <w:pPr>
              <w:widowControl/>
              <w:spacing w:line="330" w:lineRule="exact"/>
              <w:ind w:left="90" w:hanging="90"/>
              <w:jc w:val="center"/>
              <w:rPr>
                <w:rFonts w:ascii="Times New Roman" w:hAnsi="Times New Roman"/>
                <w:sz w:val="18"/>
                <w:szCs w:val="18"/>
              </w:rPr>
            </w:pPr>
            <w:r>
              <w:rPr>
                <w:rFonts w:ascii="Times New Roman" w:hAnsi="Times New Roman"/>
                <w:sz w:val="18"/>
                <w:szCs w:val="18"/>
              </w:rPr>
              <w:t>＜3</w:t>
            </w:r>
          </w:p>
        </w:tc>
      </w:tr>
      <w:tr w14:paraId="4FB0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35169014">
            <w:pPr>
              <w:widowControl/>
              <w:spacing w:line="330" w:lineRule="exact"/>
              <w:ind w:left="90" w:hanging="90"/>
              <w:jc w:val="center"/>
              <w:rPr>
                <w:rFonts w:ascii="Times New Roman" w:hAnsi="Times New Roman"/>
                <w:sz w:val="18"/>
                <w:szCs w:val="18"/>
              </w:rPr>
            </w:pPr>
            <w:r>
              <w:rPr>
                <w:rFonts w:ascii="Times New Roman" w:hAnsi="Times New Roman"/>
                <w:sz w:val="18"/>
                <w:szCs w:val="18"/>
              </w:rPr>
              <w:t>严 重</w:t>
            </w:r>
          </w:p>
        </w:tc>
        <w:tc>
          <w:tcPr>
            <w:tcW w:w="703" w:type="pct"/>
          </w:tcPr>
          <w:p w14:paraId="3DA20FC8">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c>
          <w:tcPr>
            <w:tcW w:w="712" w:type="pct"/>
          </w:tcPr>
          <w:p w14:paraId="0D442E32">
            <w:pPr>
              <w:widowControl/>
              <w:spacing w:line="330" w:lineRule="exact"/>
              <w:ind w:left="90" w:hanging="90"/>
              <w:jc w:val="center"/>
              <w:rPr>
                <w:rFonts w:ascii="Times New Roman" w:hAnsi="Times New Roman"/>
                <w:sz w:val="18"/>
                <w:szCs w:val="18"/>
              </w:rPr>
            </w:pPr>
            <w:r>
              <w:rPr>
                <w:rFonts w:ascii="Times New Roman" w:hAnsi="Times New Roman"/>
                <w:sz w:val="18"/>
                <w:szCs w:val="18"/>
              </w:rPr>
              <w:t>＜2</w:t>
            </w:r>
          </w:p>
        </w:tc>
        <w:tc>
          <w:tcPr>
            <w:tcW w:w="746" w:type="pct"/>
          </w:tcPr>
          <w:p w14:paraId="0BACF308">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c>
          <w:tcPr>
            <w:tcW w:w="747" w:type="pct"/>
          </w:tcPr>
          <w:p w14:paraId="04F43C99">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c>
          <w:tcPr>
            <w:tcW w:w="780" w:type="pct"/>
          </w:tcPr>
          <w:p w14:paraId="28C56006">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c>
          <w:tcPr>
            <w:tcW w:w="721" w:type="pct"/>
          </w:tcPr>
          <w:p w14:paraId="370180A0">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r>
      <w:tr w14:paraId="5123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38BA919D">
            <w:pPr>
              <w:widowControl/>
              <w:spacing w:line="330" w:lineRule="exact"/>
              <w:ind w:left="90" w:hanging="90"/>
              <w:jc w:val="left"/>
              <w:rPr>
                <w:rFonts w:ascii="Times New Roman" w:hAnsi="Times New Roman"/>
                <w:sz w:val="18"/>
                <w:szCs w:val="18"/>
              </w:rPr>
            </w:pPr>
            <w:r>
              <w:rPr>
                <w:rFonts w:ascii="Times New Roman" w:hAnsi="Times New Roman"/>
                <w:sz w:val="18"/>
                <w:szCs w:val="18"/>
              </w:rPr>
              <w:t>再装入</w:t>
            </w:r>
          </w:p>
        </w:tc>
        <w:tc>
          <w:tcPr>
            <w:tcW w:w="703" w:type="pct"/>
          </w:tcPr>
          <w:p w14:paraId="6870FEBD">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c>
          <w:tcPr>
            <w:tcW w:w="712" w:type="pct"/>
          </w:tcPr>
          <w:p w14:paraId="51E9762B">
            <w:pPr>
              <w:widowControl/>
              <w:spacing w:line="330" w:lineRule="exact"/>
              <w:ind w:left="90" w:hanging="90"/>
              <w:jc w:val="center"/>
              <w:rPr>
                <w:rFonts w:ascii="Times New Roman" w:hAnsi="Times New Roman"/>
                <w:sz w:val="18"/>
                <w:szCs w:val="18"/>
              </w:rPr>
            </w:pPr>
            <w:r>
              <w:rPr>
                <w:rFonts w:ascii="Times New Roman" w:hAnsi="Times New Roman"/>
                <w:sz w:val="18"/>
                <w:szCs w:val="18"/>
              </w:rPr>
              <w:t>＜1</w:t>
            </w:r>
          </w:p>
        </w:tc>
        <w:tc>
          <w:tcPr>
            <w:tcW w:w="746" w:type="pct"/>
          </w:tcPr>
          <w:p w14:paraId="046743D7">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c>
          <w:tcPr>
            <w:tcW w:w="747" w:type="pct"/>
          </w:tcPr>
          <w:p w14:paraId="08A23805">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c>
          <w:tcPr>
            <w:tcW w:w="780" w:type="pct"/>
          </w:tcPr>
          <w:p w14:paraId="524BD209">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c>
          <w:tcPr>
            <w:tcW w:w="721" w:type="pct"/>
          </w:tcPr>
          <w:p w14:paraId="41C58247">
            <w:pPr>
              <w:widowControl/>
              <w:spacing w:line="330" w:lineRule="exact"/>
              <w:ind w:left="90" w:hanging="90"/>
              <w:jc w:val="center"/>
              <w:rPr>
                <w:rFonts w:ascii="Times New Roman" w:hAnsi="Times New Roman"/>
                <w:sz w:val="18"/>
                <w:szCs w:val="18"/>
              </w:rPr>
            </w:pPr>
            <w:r>
              <w:rPr>
                <w:rFonts w:ascii="Times New Roman" w:hAnsi="Times New Roman"/>
                <w:sz w:val="18"/>
                <w:szCs w:val="18"/>
              </w:rPr>
              <w:t>0</w:t>
            </w:r>
          </w:p>
        </w:tc>
      </w:tr>
    </w:tbl>
    <w:p w14:paraId="3A6C2B23">
      <w:pPr>
        <w:pStyle w:val="164"/>
        <w:numPr>
          <w:ilvl w:val="0"/>
          <w:numId w:val="42"/>
        </w:numPr>
        <w:tabs>
          <w:tab w:val="left" w:pos="210"/>
          <w:tab w:val="left" w:pos="567"/>
        </w:tabs>
        <w:spacing w:line="330" w:lineRule="exact"/>
        <w:ind w:firstLine="630" w:firstLineChars="300"/>
      </w:pPr>
      <w:r>
        <w:t>计费差错率应</w:t>
      </w:r>
      <w:r>
        <w:rPr>
          <w:rFonts w:hint="eastAsia"/>
        </w:rPr>
        <w:t>小于</w:t>
      </w:r>
      <w:r>
        <w:t>万分之一。</w:t>
      </w:r>
    </w:p>
    <w:p w14:paraId="62BFC304">
      <w:pPr>
        <w:pStyle w:val="164"/>
        <w:numPr>
          <w:ilvl w:val="0"/>
          <w:numId w:val="42"/>
        </w:numPr>
        <w:tabs>
          <w:tab w:val="left" w:pos="210"/>
          <w:tab w:val="left" w:pos="567"/>
        </w:tabs>
        <w:spacing w:line="330" w:lineRule="exact"/>
        <w:ind w:firstLine="630" w:firstLineChars="300"/>
      </w:pPr>
      <w:r>
        <w:t>交换网络非正常倒换的指标：第一月</w:t>
      </w:r>
      <w:r>
        <w:rPr>
          <w:rFonts w:hint="eastAsia"/>
        </w:rPr>
        <w:t>＜</w:t>
      </w:r>
      <w:r>
        <w:t>2次；第二月</w:t>
      </w:r>
      <w:r>
        <w:rPr>
          <w:rFonts w:hint="eastAsia"/>
        </w:rPr>
        <w:t>＜</w:t>
      </w:r>
      <w:r>
        <w:t>1次；第三月</w:t>
      </w:r>
      <w:r>
        <w:rPr>
          <w:rFonts w:hint="eastAsia"/>
        </w:rPr>
        <w:t>＜</w:t>
      </w:r>
      <w:r>
        <w:t>1次。</w:t>
      </w:r>
    </w:p>
    <w:p w14:paraId="71A96078">
      <w:pPr>
        <w:pStyle w:val="164"/>
        <w:numPr>
          <w:ilvl w:val="0"/>
          <w:numId w:val="42"/>
        </w:numPr>
        <w:tabs>
          <w:tab w:val="left" w:pos="210"/>
          <w:tab w:val="left" w:pos="567"/>
        </w:tabs>
        <w:spacing w:line="330" w:lineRule="exact"/>
        <w:ind w:firstLine="630" w:firstLineChars="300"/>
      </w:pPr>
      <w:r>
        <w:t>在试运转阶段不得出现由于设备原因进行人工再装入和最高级的人工再启动</w:t>
      </w:r>
      <w:r>
        <w:rPr>
          <w:rFonts w:hint="eastAsia"/>
        </w:rPr>
        <w:t>情况</w:t>
      </w:r>
      <w:r>
        <w:t>。</w:t>
      </w:r>
    </w:p>
    <w:p w14:paraId="09E6CAA4">
      <w:pPr>
        <w:pStyle w:val="164"/>
        <w:numPr>
          <w:ilvl w:val="0"/>
          <w:numId w:val="42"/>
        </w:numPr>
        <w:tabs>
          <w:tab w:val="left" w:pos="210"/>
          <w:tab w:val="left" w:pos="567"/>
        </w:tabs>
        <w:spacing w:line="330" w:lineRule="exact"/>
        <w:ind w:firstLine="630" w:firstLineChars="300"/>
      </w:pPr>
      <w:r>
        <w:t>在试运转期间，不应产生由于软件设计错误造成的故障。</w:t>
      </w:r>
    </w:p>
    <w:p w14:paraId="75F8B08B">
      <w:pPr>
        <w:pStyle w:val="164"/>
        <w:numPr>
          <w:ilvl w:val="0"/>
          <w:numId w:val="42"/>
        </w:numPr>
        <w:tabs>
          <w:tab w:val="left" w:pos="210"/>
          <w:tab w:val="left" w:pos="567"/>
        </w:tabs>
        <w:spacing w:line="330" w:lineRule="exact"/>
        <w:ind w:firstLine="630" w:firstLineChars="300"/>
      </w:pPr>
      <w:r>
        <w:t>分群设备与分散设备的可靠性指标应与初验测试阶段指标相同。</w:t>
      </w:r>
    </w:p>
    <w:p w14:paraId="6099C2D3">
      <w:pPr>
        <w:pStyle w:val="164"/>
        <w:numPr>
          <w:ilvl w:val="0"/>
          <w:numId w:val="40"/>
        </w:numPr>
        <w:spacing w:line="330" w:lineRule="exact"/>
        <w:ind w:left="0" w:firstLine="420"/>
      </w:pPr>
      <w:r>
        <w:t>试运转模拟呼叫测试应符合下列规定：</w:t>
      </w:r>
    </w:p>
    <w:p w14:paraId="05D3FC16">
      <w:pPr>
        <w:pStyle w:val="164"/>
        <w:numPr>
          <w:ilvl w:val="0"/>
          <w:numId w:val="43"/>
        </w:numPr>
        <w:tabs>
          <w:tab w:val="left" w:pos="210"/>
          <w:tab w:val="left" w:pos="567"/>
        </w:tabs>
        <w:spacing w:line="330" w:lineRule="exact"/>
        <w:ind w:firstLine="630" w:firstLineChars="300"/>
      </w:pPr>
      <w:r>
        <w:t>局内接通率测试，应用仿真呼叫器每月测试一次，每次作10000次呼叫，接通率应≥99.9%，呼叫</w:t>
      </w:r>
      <w:r>
        <w:rPr>
          <w:rFonts w:hint="eastAsia"/>
        </w:rPr>
        <w:t>应</w:t>
      </w:r>
      <w:r>
        <w:t>在忙时进行；应用人工拨号方法每月测试一次，作1000次呼叫，接通率应≥99.5%，呼叫</w:t>
      </w:r>
      <w:r>
        <w:rPr>
          <w:rFonts w:hint="eastAsia"/>
        </w:rPr>
        <w:t>应</w:t>
      </w:r>
      <w:r>
        <w:t>在忙时进行。</w:t>
      </w:r>
    </w:p>
    <w:p w14:paraId="307A8CE5">
      <w:pPr>
        <w:pStyle w:val="164"/>
        <w:numPr>
          <w:ilvl w:val="0"/>
          <w:numId w:val="43"/>
        </w:numPr>
        <w:tabs>
          <w:tab w:val="left" w:pos="210"/>
          <w:tab w:val="left" w:pos="567"/>
        </w:tabs>
        <w:spacing w:line="330" w:lineRule="exact"/>
        <w:ind w:firstLine="630" w:firstLineChars="300"/>
      </w:pPr>
      <w:r>
        <w:t>局间接通率测试，应在各局向出入中继接通率应每月测试一次，每个局向作200次呼叫，接通率应≥95%，测试时连接4对用户，</w:t>
      </w:r>
      <w:r>
        <w:rPr>
          <w:rFonts w:hint="eastAsia"/>
        </w:rPr>
        <w:t>应</w:t>
      </w:r>
      <w:r>
        <w:t>在话务清闲时进行。</w:t>
      </w:r>
    </w:p>
    <w:p w14:paraId="687BE9CE">
      <w:pPr>
        <w:pStyle w:val="164"/>
        <w:numPr>
          <w:ilvl w:val="0"/>
          <w:numId w:val="43"/>
        </w:numPr>
        <w:tabs>
          <w:tab w:val="left" w:pos="210"/>
          <w:tab w:val="left" w:pos="567"/>
        </w:tabs>
        <w:spacing w:line="330" w:lineRule="exact"/>
        <w:ind w:firstLine="630" w:firstLineChars="300"/>
      </w:pPr>
      <w:r>
        <w:t>长途电路接通率测试，应在长途交换机上，对长途电路接通率每月测试一次，要求长途来、去话接通率优于长途电路维护考核指标；长途电路、长市中继电路可用率</w:t>
      </w:r>
      <w:r>
        <w:rPr>
          <w:rFonts w:hint="eastAsia"/>
        </w:rPr>
        <w:t>应</w:t>
      </w:r>
      <w:r>
        <w:t>在98%以上。</w:t>
      </w:r>
    </w:p>
    <w:p w14:paraId="74C58203">
      <w:pPr>
        <w:pStyle w:val="164"/>
        <w:numPr>
          <w:ilvl w:val="0"/>
          <w:numId w:val="43"/>
        </w:numPr>
        <w:tabs>
          <w:tab w:val="left" w:pos="210"/>
          <w:tab w:val="left" w:pos="567"/>
        </w:tabs>
        <w:spacing w:line="330" w:lineRule="exact"/>
        <w:ind w:firstLine="630" w:firstLineChars="300"/>
      </w:pPr>
      <w:r>
        <w:t>长时间通话测试，应每月测试一次，用10对话机连成通话状态，在48</w:t>
      </w:r>
      <w:r>
        <w:rPr>
          <w:szCs w:val="22"/>
        </w:rPr>
        <w:t>h</w:t>
      </w:r>
      <w:r>
        <w:t>后，通话电话应正常，计费正确，无重接、断话或单向通话等现象。</w:t>
      </w:r>
    </w:p>
    <w:p w14:paraId="5819A8CC">
      <w:pPr>
        <w:widowControl/>
        <w:spacing w:line="330" w:lineRule="exact"/>
        <w:ind w:left="0" w:firstLine="0" w:firstLineChars="0"/>
        <w:jc w:val="left"/>
        <w:rPr>
          <w:rFonts w:ascii="Times New Roman" w:hAnsi="Times New Roman"/>
        </w:rPr>
      </w:pPr>
      <w:r>
        <w:rPr>
          <w:rFonts w:ascii="Times New Roman" w:hAnsi="Times New Roman"/>
        </w:rPr>
        <w:t>5.3.8 信息接入系统的设备、材料进场</w:t>
      </w:r>
      <w:r>
        <w:rPr>
          <w:rFonts w:hint="eastAsia" w:ascii="Times New Roman" w:hAnsi="Times New Roman"/>
        </w:rPr>
        <w:t>检验</w:t>
      </w:r>
      <w:r>
        <w:rPr>
          <w:rFonts w:ascii="Times New Roman" w:hAnsi="Times New Roman"/>
        </w:rPr>
        <w:t>要求应</w:t>
      </w:r>
      <w:r>
        <w:rPr>
          <w:rFonts w:hint="eastAsia" w:ascii="Times New Roman" w:hAnsi="Times New Roman"/>
        </w:rPr>
        <w:t>按</w:t>
      </w:r>
      <w:r>
        <w:rPr>
          <w:rFonts w:ascii="Times New Roman" w:hAnsi="Times New Roman"/>
        </w:rPr>
        <w:t>下列规定执行：</w:t>
      </w:r>
    </w:p>
    <w:p w14:paraId="60650A31">
      <w:pPr>
        <w:pStyle w:val="164"/>
        <w:numPr>
          <w:ilvl w:val="0"/>
          <w:numId w:val="44"/>
        </w:numPr>
        <w:spacing w:line="330" w:lineRule="exact"/>
        <w:ind w:left="0" w:firstLine="420"/>
      </w:pPr>
      <w:r>
        <w:t>型材、管材和铁件的检验要求应符合下列规定：</w:t>
      </w:r>
    </w:p>
    <w:p w14:paraId="1F44D3F1">
      <w:pPr>
        <w:pStyle w:val="164"/>
        <w:numPr>
          <w:ilvl w:val="0"/>
          <w:numId w:val="45"/>
        </w:numPr>
        <w:tabs>
          <w:tab w:val="left" w:pos="210"/>
          <w:tab w:val="left" w:pos="567"/>
        </w:tabs>
        <w:spacing w:line="330" w:lineRule="exact"/>
        <w:ind w:firstLine="630" w:firstLineChars="300"/>
      </w:pPr>
      <w:r>
        <w:t>各种型材的材质、规格均应符合设计文件的规定，表面应光滑、平整，不得变形、断裂。</w:t>
      </w:r>
    </w:p>
    <w:p w14:paraId="2E838BBC">
      <w:pPr>
        <w:pStyle w:val="164"/>
        <w:numPr>
          <w:ilvl w:val="0"/>
          <w:numId w:val="45"/>
        </w:numPr>
        <w:tabs>
          <w:tab w:val="left" w:pos="210"/>
          <w:tab w:val="left" w:pos="567"/>
        </w:tabs>
        <w:spacing w:line="330" w:lineRule="exact"/>
        <w:ind w:firstLine="630" w:firstLineChars="300"/>
      </w:pPr>
      <w:r>
        <w:t>管材采用钢管、硬聚氯乙烯管、玻璃钢管时，其管身应光滑无伤痕，管孔无变形，孔径、壁厚应满足设计要求。</w:t>
      </w:r>
    </w:p>
    <w:p w14:paraId="07947435">
      <w:pPr>
        <w:pStyle w:val="164"/>
        <w:numPr>
          <w:ilvl w:val="0"/>
          <w:numId w:val="45"/>
        </w:numPr>
        <w:tabs>
          <w:tab w:val="left" w:pos="210"/>
          <w:tab w:val="left" w:pos="567"/>
        </w:tabs>
        <w:spacing w:line="330" w:lineRule="exact"/>
        <w:ind w:firstLine="630" w:firstLineChars="300"/>
      </w:pPr>
      <w:r>
        <w:t>管道采用水泥管块时，应符合现行国家标准《通信管道工程施工及验收技术规范》</w:t>
      </w:r>
      <w:r>
        <w:rPr>
          <w:szCs w:val="22"/>
        </w:rPr>
        <w:t>GB 50374的</w:t>
      </w:r>
      <w:r>
        <w:t>相关规定。</w:t>
      </w:r>
    </w:p>
    <w:p w14:paraId="653ABE9D">
      <w:pPr>
        <w:pStyle w:val="164"/>
        <w:numPr>
          <w:ilvl w:val="0"/>
          <w:numId w:val="45"/>
        </w:numPr>
        <w:tabs>
          <w:tab w:val="left" w:pos="210"/>
          <w:tab w:val="left" w:pos="567"/>
        </w:tabs>
        <w:spacing w:line="330" w:lineRule="exact"/>
        <w:ind w:firstLine="630" w:firstLineChars="300"/>
      </w:pPr>
      <w:r>
        <w:t>各种规格铁件的材质均应符合质量标准，不得有歪斜、扭曲、飞刺、断裂或破损。</w:t>
      </w:r>
    </w:p>
    <w:p w14:paraId="19AF7111">
      <w:pPr>
        <w:pStyle w:val="164"/>
        <w:numPr>
          <w:ilvl w:val="0"/>
          <w:numId w:val="45"/>
        </w:numPr>
        <w:tabs>
          <w:tab w:val="left" w:pos="210"/>
          <w:tab w:val="left" w:pos="567"/>
        </w:tabs>
        <w:spacing w:line="330" w:lineRule="exact"/>
        <w:ind w:firstLine="630" w:firstLineChars="300"/>
      </w:pPr>
      <w:r>
        <w:t>铁件的表面处理和镀层应均匀完整、表面光洁，无脱落、无气泡等缺陷。</w:t>
      </w:r>
    </w:p>
    <w:p w14:paraId="7A915F75">
      <w:pPr>
        <w:pStyle w:val="164"/>
        <w:numPr>
          <w:ilvl w:val="0"/>
          <w:numId w:val="44"/>
        </w:numPr>
        <w:spacing w:line="330" w:lineRule="exact"/>
        <w:ind w:left="0" w:firstLine="420"/>
      </w:pPr>
      <w:r>
        <w:t>缆线的检验应符合下列规定：</w:t>
      </w:r>
    </w:p>
    <w:p w14:paraId="3607F3E1">
      <w:pPr>
        <w:pStyle w:val="164"/>
        <w:numPr>
          <w:ilvl w:val="0"/>
          <w:numId w:val="46"/>
        </w:numPr>
        <w:tabs>
          <w:tab w:val="left" w:pos="210"/>
          <w:tab w:val="left" w:pos="567"/>
        </w:tabs>
        <w:spacing w:line="330" w:lineRule="exact"/>
        <w:ind w:firstLine="630" w:firstLineChars="300"/>
      </w:pPr>
      <w:r>
        <w:t>绞电缆、音视频线缆、光缆规格、程序、形式</w:t>
      </w:r>
      <w:r>
        <w:rPr>
          <w:rFonts w:hint="eastAsia"/>
        </w:rPr>
        <w:t>应满足</w:t>
      </w:r>
      <w:r>
        <w:t>设计</w:t>
      </w:r>
      <w:r>
        <w:rPr>
          <w:rFonts w:hint="eastAsia"/>
        </w:rPr>
        <w:t>要求</w:t>
      </w:r>
      <w:r>
        <w:t>。</w:t>
      </w:r>
    </w:p>
    <w:p w14:paraId="6A23D9A0">
      <w:pPr>
        <w:pStyle w:val="164"/>
        <w:numPr>
          <w:ilvl w:val="0"/>
          <w:numId w:val="46"/>
        </w:numPr>
        <w:tabs>
          <w:tab w:val="left" w:pos="210"/>
          <w:tab w:val="left" w:pos="567"/>
        </w:tabs>
        <w:spacing w:line="330" w:lineRule="exact"/>
        <w:ind w:firstLine="630" w:firstLineChars="300"/>
      </w:pPr>
      <w:r>
        <w:t>电缆标志、卷标内容</w:t>
      </w:r>
      <w:r>
        <w:rPr>
          <w:rFonts w:hint="eastAsia"/>
        </w:rPr>
        <w:t>应</w:t>
      </w:r>
      <w:r>
        <w:t>完整，</w:t>
      </w:r>
      <w:r>
        <w:rPr>
          <w:rFonts w:hint="eastAsia"/>
        </w:rPr>
        <w:t>并</w:t>
      </w:r>
      <w:r>
        <w:t>附出厂检验合格证。</w:t>
      </w:r>
    </w:p>
    <w:p w14:paraId="7C60B5A0">
      <w:pPr>
        <w:pStyle w:val="164"/>
        <w:numPr>
          <w:ilvl w:val="0"/>
          <w:numId w:val="46"/>
        </w:numPr>
        <w:tabs>
          <w:tab w:val="left" w:pos="210"/>
          <w:tab w:val="left" w:pos="567"/>
        </w:tabs>
        <w:spacing w:line="330" w:lineRule="exact"/>
        <w:ind w:firstLine="630" w:firstLineChars="300"/>
      </w:pPr>
      <w:r>
        <w:rPr>
          <w:rFonts w:hint="eastAsia"/>
        </w:rPr>
        <w:t>应随机从</w:t>
      </w:r>
      <w:r>
        <w:t>盘中抽样测试电缆电气性能。</w:t>
      </w:r>
    </w:p>
    <w:p w14:paraId="2524A78C">
      <w:pPr>
        <w:pStyle w:val="164"/>
        <w:numPr>
          <w:ilvl w:val="0"/>
          <w:numId w:val="46"/>
        </w:numPr>
        <w:tabs>
          <w:tab w:val="left" w:pos="210"/>
          <w:tab w:val="left" w:pos="567"/>
        </w:tabs>
        <w:spacing w:line="330" w:lineRule="exact"/>
        <w:ind w:firstLine="630" w:firstLineChars="300"/>
      </w:pPr>
      <w:r>
        <w:t>线料和电缆外皮</w:t>
      </w:r>
      <w:r>
        <w:rPr>
          <w:rFonts w:hint="eastAsia"/>
        </w:rPr>
        <w:t>应</w:t>
      </w:r>
      <w:r>
        <w:t>无老化、变质、扭曲、破损、折皱，</w:t>
      </w:r>
      <w:r>
        <w:rPr>
          <w:rFonts w:hint="eastAsia"/>
        </w:rPr>
        <w:t>并</w:t>
      </w:r>
      <w:r>
        <w:t>进行通断和绝缘检查。</w:t>
      </w:r>
    </w:p>
    <w:p w14:paraId="0A3C7968">
      <w:pPr>
        <w:pStyle w:val="164"/>
        <w:numPr>
          <w:ilvl w:val="0"/>
          <w:numId w:val="46"/>
        </w:numPr>
        <w:tabs>
          <w:tab w:val="left" w:pos="210"/>
          <w:tab w:val="left" w:pos="567"/>
        </w:tabs>
        <w:spacing w:line="330" w:lineRule="exact"/>
        <w:ind w:firstLine="630" w:firstLineChars="300"/>
      </w:pPr>
      <w:r>
        <w:t>电缆、接线端子板等</w:t>
      </w:r>
      <w:r>
        <w:rPr>
          <w:rFonts w:hint="eastAsia"/>
        </w:rPr>
        <w:t>应进行</w:t>
      </w:r>
      <w:r>
        <w:t>电气性能抽样测试，电缆绝缘电阻</w:t>
      </w:r>
      <w:r>
        <w:rPr>
          <w:rFonts w:hint="eastAsia"/>
        </w:rPr>
        <w:t>应</w:t>
      </w:r>
      <w:r>
        <w:t>≥200MΩ，端子板绝缘电阻</w:t>
      </w:r>
      <w:r>
        <w:rPr>
          <w:rFonts w:hint="eastAsia"/>
        </w:rPr>
        <w:t>应</w:t>
      </w:r>
      <w:r>
        <w:t>≥500MΩ。</w:t>
      </w:r>
    </w:p>
    <w:p w14:paraId="4D0A5290">
      <w:pPr>
        <w:pStyle w:val="164"/>
        <w:numPr>
          <w:ilvl w:val="0"/>
          <w:numId w:val="46"/>
        </w:numPr>
        <w:tabs>
          <w:tab w:val="left" w:pos="210"/>
          <w:tab w:val="left" w:pos="567"/>
        </w:tabs>
        <w:spacing w:line="330" w:lineRule="exact"/>
        <w:ind w:firstLine="630" w:firstLineChars="300"/>
      </w:pPr>
      <w:r>
        <w:t>缆线外端</w:t>
      </w:r>
      <w:r>
        <w:rPr>
          <w:rFonts w:hint="eastAsia"/>
        </w:rPr>
        <w:t>应</w:t>
      </w:r>
      <w:r>
        <w:t>标注类别与序号</w:t>
      </w:r>
      <w:r>
        <w:rPr>
          <w:rFonts w:hint="eastAsia"/>
        </w:rPr>
        <w:t>并</w:t>
      </w:r>
      <w:r>
        <w:t>识别A、B端。</w:t>
      </w:r>
    </w:p>
    <w:p w14:paraId="200E389A">
      <w:pPr>
        <w:pStyle w:val="164"/>
        <w:numPr>
          <w:ilvl w:val="0"/>
          <w:numId w:val="46"/>
        </w:numPr>
        <w:tabs>
          <w:tab w:val="left" w:pos="210"/>
          <w:tab w:val="left" w:pos="567"/>
        </w:tabs>
        <w:spacing w:line="330" w:lineRule="exact"/>
        <w:ind w:firstLine="630" w:firstLineChars="300"/>
      </w:pPr>
      <w:r>
        <w:t>光缆外表</w:t>
      </w:r>
      <w:r>
        <w:rPr>
          <w:rFonts w:hint="eastAsia"/>
        </w:rPr>
        <w:t>应</w:t>
      </w:r>
      <w:r>
        <w:t>无损伤，封装良好；</w:t>
      </w:r>
      <w:r>
        <w:rPr>
          <w:rFonts w:hint="eastAsia"/>
        </w:rPr>
        <w:t>应</w:t>
      </w:r>
      <w:r>
        <w:t>依据合格证与测试记录，审核光纤的几何、光学、传输特性和机械物理性能是否满足设计要求。</w:t>
      </w:r>
    </w:p>
    <w:p w14:paraId="5C9E4110">
      <w:pPr>
        <w:pStyle w:val="164"/>
        <w:numPr>
          <w:ilvl w:val="0"/>
          <w:numId w:val="46"/>
        </w:numPr>
        <w:tabs>
          <w:tab w:val="left" w:pos="210"/>
          <w:tab w:val="left" w:pos="567"/>
        </w:tabs>
        <w:spacing w:line="330" w:lineRule="exact"/>
        <w:ind w:firstLine="630" w:firstLineChars="300"/>
      </w:pPr>
      <w:r>
        <w:t>对62.5/125μm或50/125μm多模及单模光缆，</w:t>
      </w:r>
      <w:r>
        <w:rPr>
          <w:rFonts w:hint="eastAsia"/>
        </w:rPr>
        <w:t>应</w:t>
      </w:r>
      <w:r>
        <w:t>现场测试衰减常数与长度。</w:t>
      </w:r>
      <w:r>
        <w:rPr>
          <w:rFonts w:hint="eastAsia"/>
        </w:rPr>
        <w:t>应</w:t>
      </w:r>
      <w:r>
        <w:t>使用OTDR测试衰减，异常时辅以光功率计验证；光纤长度测试</w:t>
      </w:r>
      <w:r>
        <w:rPr>
          <w:rFonts w:hint="eastAsia"/>
        </w:rPr>
        <w:t>应</w:t>
      </w:r>
      <w:r>
        <w:t>逐一进行，差异大时</w:t>
      </w:r>
      <w:r>
        <w:rPr>
          <w:rFonts w:hint="eastAsia"/>
        </w:rPr>
        <w:t>应</w:t>
      </w:r>
      <w:r>
        <w:t>从另一端测试或通光检查排除断纤。</w:t>
      </w:r>
    </w:p>
    <w:p w14:paraId="3E32E9D7">
      <w:pPr>
        <w:pStyle w:val="164"/>
        <w:numPr>
          <w:ilvl w:val="0"/>
          <w:numId w:val="44"/>
        </w:numPr>
        <w:spacing w:line="330" w:lineRule="exact"/>
        <w:ind w:left="0" w:firstLine="420"/>
      </w:pPr>
      <w:r>
        <w:t>光纤调度软纤（光跳线）检验应符合下列规定：</w:t>
      </w:r>
    </w:p>
    <w:p w14:paraId="4241AD94">
      <w:pPr>
        <w:pStyle w:val="164"/>
        <w:numPr>
          <w:ilvl w:val="0"/>
          <w:numId w:val="47"/>
        </w:numPr>
        <w:tabs>
          <w:tab w:val="left" w:pos="210"/>
          <w:tab w:val="left" w:pos="567"/>
        </w:tabs>
        <w:spacing w:line="330" w:lineRule="exact"/>
        <w:ind w:firstLine="630" w:firstLineChars="300"/>
      </w:pPr>
      <w:r>
        <w:t>光纤调度软纤应具有经过防火处理的光纤保护包皮，两端的活性连接器（活接头）端面应配有合适的保护盖帽。</w:t>
      </w:r>
    </w:p>
    <w:p w14:paraId="6CACE3C0">
      <w:pPr>
        <w:pStyle w:val="164"/>
        <w:numPr>
          <w:ilvl w:val="0"/>
          <w:numId w:val="47"/>
        </w:numPr>
        <w:tabs>
          <w:tab w:val="left" w:pos="210"/>
          <w:tab w:val="left" w:pos="567"/>
        </w:tabs>
        <w:spacing w:line="330" w:lineRule="exact"/>
        <w:ind w:firstLine="630" w:firstLineChars="300"/>
      </w:pPr>
      <w:r>
        <w:t>每根光纤调度软纤中光纤的类型应有明显的标记，选用</w:t>
      </w:r>
      <w:r>
        <w:rPr>
          <w:rFonts w:hint="eastAsia"/>
        </w:rPr>
        <w:t>时</w:t>
      </w:r>
      <w:r>
        <w:t>应满足设计要求。</w:t>
      </w:r>
    </w:p>
    <w:p w14:paraId="3FAA268D">
      <w:pPr>
        <w:pStyle w:val="164"/>
        <w:numPr>
          <w:ilvl w:val="0"/>
          <w:numId w:val="44"/>
        </w:numPr>
        <w:spacing w:line="330" w:lineRule="exact"/>
        <w:ind w:left="0" w:firstLine="420"/>
      </w:pPr>
      <w:r>
        <w:t>保安接线排的保安单元过压、过流保护各项指标应</w:t>
      </w:r>
      <w:r>
        <w:rPr>
          <w:rFonts w:hint="eastAsia"/>
        </w:rPr>
        <w:t>满足</w:t>
      </w:r>
      <w:r>
        <w:t>设计要求。</w:t>
      </w:r>
    </w:p>
    <w:p w14:paraId="7D95B4FA">
      <w:pPr>
        <w:pStyle w:val="164"/>
        <w:numPr>
          <w:ilvl w:val="0"/>
          <w:numId w:val="44"/>
        </w:numPr>
        <w:spacing w:line="330" w:lineRule="exact"/>
        <w:ind w:left="0" w:firstLine="420"/>
      </w:pPr>
      <w:r>
        <w:t>光纤插座的连接器使用型号数量和位置应</w:t>
      </w:r>
      <w:r>
        <w:rPr>
          <w:rFonts w:hint="eastAsia"/>
        </w:rPr>
        <w:t>满足</w:t>
      </w:r>
      <w:r>
        <w:t>设计要求。</w:t>
      </w:r>
    </w:p>
    <w:p w14:paraId="734CDF24">
      <w:pPr>
        <w:pStyle w:val="164"/>
        <w:numPr>
          <w:ilvl w:val="0"/>
          <w:numId w:val="44"/>
        </w:numPr>
        <w:spacing w:line="330" w:lineRule="exact"/>
        <w:ind w:left="0" w:firstLine="420"/>
      </w:pPr>
      <w:r>
        <w:t>光纤插座面板应有发射（TX）和接受（RX）的明显标志。</w:t>
      </w:r>
    </w:p>
    <w:p w14:paraId="67195FE3">
      <w:pPr>
        <w:pStyle w:val="164"/>
        <w:numPr>
          <w:ilvl w:val="0"/>
          <w:numId w:val="44"/>
        </w:numPr>
        <w:spacing w:line="330" w:lineRule="exact"/>
        <w:ind w:left="0" w:firstLine="420"/>
      </w:pPr>
      <w:r>
        <w:t>对绞电缆（UTP 和 STP）的电气性能、机械特性、传输性能及插接件的具体技术指标和要求应满足设计要求。</w:t>
      </w:r>
    </w:p>
    <w:p w14:paraId="53807263">
      <w:pPr>
        <w:pStyle w:val="164"/>
        <w:numPr>
          <w:ilvl w:val="0"/>
          <w:numId w:val="44"/>
        </w:numPr>
        <w:spacing w:line="330" w:lineRule="exact"/>
        <w:ind w:left="0" w:firstLine="420"/>
      </w:pPr>
      <w:r>
        <w:t>通信电缆设备</w:t>
      </w:r>
      <w:r>
        <w:rPr>
          <w:rFonts w:hint="eastAsia"/>
        </w:rPr>
        <w:t>检验</w:t>
      </w:r>
      <w:r>
        <w:t>应</w:t>
      </w:r>
      <w:r>
        <w:rPr>
          <w:rFonts w:hint="eastAsia"/>
        </w:rPr>
        <w:t>满足</w:t>
      </w:r>
      <w:r>
        <w:t>设计要求。</w:t>
      </w:r>
    </w:p>
    <w:p w14:paraId="035FD831">
      <w:pPr>
        <w:pStyle w:val="3"/>
        <w:spacing w:before="240" w:after="120" w:afterLines="50" w:line="330" w:lineRule="exact"/>
        <w:rPr>
          <w:rFonts w:eastAsia="黑体"/>
          <w:b w:val="0"/>
          <w:bCs w:val="0"/>
          <w:sz w:val="21"/>
          <w:szCs w:val="21"/>
          <w:lang w:val="en-US"/>
        </w:rPr>
      </w:pPr>
      <w:bookmarkStart w:id="53" w:name="_Toc182487933"/>
      <w:r>
        <w:rPr>
          <w:rFonts w:eastAsia="黑体"/>
          <w:b w:val="0"/>
          <w:bCs w:val="0"/>
          <w:sz w:val="21"/>
          <w:szCs w:val="21"/>
          <w:lang w:val="en-US"/>
        </w:rPr>
        <w:t>5.4 质量记录</w:t>
      </w:r>
      <w:bookmarkEnd w:id="53"/>
    </w:p>
    <w:p w14:paraId="0EF5805C">
      <w:pPr>
        <w:ind w:left="105" w:hanging="105"/>
        <w:rPr>
          <w:rFonts w:ascii="Times New Roman" w:hAnsi="Times New Roman"/>
        </w:rPr>
      </w:pPr>
      <w:r>
        <w:rPr>
          <w:rFonts w:ascii="Times New Roman" w:hAnsi="Times New Roman"/>
        </w:rPr>
        <w:t>5.4.1 质量记录应包含下列内容：</w:t>
      </w:r>
    </w:p>
    <w:p w14:paraId="7B4A0880">
      <w:pPr>
        <w:pStyle w:val="164"/>
        <w:numPr>
          <w:ilvl w:val="0"/>
          <w:numId w:val="48"/>
        </w:numPr>
        <w:spacing w:line="330" w:lineRule="exact"/>
        <w:ind w:left="0" w:firstLine="420"/>
        <w:rPr>
          <w:szCs w:val="21"/>
        </w:rPr>
      </w:pPr>
      <w:r>
        <w:rPr>
          <w:szCs w:val="21"/>
        </w:rPr>
        <w:t>所用材料及设备的出厂合格证、生产许可证、使用说明书、安装技术文件“3C”认证、质量检验报告、进场抽样检查报告。</w:t>
      </w:r>
    </w:p>
    <w:p w14:paraId="62350534">
      <w:pPr>
        <w:pStyle w:val="164"/>
        <w:numPr>
          <w:ilvl w:val="0"/>
          <w:numId w:val="48"/>
        </w:numPr>
        <w:spacing w:line="330" w:lineRule="exact"/>
        <w:ind w:left="0" w:firstLine="420"/>
        <w:rPr>
          <w:szCs w:val="21"/>
        </w:rPr>
      </w:pPr>
      <w:r>
        <w:rPr>
          <w:szCs w:val="21"/>
        </w:rPr>
        <w:t>信息接入系统的检测记录和检测报告。</w:t>
      </w:r>
    </w:p>
    <w:p w14:paraId="2715974D">
      <w:pPr>
        <w:pStyle w:val="164"/>
        <w:numPr>
          <w:ilvl w:val="0"/>
          <w:numId w:val="48"/>
        </w:numPr>
        <w:spacing w:line="330" w:lineRule="exact"/>
        <w:ind w:left="0" w:firstLine="420"/>
        <w:rPr>
          <w:rFonts w:eastAsiaTheme="minorEastAsia"/>
          <w:b/>
          <w:bCs/>
        </w:rPr>
      </w:pPr>
      <w:r>
        <w:rPr>
          <w:szCs w:val="21"/>
        </w:rPr>
        <w:t>工程安装质量及观感质量检测记录。</w:t>
      </w:r>
    </w:p>
    <w:p w14:paraId="476B95BA">
      <w:pPr>
        <w:pStyle w:val="164"/>
        <w:spacing w:line="330" w:lineRule="exact"/>
        <w:ind w:firstLineChars="0"/>
        <w:rPr>
          <w:szCs w:val="21"/>
        </w:rPr>
      </w:pPr>
    </w:p>
    <w:p w14:paraId="1F938601">
      <w:pPr>
        <w:pStyle w:val="164"/>
        <w:spacing w:line="330" w:lineRule="exact"/>
        <w:ind w:firstLineChars="0"/>
        <w:rPr>
          <w:szCs w:val="21"/>
        </w:rPr>
      </w:pPr>
    </w:p>
    <w:p w14:paraId="004349DE">
      <w:pPr>
        <w:pStyle w:val="164"/>
        <w:spacing w:line="330" w:lineRule="exact"/>
        <w:ind w:firstLineChars="0"/>
        <w:rPr>
          <w:rFonts w:eastAsiaTheme="minorEastAsia"/>
          <w:b/>
          <w:bCs/>
        </w:rPr>
      </w:pPr>
    </w:p>
    <w:p w14:paraId="2E0D198C">
      <w:pPr>
        <w:pStyle w:val="164"/>
        <w:spacing w:line="330" w:lineRule="exact"/>
        <w:ind w:firstLineChars="0"/>
        <w:rPr>
          <w:rFonts w:eastAsiaTheme="minorEastAsia"/>
          <w:b/>
          <w:bCs/>
        </w:rPr>
      </w:pPr>
    </w:p>
    <w:p w14:paraId="01CB7CCF">
      <w:pPr>
        <w:pStyle w:val="164"/>
        <w:spacing w:line="330" w:lineRule="exact"/>
        <w:ind w:firstLineChars="0"/>
        <w:rPr>
          <w:rFonts w:eastAsiaTheme="minorEastAsia"/>
          <w:b/>
          <w:bCs/>
        </w:rPr>
      </w:pPr>
    </w:p>
    <w:p w14:paraId="76288DF4">
      <w:pPr>
        <w:pStyle w:val="164"/>
        <w:spacing w:line="330" w:lineRule="exact"/>
        <w:ind w:firstLineChars="0"/>
        <w:rPr>
          <w:rFonts w:eastAsiaTheme="minorEastAsia"/>
          <w:b/>
          <w:bCs/>
        </w:rPr>
      </w:pPr>
    </w:p>
    <w:p w14:paraId="06F31C90">
      <w:pPr>
        <w:pStyle w:val="164"/>
        <w:spacing w:line="330" w:lineRule="exact"/>
        <w:ind w:firstLineChars="0"/>
        <w:rPr>
          <w:rFonts w:eastAsiaTheme="minorEastAsia"/>
          <w:b/>
          <w:bCs/>
        </w:rPr>
      </w:pPr>
    </w:p>
    <w:p w14:paraId="49C98F70">
      <w:pPr>
        <w:pStyle w:val="164"/>
        <w:spacing w:line="330" w:lineRule="exact"/>
        <w:ind w:firstLineChars="0"/>
        <w:rPr>
          <w:rFonts w:eastAsiaTheme="minorEastAsia"/>
          <w:b/>
          <w:bCs/>
        </w:rPr>
        <w:sectPr>
          <w:pgSz w:w="11900" w:h="16840"/>
          <w:pgMar w:top="1558" w:right="1544" w:bottom="1113" w:left="1564" w:header="0" w:footer="567" w:gutter="0"/>
          <w:cols w:space="720" w:num="1"/>
          <w:docGrid w:linePitch="360" w:charSpace="0"/>
        </w:sectPr>
      </w:pPr>
    </w:p>
    <w:bookmarkEnd w:id="32"/>
    <w:bookmarkEnd w:id="33"/>
    <w:bookmarkEnd w:id="34"/>
    <w:bookmarkEnd w:id="35"/>
    <w:bookmarkEnd w:id="36"/>
    <w:bookmarkEnd w:id="37"/>
    <w:p w14:paraId="6172666C">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54" w:name="_Toc182487934"/>
      <w:bookmarkStart w:id="55" w:name="_Toc171955105"/>
      <w:r>
        <w:rPr>
          <w:rFonts w:ascii="Times New Roman" w:hAnsi="Times New Roman" w:eastAsia="黑体"/>
          <w:bCs/>
          <w:sz w:val="28"/>
          <w:szCs w:val="28"/>
        </w:rPr>
        <w:t>6 用户电话交换系统</w:t>
      </w:r>
      <w:bookmarkEnd w:id="54"/>
    </w:p>
    <w:p w14:paraId="7CD02681">
      <w:pPr>
        <w:pStyle w:val="3"/>
        <w:spacing w:before="240" w:after="120" w:afterLines="50" w:line="330" w:lineRule="exact"/>
        <w:rPr>
          <w:rFonts w:eastAsia="黑体"/>
          <w:b w:val="0"/>
          <w:bCs w:val="0"/>
          <w:sz w:val="21"/>
          <w:szCs w:val="21"/>
        </w:rPr>
      </w:pPr>
      <w:bookmarkStart w:id="56" w:name="_Toc182487935"/>
      <w:r>
        <w:rPr>
          <w:rFonts w:eastAsia="黑体"/>
          <w:b w:val="0"/>
          <w:bCs w:val="0"/>
          <w:sz w:val="21"/>
          <w:szCs w:val="21"/>
          <w:lang w:val="en-US"/>
        </w:rPr>
        <w:t xml:space="preserve">6.1 </w:t>
      </w:r>
      <w:r>
        <w:rPr>
          <w:rFonts w:eastAsia="黑体"/>
          <w:b w:val="0"/>
          <w:bCs w:val="0"/>
          <w:sz w:val="21"/>
          <w:szCs w:val="21"/>
        </w:rPr>
        <w:t>一般规定</w:t>
      </w:r>
      <w:bookmarkEnd w:id="56"/>
    </w:p>
    <w:p w14:paraId="58622AEF">
      <w:pPr>
        <w:pStyle w:val="164"/>
        <w:numPr>
          <w:ilvl w:val="0"/>
          <w:numId w:val="1"/>
        </w:numPr>
        <w:spacing w:line="330" w:lineRule="exact"/>
        <w:ind w:firstLineChars="0"/>
        <w:rPr>
          <w:rFonts w:eastAsiaTheme="minorEastAsia"/>
          <w:vanish/>
          <w:szCs w:val="21"/>
        </w:rPr>
      </w:pPr>
    </w:p>
    <w:p w14:paraId="4915E745">
      <w:pPr>
        <w:pStyle w:val="164"/>
        <w:numPr>
          <w:ilvl w:val="1"/>
          <w:numId w:val="1"/>
        </w:numPr>
        <w:spacing w:line="330" w:lineRule="exact"/>
        <w:ind w:firstLineChars="0"/>
        <w:rPr>
          <w:rFonts w:eastAsiaTheme="minorEastAsia"/>
          <w:vanish/>
          <w:szCs w:val="21"/>
        </w:rPr>
      </w:pPr>
    </w:p>
    <w:p w14:paraId="685610BD">
      <w:pPr>
        <w:pStyle w:val="164"/>
        <w:numPr>
          <w:ilvl w:val="1"/>
          <w:numId w:val="1"/>
        </w:numPr>
        <w:spacing w:line="330" w:lineRule="exact"/>
        <w:ind w:firstLineChars="0"/>
        <w:rPr>
          <w:rFonts w:eastAsiaTheme="minorEastAsia"/>
          <w:vanish/>
          <w:szCs w:val="21"/>
        </w:rPr>
      </w:pPr>
    </w:p>
    <w:p w14:paraId="48CD1839">
      <w:pPr>
        <w:pStyle w:val="164"/>
        <w:spacing w:before="100" w:after="100" w:line="330" w:lineRule="exact"/>
        <w:ind w:firstLine="0" w:firstLineChars="0"/>
        <w:rPr>
          <w:szCs w:val="21"/>
        </w:rPr>
      </w:pPr>
      <w:r>
        <w:rPr>
          <w:szCs w:val="21"/>
        </w:rPr>
        <w:t>6.1.1 本章适用于电话交换系统的工程实施及质量控制、系统检测。</w:t>
      </w:r>
    </w:p>
    <w:p w14:paraId="7F271C51">
      <w:pPr>
        <w:pStyle w:val="164"/>
        <w:spacing w:before="100" w:after="100" w:line="330" w:lineRule="exact"/>
        <w:ind w:firstLine="0" w:firstLineChars="0"/>
        <w:rPr>
          <w:szCs w:val="21"/>
        </w:rPr>
      </w:pPr>
      <w:r>
        <w:rPr>
          <w:szCs w:val="21"/>
        </w:rPr>
        <w:t>6.1.2用户电话交换系统的机房接地应符合现行国家标准《通信局(站)防雷与接地工程设计规范》</w:t>
      </w:r>
      <w:r>
        <w:rPr>
          <w:szCs w:val="22"/>
        </w:rPr>
        <w:t>GB 50689的</w:t>
      </w:r>
      <w:r>
        <w:rPr>
          <w:szCs w:val="21"/>
        </w:rPr>
        <w:t>相关规定。</w:t>
      </w:r>
    </w:p>
    <w:p w14:paraId="1A7658EC">
      <w:pPr>
        <w:pStyle w:val="164"/>
        <w:spacing w:before="100" w:after="100" w:line="330" w:lineRule="exact"/>
        <w:ind w:firstLine="0" w:firstLineChars="0"/>
        <w:rPr>
          <w:szCs w:val="21"/>
        </w:rPr>
      </w:pPr>
      <w:r>
        <w:rPr>
          <w:szCs w:val="21"/>
        </w:rPr>
        <w:t>6.1.3对于抗震设防的地区，用户电话交换系统的设备安装应符合现行行业标准《电信设备安装抗震设计规范》</w:t>
      </w:r>
      <w:r>
        <w:rPr>
          <w:szCs w:val="22"/>
        </w:rPr>
        <w:t>YD 5059的</w:t>
      </w:r>
      <w:r>
        <w:rPr>
          <w:szCs w:val="21"/>
        </w:rPr>
        <w:t>相关规定。</w:t>
      </w:r>
    </w:p>
    <w:p w14:paraId="493E1533">
      <w:pPr>
        <w:pStyle w:val="3"/>
        <w:spacing w:before="240" w:after="120" w:afterLines="50" w:line="330" w:lineRule="exact"/>
        <w:rPr>
          <w:rFonts w:eastAsia="黑体"/>
          <w:b w:val="0"/>
          <w:bCs w:val="0"/>
          <w:sz w:val="21"/>
          <w:szCs w:val="21"/>
        </w:rPr>
      </w:pPr>
      <w:bookmarkStart w:id="57" w:name="_Toc182487936"/>
      <w:r>
        <w:rPr>
          <w:rFonts w:eastAsia="黑体"/>
          <w:b w:val="0"/>
          <w:bCs w:val="0"/>
          <w:sz w:val="21"/>
          <w:szCs w:val="21"/>
          <w:lang w:val="en-US"/>
        </w:rPr>
        <w:t xml:space="preserve">6.2 </w:t>
      </w:r>
      <w:r>
        <w:rPr>
          <w:rFonts w:eastAsia="黑体"/>
          <w:b w:val="0"/>
          <w:bCs w:val="0"/>
          <w:sz w:val="21"/>
          <w:szCs w:val="21"/>
        </w:rPr>
        <w:t>施工准备</w:t>
      </w:r>
      <w:bookmarkEnd w:id="57"/>
    </w:p>
    <w:p w14:paraId="6DC01998">
      <w:pPr>
        <w:pStyle w:val="164"/>
        <w:numPr>
          <w:ilvl w:val="1"/>
          <w:numId w:val="1"/>
        </w:numPr>
        <w:spacing w:line="330" w:lineRule="exact"/>
        <w:ind w:firstLineChars="0"/>
        <w:rPr>
          <w:rFonts w:eastAsiaTheme="minorEastAsia"/>
          <w:vanish/>
          <w:szCs w:val="21"/>
        </w:rPr>
      </w:pPr>
    </w:p>
    <w:p w14:paraId="7DA2D4C6">
      <w:pPr>
        <w:pStyle w:val="164"/>
        <w:numPr>
          <w:ilvl w:val="255"/>
          <w:numId w:val="0"/>
        </w:numPr>
        <w:spacing w:before="100" w:after="100" w:line="330" w:lineRule="exact"/>
        <w:rPr>
          <w:rFonts w:eastAsiaTheme="minorEastAsia"/>
        </w:rPr>
      </w:pPr>
      <w:r>
        <w:rPr>
          <w:szCs w:val="21"/>
        </w:rPr>
        <w:t>6.2.1 主要材料有</w:t>
      </w:r>
      <w:r>
        <w:rPr>
          <w:rFonts w:eastAsiaTheme="minorEastAsia"/>
        </w:rPr>
        <w:t>数据连接线、跳线（含UTP双绞线、光纤跳线）。</w:t>
      </w:r>
    </w:p>
    <w:p w14:paraId="6AC9BA2C">
      <w:pPr>
        <w:pStyle w:val="164"/>
        <w:numPr>
          <w:ilvl w:val="255"/>
          <w:numId w:val="0"/>
        </w:numPr>
        <w:spacing w:before="100" w:after="100" w:line="330" w:lineRule="exact"/>
        <w:rPr>
          <w:rFonts w:eastAsiaTheme="minorEastAsia"/>
        </w:rPr>
      </w:pPr>
      <w:r>
        <w:rPr>
          <w:szCs w:val="21"/>
        </w:rPr>
        <w:t>6.2.2 主要机具有</w:t>
      </w:r>
      <w:r>
        <w:rPr>
          <w:rFonts w:eastAsiaTheme="minorEastAsia"/>
        </w:rPr>
        <w:t>数字程控交换机、话务台、软件等设备</w:t>
      </w:r>
      <w:r>
        <w:rPr>
          <w:rFonts w:hint="eastAsia" w:eastAsiaTheme="minorEastAsia"/>
        </w:rPr>
        <w:t>;</w:t>
      </w:r>
      <w:r>
        <w:rPr>
          <w:rFonts w:eastAsiaTheme="minorEastAsia"/>
        </w:rPr>
        <w:t>剥线钳、电工刀、电烙铁、万用表、线坠、对讲机、万用表、250V摇表、对号器</w:t>
      </w:r>
      <w:r>
        <w:rPr>
          <w:rFonts w:hint="eastAsia" w:eastAsiaTheme="minorEastAsia"/>
        </w:rPr>
        <w:t>等调试工具</w:t>
      </w:r>
      <w:r>
        <w:rPr>
          <w:rFonts w:eastAsiaTheme="minorEastAsia"/>
        </w:rPr>
        <w:t>。</w:t>
      </w:r>
    </w:p>
    <w:p w14:paraId="57F808C4">
      <w:pPr>
        <w:pStyle w:val="164"/>
        <w:spacing w:before="100" w:after="100" w:line="330" w:lineRule="exact"/>
        <w:ind w:firstLine="0" w:firstLineChars="0"/>
        <w:rPr>
          <w:szCs w:val="21"/>
        </w:rPr>
      </w:pPr>
      <w:r>
        <w:rPr>
          <w:szCs w:val="21"/>
        </w:rPr>
        <w:t>6.2.3 作业条件应符合</w:t>
      </w:r>
      <w:r>
        <w:rPr>
          <w:rFonts w:hint="eastAsia"/>
          <w:szCs w:val="21"/>
        </w:rPr>
        <w:t>下列</w:t>
      </w:r>
      <w:r>
        <w:rPr>
          <w:szCs w:val="21"/>
        </w:rPr>
        <w:t>规定：</w:t>
      </w:r>
    </w:p>
    <w:p w14:paraId="61753EDD">
      <w:pPr>
        <w:pStyle w:val="164"/>
        <w:numPr>
          <w:ilvl w:val="0"/>
          <w:numId w:val="49"/>
        </w:numPr>
        <w:spacing w:line="330" w:lineRule="exact"/>
        <w:ind w:left="0" w:firstLine="420"/>
        <w:rPr>
          <w:rFonts w:eastAsiaTheme="minorEastAsia"/>
        </w:rPr>
      </w:pPr>
      <w:r>
        <w:rPr>
          <w:rFonts w:hint="eastAsia" w:eastAsiaTheme="minorEastAsia"/>
        </w:rPr>
        <w:t>应</w:t>
      </w:r>
      <w:r>
        <w:rPr>
          <w:rFonts w:eastAsiaTheme="minorEastAsia"/>
        </w:rPr>
        <w:t>对运到工地的器材进行清点数量、核对型号与外观检查</w:t>
      </w:r>
      <w:r>
        <w:rPr>
          <w:rFonts w:hint="eastAsia" w:eastAsiaTheme="minorEastAsia"/>
        </w:rPr>
        <w:t>；</w:t>
      </w:r>
      <w:r>
        <w:rPr>
          <w:rFonts w:eastAsiaTheme="minorEastAsia"/>
        </w:rPr>
        <w:t>电缆、接线板等应抽样检测电气特性，结果应满足设计要求。</w:t>
      </w:r>
    </w:p>
    <w:p w14:paraId="69F98132">
      <w:pPr>
        <w:pStyle w:val="164"/>
        <w:numPr>
          <w:ilvl w:val="0"/>
          <w:numId w:val="49"/>
        </w:numPr>
        <w:spacing w:line="330" w:lineRule="exact"/>
        <w:ind w:left="0" w:firstLine="420"/>
        <w:rPr>
          <w:rFonts w:eastAsiaTheme="minorEastAsia"/>
        </w:rPr>
      </w:pPr>
      <w:r>
        <w:rPr>
          <w:rFonts w:eastAsiaTheme="minorEastAsia"/>
        </w:rPr>
        <w:t>前端布线工程施工完毕，且已竣工通过系统检测，具备竣工验收的条件。</w:t>
      </w:r>
    </w:p>
    <w:p w14:paraId="23DE3DFF">
      <w:pPr>
        <w:pStyle w:val="164"/>
        <w:numPr>
          <w:ilvl w:val="0"/>
          <w:numId w:val="49"/>
        </w:numPr>
        <w:spacing w:line="330" w:lineRule="exact"/>
        <w:ind w:left="0" w:firstLine="420"/>
        <w:rPr>
          <w:rFonts w:eastAsiaTheme="minorEastAsia"/>
        </w:rPr>
      </w:pPr>
      <w:r>
        <w:rPr>
          <w:rFonts w:eastAsiaTheme="minorEastAsia"/>
        </w:rPr>
        <w:t>机房的建筑和环境条件应</w:t>
      </w:r>
      <w:r>
        <w:rPr>
          <w:rFonts w:hint="eastAsia" w:eastAsiaTheme="minorEastAsia"/>
        </w:rPr>
        <w:t>满足设计要求并</w:t>
      </w:r>
      <w:r>
        <w:rPr>
          <w:szCs w:val="21"/>
        </w:rPr>
        <w:t>符合现行行业标准《固定电话交换设备安装工程设计规安装应范》</w:t>
      </w:r>
      <w:r>
        <w:rPr>
          <w:szCs w:val="22"/>
        </w:rPr>
        <w:t>YD 5076</w:t>
      </w:r>
      <w:r>
        <w:rPr>
          <w:szCs w:val="21"/>
        </w:rPr>
        <w:t>第14章中的相关规定</w:t>
      </w:r>
      <w:r>
        <w:rPr>
          <w:rFonts w:hint="eastAsia"/>
          <w:szCs w:val="21"/>
        </w:rPr>
        <w:t>，</w:t>
      </w:r>
      <w:r>
        <w:rPr>
          <w:rFonts w:eastAsiaTheme="minorEastAsia"/>
        </w:rPr>
        <w:t>包括但不限于机房的土建和装修已全部竣工，门窗完整严密，防尘良好，地面平整光洁，预留沟、槽、管、洞的数量、位置和尺寸，均</w:t>
      </w:r>
      <w:r>
        <w:rPr>
          <w:rFonts w:hint="eastAsia" w:eastAsiaTheme="minorEastAsia"/>
        </w:rPr>
        <w:t>满足</w:t>
      </w:r>
      <w:r>
        <w:rPr>
          <w:rFonts w:eastAsiaTheme="minorEastAsia"/>
        </w:rPr>
        <w:t>安装设计要求，照明、电源、通风、空调等设备安装完毕，温度、湿度、净化防尘以及防静电等条件满足工程需要。</w:t>
      </w:r>
    </w:p>
    <w:p w14:paraId="1FFD2985">
      <w:pPr>
        <w:pStyle w:val="164"/>
        <w:numPr>
          <w:ilvl w:val="0"/>
          <w:numId w:val="49"/>
        </w:numPr>
        <w:spacing w:line="330" w:lineRule="exact"/>
        <w:ind w:left="0" w:firstLine="420"/>
        <w:rPr>
          <w:rFonts w:eastAsiaTheme="minorEastAsia"/>
        </w:rPr>
      </w:pPr>
      <w:r>
        <w:rPr>
          <w:rFonts w:eastAsiaTheme="minorEastAsia"/>
        </w:rPr>
        <w:t>应制定数字程控交换系统安装调试方案。</w:t>
      </w:r>
    </w:p>
    <w:p w14:paraId="4E2E8A8A">
      <w:pPr>
        <w:pStyle w:val="3"/>
        <w:spacing w:before="240" w:after="120" w:afterLines="50" w:line="330" w:lineRule="exact"/>
        <w:rPr>
          <w:rFonts w:eastAsia="黑体"/>
          <w:b w:val="0"/>
          <w:bCs w:val="0"/>
          <w:sz w:val="21"/>
          <w:szCs w:val="21"/>
        </w:rPr>
      </w:pPr>
      <w:bookmarkStart w:id="58" w:name="_Toc182487937"/>
      <w:r>
        <w:rPr>
          <w:rFonts w:eastAsia="黑体"/>
          <w:b w:val="0"/>
          <w:bCs w:val="0"/>
          <w:sz w:val="21"/>
          <w:szCs w:val="21"/>
          <w:lang w:val="en-US"/>
        </w:rPr>
        <w:t xml:space="preserve">6.3 </w:t>
      </w:r>
      <w:r>
        <w:rPr>
          <w:rFonts w:eastAsia="黑体"/>
          <w:b w:val="0"/>
          <w:bCs w:val="0"/>
          <w:sz w:val="21"/>
          <w:szCs w:val="21"/>
        </w:rPr>
        <w:t>施工工艺</w:t>
      </w:r>
      <w:bookmarkEnd w:id="58"/>
    </w:p>
    <w:p w14:paraId="6A85A4F3">
      <w:pPr>
        <w:pStyle w:val="164"/>
        <w:numPr>
          <w:ilvl w:val="1"/>
          <w:numId w:val="1"/>
        </w:numPr>
        <w:spacing w:line="330" w:lineRule="exact"/>
        <w:ind w:firstLineChars="0"/>
        <w:rPr>
          <w:rFonts w:eastAsiaTheme="minorEastAsia"/>
          <w:vanish/>
          <w:szCs w:val="21"/>
        </w:rPr>
      </w:pPr>
    </w:p>
    <w:p w14:paraId="2415EFCC">
      <w:pPr>
        <w:pStyle w:val="164"/>
        <w:spacing w:before="100" w:after="100" w:line="330" w:lineRule="exact"/>
        <w:ind w:firstLine="0" w:firstLineChars="0"/>
        <w:rPr>
          <w:szCs w:val="21"/>
        </w:rPr>
      </w:pPr>
      <w:r>
        <w:rPr>
          <w:szCs w:val="21"/>
        </w:rPr>
        <w:t xml:space="preserve">6.3.1 </w:t>
      </w:r>
      <w:r>
        <w:rPr>
          <w:rFonts w:eastAsiaTheme="minorEastAsia"/>
          <w:szCs w:val="21"/>
        </w:rPr>
        <w:t>用户电话交换系统施工工艺流程见图6.3.1。</w:t>
      </w:r>
    </w:p>
    <w:p w14:paraId="789D1FB3">
      <w:pPr>
        <w:pStyle w:val="164"/>
        <w:spacing w:before="100" w:after="100" w:line="330" w:lineRule="exact"/>
        <w:ind w:firstLine="0" w:firstLineChars="0"/>
        <w:rPr>
          <w:szCs w:val="21"/>
        </w:rPr>
      </w:pPr>
    </w:p>
    <w:p w14:paraId="3ED617E1">
      <w:pPr>
        <w:pStyle w:val="164"/>
        <w:spacing w:before="100" w:after="100" w:line="330" w:lineRule="exact"/>
        <w:ind w:firstLine="0" w:firstLineChars="0"/>
        <w:rPr>
          <w:szCs w:val="21"/>
        </w:rPr>
      </w:pPr>
      <w:r>
        <w:rPr>
          <w:rFonts w:eastAsiaTheme="minorEastAsia"/>
          <w:sz w:val="29"/>
        </w:rPr>
        <mc:AlternateContent>
          <mc:Choice Requires="wpg">
            <w:drawing>
              <wp:inline distT="0" distB="0" distL="0" distR="0">
                <wp:extent cx="3540760" cy="333375"/>
                <wp:effectExtent l="0" t="0" r="21590" b="28575"/>
                <wp:docPr id="43" name="组合 43"/>
                <wp:cNvGraphicFramePr/>
                <a:graphic xmlns:a="http://schemas.openxmlformats.org/drawingml/2006/main">
                  <a:graphicData uri="http://schemas.microsoft.com/office/word/2010/wordprocessingGroup">
                    <wpg:wgp>
                      <wpg:cNvGrpSpPr/>
                      <wpg:grpSpPr>
                        <a:xfrm>
                          <a:off x="0" y="0"/>
                          <a:ext cx="3540769" cy="333955"/>
                          <a:chOff x="1800" y="0"/>
                          <a:chExt cx="4117" cy="624"/>
                        </a:xfrm>
                      </wpg:grpSpPr>
                      <wps:wsp>
                        <wps:cNvPr id="46" name="Rectangle 6"/>
                        <wps:cNvSpPr>
                          <a:spLocks noChangeArrowheads="1"/>
                        </wps:cNvSpPr>
                        <wps:spPr bwMode="auto">
                          <a:xfrm>
                            <a:off x="1800" y="0"/>
                            <a:ext cx="1025" cy="624"/>
                          </a:xfrm>
                          <a:prstGeom prst="rect">
                            <a:avLst/>
                          </a:prstGeom>
                          <a:solidFill>
                            <a:srgbClr val="FFFFFF"/>
                          </a:solidFill>
                          <a:ln w="9525">
                            <a:solidFill>
                              <a:srgbClr val="000000"/>
                            </a:solidFill>
                            <a:miter lim="800000"/>
                          </a:ln>
                        </wps:spPr>
                        <wps:txbx>
                          <w:txbxContent>
                            <w:p w14:paraId="4ED4AC29">
                              <w:pPr>
                                <w:spacing w:before="62"/>
                                <w:ind w:left="105" w:hanging="105"/>
                                <w:jc w:val="center"/>
                              </w:pPr>
                              <w:r>
                                <w:rPr>
                                  <w:rFonts w:hint="eastAsia"/>
                                </w:rPr>
                                <w:t>设备安装</w:t>
                              </w:r>
                            </w:p>
                          </w:txbxContent>
                        </wps:txbx>
                        <wps:bodyPr rot="0" vert="horz" wrap="square" lIns="91440" tIns="45720" rIns="91440" bIns="45720" anchor="t" anchorCtr="0" upright="1">
                          <a:noAutofit/>
                        </wps:bodyPr>
                      </wps:wsp>
                      <wps:wsp>
                        <wps:cNvPr id="47" name="Line 7"/>
                        <wps:cNvCnPr>
                          <a:cxnSpLocks noChangeShapeType="1"/>
                        </wps:cNvCnPr>
                        <wps:spPr bwMode="auto">
                          <a:xfrm>
                            <a:off x="2825" y="302"/>
                            <a:ext cx="540" cy="0"/>
                          </a:xfrm>
                          <a:prstGeom prst="line">
                            <a:avLst/>
                          </a:prstGeom>
                          <a:solidFill>
                            <a:srgbClr val="FFFFFF"/>
                          </a:solidFill>
                          <a:ln w="9525">
                            <a:solidFill>
                              <a:srgbClr val="000000"/>
                            </a:solidFill>
                            <a:miter lim="800000"/>
                            <a:headEnd type="none" w="med" len="med"/>
                            <a:tailEnd type="triangle" w="med" len="med"/>
                          </a:ln>
                        </wps:spPr>
                        <wps:bodyPr/>
                      </wps:wsp>
                      <wps:wsp>
                        <wps:cNvPr id="48" name="Rectangle 8"/>
                        <wps:cNvSpPr>
                          <a:spLocks noChangeArrowheads="1"/>
                        </wps:cNvSpPr>
                        <wps:spPr bwMode="auto">
                          <a:xfrm>
                            <a:off x="3365" y="0"/>
                            <a:ext cx="1060" cy="624"/>
                          </a:xfrm>
                          <a:prstGeom prst="rect">
                            <a:avLst/>
                          </a:prstGeom>
                          <a:solidFill>
                            <a:srgbClr val="FFFFFF"/>
                          </a:solidFill>
                          <a:ln w="9525">
                            <a:solidFill>
                              <a:srgbClr val="000000"/>
                            </a:solidFill>
                            <a:miter lim="800000"/>
                          </a:ln>
                        </wps:spPr>
                        <wps:txbx>
                          <w:txbxContent>
                            <w:p w14:paraId="001BE011">
                              <w:pPr>
                                <w:spacing w:before="62"/>
                                <w:ind w:left="105" w:hanging="105"/>
                                <w:jc w:val="center"/>
                              </w:pPr>
                              <w:r>
                                <w:rPr>
                                  <w:rFonts w:hint="eastAsia"/>
                                </w:rPr>
                                <w:t>系统调试</w:t>
                              </w:r>
                            </w:p>
                          </w:txbxContent>
                        </wps:txbx>
                        <wps:bodyPr rot="0" vert="horz" wrap="square" lIns="91440" tIns="45720" rIns="91440" bIns="45720" anchor="t" anchorCtr="0" upright="1">
                          <a:noAutofit/>
                        </wps:bodyPr>
                      </wps:wsp>
                      <wps:wsp>
                        <wps:cNvPr id="49" name="Line 9"/>
                        <wps:cNvCnPr>
                          <a:cxnSpLocks noChangeShapeType="1"/>
                        </wps:cNvCnPr>
                        <wps:spPr bwMode="auto">
                          <a:xfrm>
                            <a:off x="4425" y="312"/>
                            <a:ext cx="540" cy="0"/>
                          </a:xfrm>
                          <a:prstGeom prst="line">
                            <a:avLst/>
                          </a:prstGeom>
                          <a:solidFill>
                            <a:srgbClr val="FFFFFF"/>
                          </a:solidFill>
                          <a:ln w="9525">
                            <a:solidFill>
                              <a:srgbClr val="000000"/>
                            </a:solidFill>
                            <a:miter lim="800000"/>
                            <a:headEnd type="none" w="med" len="med"/>
                            <a:tailEnd type="triangle" w="med" len="med"/>
                          </a:ln>
                        </wps:spPr>
                        <wps:bodyPr/>
                      </wps:wsp>
                      <wps:wsp>
                        <wps:cNvPr id="51" name="Rectangle 10"/>
                        <wps:cNvSpPr>
                          <a:spLocks noChangeArrowheads="1"/>
                        </wps:cNvSpPr>
                        <wps:spPr bwMode="auto">
                          <a:xfrm>
                            <a:off x="4965" y="0"/>
                            <a:ext cx="952" cy="624"/>
                          </a:xfrm>
                          <a:prstGeom prst="rect">
                            <a:avLst/>
                          </a:prstGeom>
                          <a:solidFill>
                            <a:srgbClr val="FFFFFF"/>
                          </a:solidFill>
                          <a:ln w="9525">
                            <a:solidFill>
                              <a:srgbClr val="000000"/>
                            </a:solidFill>
                            <a:miter lim="800000"/>
                          </a:ln>
                        </wps:spPr>
                        <wps:txbx>
                          <w:txbxContent>
                            <w:p w14:paraId="7C020A36">
                              <w:pPr>
                                <w:spacing w:before="62"/>
                                <w:ind w:left="105" w:hanging="105"/>
                                <w:jc w:val="center"/>
                              </w:pPr>
                              <w:r>
                                <w:rPr>
                                  <w:rFonts w:hint="eastAsia"/>
                                </w:rPr>
                                <w:t>系统检验</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26.25pt;width:278.8pt;" coordorigin="1800,0" coordsize="4117,624" o:gfxdata="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DRJtSf1QAAAAQBAAAPAAAAAAAAAAEAIAAAACIAAABkcnMvZG93bnJldi54bWxQSwECFAAU&#10;AAAACACHTuJAFW/2uoMDAACFDwAADgAAAAAAAAABACAAAAAkAQAAZHJzL2Uyb0RvYy54bWxQSwUG&#10;AAAAAAYABgBZAQAAGQcAAAAA&#10;">
                <o:lock v:ext="edit" aspectratio="f"/>
                <v:rect id="Rectangle 6" o:spid="_x0000_s1026" o:spt="1" style="position:absolute;left:1800;top:0;height:624;width:1025;"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ED4AC29">
                        <w:pPr>
                          <w:spacing w:before="62"/>
                          <w:ind w:left="105" w:hanging="105"/>
                          <w:jc w:val="center"/>
                        </w:pPr>
                        <w:r>
                          <w:rPr>
                            <w:rFonts w:hint="eastAsia"/>
                          </w:rPr>
                          <w:t>设备安装</w:t>
                        </w:r>
                      </w:p>
                    </w:txbxContent>
                  </v:textbox>
                </v:rect>
                <v:line id="Line 7" o:spid="_x0000_s1026" o:spt="20" style="position:absolute;left:2825;top:302;height:0;width:540;" fillcolor="#FFFFFF" filled="t" stroked="t" coordsize="21600,21600" o:gfxdata="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VdY7sAAADb&#10;AAAADwAAAAAAAAABACAAAAAiAAAAZHJzL2Rvd25yZXYueG1sUEsBAhQAFAAAAAgAh07iQDMvBZ47&#10;AAAAOQAAABAAAAAAAAAAAQAgAAAACgEAAGRycy9zaGFwZXhtbC54bWxQSwUGAAAAAAYABgBbAQAA&#10;tAMAAAAA&#10;">
                  <v:fill on="t" focussize="0,0"/>
                  <v:stroke color="#000000" miterlimit="8" joinstyle="miter" endarrow="block"/>
                  <v:imagedata o:title=""/>
                  <o:lock v:ext="edit" aspectratio="f"/>
                </v:line>
                <v:rect id="Rectangle 8" o:spid="_x0000_s1026" o:spt="1" style="position:absolute;left:3365;top:0;height:624;width:1060;"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01BE011">
                        <w:pPr>
                          <w:spacing w:before="62"/>
                          <w:ind w:left="105" w:hanging="105"/>
                          <w:jc w:val="center"/>
                        </w:pPr>
                        <w:r>
                          <w:rPr>
                            <w:rFonts w:hint="eastAsia"/>
                          </w:rPr>
                          <w:t>系统调试</w:t>
                        </w:r>
                      </w:p>
                    </w:txbxContent>
                  </v:textbox>
                </v:rect>
                <v:line id="Line 9" o:spid="_x0000_s1026" o:spt="20" style="position:absolute;left:4425;top:312;height:0;width:540;" fillcolor="#FFFFFF" filled="t" stroked="t" coordsize="21600,21600" o:gfxdata="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ZsirsAAADb&#10;AAAADwAAAAAAAAABACAAAAAiAAAAZHJzL2Rvd25yZXYueG1sUEsBAhQAFAAAAAgAh07iQDMvBZ47&#10;AAAAOQAAABAAAAAAAAAAAQAgAAAACgEAAGRycy9zaGFwZXhtbC54bWxQSwUGAAAAAAYABgBbAQAA&#10;tAMAAAAA&#10;">
                  <v:fill on="t" focussize="0,0"/>
                  <v:stroke color="#000000" miterlimit="8" joinstyle="miter" endarrow="block"/>
                  <v:imagedata o:title=""/>
                  <o:lock v:ext="edit" aspectratio="f"/>
                </v:line>
                <v:rect id="Rectangle 10" o:spid="_x0000_s1026" o:spt="1" style="position:absolute;left:4965;top:0;height:624;width:952;"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C020A36">
                        <w:pPr>
                          <w:spacing w:before="62"/>
                          <w:ind w:left="105" w:hanging="105"/>
                          <w:jc w:val="center"/>
                        </w:pPr>
                        <w:r>
                          <w:rPr>
                            <w:rFonts w:hint="eastAsia"/>
                          </w:rPr>
                          <w:t>系统检验</w:t>
                        </w:r>
                      </w:p>
                    </w:txbxContent>
                  </v:textbox>
                </v:rect>
                <w10:wrap type="none"/>
                <w10:anchorlock/>
              </v:group>
            </w:pict>
          </mc:Fallback>
        </mc:AlternateContent>
      </w:r>
    </w:p>
    <w:p w14:paraId="365EE456">
      <w:pPr>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图6.3.1   用户电话交换系统施工工艺流程图</w:t>
      </w:r>
    </w:p>
    <w:p w14:paraId="1F30111B">
      <w:pPr>
        <w:pStyle w:val="164"/>
        <w:spacing w:before="100" w:after="100" w:line="330" w:lineRule="exact"/>
        <w:ind w:firstLine="0" w:firstLineChars="0"/>
        <w:rPr>
          <w:szCs w:val="21"/>
        </w:rPr>
      </w:pPr>
      <w:r>
        <w:rPr>
          <w:szCs w:val="21"/>
        </w:rPr>
        <w:t>6.3.2设备安装应符合</w:t>
      </w:r>
      <w:r>
        <w:rPr>
          <w:rFonts w:hint="eastAsia"/>
          <w:szCs w:val="21"/>
        </w:rPr>
        <w:t>以下</w:t>
      </w:r>
      <w:r>
        <w:rPr>
          <w:szCs w:val="21"/>
        </w:rPr>
        <w:t>规定：</w:t>
      </w:r>
    </w:p>
    <w:p w14:paraId="120D0444">
      <w:pPr>
        <w:pStyle w:val="164"/>
        <w:numPr>
          <w:ilvl w:val="0"/>
          <w:numId w:val="50"/>
        </w:numPr>
        <w:spacing w:line="330" w:lineRule="exact"/>
        <w:ind w:left="0" w:firstLine="420"/>
        <w:rPr>
          <w:rFonts w:eastAsiaTheme="minorEastAsia"/>
        </w:rPr>
      </w:pPr>
      <w:r>
        <w:rPr>
          <w:rFonts w:eastAsiaTheme="minorEastAsia"/>
        </w:rPr>
        <w:t>交换机机柜安装</w:t>
      </w:r>
      <w:r>
        <w:rPr>
          <w:rFonts w:hint="eastAsia" w:eastAsiaTheme="minorEastAsia"/>
        </w:rPr>
        <w:t>应</w:t>
      </w:r>
      <w:r>
        <w:rPr>
          <w:rFonts w:eastAsiaTheme="minorEastAsia"/>
        </w:rPr>
        <w:t>遵循设计图，垂直偏差</w:t>
      </w:r>
      <w:r>
        <w:rPr>
          <w:rFonts w:hint="eastAsia" w:eastAsiaTheme="minorEastAsia"/>
        </w:rPr>
        <w:t>应</w:t>
      </w:r>
      <w:r>
        <w:rPr>
          <w:rFonts w:eastAsiaTheme="minorEastAsia"/>
        </w:rPr>
        <w:t>≤3mm。</w:t>
      </w:r>
    </w:p>
    <w:p w14:paraId="186954CF">
      <w:pPr>
        <w:pStyle w:val="164"/>
        <w:numPr>
          <w:ilvl w:val="0"/>
          <w:numId w:val="50"/>
        </w:numPr>
        <w:spacing w:line="330" w:lineRule="exact"/>
        <w:ind w:left="0" w:firstLine="420"/>
        <w:rPr>
          <w:rFonts w:eastAsiaTheme="minorEastAsia"/>
        </w:rPr>
      </w:pPr>
      <w:r>
        <w:rPr>
          <w:rFonts w:eastAsiaTheme="minorEastAsia"/>
        </w:rPr>
        <w:t>机柜内接插件</w:t>
      </w:r>
      <w:r>
        <w:rPr>
          <w:rFonts w:hint="eastAsia" w:eastAsiaTheme="minorEastAsia"/>
        </w:rPr>
        <w:t>应</w:t>
      </w:r>
      <w:r>
        <w:rPr>
          <w:rFonts w:eastAsiaTheme="minorEastAsia"/>
        </w:rPr>
        <w:t>牢固连接机架。</w:t>
      </w:r>
    </w:p>
    <w:p w14:paraId="1BE75434">
      <w:pPr>
        <w:pStyle w:val="164"/>
        <w:numPr>
          <w:ilvl w:val="0"/>
          <w:numId w:val="50"/>
        </w:numPr>
        <w:spacing w:line="330" w:lineRule="exact"/>
        <w:ind w:left="0" w:firstLine="420"/>
        <w:rPr>
          <w:rFonts w:eastAsiaTheme="minorEastAsia"/>
        </w:rPr>
      </w:pPr>
      <w:r>
        <w:rPr>
          <w:rFonts w:eastAsiaTheme="minorEastAsia"/>
        </w:rPr>
        <w:t>机柜</w:t>
      </w:r>
      <w:r>
        <w:rPr>
          <w:rFonts w:hint="eastAsia" w:eastAsiaTheme="minorEastAsia"/>
        </w:rPr>
        <w:t>应</w:t>
      </w:r>
      <w:r>
        <w:rPr>
          <w:rFonts w:eastAsiaTheme="minorEastAsia"/>
        </w:rPr>
        <w:t>直线排列</w:t>
      </w:r>
      <w:r>
        <w:rPr>
          <w:rFonts w:hint="eastAsia" w:eastAsiaTheme="minorEastAsia"/>
        </w:rPr>
        <w:t>且</w:t>
      </w:r>
      <w:r>
        <w:rPr>
          <w:rFonts w:eastAsiaTheme="minorEastAsia"/>
        </w:rPr>
        <w:t>安装整齐，5m误差</w:t>
      </w:r>
      <w:r>
        <w:rPr>
          <w:rFonts w:hint="eastAsia" w:eastAsiaTheme="minorEastAsia"/>
        </w:rPr>
        <w:t>应</w:t>
      </w:r>
      <w:r>
        <w:rPr>
          <w:rFonts w:eastAsiaTheme="minorEastAsia"/>
        </w:rPr>
        <w:t>≤5mm。</w:t>
      </w:r>
    </w:p>
    <w:p w14:paraId="149621EA">
      <w:pPr>
        <w:pStyle w:val="164"/>
        <w:numPr>
          <w:ilvl w:val="0"/>
          <w:numId w:val="50"/>
        </w:numPr>
        <w:spacing w:line="330" w:lineRule="exact"/>
        <w:ind w:left="0" w:firstLine="420"/>
        <w:rPr>
          <w:rFonts w:eastAsiaTheme="minorEastAsia"/>
        </w:rPr>
      </w:pPr>
      <w:r>
        <w:rPr>
          <w:rFonts w:eastAsiaTheme="minorEastAsia"/>
        </w:rPr>
        <w:t>配线架垂直偏差</w:t>
      </w:r>
      <w:r>
        <w:rPr>
          <w:rFonts w:hint="eastAsia" w:eastAsiaTheme="minorEastAsia"/>
        </w:rPr>
        <w:t>应</w:t>
      </w:r>
      <w:r>
        <w:rPr>
          <w:rFonts w:eastAsiaTheme="minorEastAsia"/>
        </w:rPr>
        <w:t>≤3mm，底座水平误差</w:t>
      </w:r>
      <w:r>
        <w:rPr>
          <w:rFonts w:hint="eastAsia" w:eastAsiaTheme="minorEastAsia"/>
        </w:rPr>
        <w:t>应</w:t>
      </w:r>
      <w:r>
        <w:rPr>
          <w:rFonts w:eastAsiaTheme="minorEastAsia"/>
        </w:rPr>
        <w:t>≤2mm/m。</w:t>
      </w:r>
    </w:p>
    <w:p w14:paraId="3349F2A6">
      <w:pPr>
        <w:pStyle w:val="164"/>
        <w:numPr>
          <w:ilvl w:val="0"/>
          <w:numId w:val="50"/>
        </w:numPr>
        <w:spacing w:line="330" w:lineRule="exact"/>
        <w:ind w:left="0" w:firstLine="420"/>
        <w:rPr>
          <w:rFonts w:eastAsiaTheme="minorEastAsia"/>
        </w:rPr>
      </w:pPr>
      <w:r>
        <w:rPr>
          <w:rFonts w:eastAsiaTheme="minorEastAsia"/>
        </w:rPr>
        <w:t>终端设备完整安装，标志正确</w:t>
      </w:r>
      <w:r>
        <w:rPr>
          <w:rFonts w:hint="eastAsia" w:eastAsiaTheme="minorEastAsia"/>
        </w:rPr>
        <w:t>、</w:t>
      </w:r>
      <w:r>
        <w:rPr>
          <w:rFonts w:eastAsiaTheme="minorEastAsia"/>
        </w:rPr>
        <w:t>清晰齐全。</w:t>
      </w:r>
    </w:p>
    <w:p w14:paraId="36EE9CCD">
      <w:pPr>
        <w:pStyle w:val="164"/>
        <w:numPr>
          <w:ilvl w:val="0"/>
          <w:numId w:val="50"/>
        </w:numPr>
        <w:spacing w:line="330" w:lineRule="exact"/>
        <w:ind w:left="0" w:firstLine="420"/>
        <w:rPr>
          <w:rFonts w:eastAsiaTheme="minorEastAsia"/>
        </w:rPr>
      </w:pPr>
      <w:r>
        <w:rPr>
          <w:rFonts w:hint="eastAsia" w:eastAsiaTheme="minorEastAsia"/>
        </w:rPr>
        <w:t>有</w:t>
      </w:r>
      <w:r>
        <w:rPr>
          <w:rFonts w:eastAsiaTheme="minorEastAsia"/>
        </w:rPr>
        <w:t>抗震要求</w:t>
      </w:r>
      <w:r>
        <w:rPr>
          <w:rFonts w:hint="eastAsia" w:eastAsiaTheme="minorEastAsia"/>
        </w:rPr>
        <w:t>的</w:t>
      </w:r>
      <w:r>
        <w:rPr>
          <w:rFonts w:eastAsiaTheme="minorEastAsia"/>
        </w:rPr>
        <w:t>设备</w:t>
      </w:r>
      <w:r>
        <w:rPr>
          <w:rFonts w:hint="eastAsia" w:eastAsiaTheme="minorEastAsia"/>
        </w:rPr>
        <w:t>应</w:t>
      </w:r>
      <w:r>
        <w:rPr>
          <w:rFonts w:eastAsiaTheme="minorEastAsia"/>
        </w:rPr>
        <w:t>按设计</w:t>
      </w:r>
      <w:r>
        <w:rPr>
          <w:rFonts w:hint="eastAsia" w:eastAsiaTheme="minorEastAsia"/>
        </w:rPr>
        <w:t>要求</w:t>
      </w:r>
      <w:r>
        <w:rPr>
          <w:rFonts w:eastAsiaTheme="minorEastAsia"/>
        </w:rPr>
        <w:t>加固。</w:t>
      </w:r>
    </w:p>
    <w:p w14:paraId="7B023DC9">
      <w:pPr>
        <w:pStyle w:val="164"/>
        <w:numPr>
          <w:ilvl w:val="0"/>
          <w:numId w:val="50"/>
        </w:numPr>
        <w:spacing w:line="330" w:lineRule="exact"/>
        <w:ind w:left="0" w:firstLine="420"/>
        <w:rPr>
          <w:rFonts w:eastAsiaTheme="minorEastAsia"/>
        </w:rPr>
      </w:pPr>
      <w:r>
        <w:rPr>
          <w:rFonts w:eastAsiaTheme="minorEastAsia"/>
        </w:rPr>
        <w:t>电源线绝缘电阻</w:t>
      </w:r>
      <w:r>
        <w:rPr>
          <w:rFonts w:hint="eastAsia" w:eastAsiaTheme="minorEastAsia"/>
        </w:rPr>
        <w:t>应</w:t>
      </w:r>
      <w:r>
        <w:rPr>
          <w:rFonts w:eastAsiaTheme="minorEastAsia"/>
        </w:rPr>
        <w:t>≥1MΩ，交流线</w:t>
      </w:r>
      <w:r>
        <w:rPr>
          <w:rFonts w:hint="eastAsia" w:eastAsiaTheme="minorEastAsia"/>
        </w:rPr>
        <w:t>应包</w:t>
      </w:r>
      <w:r>
        <w:rPr>
          <w:rFonts w:eastAsiaTheme="minorEastAsia"/>
        </w:rPr>
        <w:t>含保护接地。</w:t>
      </w:r>
    </w:p>
    <w:p w14:paraId="200935A4">
      <w:pPr>
        <w:pStyle w:val="164"/>
        <w:numPr>
          <w:ilvl w:val="255"/>
          <w:numId w:val="0"/>
        </w:numPr>
        <w:spacing w:before="100" w:after="100" w:line="330" w:lineRule="exact"/>
        <w:rPr>
          <w:szCs w:val="21"/>
        </w:rPr>
      </w:pPr>
      <w:r>
        <w:rPr>
          <w:szCs w:val="21"/>
        </w:rPr>
        <w:t>6.3.3 系统调试应符合下列规定：</w:t>
      </w:r>
    </w:p>
    <w:p w14:paraId="1C5BA487">
      <w:pPr>
        <w:pStyle w:val="164"/>
        <w:numPr>
          <w:ilvl w:val="0"/>
          <w:numId w:val="51"/>
        </w:numPr>
        <w:spacing w:line="330" w:lineRule="exact"/>
        <w:ind w:left="0" w:firstLine="420"/>
        <w:rPr>
          <w:rFonts w:eastAsiaTheme="minorEastAsia"/>
        </w:rPr>
      </w:pPr>
      <w:r>
        <w:rPr>
          <w:rFonts w:eastAsiaTheme="minorEastAsia"/>
        </w:rPr>
        <w:t>交换机设备通电前，应对下列内容进行检查：</w:t>
      </w:r>
    </w:p>
    <w:p w14:paraId="02C3A19E">
      <w:pPr>
        <w:pStyle w:val="164"/>
        <w:numPr>
          <w:ilvl w:val="0"/>
          <w:numId w:val="52"/>
        </w:numPr>
        <w:tabs>
          <w:tab w:val="left" w:pos="210"/>
          <w:tab w:val="left" w:pos="567"/>
        </w:tabs>
        <w:spacing w:line="330" w:lineRule="exact"/>
        <w:ind w:firstLine="630" w:firstLineChars="300"/>
        <w:rPr>
          <w:rFonts w:eastAsiaTheme="minorEastAsia"/>
          <w:szCs w:val="21"/>
        </w:rPr>
      </w:pPr>
      <w:r>
        <w:rPr>
          <w:rFonts w:eastAsiaTheme="minorEastAsia"/>
          <w:szCs w:val="21"/>
        </w:rPr>
        <w:t>各种电路板数量、规格、接线及机架的安装位置应与施工图设计文件相符且标识齐全正确。</w:t>
      </w:r>
    </w:p>
    <w:p w14:paraId="261BE452">
      <w:pPr>
        <w:pStyle w:val="164"/>
        <w:numPr>
          <w:ilvl w:val="0"/>
          <w:numId w:val="52"/>
        </w:numPr>
        <w:tabs>
          <w:tab w:val="left" w:pos="210"/>
          <w:tab w:val="left" w:pos="567"/>
        </w:tabs>
        <w:spacing w:line="330" w:lineRule="exact"/>
        <w:ind w:firstLine="630" w:firstLineChars="300"/>
        <w:rPr>
          <w:rFonts w:eastAsiaTheme="minorEastAsia"/>
          <w:szCs w:val="21"/>
        </w:rPr>
      </w:pPr>
      <w:r>
        <w:rPr>
          <w:rFonts w:eastAsiaTheme="minorEastAsia"/>
          <w:szCs w:val="21"/>
        </w:rPr>
        <w:t>各机架所有的熔断器规格应</w:t>
      </w:r>
      <w:r>
        <w:rPr>
          <w:rFonts w:hint="eastAsia" w:eastAsiaTheme="minorEastAsia"/>
          <w:szCs w:val="21"/>
        </w:rPr>
        <w:t>满足设计</w:t>
      </w:r>
      <w:r>
        <w:rPr>
          <w:rFonts w:eastAsiaTheme="minorEastAsia"/>
          <w:szCs w:val="21"/>
        </w:rPr>
        <w:t>要求，检查各功能单元电源开关应处于关闭状态。</w:t>
      </w:r>
    </w:p>
    <w:p w14:paraId="1712E0EE">
      <w:pPr>
        <w:pStyle w:val="164"/>
        <w:numPr>
          <w:ilvl w:val="0"/>
          <w:numId w:val="52"/>
        </w:numPr>
        <w:tabs>
          <w:tab w:val="left" w:pos="210"/>
          <w:tab w:val="left" w:pos="567"/>
        </w:tabs>
        <w:spacing w:line="330" w:lineRule="exact"/>
        <w:ind w:firstLine="630" w:firstLineChars="300"/>
        <w:rPr>
          <w:rFonts w:eastAsiaTheme="minorEastAsia"/>
          <w:szCs w:val="21"/>
        </w:rPr>
      </w:pPr>
      <w:r>
        <w:rPr>
          <w:rFonts w:eastAsiaTheme="minorEastAsia"/>
          <w:szCs w:val="21"/>
        </w:rPr>
        <w:t>设备的各种选择开关应置于初始位置。</w:t>
      </w:r>
    </w:p>
    <w:p w14:paraId="4A4BCB59">
      <w:pPr>
        <w:pStyle w:val="164"/>
        <w:numPr>
          <w:ilvl w:val="0"/>
          <w:numId w:val="52"/>
        </w:numPr>
        <w:tabs>
          <w:tab w:val="left" w:pos="210"/>
          <w:tab w:val="left" w:pos="567"/>
        </w:tabs>
        <w:spacing w:line="330" w:lineRule="exact"/>
        <w:ind w:firstLine="630" w:firstLineChars="300"/>
        <w:rPr>
          <w:rFonts w:eastAsiaTheme="minorEastAsia"/>
          <w:szCs w:val="21"/>
        </w:rPr>
      </w:pPr>
      <w:r>
        <w:rPr>
          <w:rFonts w:eastAsiaTheme="minorEastAsia"/>
          <w:szCs w:val="21"/>
        </w:rPr>
        <w:t>设备的供电源线，接地线规格应满足设计要求，并</w:t>
      </w:r>
      <w:r>
        <w:rPr>
          <w:rFonts w:hint="eastAsia" w:eastAsiaTheme="minorEastAsia"/>
          <w:szCs w:val="21"/>
        </w:rPr>
        <w:t>且接线</w:t>
      </w:r>
      <w:r>
        <w:rPr>
          <w:rFonts w:eastAsiaTheme="minorEastAsia"/>
          <w:szCs w:val="21"/>
        </w:rPr>
        <w:t>应正确、牢固。</w:t>
      </w:r>
    </w:p>
    <w:p w14:paraId="58C4FAB5">
      <w:pPr>
        <w:pStyle w:val="164"/>
        <w:numPr>
          <w:ilvl w:val="0"/>
          <w:numId w:val="51"/>
        </w:numPr>
        <w:spacing w:line="330" w:lineRule="exact"/>
        <w:ind w:left="0" w:firstLine="420"/>
        <w:rPr>
          <w:rFonts w:eastAsiaTheme="minorEastAsia"/>
        </w:rPr>
      </w:pPr>
      <w:r>
        <w:rPr>
          <w:rFonts w:eastAsiaTheme="minorEastAsia"/>
        </w:rPr>
        <w:t>应检测机房主电源输入电压正常后方可进行通电测试。</w:t>
      </w:r>
    </w:p>
    <w:p w14:paraId="17D2E8BE">
      <w:pPr>
        <w:pStyle w:val="164"/>
        <w:numPr>
          <w:ilvl w:val="0"/>
          <w:numId w:val="51"/>
        </w:numPr>
        <w:spacing w:line="330" w:lineRule="exact"/>
        <w:ind w:left="0" w:firstLine="420"/>
        <w:rPr>
          <w:rFonts w:eastAsiaTheme="minorEastAsia"/>
        </w:rPr>
      </w:pPr>
      <w:r>
        <w:rPr>
          <w:rFonts w:eastAsiaTheme="minorEastAsia"/>
        </w:rPr>
        <w:t>电话交换系统</w:t>
      </w:r>
      <w:r>
        <w:rPr>
          <w:rFonts w:hint="eastAsia" w:eastAsiaTheme="minorEastAsia"/>
        </w:rPr>
        <w:t>的</w:t>
      </w:r>
      <w:r>
        <w:rPr>
          <w:rFonts w:eastAsiaTheme="minorEastAsia"/>
        </w:rPr>
        <w:t>自检、时钟同步、时钟等级和性能参数应满足设计要求。</w:t>
      </w:r>
    </w:p>
    <w:p w14:paraId="11378596">
      <w:pPr>
        <w:pStyle w:val="164"/>
        <w:numPr>
          <w:ilvl w:val="0"/>
          <w:numId w:val="51"/>
        </w:numPr>
        <w:spacing w:line="330" w:lineRule="exact"/>
        <w:ind w:left="0" w:firstLine="420"/>
        <w:rPr>
          <w:rFonts w:eastAsiaTheme="minorEastAsia"/>
        </w:rPr>
      </w:pPr>
      <w:r>
        <w:rPr>
          <w:rFonts w:eastAsiaTheme="minorEastAsia"/>
        </w:rPr>
        <w:t>安装电话交换机服务系统、联机计费系统、交换集中监控系统的调试应达到系统无故障，并应提供相应的测试报告。</w:t>
      </w:r>
    </w:p>
    <w:p w14:paraId="1A0C86B0">
      <w:pPr>
        <w:pStyle w:val="164"/>
        <w:spacing w:before="100" w:after="100" w:line="330" w:lineRule="exact"/>
        <w:ind w:firstLine="0" w:firstLineChars="0"/>
        <w:rPr>
          <w:szCs w:val="21"/>
        </w:rPr>
      </w:pPr>
      <w:r>
        <w:rPr>
          <w:szCs w:val="21"/>
        </w:rPr>
        <w:t>6.3.4 系统检验应符合下列规定：</w:t>
      </w:r>
    </w:p>
    <w:p w14:paraId="6D97D471">
      <w:pPr>
        <w:pStyle w:val="164"/>
        <w:numPr>
          <w:ilvl w:val="0"/>
          <w:numId w:val="53"/>
        </w:numPr>
        <w:spacing w:line="330" w:lineRule="exact"/>
        <w:ind w:left="0" w:firstLine="420"/>
        <w:rPr>
          <w:rFonts w:eastAsiaTheme="minorEastAsia"/>
        </w:rPr>
      </w:pPr>
      <w:r>
        <w:rPr>
          <w:rFonts w:eastAsiaTheme="minorEastAsia"/>
        </w:rPr>
        <w:t>电话交换系统的检测阶段、检测内容、检测方法及性能指标要求应符合现行行业标准《固定电话交换网工程验收规范》</w:t>
      </w:r>
      <w:r>
        <w:rPr>
          <w:szCs w:val="22"/>
        </w:rPr>
        <w:t>YD 5077</w:t>
      </w:r>
      <w:r>
        <w:rPr>
          <w:rFonts w:eastAsiaTheme="minorEastAsia"/>
        </w:rPr>
        <w:t>的相关规定。</w:t>
      </w:r>
    </w:p>
    <w:p w14:paraId="74BDF054">
      <w:pPr>
        <w:pStyle w:val="164"/>
        <w:numPr>
          <w:ilvl w:val="0"/>
          <w:numId w:val="53"/>
        </w:numPr>
        <w:spacing w:line="330" w:lineRule="exact"/>
        <w:ind w:left="0" w:firstLine="420"/>
        <w:rPr>
          <w:rFonts w:eastAsiaTheme="minorEastAsia"/>
        </w:rPr>
      </w:pPr>
      <w:r>
        <w:rPr>
          <w:rFonts w:eastAsiaTheme="minorEastAsia"/>
        </w:rPr>
        <w:t>通信系统连接公用通信网信道的传输率、信号方式、物理接口和接口协议应满足设计要求。</w:t>
      </w:r>
    </w:p>
    <w:p w14:paraId="35B9BB54">
      <w:pPr>
        <w:pStyle w:val="164"/>
        <w:numPr>
          <w:ilvl w:val="0"/>
          <w:numId w:val="53"/>
        </w:numPr>
        <w:spacing w:line="330" w:lineRule="exact"/>
        <w:ind w:left="0" w:firstLine="420"/>
        <w:rPr>
          <w:rFonts w:eastAsiaTheme="minorEastAsia"/>
        </w:rPr>
      </w:pPr>
      <w:r>
        <w:rPr>
          <w:rFonts w:eastAsiaTheme="minorEastAsia"/>
        </w:rPr>
        <w:t>电话交换系统安装各种业务板及业务板电缆，信号线和电源应分别引入。</w:t>
      </w:r>
    </w:p>
    <w:p w14:paraId="31546640">
      <w:pPr>
        <w:pStyle w:val="164"/>
        <w:numPr>
          <w:ilvl w:val="0"/>
          <w:numId w:val="53"/>
        </w:numPr>
        <w:spacing w:line="330" w:lineRule="exact"/>
        <w:ind w:left="0" w:firstLine="420"/>
        <w:rPr>
          <w:rFonts w:eastAsiaTheme="minorEastAsia"/>
        </w:rPr>
      </w:pPr>
      <w:r>
        <w:rPr>
          <w:rFonts w:eastAsiaTheme="minorEastAsia"/>
        </w:rPr>
        <w:t>各设备、器件、盒、箱、线缆等的安装应满足设计要求，并应做到布局合理、排列整齐、牢固可靠、线缆连接正确、压接牢固</w:t>
      </w:r>
      <w:r>
        <w:rPr>
          <w:rFonts w:hint="eastAsia" w:eastAsiaTheme="minorEastAsia"/>
        </w:rPr>
        <w:t>，</w:t>
      </w:r>
      <w:r>
        <w:rPr>
          <w:rFonts w:eastAsiaTheme="minorEastAsia"/>
        </w:rPr>
        <w:t>线缆标识应清晰、明确。</w:t>
      </w:r>
    </w:p>
    <w:p w14:paraId="0DE36BD6">
      <w:pPr>
        <w:pStyle w:val="3"/>
        <w:spacing w:before="240" w:after="120" w:afterLines="50" w:line="330" w:lineRule="exact"/>
        <w:rPr>
          <w:rFonts w:eastAsia="黑体"/>
          <w:b w:val="0"/>
          <w:bCs w:val="0"/>
          <w:sz w:val="21"/>
          <w:szCs w:val="21"/>
          <w:lang w:val="en-US"/>
        </w:rPr>
      </w:pPr>
      <w:bookmarkStart w:id="59" w:name="_Toc182487938"/>
      <w:r>
        <w:rPr>
          <w:rFonts w:eastAsia="黑体"/>
          <w:b w:val="0"/>
          <w:bCs w:val="0"/>
          <w:sz w:val="21"/>
          <w:szCs w:val="21"/>
          <w:lang w:val="en-US"/>
        </w:rPr>
        <w:t>6.4 质量记录</w:t>
      </w:r>
      <w:bookmarkEnd w:id="59"/>
    </w:p>
    <w:p w14:paraId="68ACA843">
      <w:pPr>
        <w:ind w:left="105" w:hanging="105"/>
        <w:rPr>
          <w:rFonts w:ascii="Times New Roman" w:hAnsi="Times New Roman"/>
        </w:rPr>
      </w:pPr>
      <w:r>
        <w:rPr>
          <w:rFonts w:ascii="Times New Roman" w:hAnsi="Times New Roman"/>
        </w:rPr>
        <w:t>6.4.1 质量记录应包含下列内容：</w:t>
      </w:r>
    </w:p>
    <w:p w14:paraId="42C00308">
      <w:pPr>
        <w:pStyle w:val="164"/>
        <w:numPr>
          <w:ilvl w:val="0"/>
          <w:numId w:val="54"/>
        </w:numPr>
        <w:spacing w:line="330" w:lineRule="exact"/>
        <w:ind w:left="0" w:firstLine="420"/>
        <w:rPr>
          <w:rFonts w:eastAsiaTheme="minorEastAsia"/>
        </w:rPr>
      </w:pPr>
      <w:r>
        <w:rPr>
          <w:rFonts w:eastAsiaTheme="minorEastAsia"/>
        </w:rPr>
        <w:t>数字程控交换机的出厂合格证、入网证明、质量检验报告、产品技术文件。</w:t>
      </w:r>
    </w:p>
    <w:p w14:paraId="5B412AF0">
      <w:pPr>
        <w:pStyle w:val="164"/>
        <w:numPr>
          <w:ilvl w:val="0"/>
          <w:numId w:val="54"/>
        </w:numPr>
        <w:spacing w:line="330" w:lineRule="exact"/>
        <w:ind w:left="0" w:firstLine="420"/>
        <w:rPr>
          <w:rFonts w:eastAsiaTheme="minorEastAsia"/>
        </w:rPr>
      </w:pPr>
      <w:r>
        <w:rPr>
          <w:rFonts w:eastAsiaTheme="minorEastAsia"/>
        </w:rPr>
        <w:t>材料、构配件进场检验记录。</w:t>
      </w:r>
    </w:p>
    <w:p w14:paraId="6E191BA4">
      <w:pPr>
        <w:pStyle w:val="164"/>
        <w:numPr>
          <w:ilvl w:val="0"/>
          <w:numId w:val="54"/>
        </w:numPr>
        <w:spacing w:line="330" w:lineRule="exact"/>
        <w:ind w:left="0" w:firstLine="420"/>
        <w:rPr>
          <w:rFonts w:eastAsiaTheme="minorEastAsia"/>
        </w:rPr>
      </w:pPr>
      <w:r>
        <w:rPr>
          <w:rFonts w:eastAsiaTheme="minorEastAsia"/>
        </w:rPr>
        <w:t>工程安装质量及观感质量检查记录。</w:t>
      </w:r>
    </w:p>
    <w:p w14:paraId="54465657">
      <w:pPr>
        <w:pStyle w:val="164"/>
        <w:numPr>
          <w:ilvl w:val="0"/>
          <w:numId w:val="54"/>
        </w:numPr>
        <w:spacing w:line="330" w:lineRule="exact"/>
        <w:ind w:left="0" w:firstLine="420"/>
        <w:rPr>
          <w:rFonts w:eastAsiaTheme="minorEastAsia"/>
        </w:rPr>
      </w:pPr>
      <w:r>
        <w:rPr>
          <w:rFonts w:eastAsiaTheme="minorEastAsia"/>
        </w:rPr>
        <w:t>系统调试及试运行记录。</w:t>
      </w:r>
    </w:p>
    <w:p w14:paraId="7FB0F73D">
      <w:pPr>
        <w:pStyle w:val="16"/>
        <w:tabs>
          <w:tab w:val="left" w:pos="425"/>
        </w:tabs>
        <w:spacing w:before="240" w:beforeLines="100" w:afterLines="50" w:line="330" w:lineRule="exact"/>
        <w:jc w:val="center"/>
        <w:outlineLvl w:val="0"/>
        <w:rPr>
          <w:rFonts w:ascii="Times New Roman" w:hAnsi="Times New Roman" w:eastAsia="黑体"/>
          <w:bCs/>
          <w:sz w:val="28"/>
          <w:szCs w:val="28"/>
        </w:rPr>
        <w:sectPr>
          <w:pgSz w:w="11900" w:h="16840"/>
          <w:pgMar w:top="1558" w:right="1544" w:bottom="1113" w:left="1564" w:header="0" w:footer="567" w:gutter="0"/>
          <w:cols w:space="720" w:num="1"/>
          <w:docGrid w:linePitch="360" w:charSpace="0"/>
        </w:sectPr>
      </w:pPr>
    </w:p>
    <w:p w14:paraId="1197F9EE">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60" w:name="_Toc182487939"/>
      <w:r>
        <w:rPr>
          <w:rFonts w:ascii="Times New Roman" w:hAnsi="Times New Roman" w:eastAsia="黑体"/>
          <w:bCs/>
          <w:sz w:val="28"/>
          <w:szCs w:val="28"/>
        </w:rPr>
        <w:t>7 信息网络系统</w:t>
      </w:r>
      <w:bookmarkEnd w:id="60"/>
    </w:p>
    <w:p w14:paraId="0E5BD1BE">
      <w:pPr>
        <w:pStyle w:val="3"/>
        <w:spacing w:before="240" w:after="120" w:afterLines="50" w:line="330" w:lineRule="exact"/>
        <w:rPr>
          <w:rFonts w:eastAsia="黑体"/>
          <w:b w:val="0"/>
          <w:bCs w:val="0"/>
          <w:sz w:val="21"/>
          <w:szCs w:val="21"/>
        </w:rPr>
      </w:pPr>
      <w:bookmarkStart w:id="61" w:name="_Toc182487940"/>
      <w:r>
        <w:rPr>
          <w:rFonts w:eastAsia="黑体"/>
          <w:b w:val="0"/>
          <w:bCs w:val="0"/>
          <w:sz w:val="21"/>
          <w:szCs w:val="21"/>
          <w:lang w:val="en-US"/>
        </w:rPr>
        <w:t xml:space="preserve">7.1 </w:t>
      </w:r>
      <w:r>
        <w:rPr>
          <w:rFonts w:eastAsia="黑体"/>
          <w:b w:val="0"/>
          <w:bCs w:val="0"/>
          <w:sz w:val="21"/>
          <w:szCs w:val="21"/>
        </w:rPr>
        <w:t>一般规定</w:t>
      </w:r>
      <w:bookmarkEnd w:id="61"/>
    </w:p>
    <w:p w14:paraId="738A14ED">
      <w:pPr>
        <w:pStyle w:val="164"/>
        <w:numPr>
          <w:ilvl w:val="0"/>
          <w:numId w:val="1"/>
        </w:numPr>
        <w:spacing w:line="330" w:lineRule="exact"/>
        <w:ind w:firstLineChars="0"/>
        <w:rPr>
          <w:rFonts w:eastAsiaTheme="minorEastAsia"/>
          <w:vanish/>
          <w:szCs w:val="21"/>
        </w:rPr>
      </w:pPr>
    </w:p>
    <w:p w14:paraId="1351BD10">
      <w:pPr>
        <w:pStyle w:val="164"/>
        <w:numPr>
          <w:ilvl w:val="1"/>
          <w:numId w:val="1"/>
        </w:numPr>
        <w:spacing w:line="330" w:lineRule="exact"/>
        <w:ind w:firstLineChars="0"/>
        <w:rPr>
          <w:rFonts w:eastAsiaTheme="minorEastAsia"/>
          <w:vanish/>
          <w:szCs w:val="21"/>
        </w:rPr>
      </w:pPr>
    </w:p>
    <w:p w14:paraId="41CED71E">
      <w:pPr>
        <w:pStyle w:val="164"/>
        <w:numPr>
          <w:ilvl w:val="1"/>
          <w:numId w:val="1"/>
        </w:numPr>
        <w:spacing w:line="330" w:lineRule="exact"/>
        <w:ind w:firstLineChars="0"/>
        <w:rPr>
          <w:rFonts w:eastAsiaTheme="minorEastAsia"/>
          <w:vanish/>
          <w:szCs w:val="21"/>
        </w:rPr>
      </w:pPr>
    </w:p>
    <w:p w14:paraId="371F7E9A">
      <w:pPr>
        <w:pStyle w:val="164"/>
        <w:spacing w:before="100" w:after="100" w:line="330" w:lineRule="exact"/>
        <w:ind w:firstLine="0" w:firstLineChars="0"/>
        <w:rPr>
          <w:szCs w:val="21"/>
        </w:rPr>
      </w:pPr>
      <w:r>
        <w:rPr>
          <w:szCs w:val="21"/>
        </w:rPr>
        <w:t>7.1.1 本章适用于智能建筑工程中信息网络系统的工程实施及质量控制、系统检测。</w:t>
      </w:r>
    </w:p>
    <w:p w14:paraId="4E48B894">
      <w:pPr>
        <w:pStyle w:val="164"/>
        <w:spacing w:before="100" w:after="100" w:line="330" w:lineRule="exact"/>
        <w:ind w:firstLine="0" w:firstLineChars="0"/>
        <w:rPr>
          <w:szCs w:val="21"/>
        </w:rPr>
      </w:pPr>
      <w:r>
        <w:rPr>
          <w:szCs w:val="21"/>
        </w:rPr>
        <w:t>7.1.2 信息网络系统</w:t>
      </w:r>
      <w:r>
        <w:rPr>
          <w:rFonts w:hint="eastAsia"/>
          <w:szCs w:val="21"/>
        </w:rPr>
        <w:t>应</w:t>
      </w:r>
      <w:r>
        <w:rPr>
          <w:szCs w:val="21"/>
        </w:rPr>
        <w:t>包括计算机网络、应用软件及网络安全等</w:t>
      </w:r>
      <w:r>
        <w:rPr>
          <w:rFonts w:hint="eastAsia"/>
          <w:szCs w:val="21"/>
        </w:rPr>
        <w:t>内容</w:t>
      </w:r>
      <w:r>
        <w:rPr>
          <w:szCs w:val="21"/>
        </w:rPr>
        <w:t>。</w:t>
      </w:r>
    </w:p>
    <w:p w14:paraId="5EAEC389">
      <w:pPr>
        <w:pStyle w:val="164"/>
        <w:spacing w:before="100" w:after="100" w:line="330" w:lineRule="exact"/>
        <w:ind w:firstLine="0" w:firstLineChars="0"/>
        <w:rPr>
          <w:szCs w:val="21"/>
        </w:rPr>
      </w:pPr>
      <w:r>
        <w:rPr>
          <w:rFonts w:hint="eastAsia"/>
          <w:szCs w:val="21"/>
        </w:rPr>
        <w:t xml:space="preserve">7.1.3 </w:t>
      </w:r>
      <w:r>
        <w:rPr>
          <w:rFonts w:eastAsiaTheme="minorEastAsia"/>
          <w:szCs w:val="21"/>
        </w:rPr>
        <w:t>对于涉及国家秘密的党政机关、企事业单位及其它特殊场所的信息网络工程</w:t>
      </w:r>
      <w:r>
        <w:rPr>
          <w:rFonts w:hint="eastAsia" w:eastAsiaTheme="minorEastAsia"/>
          <w:szCs w:val="21"/>
        </w:rPr>
        <w:t>的检测</w:t>
      </w:r>
      <w:r>
        <w:rPr>
          <w:rFonts w:eastAsiaTheme="minorEastAsia"/>
          <w:szCs w:val="21"/>
        </w:rPr>
        <w:t>，应参照国家相关规范的规定进行检测。</w:t>
      </w:r>
    </w:p>
    <w:p w14:paraId="56DDEF6A">
      <w:pPr>
        <w:pStyle w:val="3"/>
        <w:spacing w:before="240" w:after="120" w:afterLines="50" w:line="330" w:lineRule="exact"/>
        <w:rPr>
          <w:rFonts w:eastAsia="黑体"/>
          <w:b w:val="0"/>
          <w:bCs w:val="0"/>
          <w:sz w:val="21"/>
          <w:szCs w:val="21"/>
          <w:lang w:val="en-US"/>
        </w:rPr>
      </w:pPr>
      <w:bookmarkStart w:id="62" w:name="_Toc182487941"/>
      <w:r>
        <w:rPr>
          <w:rFonts w:eastAsia="黑体"/>
          <w:b w:val="0"/>
          <w:bCs w:val="0"/>
          <w:sz w:val="21"/>
          <w:szCs w:val="21"/>
          <w:lang w:val="en-US"/>
        </w:rPr>
        <w:t>7.2 施工准备</w:t>
      </w:r>
      <w:bookmarkEnd w:id="62"/>
    </w:p>
    <w:p w14:paraId="1B3693B2">
      <w:pPr>
        <w:pStyle w:val="164"/>
        <w:numPr>
          <w:ilvl w:val="1"/>
          <w:numId w:val="1"/>
        </w:numPr>
        <w:spacing w:line="330" w:lineRule="exact"/>
        <w:ind w:firstLineChars="0"/>
        <w:rPr>
          <w:rFonts w:eastAsiaTheme="minorEastAsia"/>
          <w:vanish/>
          <w:szCs w:val="21"/>
        </w:rPr>
      </w:pPr>
    </w:p>
    <w:p w14:paraId="17CCD381">
      <w:pPr>
        <w:pStyle w:val="164"/>
        <w:numPr>
          <w:ilvl w:val="255"/>
          <w:numId w:val="0"/>
        </w:numPr>
        <w:spacing w:before="100" w:after="100" w:line="330" w:lineRule="exact"/>
        <w:rPr>
          <w:rFonts w:eastAsiaTheme="minorEastAsia"/>
        </w:rPr>
      </w:pPr>
      <w:r>
        <w:rPr>
          <w:rFonts w:hint="eastAsia"/>
          <w:szCs w:val="21"/>
        </w:rPr>
        <w:t>7.2.</w:t>
      </w:r>
      <w:r>
        <w:rPr>
          <w:szCs w:val="21"/>
        </w:rPr>
        <w:t>1 主要材料有</w:t>
      </w:r>
      <w:r>
        <w:rPr>
          <w:rFonts w:eastAsiaTheme="minorEastAsia"/>
        </w:rPr>
        <w:t>数据连接线、跳线（含UTP双绞线、光纤跳线）。信号传输材料、机房设备材料、终端材料</w:t>
      </w:r>
      <w:r>
        <w:rPr>
          <w:rFonts w:hint="eastAsia" w:eastAsiaTheme="minorEastAsia"/>
        </w:rPr>
        <w:t>的</w:t>
      </w:r>
      <w:r>
        <w:rPr>
          <w:rFonts w:eastAsiaTheme="minorEastAsia"/>
        </w:rPr>
        <w:t>规格、型号、数量应满足设计</w:t>
      </w:r>
      <w:r>
        <w:rPr>
          <w:rFonts w:hint="eastAsia" w:eastAsiaTheme="minorEastAsia"/>
        </w:rPr>
        <w:t>要求</w:t>
      </w:r>
      <w:r>
        <w:rPr>
          <w:rFonts w:eastAsiaTheme="minorEastAsia"/>
        </w:rPr>
        <w:t>，并有产品合格证、性能检验报告及国家强制产品认证“3C”标识，电缆所附标志、标签内容应齐全、清晰；镀锌钢管、镀锌线槽、金属膨胀螺栓、金属软管、接地螺栓等应满足设计要求。</w:t>
      </w:r>
    </w:p>
    <w:p w14:paraId="27DACC6A">
      <w:pPr>
        <w:pStyle w:val="164"/>
        <w:numPr>
          <w:ilvl w:val="255"/>
          <w:numId w:val="0"/>
        </w:numPr>
        <w:spacing w:before="100" w:after="100" w:line="330" w:lineRule="exact"/>
        <w:rPr>
          <w:rFonts w:eastAsiaTheme="minorEastAsia"/>
        </w:rPr>
      </w:pPr>
      <w:r>
        <w:rPr>
          <w:rFonts w:hint="eastAsia"/>
          <w:szCs w:val="21"/>
        </w:rPr>
        <w:t>7.2.</w:t>
      </w:r>
      <w:r>
        <w:rPr>
          <w:szCs w:val="21"/>
        </w:rPr>
        <w:t>2 主要机具有</w:t>
      </w:r>
      <w:r>
        <w:rPr>
          <w:rFonts w:eastAsiaTheme="minorEastAsia"/>
        </w:rPr>
        <w:t>计算机（服务器、终端机）系统软件、打印机、集线器、交换机、路由器、调制解调器等</w:t>
      </w:r>
      <w:r>
        <w:rPr>
          <w:szCs w:val="21"/>
        </w:rPr>
        <w:t>设备</w:t>
      </w:r>
      <w:r>
        <w:rPr>
          <w:rFonts w:hint="eastAsia"/>
          <w:szCs w:val="21"/>
        </w:rPr>
        <w:t>及</w:t>
      </w:r>
      <w:r>
        <w:rPr>
          <w:szCs w:val="21"/>
        </w:rPr>
        <w:t>软件</w:t>
      </w:r>
      <w:r>
        <w:rPr>
          <w:rFonts w:hint="eastAsia" w:eastAsiaTheme="minorEastAsia"/>
        </w:rPr>
        <w:t>；</w:t>
      </w:r>
      <w:r>
        <w:rPr>
          <w:rFonts w:eastAsiaTheme="minorEastAsia"/>
        </w:rPr>
        <w:t>万能表、便携式计算机、网络分析仪、对讲机等</w:t>
      </w:r>
      <w:r>
        <w:rPr>
          <w:rFonts w:hint="eastAsia" w:eastAsiaTheme="minorEastAsia"/>
        </w:rPr>
        <w:t>调试工具</w:t>
      </w:r>
      <w:r>
        <w:rPr>
          <w:rFonts w:eastAsiaTheme="minorEastAsia"/>
        </w:rPr>
        <w:t>。</w:t>
      </w:r>
    </w:p>
    <w:p w14:paraId="0FE0BC1A">
      <w:pPr>
        <w:pStyle w:val="164"/>
        <w:spacing w:before="100" w:after="100" w:line="330" w:lineRule="exact"/>
        <w:ind w:firstLine="0" w:firstLineChars="0"/>
        <w:rPr>
          <w:szCs w:val="21"/>
        </w:rPr>
      </w:pPr>
      <w:r>
        <w:rPr>
          <w:rFonts w:hint="eastAsia"/>
          <w:szCs w:val="21"/>
        </w:rPr>
        <w:t>7.2.</w:t>
      </w:r>
      <w:r>
        <w:rPr>
          <w:szCs w:val="21"/>
        </w:rPr>
        <w:t xml:space="preserve">3 </w:t>
      </w:r>
      <w:r>
        <w:rPr>
          <w:rFonts w:hint="eastAsia"/>
          <w:szCs w:val="21"/>
        </w:rPr>
        <w:t>作业条件应符合下列规定</w:t>
      </w:r>
      <w:r>
        <w:rPr>
          <w:szCs w:val="21"/>
        </w:rPr>
        <w:t>：</w:t>
      </w:r>
    </w:p>
    <w:p w14:paraId="3B9CF0C3">
      <w:pPr>
        <w:pStyle w:val="164"/>
        <w:spacing w:line="330" w:lineRule="exact"/>
        <w:ind w:left="420" w:leftChars="200" w:firstLine="0" w:firstLineChars="0"/>
        <w:rPr>
          <w:rFonts w:eastAsiaTheme="minorEastAsia"/>
        </w:rPr>
      </w:pPr>
      <w:r>
        <w:rPr>
          <w:rFonts w:eastAsiaTheme="minorEastAsia"/>
          <w:b/>
          <w:bCs/>
        </w:rPr>
        <w:t xml:space="preserve">1 </w:t>
      </w:r>
      <w:r>
        <w:rPr>
          <w:rFonts w:eastAsiaTheme="minorEastAsia"/>
        </w:rPr>
        <w:t>综合布线系统</w:t>
      </w:r>
      <w:r>
        <w:rPr>
          <w:rFonts w:hint="eastAsia" w:eastAsiaTheme="minorEastAsia"/>
        </w:rPr>
        <w:t>应</w:t>
      </w:r>
      <w:r>
        <w:rPr>
          <w:rFonts w:eastAsiaTheme="minorEastAsia"/>
        </w:rPr>
        <w:t>施工完毕且通过系统检测，具备竣工验收的条件。</w:t>
      </w:r>
    </w:p>
    <w:p w14:paraId="0ECD2EFA">
      <w:pPr>
        <w:pStyle w:val="164"/>
        <w:spacing w:line="330" w:lineRule="exact"/>
        <w:ind w:left="420" w:leftChars="200" w:firstLine="0" w:firstLineChars="0"/>
        <w:rPr>
          <w:rFonts w:eastAsiaTheme="minorEastAsia"/>
        </w:rPr>
      </w:pPr>
      <w:r>
        <w:rPr>
          <w:rFonts w:eastAsiaTheme="minorEastAsia"/>
          <w:b/>
          <w:bCs/>
        </w:rPr>
        <w:t xml:space="preserve">2 </w:t>
      </w:r>
      <w:r>
        <w:rPr>
          <w:rFonts w:eastAsiaTheme="minorEastAsia"/>
        </w:rPr>
        <w:t>机房、设备间装修施工完毕，电源与接地装置已安装完成，具备安装条件。</w:t>
      </w:r>
    </w:p>
    <w:p w14:paraId="708FE0E5">
      <w:pPr>
        <w:pStyle w:val="3"/>
        <w:spacing w:before="240" w:after="120" w:afterLines="50" w:line="330" w:lineRule="exact"/>
        <w:rPr>
          <w:rFonts w:eastAsia="黑体"/>
          <w:b w:val="0"/>
          <w:bCs w:val="0"/>
          <w:sz w:val="21"/>
          <w:szCs w:val="21"/>
          <w:lang w:val="en-US"/>
        </w:rPr>
      </w:pPr>
      <w:bookmarkStart w:id="63" w:name="_Toc182487942"/>
      <w:r>
        <w:rPr>
          <w:rFonts w:eastAsia="黑体"/>
          <w:b w:val="0"/>
          <w:bCs w:val="0"/>
          <w:sz w:val="21"/>
          <w:szCs w:val="21"/>
          <w:lang w:val="en-US"/>
        </w:rPr>
        <w:t>7.3 施工工艺</w:t>
      </w:r>
      <w:bookmarkEnd w:id="63"/>
    </w:p>
    <w:p w14:paraId="5AB3943F">
      <w:pPr>
        <w:pStyle w:val="164"/>
        <w:numPr>
          <w:ilvl w:val="1"/>
          <w:numId w:val="1"/>
        </w:numPr>
        <w:spacing w:line="330" w:lineRule="exact"/>
        <w:ind w:firstLineChars="0"/>
        <w:rPr>
          <w:rFonts w:eastAsiaTheme="minorEastAsia"/>
          <w:vanish/>
          <w:szCs w:val="21"/>
        </w:rPr>
      </w:pPr>
    </w:p>
    <w:p w14:paraId="364B13D2">
      <w:pPr>
        <w:pStyle w:val="164"/>
        <w:spacing w:before="100" w:after="100" w:line="330" w:lineRule="exact"/>
        <w:ind w:firstLine="0" w:firstLineChars="0"/>
        <w:rPr>
          <w:rFonts w:eastAsiaTheme="minorEastAsia"/>
          <w:sz w:val="29"/>
        </w:rPr>
      </w:pPr>
      <w:r>
        <w:rPr>
          <w:szCs w:val="21"/>
        </w:rPr>
        <w:t xml:space="preserve">7.3.1 </w:t>
      </w:r>
      <w:r>
        <w:rPr>
          <w:rFonts w:eastAsiaTheme="minorEastAsia"/>
          <w:szCs w:val="21"/>
        </w:rPr>
        <w:t>信息网络系统施工工艺流程见图7.3.1。</w:t>
      </w:r>
    </w:p>
    <w:p w14:paraId="79443E72">
      <w:pPr>
        <w:ind w:left="0" w:firstLine="0" w:firstLineChars="0"/>
        <w:jc w:val="center"/>
        <w:rPr>
          <w:rFonts w:ascii="Times New Roman" w:hAnsi="Times New Roman" w:eastAsiaTheme="minorEastAsia"/>
          <w:sz w:val="20"/>
          <w:szCs w:val="21"/>
        </w:rPr>
      </w:pPr>
      <w:r>
        <w:rPr>
          <w:rFonts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4039870</wp:posOffset>
                </wp:positionH>
                <wp:positionV relativeFrom="paragraph">
                  <wp:posOffset>198120</wp:posOffset>
                </wp:positionV>
                <wp:extent cx="350520" cy="0"/>
                <wp:effectExtent l="0" t="38100" r="11430" b="38100"/>
                <wp:wrapNone/>
                <wp:docPr id="52" name="Line 7"/>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tailEnd type="triangle" w="med" len="med"/>
                        </a:ln>
                      </wps:spPr>
                      <wps:bodyPr/>
                    </wps:wsp>
                  </a:graphicData>
                </a:graphic>
              </wp:anchor>
            </w:drawing>
          </mc:Choice>
          <mc:Fallback>
            <w:pict>
              <v:line id="Line 7" o:spid="_x0000_s1026" o:spt="20" style="position:absolute;left:0pt;margin-left:318.1pt;margin-top:15.6pt;height:0pt;width:27.6pt;z-index:251676672;mso-width-relative:page;mso-height-relative:page;" filled="f" stroked="t" coordsize="21600,21600" o:gfxdata="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VAJG2QAA&#10;AAkBAAAPAAAAAAAAAAEAIAAAACIAAABkcnMvZG93bnJldi54bWxQSwECFAAUAAAACACHTuJAMHUf&#10;TOQBAADNAwAADgAAAAAAAAABACAAAAAoAQAAZHJzL2Uyb0RvYy54bWxQSwUGAAAAAAYABgBZAQAA&#10;fgU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2976880</wp:posOffset>
                </wp:positionH>
                <wp:positionV relativeFrom="paragraph">
                  <wp:posOffset>205740</wp:posOffset>
                </wp:positionV>
                <wp:extent cx="318135" cy="0"/>
                <wp:effectExtent l="0" t="38100" r="5715" b="38100"/>
                <wp:wrapNone/>
                <wp:docPr id="53" name="Line 7"/>
                <wp:cNvGraphicFramePr/>
                <a:graphic xmlns:a="http://schemas.openxmlformats.org/drawingml/2006/main">
                  <a:graphicData uri="http://schemas.microsoft.com/office/word/2010/wordprocessingShape">
                    <wps:wsp>
                      <wps:cNvCnPr>
                        <a:cxnSpLocks noChangeShapeType="1"/>
                      </wps:cNvCnPr>
                      <wps:spPr bwMode="auto">
                        <a:xfrm>
                          <a:off x="0" y="0"/>
                          <a:ext cx="318028" cy="0"/>
                        </a:xfrm>
                        <a:prstGeom prst="line">
                          <a:avLst/>
                        </a:prstGeom>
                        <a:noFill/>
                        <a:ln w="9525">
                          <a:solidFill>
                            <a:srgbClr val="000000"/>
                          </a:solidFill>
                          <a:round/>
                          <a:tailEnd type="triangle" w="med" len="med"/>
                        </a:ln>
                      </wps:spPr>
                      <wps:bodyPr/>
                    </wps:wsp>
                  </a:graphicData>
                </a:graphic>
              </wp:anchor>
            </w:drawing>
          </mc:Choice>
          <mc:Fallback>
            <w:pict>
              <v:line id="Line 7" o:spid="_x0000_s1026" o:spt="20" style="position:absolute;left:0pt;margin-left:234.4pt;margin-top:16.2pt;height:0pt;width:25.05pt;z-index:251675648;mso-width-relative:page;mso-height-relative:page;" filled="f" stroked="t" coordsize="21600,21600" o:gfxdata="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3WC+NoA&#10;AAAJAQAADwAAAAAAAAABACAAAAAiAAAAZHJzL2Rvd25yZXYueG1sUEsBAhQAFAAAAAgAh07iQMVl&#10;6nrkAQAAzQMAAA4AAAAAAAAAAQAgAAAAKQEAAGRycy9lMm9Eb2MueG1sUEsFBgAAAAAGAAYAWQEA&#10;AH8FAAAAAA==&#10;">
                <v:fill on="f" focussize="0,0"/>
                <v:stroke color="#000000" joinstyle="round" endarrow="block"/>
                <v:imagedata o:title=""/>
                <o:lock v:ext="edit" aspectratio="f"/>
              </v:line>
            </w:pict>
          </mc:Fallback>
        </mc:AlternateContent>
      </w:r>
      <w:r>
        <w:rPr>
          <w:rFonts w:ascii="Times New Roman" w:hAnsi="Times New Roman" w:eastAsiaTheme="minorEastAsia"/>
          <w:sz w:val="29"/>
        </w:rPr>
        <mc:AlternateContent>
          <mc:Choice Requires="wpg">
            <w:drawing>
              <wp:inline distT="0" distB="0" distL="0" distR="0">
                <wp:extent cx="5375275" cy="412115"/>
                <wp:effectExtent l="4445" t="4445" r="11430" b="21590"/>
                <wp:docPr id="54" name="组合 54"/>
                <wp:cNvGraphicFramePr/>
                <a:graphic xmlns:a="http://schemas.openxmlformats.org/drawingml/2006/main">
                  <a:graphicData uri="http://schemas.microsoft.com/office/word/2010/wordprocessingGroup">
                    <wpg:wgp>
                      <wpg:cNvGrpSpPr/>
                      <wpg:grpSpPr>
                        <a:xfrm>
                          <a:off x="0" y="0"/>
                          <a:ext cx="5375275" cy="412115"/>
                          <a:chOff x="0" y="-25"/>
                          <a:chExt cx="9127" cy="649"/>
                        </a:xfrm>
                      </wpg:grpSpPr>
                      <wps:wsp>
                        <wps:cNvPr id="55" name="Rectangle 4"/>
                        <wps:cNvSpPr>
                          <a:spLocks noChangeArrowheads="1"/>
                        </wps:cNvSpPr>
                        <wps:spPr bwMode="auto">
                          <a:xfrm>
                            <a:off x="0" y="0"/>
                            <a:ext cx="1260" cy="624"/>
                          </a:xfrm>
                          <a:prstGeom prst="rect">
                            <a:avLst/>
                          </a:prstGeom>
                          <a:solidFill>
                            <a:srgbClr val="FFFFFF"/>
                          </a:solidFill>
                          <a:ln w="9525">
                            <a:solidFill>
                              <a:srgbClr val="000000"/>
                            </a:solidFill>
                            <a:miter lim="800000"/>
                          </a:ln>
                        </wps:spPr>
                        <wps:txbx>
                          <w:txbxContent>
                            <w:p w14:paraId="669AB1DC">
                              <w:pPr>
                                <w:spacing w:before="62"/>
                                <w:ind w:left="105" w:hanging="105"/>
                                <w:jc w:val="center"/>
                              </w:pPr>
                              <w:r>
                                <w:rPr>
                                  <w:rFonts w:hint="eastAsia"/>
                                </w:rPr>
                                <w:t>机柜安装</w:t>
                              </w:r>
                            </w:p>
                          </w:txbxContent>
                        </wps:txbx>
                        <wps:bodyPr rot="0" vert="horz" wrap="square" lIns="91440" tIns="45720" rIns="91440" bIns="45720" anchor="t" anchorCtr="0" upright="1">
                          <a:noAutofit/>
                        </wps:bodyPr>
                      </wps:wsp>
                      <wps:wsp>
                        <wps:cNvPr id="56" name="Line 5"/>
                        <wps:cNvCnPr>
                          <a:cxnSpLocks noChangeShapeType="1"/>
                        </wps:cNvCnPr>
                        <wps:spPr bwMode="auto">
                          <a:xfrm>
                            <a:off x="1260" y="312"/>
                            <a:ext cx="540" cy="0"/>
                          </a:xfrm>
                          <a:prstGeom prst="line">
                            <a:avLst/>
                          </a:prstGeom>
                          <a:noFill/>
                          <a:ln w="9525">
                            <a:solidFill>
                              <a:srgbClr val="000000"/>
                            </a:solidFill>
                            <a:round/>
                            <a:tailEnd type="triangle" w="med" len="med"/>
                          </a:ln>
                        </wps:spPr>
                        <wps:bodyPr/>
                      </wps:wsp>
                      <wps:wsp>
                        <wps:cNvPr id="58" name="Rectangle 6"/>
                        <wps:cNvSpPr>
                          <a:spLocks noChangeArrowheads="1"/>
                        </wps:cNvSpPr>
                        <wps:spPr bwMode="auto">
                          <a:xfrm>
                            <a:off x="1800" y="0"/>
                            <a:ext cx="1260" cy="624"/>
                          </a:xfrm>
                          <a:prstGeom prst="rect">
                            <a:avLst/>
                          </a:prstGeom>
                          <a:solidFill>
                            <a:srgbClr val="FFFFFF"/>
                          </a:solidFill>
                          <a:ln w="9525">
                            <a:solidFill>
                              <a:srgbClr val="000000"/>
                            </a:solidFill>
                            <a:miter lim="800000"/>
                          </a:ln>
                        </wps:spPr>
                        <wps:txbx>
                          <w:txbxContent>
                            <w:p w14:paraId="204F32F4">
                              <w:pPr>
                                <w:spacing w:before="62"/>
                                <w:ind w:left="105" w:hanging="105"/>
                                <w:jc w:val="center"/>
                              </w:pPr>
                              <w:r>
                                <w:rPr>
                                  <w:rFonts w:hint="eastAsia"/>
                                </w:rPr>
                                <w:t>设备安装</w:t>
                              </w:r>
                            </w:p>
                          </w:txbxContent>
                        </wps:txbx>
                        <wps:bodyPr rot="0" vert="horz" wrap="square" lIns="91440" tIns="45720" rIns="91440" bIns="45720" anchor="t" anchorCtr="0" upright="1">
                          <a:noAutofit/>
                        </wps:bodyPr>
                      </wps:wsp>
                      <wps:wsp>
                        <wps:cNvPr id="59" name="Line 7"/>
                        <wps:cNvCnPr>
                          <a:cxnSpLocks noChangeShapeType="1"/>
                        </wps:cNvCnPr>
                        <wps:spPr bwMode="auto">
                          <a:xfrm>
                            <a:off x="3060" y="312"/>
                            <a:ext cx="540" cy="0"/>
                          </a:xfrm>
                          <a:prstGeom prst="line">
                            <a:avLst/>
                          </a:prstGeom>
                          <a:noFill/>
                          <a:ln w="9525">
                            <a:solidFill>
                              <a:srgbClr val="000000"/>
                            </a:solidFill>
                            <a:round/>
                            <a:tailEnd type="triangle" w="med" len="med"/>
                          </a:ln>
                        </wps:spPr>
                        <wps:bodyPr/>
                      </wps:wsp>
                      <wps:wsp>
                        <wps:cNvPr id="60" name="Rectangle 8"/>
                        <wps:cNvSpPr>
                          <a:spLocks noChangeArrowheads="1"/>
                        </wps:cNvSpPr>
                        <wps:spPr bwMode="auto">
                          <a:xfrm>
                            <a:off x="3600" y="0"/>
                            <a:ext cx="1270" cy="624"/>
                          </a:xfrm>
                          <a:prstGeom prst="rect">
                            <a:avLst/>
                          </a:prstGeom>
                          <a:solidFill>
                            <a:srgbClr val="FFFFFF"/>
                          </a:solidFill>
                          <a:ln w="9525">
                            <a:solidFill>
                              <a:srgbClr val="000000"/>
                            </a:solidFill>
                            <a:miter lim="800000"/>
                          </a:ln>
                        </wps:spPr>
                        <wps:txbx>
                          <w:txbxContent>
                            <w:p w14:paraId="75124DEC">
                              <w:pPr>
                                <w:spacing w:before="62"/>
                                <w:ind w:left="105" w:hanging="105"/>
                                <w:jc w:val="center"/>
                              </w:pPr>
                              <w:r>
                                <w:rPr>
                                  <w:rFonts w:hint="eastAsia"/>
                                </w:rPr>
                                <w:t>软件安装</w:t>
                              </w:r>
                            </w:p>
                          </w:txbxContent>
                        </wps:txbx>
                        <wps:bodyPr rot="0" vert="horz" wrap="square" lIns="91440" tIns="45720" rIns="91440" bIns="45720" anchor="t" anchorCtr="0" upright="1">
                          <a:noAutofit/>
                        </wps:bodyPr>
                      </wps:wsp>
                      <wps:wsp>
                        <wps:cNvPr id="61" name="Rectangle 10"/>
                        <wps:cNvSpPr>
                          <a:spLocks noChangeArrowheads="1"/>
                        </wps:cNvSpPr>
                        <wps:spPr bwMode="auto">
                          <a:xfrm>
                            <a:off x="5423" y="-25"/>
                            <a:ext cx="1260" cy="624"/>
                          </a:xfrm>
                          <a:prstGeom prst="rect">
                            <a:avLst/>
                          </a:prstGeom>
                          <a:solidFill>
                            <a:srgbClr val="FFFFFF"/>
                          </a:solidFill>
                          <a:ln w="9525">
                            <a:solidFill>
                              <a:srgbClr val="000000"/>
                            </a:solidFill>
                            <a:miter lim="800000"/>
                          </a:ln>
                        </wps:spPr>
                        <wps:txbx>
                          <w:txbxContent>
                            <w:p w14:paraId="0A6C0B14">
                              <w:pPr>
                                <w:spacing w:before="62"/>
                                <w:ind w:left="105" w:hanging="105"/>
                                <w:jc w:val="center"/>
                              </w:pPr>
                              <w:r>
                                <w:rPr>
                                  <w:rFonts w:hint="eastAsia"/>
                                </w:rPr>
                                <w:t>网络测试</w:t>
                              </w:r>
                            </w:p>
                          </w:txbxContent>
                        </wps:txbx>
                        <wps:bodyPr rot="0" vert="horz" wrap="square" lIns="91440" tIns="45720" rIns="91440" bIns="45720" anchor="t" anchorCtr="0" upright="1">
                          <a:noAutofit/>
                        </wps:bodyPr>
                      </wps:wsp>
                      <wps:wsp>
                        <wps:cNvPr id="62" name="Rectangle 10"/>
                        <wps:cNvSpPr>
                          <a:spLocks noChangeArrowheads="1"/>
                        </wps:cNvSpPr>
                        <wps:spPr bwMode="auto">
                          <a:xfrm>
                            <a:off x="7297" y="-9"/>
                            <a:ext cx="1830" cy="624"/>
                          </a:xfrm>
                          <a:prstGeom prst="rect">
                            <a:avLst/>
                          </a:prstGeom>
                          <a:solidFill>
                            <a:srgbClr val="FFFFFF"/>
                          </a:solidFill>
                          <a:ln w="9525">
                            <a:solidFill>
                              <a:srgbClr val="000000"/>
                            </a:solidFill>
                            <a:miter lim="800000"/>
                          </a:ln>
                        </wps:spPr>
                        <wps:txbx>
                          <w:txbxContent>
                            <w:p w14:paraId="69FAD1B0">
                              <w:pPr>
                                <w:spacing w:before="62"/>
                                <w:ind w:left="105" w:hanging="105"/>
                                <w:jc w:val="center"/>
                              </w:pPr>
                              <w:r>
                                <w:rPr>
                                  <w:rFonts w:hint="eastAsia"/>
                                </w:rPr>
                                <w:t>网络安全测试</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2.45pt;width:423.25pt;" coordorigin="0,-25" coordsize="9127,649" o:gfxdata="UEsDBAoAAAAAAIdO4kAAAAAAAAAAAAAAAAAEAAAAZHJzL1BLAwQUAAAACACHTuJAU1GTpNYAAAAE&#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U1GTpNYAAAAEAQAA&#10;DwAAAAAAAAABACAAAAAiAAAAZHJzL2Rvd25yZXYueG1sUEsBAhQAFAAAAAgAh07iQPLqW7GqAwAA&#10;ABQAAA4AAAAAAAAAAQAgAAAAJQEAAGRycy9lMm9Eb2MueG1sUEsFBgAAAAAGAAYAWQEAAEEHAAAA&#10;AA==&#10;">
                <o:lock v:ext="edit" aspectratio="f"/>
                <v:rect id="Rectangle 4" o:spid="_x0000_s1026" o:spt="1" style="position:absolute;left:0;top:0;height:624;width:126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69AB1DC">
                        <w:pPr>
                          <w:spacing w:before="62"/>
                          <w:ind w:left="105" w:hanging="105"/>
                          <w:jc w:val="center"/>
                        </w:pPr>
                        <w:r>
                          <w:rPr>
                            <w:rFonts w:hint="eastAsia"/>
                          </w:rPr>
                          <w:t>机柜安装</w:t>
                        </w:r>
                      </w:p>
                    </w:txbxContent>
                  </v:textbox>
                </v:rect>
                <v:line id="Line 5" o:spid="_x0000_s1026" o:spt="20" style="position:absolute;left:1260;top:312;height:0;width:540;" filled="f" stroked="t" coordsize="21600,21600" o:gfxdata="UEsDBAoAAAAAAIdO4kAAAAAAAAAAAAAAAAAEAAAAZHJzL1BLAwQUAAAACACHTuJAH2Z4hL8AAADb&#10;AAAADwAAAGRycy9kb3ducmV2LnhtbEWPT2vCQBTE74LfYXmCN92kU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me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 o:spid="_x0000_s1026" o:spt="1" style="position:absolute;left:1800;top:0;height:624;width:126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204F32F4">
                        <w:pPr>
                          <w:spacing w:before="62"/>
                          <w:ind w:left="105" w:hanging="105"/>
                          <w:jc w:val="center"/>
                        </w:pPr>
                        <w:r>
                          <w:rPr>
                            <w:rFonts w:hint="eastAsia"/>
                          </w:rPr>
                          <w:t>设备安装</w:t>
                        </w:r>
                      </w:p>
                    </w:txbxContent>
                  </v:textbox>
                </v:rect>
                <v:line id="Line 7" o:spid="_x0000_s1026" o:spt="20" style="position:absolute;left:3060;top:312;height:0;width:54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8" o:spid="_x0000_s1026" o:spt="1" style="position:absolute;left:3600;top:0;height:624;width:127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14:paraId="75124DEC">
                        <w:pPr>
                          <w:spacing w:before="62"/>
                          <w:ind w:left="105" w:hanging="105"/>
                          <w:jc w:val="center"/>
                        </w:pPr>
                        <w:r>
                          <w:rPr>
                            <w:rFonts w:hint="eastAsia"/>
                          </w:rPr>
                          <w:t>软件安装</w:t>
                        </w:r>
                      </w:p>
                    </w:txbxContent>
                  </v:textbox>
                </v:rect>
                <v:rect id="Rectangle 10" o:spid="_x0000_s1026" o:spt="1" style="position:absolute;left:5423;top:-25;height:624;width:126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0A6C0B14">
                        <w:pPr>
                          <w:spacing w:before="62"/>
                          <w:ind w:left="105" w:hanging="105"/>
                          <w:jc w:val="center"/>
                        </w:pPr>
                        <w:r>
                          <w:rPr>
                            <w:rFonts w:hint="eastAsia"/>
                          </w:rPr>
                          <w:t>网络测试</w:t>
                        </w:r>
                      </w:p>
                    </w:txbxContent>
                  </v:textbox>
                </v:rect>
                <v:rect id="Rectangle 10" o:spid="_x0000_s1026" o:spt="1" style="position:absolute;left:7297;top:-9;height:624;width:1830;"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69FAD1B0">
                        <w:pPr>
                          <w:spacing w:before="62"/>
                          <w:ind w:left="105" w:hanging="105"/>
                          <w:jc w:val="center"/>
                        </w:pPr>
                        <w:r>
                          <w:rPr>
                            <w:rFonts w:hint="eastAsia"/>
                          </w:rPr>
                          <w:t>网络安全测试</w:t>
                        </w:r>
                      </w:p>
                    </w:txbxContent>
                  </v:textbox>
                </v:rect>
                <w10:wrap type="none"/>
                <w10:anchorlock/>
              </v:group>
            </w:pict>
          </mc:Fallback>
        </mc:AlternateContent>
      </w:r>
    </w:p>
    <w:p w14:paraId="4A1C8F7A">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图7.3.1   信息网络系统施工工艺流程图</w:t>
      </w:r>
    </w:p>
    <w:p w14:paraId="44B92319">
      <w:pPr>
        <w:pStyle w:val="164"/>
        <w:spacing w:before="100" w:after="100" w:line="330" w:lineRule="exact"/>
        <w:ind w:firstLine="0" w:firstLineChars="0"/>
        <w:rPr>
          <w:szCs w:val="21"/>
        </w:rPr>
      </w:pPr>
      <w:r>
        <w:rPr>
          <w:szCs w:val="21"/>
        </w:rPr>
        <w:t>7.3.2 机柜安装应符合下列规定：</w:t>
      </w:r>
    </w:p>
    <w:p w14:paraId="0D843F84">
      <w:pPr>
        <w:pStyle w:val="164"/>
        <w:numPr>
          <w:ilvl w:val="255"/>
          <w:numId w:val="0"/>
        </w:numPr>
        <w:spacing w:line="330" w:lineRule="exact"/>
        <w:ind w:left="420" w:leftChars="200"/>
        <w:rPr>
          <w:rFonts w:eastAsiaTheme="minorEastAsia"/>
        </w:rPr>
      </w:pPr>
      <w:r>
        <w:rPr>
          <w:rFonts w:eastAsiaTheme="minorEastAsia"/>
          <w:b/>
          <w:bCs/>
        </w:rPr>
        <w:t>1</w:t>
      </w:r>
      <w:r>
        <w:rPr>
          <w:rFonts w:eastAsiaTheme="minorEastAsia"/>
        </w:rPr>
        <w:t xml:space="preserve"> 机柜正面净空应≥150cm、背面净空应≥80cm。</w:t>
      </w:r>
    </w:p>
    <w:p w14:paraId="25855EBB">
      <w:pPr>
        <w:pStyle w:val="164"/>
        <w:numPr>
          <w:ilvl w:val="255"/>
          <w:numId w:val="0"/>
        </w:numPr>
        <w:spacing w:line="330" w:lineRule="exact"/>
        <w:ind w:left="420" w:leftChars="200"/>
        <w:rPr>
          <w:rFonts w:eastAsiaTheme="minorEastAsia"/>
        </w:rPr>
      </w:pPr>
      <w:r>
        <w:rPr>
          <w:rFonts w:eastAsiaTheme="minorEastAsia"/>
          <w:b/>
          <w:bCs/>
        </w:rPr>
        <w:t>2</w:t>
      </w:r>
      <w:r>
        <w:rPr>
          <w:rFonts w:eastAsiaTheme="minorEastAsia"/>
        </w:rPr>
        <w:t xml:space="preserve"> 螺钉垂直偏差度应＜3mm。</w:t>
      </w:r>
    </w:p>
    <w:p w14:paraId="088FF31F">
      <w:pPr>
        <w:pStyle w:val="164"/>
        <w:numPr>
          <w:ilvl w:val="255"/>
          <w:numId w:val="0"/>
        </w:numPr>
        <w:spacing w:line="330" w:lineRule="exact"/>
        <w:ind w:left="420" w:leftChars="200"/>
        <w:rPr>
          <w:rFonts w:eastAsiaTheme="minorEastAsia"/>
        </w:rPr>
      </w:pPr>
      <w:r>
        <w:rPr>
          <w:rFonts w:eastAsiaTheme="minorEastAsia"/>
          <w:b/>
          <w:bCs/>
        </w:rPr>
        <w:t>3</w:t>
      </w:r>
      <w:r>
        <w:rPr>
          <w:rFonts w:eastAsiaTheme="minorEastAsia"/>
        </w:rPr>
        <w:t xml:space="preserve"> 机柜内应安装足够容量的电源插座。</w:t>
      </w:r>
    </w:p>
    <w:p w14:paraId="156E8ECE">
      <w:pPr>
        <w:pStyle w:val="164"/>
        <w:numPr>
          <w:ilvl w:val="255"/>
          <w:numId w:val="0"/>
        </w:numPr>
        <w:spacing w:line="330" w:lineRule="exact"/>
        <w:ind w:left="420" w:leftChars="200"/>
        <w:rPr>
          <w:rFonts w:eastAsiaTheme="minorEastAsia"/>
        </w:rPr>
      </w:pPr>
      <w:r>
        <w:rPr>
          <w:rFonts w:eastAsiaTheme="minorEastAsia"/>
        </w:rPr>
        <w:t>4 地线应良好接地，接地电阻</w:t>
      </w:r>
      <w:r>
        <w:rPr>
          <w:rFonts w:hint="eastAsia" w:eastAsiaTheme="minorEastAsia"/>
        </w:rPr>
        <w:t>应</w:t>
      </w:r>
      <w:r>
        <w:rPr>
          <w:rFonts w:eastAsiaTheme="minorEastAsia"/>
        </w:rPr>
        <w:t>&lt;1Ω。</w:t>
      </w:r>
    </w:p>
    <w:p w14:paraId="03FB2440">
      <w:pPr>
        <w:pStyle w:val="164"/>
        <w:spacing w:before="100" w:after="100" w:line="330" w:lineRule="exact"/>
        <w:ind w:firstLine="0" w:firstLineChars="0"/>
        <w:rPr>
          <w:szCs w:val="21"/>
        </w:rPr>
      </w:pPr>
      <w:r>
        <w:rPr>
          <w:szCs w:val="21"/>
        </w:rPr>
        <w:t xml:space="preserve">7.3.3 </w:t>
      </w:r>
      <w:r>
        <w:rPr>
          <w:rFonts w:hint="eastAsia"/>
          <w:szCs w:val="21"/>
        </w:rPr>
        <w:t>设备</w:t>
      </w:r>
      <w:r>
        <w:rPr>
          <w:szCs w:val="21"/>
        </w:rPr>
        <w:t>安装应符合下列规定：</w:t>
      </w:r>
    </w:p>
    <w:p w14:paraId="3E9B601D">
      <w:pPr>
        <w:pStyle w:val="164"/>
        <w:numPr>
          <w:ilvl w:val="255"/>
          <w:numId w:val="0"/>
        </w:numPr>
        <w:spacing w:line="330" w:lineRule="exact"/>
        <w:ind w:left="420" w:leftChars="200"/>
        <w:rPr>
          <w:rFonts w:eastAsiaTheme="minorEastAsia"/>
        </w:rPr>
      </w:pPr>
      <w:r>
        <w:rPr>
          <w:rFonts w:eastAsiaTheme="minorEastAsia"/>
          <w:b/>
          <w:bCs/>
        </w:rPr>
        <w:t>1</w:t>
      </w:r>
      <w:r>
        <w:rPr>
          <w:rFonts w:eastAsiaTheme="minorEastAsia"/>
        </w:rPr>
        <w:t xml:space="preserve"> </w:t>
      </w:r>
      <w:r>
        <w:rPr>
          <w:rFonts w:hint="eastAsia" w:eastAsiaTheme="minorEastAsia"/>
        </w:rPr>
        <w:t>安装位置应符合设计要求，安装应平稳牢固，并应便于操作。</w:t>
      </w:r>
    </w:p>
    <w:p w14:paraId="69C31BE3">
      <w:pPr>
        <w:pStyle w:val="164"/>
        <w:numPr>
          <w:ilvl w:val="255"/>
          <w:numId w:val="0"/>
        </w:numPr>
        <w:spacing w:line="330" w:lineRule="exact"/>
        <w:ind w:left="420" w:leftChars="200"/>
        <w:rPr>
          <w:rFonts w:eastAsiaTheme="minorEastAsia"/>
        </w:rPr>
      </w:pPr>
      <w:r>
        <w:rPr>
          <w:rFonts w:eastAsiaTheme="minorEastAsia"/>
          <w:b/>
          <w:bCs/>
        </w:rPr>
        <w:t>2</w:t>
      </w:r>
      <w:r>
        <w:rPr>
          <w:rFonts w:eastAsiaTheme="minorEastAsia"/>
        </w:rPr>
        <w:t xml:space="preserve"> </w:t>
      </w:r>
      <w:r>
        <w:rPr>
          <w:rFonts w:hint="eastAsia" w:eastAsiaTheme="minorEastAsia"/>
        </w:rPr>
        <w:t>机柜内安装的设备应由通风散热措施，内部接插件与设备连接应牢固</w:t>
      </w:r>
      <w:r>
        <w:rPr>
          <w:rFonts w:eastAsiaTheme="minorEastAsia"/>
        </w:rPr>
        <w:t>。</w:t>
      </w:r>
    </w:p>
    <w:p w14:paraId="7D11CE1E">
      <w:pPr>
        <w:pStyle w:val="164"/>
        <w:numPr>
          <w:ilvl w:val="255"/>
          <w:numId w:val="0"/>
        </w:numPr>
        <w:spacing w:line="330" w:lineRule="exact"/>
        <w:ind w:left="420" w:leftChars="200"/>
        <w:rPr>
          <w:rFonts w:eastAsiaTheme="minorEastAsia"/>
        </w:rPr>
      </w:pPr>
      <w:r>
        <w:rPr>
          <w:rFonts w:eastAsiaTheme="minorEastAsia"/>
          <w:b/>
          <w:bCs/>
        </w:rPr>
        <w:t>3</w:t>
      </w:r>
      <w:r>
        <w:rPr>
          <w:rFonts w:eastAsiaTheme="minorEastAsia"/>
        </w:rPr>
        <w:t xml:space="preserve"> </w:t>
      </w:r>
      <w:r>
        <w:rPr>
          <w:rFonts w:hint="eastAsia" w:eastAsiaTheme="minorEastAsia"/>
        </w:rPr>
        <w:t>承重要求大于600kg/</w:t>
      </w:r>
      <w:r>
        <w:rPr>
          <w:rFonts w:eastAsiaTheme="minorEastAsia"/>
          <w:b/>
          <w:bCs/>
        </w:rPr>
        <w:t>㎡</w:t>
      </w:r>
      <w:r>
        <w:rPr>
          <w:rFonts w:hint="eastAsia" w:eastAsiaTheme="minorEastAsia"/>
        </w:rPr>
        <w:t>的设备应单独制作设备基座，不应直接安装在抗静电地板上</w:t>
      </w:r>
      <w:r>
        <w:rPr>
          <w:rFonts w:eastAsiaTheme="minorEastAsia"/>
        </w:rPr>
        <w:t>。</w:t>
      </w:r>
    </w:p>
    <w:p w14:paraId="2F1D625D">
      <w:pPr>
        <w:pStyle w:val="164"/>
        <w:numPr>
          <w:ilvl w:val="255"/>
          <w:numId w:val="0"/>
        </w:numPr>
        <w:spacing w:line="330" w:lineRule="exact"/>
        <w:ind w:left="420" w:leftChars="200"/>
        <w:rPr>
          <w:rFonts w:eastAsiaTheme="minorEastAsia"/>
        </w:rPr>
      </w:pPr>
      <w:r>
        <w:rPr>
          <w:rFonts w:eastAsiaTheme="minorEastAsia"/>
        </w:rPr>
        <w:t>4</w:t>
      </w:r>
      <w:r>
        <w:rPr>
          <w:rFonts w:hint="eastAsia" w:eastAsiaTheme="minorEastAsia"/>
        </w:rPr>
        <w:t xml:space="preserve"> 对有序列号的设备应登记设备的序列号</w:t>
      </w:r>
      <w:r>
        <w:rPr>
          <w:rFonts w:eastAsiaTheme="minorEastAsia"/>
        </w:rPr>
        <w:t>。</w:t>
      </w:r>
    </w:p>
    <w:p w14:paraId="6EC02255">
      <w:pPr>
        <w:pStyle w:val="164"/>
        <w:numPr>
          <w:ilvl w:val="255"/>
          <w:numId w:val="0"/>
        </w:numPr>
        <w:spacing w:line="330" w:lineRule="exact"/>
        <w:ind w:left="420" w:leftChars="200"/>
        <w:rPr>
          <w:rFonts w:asciiTheme="minorEastAsia" w:hAnsiTheme="minorEastAsia" w:eastAsiaTheme="minorEastAsia"/>
        </w:rPr>
      </w:pPr>
      <w:r>
        <w:rPr>
          <w:rFonts w:asciiTheme="minorEastAsia" w:hAnsiTheme="minorEastAsia" w:eastAsiaTheme="minorEastAsia"/>
          <w:b/>
          <w:bCs/>
        </w:rPr>
        <w:t>5</w:t>
      </w:r>
      <w:r>
        <w:rPr>
          <w:rFonts w:asciiTheme="minorEastAsia" w:hAnsiTheme="minorEastAsia" w:eastAsiaTheme="minorEastAsia"/>
        </w:rPr>
        <w:t xml:space="preserve"> </w:t>
      </w:r>
      <w:r>
        <w:rPr>
          <w:rFonts w:hint="eastAsia" w:asciiTheme="minorEastAsia" w:hAnsiTheme="minorEastAsia" w:eastAsiaTheme="minorEastAsia"/>
        </w:rPr>
        <w:t>应对有源设备进行通电检查，设备应工作正常。</w:t>
      </w:r>
    </w:p>
    <w:p w14:paraId="36F3D881">
      <w:pPr>
        <w:pStyle w:val="164"/>
        <w:numPr>
          <w:ilvl w:val="255"/>
          <w:numId w:val="0"/>
        </w:numPr>
        <w:spacing w:line="330" w:lineRule="exact"/>
        <w:ind w:left="420" w:leftChars="200"/>
        <w:rPr>
          <w:rFonts w:asciiTheme="minorEastAsia" w:hAnsiTheme="minorEastAsia" w:eastAsiaTheme="minorEastAsia"/>
        </w:rPr>
      </w:pPr>
      <w:r>
        <w:rPr>
          <w:rFonts w:asciiTheme="minorEastAsia" w:hAnsiTheme="minorEastAsia" w:eastAsiaTheme="minorEastAsia"/>
          <w:b/>
          <w:bCs/>
        </w:rPr>
        <w:t>6</w:t>
      </w:r>
      <w:r>
        <w:rPr>
          <w:rFonts w:hint="eastAsia" w:asciiTheme="minorEastAsia" w:hAnsiTheme="minorEastAsia" w:eastAsiaTheme="minorEastAsia"/>
        </w:rPr>
        <w:t xml:space="preserve"> 跳线连接应规范，线缆排列应有序，线缆上应有正确牢固的标签。</w:t>
      </w:r>
    </w:p>
    <w:p w14:paraId="4D69448F">
      <w:pPr>
        <w:pStyle w:val="164"/>
        <w:numPr>
          <w:ilvl w:val="255"/>
          <w:numId w:val="0"/>
        </w:numPr>
        <w:spacing w:line="330" w:lineRule="exact"/>
        <w:ind w:left="420" w:leftChars="200"/>
        <w:rPr>
          <w:rFonts w:asciiTheme="minorEastAsia" w:hAnsiTheme="minorEastAsia" w:eastAsiaTheme="minorEastAsia"/>
        </w:rPr>
      </w:pPr>
      <w:r>
        <w:rPr>
          <w:rFonts w:asciiTheme="minorEastAsia" w:hAnsiTheme="minorEastAsia" w:eastAsiaTheme="minorEastAsia"/>
          <w:b/>
          <w:bCs/>
        </w:rPr>
        <w:t>7</w:t>
      </w:r>
      <w:r>
        <w:rPr>
          <w:rFonts w:hint="eastAsia" w:asciiTheme="minorEastAsia" w:hAnsiTheme="minorEastAsia" w:eastAsiaTheme="minorEastAsia"/>
        </w:rPr>
        <w:t xml:space="preserve"> 设备安装机柜应张贴设备系统连线示意图。</w:t>
      </w:r>
    </w:p>
    <w:p w14:paraId="5A7805FA">
      <w:pPr>
        <w:pStyle w:val="164"/>
        <w:spacing w:before="100" w:after="100" w:line="330" w:lineRule="exact"/>
        <w:ind w:firstLine="0" w:firstLineChars="0"/>
        <w:rPr>
          <w:szCs w:val="21"/>
        </w:rPr>
      </w:pPr>
      <w:r>
        <w:rPr>
          <w:szCs w:val="21"/>
        </w:rPr>
        <w:t>7.3.</w:t>
      </w:r>
      <w:r>
        <w:rPr>
          <w:rFonts w:hint="eastAsia"/>
          <w:szCs w:val="21"/>
        </w:rPr>
        <w:t>4</w:t>
      </w:r>
      <w:r>
        <w:rPr>
          <w:szCs w:val="21"/>
        </w:rPr>
        <w:t xml:space="preserve"> 软件安装应符合下列规定：</w:t>
      </w:r>
    </w:p>
    <w:p w14:paraId="498A3477">
      <w:pPr>
        <w:pStyle w:val="164"/>
        <w:numPr>
          <w:ilvl w:val="0"/>
          <w:numId w:val="55"/>
        </w:numPr>
        <w:spacing w:line="330" w:lineRule="exact"/>
        <w:ind w:left="0" w:firstLine="420"/>
        <w:rPr>
          <w:rFonts w:eastAsiaTheme="minorEastAsia"/>
        </w:rPr>
      </w:pPr>
      <w:r>
        <w:rPr>
          <w:rFonts w:eastAsiaTheme="minorEastAsia"/>
        </w:rPr>
        <w:t>应按设计文件为设备安装相应的软件系统，系统安装应完整，软件应为正版软件。</w:t>
      </w:r>
    </w:p>
    <w:p w14:paraId="560BA19B">
      <w:pPr>
        <w:pStyle w:val="164"/>
        <w:numPr>
          <w:ilvl w:val="0"/>
          <w:numId w:val="55"/>
        </w:numPr>
        <w:spacing w:line="330" w:lineRule="exact"/>
        <w:ind w:left="0" w:firstLine="420"/>
        <w:rPr>
          <w:rFonts w:eastAsiaTheme="minorEastAsia"/>
        </w:rPr>
      </w:pPr>
      <w:r>
        <w:rPr>
          <w:rFonts w:eastAsiaTheme="minorEastAsia"/>
        </w:rPr>
        <w:t>操作系统、防病毒软件应设置为自动更新方式，防病毒软件应始终处于启动状态。</w:t>
      </w:r>
    </w:p>
    <w:p w14:paraId="17439220">
      <w:pPr>
        <w:pStyle w:val="164"/>
        <w:numPr>
          <w:ilvl w:val="0"/>
          <w:numId w:val="55"/>
        </w:numPr>
        <w:spacing w:line="330" w:lineRule="exact"/>
        <w:ind w:left="0" w:firstLine="420"/>
        <w:rPr>
          <w:rFonts w:eastAsiaTheme="minorEastAsia"/>
        </w:rPr>
      </w:pPr>
      <w:r>
        <w:rPr>
          <w:rFonts w:eastAsiaTheme="minorEastAsia"/>
        </w:rPr>
        <w:t>软件系统安装后应能正常启动、运动和退出。</w:t>
      </w:r>
    </w:p>
    <w:p w14:paraId="16498ECC">
      <w:pPr>
        <w:pStyle w:val="164"/>
        <w:numPr>
          <w:ilvl w:val="0"/>
          <w:numId w:val="55"/>
        </w:numPr>
        <w:spacing w:line="330" w:lineRule="exact"/>
        <w:ind w:left="0" w:firstLine="420"/>
        <w:rPr>
          <w:rFonts w:eastAsiaTheme="minorEastAsia"/>
        </w:rPr>
      </w:pPr>
      <w:r>
        <w:rPr>
          <w:rFonts w:eastAsiaTheme="minorEastAsia"/>
        </w:rPr>
        <w:t>软件安装完成后，应为操作系统、数据库、应用软件设置相应的用户密码。多台服务器与工作站之间或多个软件之间不得使用完全相同的用户名和密码组合。</w:t>
      </w:r>
    </w:p>
    <w:p w14:paraId="1EF7F24A">
      <w:pPr>
        <w:pStyle w:val="164"/>
        <w:spacing w:before="100" w:after="100" w:line="330" w:lineRule="exact"/>
        <w:ind w:firstLine="0" w:firstLineChars="0"/>
        <w:rPr>
          <w:szCs w:val="21"/>
        </w:rPr>
      </w:pPr>
      <w:r>
        <w:rPr>
          <w:szCs w:val="21"/>
        </w:rPr>
        <w:t>7.3.</w:t>
      </w:r>
      <w:r>
        <w:rPr>
          <w:rFonts w:hint="eastAsia"/>
          <w:szCs w:val="21"/>
        </w:rPr>
        <w:t>5</w:t>
      </w:r>
      <w:r>
        <w:rPr>
          <w:szCs w:val="21"/>
        </w:rPr>
        <w:t xml:space="preserve"> 网络测试应符合下列规定：</w:t>
      </w:r>
    </w:p>
    <w:p w14:paraId="2916D3FB">
      <w:pPr>
        <w:pStyle w:val="164"/>
        <w:numPr>
          <w:ilvl w:val="0"/>
          <w:numId w:val="56"/>
        </w:numPr>
        <w:spacing w:line="330" w:lineRule="exact"/>
        <w:ind w:left="0" w:firstLine="420"/>
        <w:rPr>
          <w:rFonts w:eastAsiaTheme="minorEastAsia"/>
        </w:rPr>
      </w:pPr>
      <w:r>
        <w:rPr>
          <w:rFonts w:eastAsiaTheme="minorEastAsia"/>
        </w:rPr>
        <w:t>应进行VLAN划分，对各设备的域名、IP地址、MAC地址进行确定。</w:t>
      </w:r>
    </w:p>
    <w:p w14:paraId="6BCF0884">
      <w:pPr>
        <w:pStyle w:val="164"/>
        <w:numPr>
          <w:ilvl w:val="0"/>
          <w:numId w:val="56"/>
        </w:numPr>
        <w:spacing w:line="330" w:lineRule="exact"/>
        <w:ind w:left="0" w:firstLine="420" w:firstLineChars="0"/>
        <w:rPr>
          <w:rFonts w:eastAsiaTheme="minorEastAsia"/>
          <w:szCs w:val="21"/>
        </w:rPr>
      </w:pPr>
      <w:r>
        <w:rPr>
          <w:rFonts w:eastAsiaTheme="minorEastAsia"/>
        </w:rPr>
        <w:t>网络可用性检测</w:t>
      </w:r>
      <w:r>
        <w:rPr>
          <w:szCs w:val="21"/>
        </w:rPr>
        <w:t>应包含设备</w:t>
      </w:r>
      <w:r>
        <w:rPr>
          <w:rFonts w:eastAsiaTheme="minorEastAsia"/>
          <w:szCs w:val="21"/>
        </w:rPr>
        <w:t>网络性能检测，网络联通性测试，无线局域网性能测试。</w:t>
      </w:r>
    </w:p>
    <w:p w14:paraId="0086A2F9">
      <w:pPr>
        <w:pStyle w:val="164"/>
        <w:numPr>
          <w:ilvl w:val="0"/>
          <w:numId w:val="56"/>
        </w:numPr>
        <w:spacing w:line="330" w:lineRule="exact"/>
        <w:ind w:left="0" w:firstLine="420"/>
        <w:rPr>
          <w:rFonts w:eastAsiaTheme="minorEastAsia"/>
        </w:rPr>
      </w:pPr>
      <w:r>
        <w:rPr>
          <w:rFonts w:eastAsiaTheme="minorEastAsia"/>
        </w:rPr>
        <w:t>网络性能检测应符合下列规定：</w:t>
      </w:r>
    </w:p>
    <w:p w14:paraId="4826D70A">
      <w:pPr>
        <w:pStyle w:val="164"/>
        <w:numPr>
          <w:ilvl w:val="0"/>
          <w:numId w:val="57"/>
        </w:numPr>
        <w:tabs>
          <w:tab w:val="left" w:pos="210"/>
          <w:tab w:val="left" w:pos="567"/>
        </w:tabs>
        <w:spacing w:line="330" w:lineRule="exact"/>
        <w:ind w:firstLine="630" w:firstLineChars="300"/>
        <w:rPr>
          <w:rFonts w:eastAsiaTheme="minorEastAsia"/>
        </w:rPr>
      </w:pPr>
      <w:r>
        <w:rPr>
          <w:rFonts w:eastAsiaTheme="minorEastAsia"/>
        </w:rPr>
        <w:t>应检测从发送端口到目的端口的最大延时和丢包率等数值，丢包率应＜0.01%</w:t>
      </w:r>
      <w:r>
        <w:rPr>
          <w:rFonts w:hint="eastAsia" w:eastAsiaTheme="minorEastAsia"/>
        </w:rPr>
        <w:t>；</w:t>
      </w:r>
    </w:p>
    <w:p w14:paraId="15147766">
      <w:pPr>
        <w:pStyle w:val="164"/>
        <w:numPr>
          <w:ilvl w:val="0"/>
          <w:numId w:val="57"/>
        </w:numPr>
        <w:tabs>
          <w:tab w:val="left" w:pos="210"/>
          <w:tab w:val="left" w:pos="567"/>
        </w:tabs>
        <w:spacing w:line="330" w:lineRule="exact"/>
        <w:ind w:firstLine="630" w:firstLineChars="300"/>
        <w:rPr>
          <w:rFonts w:eastAsiaTheme="minorEastAsia"/>
        </w:rPr>
      </w:pPr>
      <w:r>
        <w:rPr>
          <w:rFonts w:hint="eastAsia" w:eastAsiaTheme="minorEastAsia"/>
        </w:rPr>
        <w:t>应</w:t>
      </w:r>
      <w:r>
        <w:rPr>
          <w:rFonts w:eastAsiaTheme="minorEastAsia"/>
        </w:rPr>
        <w:t>采用ping命令对网络传输的响应时间进行检测，单位内部局城网的响应时间</w:t>
      </w:r>
      <w:r>
        <w:rPr>
          <w:rFonts w:hint="eastAsia" w:eastAsiaTheme="minorEastAsia"/>
        </w:rPr>
        <w:t>应</w:t>
      </w:r>
      <w:r>
        <w:rPr>
          <w:rFonts w:eastAsiaTheme="minorEastAsia"/>
        </w:rPr>
        <w:t>≤5ms</w:t>
      </w:r>
      <w:r>
        <w:rPr>
          <w:rFonts w:hint="eastAsia" w:eastAsiaTheme="minorEastAsia"/>
        </w:rPr>
        <w:t>；</w:t>
      </w:r>
    </w:p>
    <w:p w14:paraId="4D353E0C">
      <w:pPr>
        <w:pStyle w:val="164"/>
        <w:numPr>
          <w:ilvl w:val="0"/>
          <w:numId w:val="57"/>
        </w:numPr>
        <w:tabs>
          <w:tab w:val="left" w:pos="210"/>
          <w:tab w:val="left" w:pos="567"/>
        </w:tabs>
        <w:spacing w:line="330" w:lineRule="exact"/>
        <w:ind w:firstLine="630" w:firstLineChars="300"/>
        <w:rPr>
          <w:rFonts w:eastAsiaTheme="minorEastAsia"/>
        </w:rPr>
      </w:pPr>
      <w:r>
        <w:rPr>
          <w:rFonts w:eastAsiaTheme="minorEastAsia"/>
        </w:rPr>
        <w:t>对于核心层等骨干链路、汇聚层到核心层的上联链路，应全部进行检测；对接入层到汇聚层到上联链路，应按不低于10%的比例进行抽样测试，且抽样数不应少于10条；上联链路数不足10条的，应全部检测。</w:t>
      </w:r>
    </w:p>
    <w:p w14:paraId="0E9A42D5">
      <w:pPr>
        <w:pStyle w:val="164"/>
        <w:numPr>
          <w:ilvl w:val="0"/>
          <w:numId w:val="56"/>
        </w:numPr>
        <w:spacing w:line="330" w:lineRule="exact"/>
        <w:ind w:left="0" w:firstLine="420"/>
        <w:rPr>
          <w:rFonts w:eastAsiaTheme="minorEastAsia"/>
        </w:rPr>
      </w:pPr>
      <w:r>
        <w:rPr>
          <w:rFonts w:eastAsiaTheme="minorEastAsia"/>
        </w:rPr>
        <w:t>网络连通性检测应符合下列规定：</w:t>
      </w:r>
    </w:p>
    <w:p w14:paraId="4F028B24">
      <w:pPr>
        <w:pStyle w:val="164"/>
        <w:numPr>
          <w:ilvl w:val="0"/>
          <w:numId w:val="58"/>
        </w:numPr>
        <w:tabs>
          <w:tab w:val="left" w:pos="210"/>
          <w:tab w:val="left" w:pos="567"/>
        </w:tabs>
        <w:spacing w:line="330" w:lineRule="exact"/>
        <w:ind w:firstLine="630" w:firstLineChars="300"/>
        <w:rPr>
          <w:rFonts w:eastAsiaTheme="minorEastAsia"/>
        </w:rPr>
      </w:pPr>
      <w:r>
        <w:rPr>
          <w:rFonts w:eastAsiaTheme="minorEastAsia"/>
        </w:rPr>
        <w:t>网管工作站和网络设备之间的通信应满足设计文件要求，各用户终端应根据安全访问规则智能访问特定的网络与特定的服务器。</w:t>
      </w:r>
    </w:p>
    <w:p w14:paraId="2FA0D2E6">
      <w:pPr>
        <w:pStyle w:val="164"/>
        <w:numPr>
          <w:ilvl w:val="0"/>
          <w:numId w:val="58"/>
        </w:numPr>
        <w:tabs>
          <w:tab w:val="left" w:pos="210"/>
          <w:tab w:val="left" w:pos="567"/>
        </w:tabs>
        <w:spacing w:line="330" w:lineRule="exact"/>
        <w:ind w:firstLine="630" w:firstLineChars="300"/>
        <w:rPr>
          <w:rFonts w:eastAsiaTheme="minorEastAsia"/>
        </w:rPr>
      </w:pPr>
      <w:r>
        <w:rPr>
          <w:rFonts w:eastAsiaTheme="minorEastAsia"/>
        </w:rPr>
        <w:t>根据网络配置方案要求，保证网络节点符合设计规定的通讯协议和使用标准，同一VLAN的接口之间应采用相应的防环措施。</w:t>
      </w:r>
    </w:p>
    <w:p w14:paraId="47C78DD5">
      <w:pPr>
        <w:pStyle w:val="164"/>
        <w:numPr>
          <w:ilvl w:val="0"/>
          <w:numId w:val="58"/>
        </w:numPr>
        <w:tabs>
          <w:tab w:val="left" w:pos="210"/>
          <w:tab w:val="left" w:pos="567"/>
        </w:tabs>
        <w:spacing w:line="330" w:lineRule="exact"/>
        <w:ind w:firstLine="630" w:firstLineChars="300"/>
        <w:rPr>
          <w:rFonts w:eastAsiaTheme="minorEastAsia"/>
        </w:rPr>
      </w:pPr>
      <w:r>
        <w:rPr>
          <w:rFonts w:eastAsiaTheme="minorEastAsia"/>
        </w:rPr>
        <w:t>根据配置方案要求，检测局域网内用户与公共网之间的通信能力。</w:t>
      </w:r>
    </w:p>
    <w:p w14:paraId="4D98FAC5">
      <w:pPr>
        <w:pStyle w:val="164"/>
        <w:numPr>
          <w:ilvl w:val="0"/>
          <w:numId w:val="58"/>
        </w:numPr>
        <w:tabs>
          <w:tab w:val="left" w:pos="210"/>
          <w:tab w:val="left" w:pos="567"/>
        </w:tabs>
        <w:spacing w:line="330" w:lineRule="exact"/>
        <w:ind w:firstLine="630" w:firstLineChars="300"/>
        <w:rPr>
          <w:rFonts w:eastAsiaTheme="minorEastAsia"/>
        </w:rPr>
      </w:pPr>
      <w:r>
        <w:rPr>
          <w:rFonts w:eastAsiaTheme="minorEastAsia"/>
        </w:rPr>
        <w:t>应按接入层设备总数的10%进行抽样测试，且抽样数不应少于10台；接入层设备少于10台的，应全部测试。</w:t>
      </w:r>
    </w:p>
    <w:p w14:paraId="00D941F8">
      <w:pPr>
        <w:pStyle w:val="164"/>
        <w:numPr>
          <w:ilvl w:val="0"/>
          <w:numId w:val="56"/>
        </w:numPr>
        <w:spacing w:line="330" w:lineRule="exact"/>
        <w:ind w:left="0" w:firstLine="420"/>
        <w:rPr>
          <w:rFonts w:eastAsiaTheme="minorEastAsia"/>
        </w:rPr>
      </w:pPr>
      <w:r>
        <w:rPr>
          <w:rFonts w:eastAsiaTheme="minorEastAsia"/>
        </w:rPr>
        <w:t>无线局域网性能测试</w:t>
      </w:r>
      <w:r>
        <w:rPr>
          <w:szCs w:val="21"/>
        </w:rPr>
        <w:t>应按现行国家标准《智能建筑工程质量验收规范》</w:t>
      </w:r>
      <w:r>
        <w:rPr>
          <w:szCs w:val="22"/>
        </w:rPr>
        <w:t>GB 50339</w:t>
      </w:r>
      <w:r>
        <w:rPr>
          <w:szCs w:val="21"/>
        </w:rPr>
        <w:t>的相关规定执行</w:t>
      </w:r>
      <w:r>
        <w:rPr>
          <w:rFonts w:hint="eastAsia"/>
          <w:szCs w:val="21"/>
        </w:rPr>
        <w:t>，并</w:t>
      </w:r>
      <w:r>
        <w:rPr>
          <w:rFonts w:eastAsiaTheme="minorEastAsia"/>
        </w:rPr>
        <w:t>应符合下列规定：</w:t>
      </w:r>
    </w:p>
    <w:p w14:paraId="29C477E0">
      <w:pPr>
        <w:pStyle w:val="164"/>
        <w:numPr>
          <w:ilvl w:val="0"/>
          <w:numId w:val="59"/>
        </w:numPr>
        <w:spacing w:line="330" w:lineRule="exact"/>
        <w:ind w:left="0" w:firstLine="630" w:firstLineChars="300"/>
        <w:rPr>
          <w:rFonts w:eastAsiaTheme="minorEastAsia"/>
        </w:rPr>
      </w:pPr>
      <w:r>
        <w:rPr>
          <w:rFonts w:eastAsiaTheme="minorEastAsia"/>
        </w:rPr>
        <w:t>在覆盖范围内接入点的信道信号强度一般不低于-75dBm。</w:t>
      </w:r>
    </w:p>
    <w:p w14:paraId="7137895D">
      <w:pPr>
        <w:pStyle w:val="164"/>
        <w:numPr>
          <w:ilvl w:val="0"/>
          <w:numId w:val="59"/>
        </w:numPr>
        <w:spacing w:line="330" w:lineRule="exact"/>
        <w:ind w:left="0" w:firstLine="630" w:firstLineChars="300"/>
        <w:rPr>
          <w:rFonts w:eastAsiaTheme="minorEastAsia"/>
        </w:rPr>
      </w:pPr>
      <w:r>
        <w:rPr>
          <w:rFonts w:eastAsiaTheme="minorEastAsia"/>
        </w:rPr>
        <w:t>网络传输速率不应低于5.5Mbit／s。</w:t>
      </w:r>
    </w:p>
    <w:p w14:paraId="7A9DBAF1">
      <w:pPr>
        <w:pStyle w:val="164"/>
        <w:numPr>
          <w:ilvl w:val="0"/>
          <w:numId w:val="59"/>
        </w:numPr>
        <w:spacing w:line="330" w:lineRule="exact"/>
        <w:ind w:left="0" w:firstLine="630" w:firstLineChars="300"/>
        <w:rPr>
          <w:rFonts w:eastAsiaTheme="minorEastAsia"/>
        </w:rPr>
      </w:pPr>
      <w:r>
        <w:rPr>
          <w:rFonts w:eastAsiaTheme="minorEastAsia"/>
        </w:rPr>
        <w:t>应采用不少于100个ICMP 64Byte帧长的测试数据包，不少于95%路径的数据包，丢失率应＜5%。</w:t>
      </w:r>
    </w:p>
    <w:p w14:paraId="1019A56B">
      <w:pPr>
        <w:pStyle w:val="164"/>
        <w:numPr>
          <w:ilvl w:val="0"/>
          <w:numId w:val="59"/>
        </w:numPr>
        <w:spacing w:line="330" w:lineRule="exact"/>
        <w:ind w:left="0" w:firstLine="630" w:firstLineChars="300"/>
        <w:rPr>
          <w:rFonts w:eastAsiaTheme="minorEastAsia"/>
        </w:rPr>
      </w:pPr>
      <w:r>
        <w:rPr>
          <w:rFonts w:eastAsiaTheme="minorEastAsia"/>
        </w:rPr>
        <w:t>应采用不少于100个ICMP 64Byte帧长的测试数据包，≥95%且跳数＜6的路径的传输时延应＜20ms。</w:t>
      </w:r>
    </w:p>
    <w:p w14:paraId="42EBA2B5">
      <w:pPr>
        <w:pStyle w:val="164"/>
        <w:numPr>
          <w:ilvl w:val="0"/>
          <w:numId w:val="59"/>
        </w:numPr>
        <w:spacing w:line="330" w:lineRule="exact"/>
        <w:ind w:left="0" w:firstLine="630" w:firstLineChars="300"/>
        <w:rPr>
          <w:rFonts w:eastAsiaTheme="minorEastAsia"/>
        </w:rPr>
      </w:pPr>
      <w:r>
        <w:rPr>
          <w:rFonts w:eastAsiaTheme="minorEastAsia"/>
        </w:rPr>
        <w:t>应按无线接入点总数的10%进行抽样测试，抽样数不应＜10个；无线接入点少于10个的，应全部测试。</w:t>
      </w:r>
    </w:p>
    <w:p w14:paraId="64CDD35E">
      <w:pPr>
        <w:pStyle w:val="164"/>
        <w:numPr>
          <w:ilvl w:val="0"/>
          <w:numId w:val="56"/>
        </w:numPr>
        <w:spacing w:line="330" w:lineRule="exact"/>
        <w:ind w:left="0" w:firstLine="420" w:firstLineChars="0"/>
        <w:rPr>
          <w:rFonts w:eastAsiaTheme="minorEastAsia"/>
          <w:szCs w:val="21"/>
        </w:rPr>
      </w:pPr>
      <w:r>
        <w:rPr>
          <w:rFonts w:hint="eastAsia" w:eastAsiaTheme="minorEastAsia"/>
        </w:rPr>
        <w:t>设备性能检测包含交换机性能检测，路由器性能检测，并应符合下列规定：</w:t>
      </w:r>
    </w:p>
    <w:p w14:paraId="4732A047">
      <w:pPr>
        <w:pStyle w:val="164"/>
        <w:numPr>
          <w:ilvl w:val="0"/>
          <w:numId w:val="60"/>
        </w:numPr>
        <w:tabs>
          <w:tab w:val="left" w:pos="210"/>
          <w:tab w:val="left" w:pos="567"/>
        </w:tabs>
        <w:spacing w:line="330" w:lineRule="exact"/>
        <w:ind w:firstLine="630" w:firstLineChars="300"/>
        <w:rPr>
          <w:rFonts w:eastAsiaTheme="minorEastAsia"/>
        </w:rPr>
      </w:pPr>
      <w:r>
        <w:rPr>
          <w:rFonts w:hint="eastAsia" w:eastAsiaTheme="minorEastAsia"/>
        </w:rPr>
        <w:t>交换机性能检测应包含下列内容：</w:t>
      </w:r>
    </w:p>
    <w:p w14:paraId="7C3BA98B">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转发性能测试：交换机转发性能测试应包括二层、三层交换机的数据帧的丢包率、转发时延的测试。交换机转发性能测试应对其所有端口（含以太端口、快速以太端口、千兆以太端口、万兆以太端口）进行测试；交换机转发性能测试应先对板（卡）内多端口测试，后对板(卡)间多端口的测试；每项参数的测试时间宜大于5min。</w:t>
      </w:r>
    </w:p>
    <w:p w14:paraId="17E42CF7">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大包时延测试：大包时延测试的单个报文大小宜大于64KB。</w:t>
      </w:r>
    </w:p>
    <w:p w14:paraId="279DAFC3">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高端性能测试：</w:t>
      </w:r>
      <w:r>
        <w:rPr>
          <w:rFonts w:hint="eastAsia" w:eastAsiaTheme="minorEastAsia"/>
          <w:szCs w:val="21"/>
        </w:rPr>
        <w:t>应包括</w:t>
      </w:r>
      <w:r>
        <w:rPr>
          <w:rFonts w:eastAsiaTheme="minorEastAsia"/>
          <w:szCs w:val="21"/>
        </w:rPr>
        <w:t>基于源IP/MAC地址进行的负荷分担功能测试</w:t>
      </w:r>
      <w:r>
        <w:rPr>
          <w:rFonts w:hint="eastAsia" w:eastAsiaTheme="minorEastAsia"/>
          <w:szCs w:val="21"/>
        </w:rPr>
        <w:t>、</w:t>
      </w:r>
      <w:r>
        <w:rPr>
          <w:rFonts w:eastAsiaTheme="minorEastAsia"/>
          <w:szCs w:val="21"/>
        </w:rPr>
        <w:t>链路聚合冗余备份功能测试</w:t>
      </w:r>
      <w:r>
        <w:rPr>
          <w:rFonts w:hint="eastAsia" w:eastAsiaTheme="minorEastAsia"/>
          <w:szCs w:val="21"/>
        </w:rPr>
        <w:t>、</w:t>
      </w:r>
      <w:r>
        <w:rPr>
          <w:rFonts w:eastAsiaTheme="minorEastAsia"/>
          <w:szCs w:val="21"/>
        </w:rPr>
        <w:t>PIM单播路由功能测试</w:t>
      </w:r>
      <w:r>
        <w:rPr>
          <w:rFonts w:hint="eastAsia" w:eastAsiaTheme="minorEastAsia"/>
          <w:szCs w:val="21"/>
        </w:rPr>
        <w:t>、</w:t>
      </w:r>
      <w:r>
        <w:rPr>
          <w:rFonts w:eastAsiaTheme="minorEastAsia"/>
          <w:szCs w:val="21"/>
        </w:rPr>
        <w:t>OSPF路由功能</w:t>
      </w:r>
      <w:r>
        <w:rPr>
          <w:rFonts w:hint="eastAsia" w:eastAsiaTheme="minorEastAsia"/>
          <w:szCs w:val="21"/>
        </w:rPr>
        <w:t>、</w:t>
      </w:r>
      <w:r>
        <w:rPr>
          <w:rFonts w:eastAsiaTheme="minorEastAsia"/>
          <w:szCs w:val="21"/>
        </w:rPr>
        <w:t>IGMPSnooping功能测试</w:t>
      </w:r>
      <w:r>
        <w:rPr>
          <w:rFonts w:hint="eastAsia" w:eastAsiaTheme="minorEastAsia"/>
          <w:szCs w:val="21"/>
        </w:rPr>
        <w:t>、</w:t>
      </w:r>
      <w:r>
        <w:rPr>
          <w:rFonts w:eastAsiaTheme="minorEastAsia"/>
          <w:szCs w:val="21"/>
        </w:rPr>
        <w:t>PIM-DM组播路由协议功能测试</w:t>
      </w:r>
      <w:r>
        <w:rPr>
          <w:rFonts w:hint="eastAsia" w:eastAsiaTheme="minorEastAsia"/>
          <w:szCs w:val="21"/>
        </w:rPr>
        <w:t>、</w:t>
      </w:r>
      <w:r>
        <w:rPr>
          <w:rFonts w:eastAsiaTheme="minorEastAsia"/>
          <w:szCs w:val="21"/>
        </w:rPr>
        <w:t>PIM-SM组播路由协议功能测试。</w:t>
      </w:r>
    </w:p>
    <w:p w14:paraId="676C8FDF">
      <w:pPr>
        <w:pStyle w:val="164"/>
        <w:numPr>
          <w:ilvl w:val="0"/>
          <w:numId w:val="60"/>
        </w:numPr>
        <w:tabs>
          <w:tab w:val="left" w:pos="210"/>
          <w:tab w:val="left" w:pos="567"/>
        </w:tabs>
        <w:spacing w:line="330" w:lineRule="exact"/>
        <w:ind w:firstLine="630" w:firstLineChars="300"/>
        <w:rPr>
          <w:szCs w:val="21"/>
          <w:shd w:val="clear" w:color="auto" w:fill="FFFFFF"/>
        </w:rPr>
      </w:pPr>
      <w:r>
        <w:rPr>
          <w:szCs w:val="21"/>
          <w:shd w:val="clear" w:color="auto" w:fill="FFFFFF"/>
        </w:rPr>
        <w:t>路由器的性能检测应包含转发性能测试、QoS能力测试、安全性能测试、可靠性测试。其中转发性能测试的内容应包括：全双工线速转发能力；整机吞吐量；端口吞吐量；背靠背帧数；路由表能力；背板能力；丢包率：时延；时延抖动。</w:t>
      </w:r>
    </w:p>
    <w:p w14:paraId="4AD85B84">
      <w:pPr>
        <w:pStyle w:val="164"/>
        <w:spacing w:before="100" w:after="100" w:line="330" w:lineRule="exact"/>
        <w:ind w:firstLine="0" w:firstLineChars="0"/>
        <w:rPr>
          <w:szCs w:val="21"/>
        </w:rPr>
      </w:pPr>
      <w:r>
        <w:rPr>
          <w:szCs w:val="21"/>
        </w:rPr>
        <w:t>7.3.</w:t>
      </w:r>
      <w:r>
        <w:rPr>
          <w:rFonts w:hint="eastAsia"/>
          <w:szCs w:val="21"/>
        </w:rPr>
        <w:t>6</w:t>
      </w:r>
      <w:r>
        <w:rPr>
          <w:szCs w:val="21"/>
        </w:rPr>
        <w:t xml:space="preserve"> 网络安全测试应符合下列规定：</w:t>
      </w:r>
    </w:p>
    <w:p w14:paraId="693BBA4E">
      <w:pPr>
        <w:pStyle w:val="164"/>
        <w:numPr>
          <w:ilvl w:val="0"/>
          <w:numId w:val="62"/>
        </w:numPr>
        <w:spacing w:line="330" w:lineRule="exact"/>
        <w:ind w:left="0" w:firstLine="420"/>
        <w:rPr>
          <w:rFonts w:eastAsiaTheme="minorEastAsia"/>
        </w:rPr>
      </w:pPr>
      <w:r>
        <w:rPr>
          <w:rFonts w:eastAsiaTheme="minorEastAsia"/>
        </w:rPr>
        <w:t>网络安全系统检测方法应依据设计确定等信息安全防护等级进行制定，检测内容应按现行国家标准《信息安全技术信息系统安全等级保护基本要求》</w:t>
      </w:r>
      <w:r>
        <w:rPr>
          <w:szCs w:val="22"/>
        </w:rPr>
        <w:t>GB/T 22239</w:t>
      </w:r>
      <w:r>
        <w:rPr>
          <w:rFonts w:eastAsiaTheme="minorEastAsia"/>
        </w:rPr>
        <w:t>相关规定执行。</w:t>
      </w:r>
    </w:p>
    <w:p w14:paraId="33673CFF">
      <w:pPr>
        <w:pStyle w:val="164"/>
        <w:numPr>
          <w:ilvl w:val="0"/>
          <w:numId w:val="62"/>
        </w:numPr>
        <w:spacing w:line="330" w:lineRule="exact"/>
        <w:ind w:left="0" w:firstLine="420"/>
        <w:rPr>
          <w:rFonts w:eastAsiaTheme="minorEastAsia"/>
        </w:rPr>
      </w:pPr>
      <w:r>
        <w:rPr>
          <w:szCs w:val="21"/>
        </w:rPr>
        <w:t>业务办公网及智能化设备网与互联网相连接时，应安装防火墙及其他安全措施（如身份认证与授权、加密等）和防病毒系统，并应检测安全审计功能，具备至少保存60</w:t>
      </w:r>
      <w:r>
        <w:rPr>
          <w:rFonts w:hint="eastAsia"/>
          <w:szCs w:val="21"/>
        </w:rPr>
        <w:t>天</w:t>
      </w:r>
      <w:r>
        <w:rPr>
          <w:szCs w:val="21"/>
        </w:rPr>
        <w:t>记录备份功能。</w:t>
      </w:r>
    </w:p>
    <w:p w14:paraId="1A9BC361">
      <w:pPr>
        <w:pStyle w:val="164"/>
        <w:numPr>
          <w:ilvl w:val="0"/>
          <w:numId w:val="62"/>
        </w:numPr>
        <w:spacing w:line="330" w:lineRule="exact"/>
        <w:ind w:left="0" w:firstLine="420" w:firstLineChars="0"/>
        <w:rPr>
          <w:rFonts w:eastAsiaTheme="minorEastAsia"/>
        </w:rPr>
      </w:pPr>
      <w:r>
        <w:rPr>
          <w:rFonts w:eastAsiaTheme="minorEastAsia"/>
        </w:rPr>
        <w:t>对于要求物理隔离等网络，应进行物理隔离检测。</w:t>
      </w:r>
    </w:p>
    <w:p w14:paraId="64A31150">
      <w:pPr>
        <w:pStyle w:val="164"/>
        <w:numPr>
          <w:ilvl w:val="0"/>
          <w:numId w:val="62"/>
        </w:numPr>
        <w:spacing w:line="330" w:lineRule="exact"/>
        <w:ind w:left="0" w:firstLine="420" w:firstLineChars="0"/>
        <w:rPr>
          <w:rFonts w:eastAsiaTheme="minorEastAsia"/>
        </w:rPr>
      </w:pPr>
      <w:r>
        <w:rPr>
          <w:szCs w:val="21"/>
        </w:rPr>
        <w:t>当对网络设备进行远程管理时，应检测防窃听措施。</w:t>
      </w:r>
    </w:p>
    <w:p w14:paraId="5EDC294A">
      <w:pPr>
        <w:pStyle w:val="164"/>
        <w:numPr>
          <w:ilvl w:val="0"/>
          <w:numId w:val="62"/>
        </w:numPr>
        <w:spacing w:line="330" w:lineRule="exact"/>
        <w:ind w:left="0" w:firstLine="420" w:firstLineChars="0"/>
        <w:rPr>
          <w:rFonts w:eastAsiaTheme="minorEastAsia"/>
        </w:rPr>
      </w:pPr>
      <w:r>
        <w:rPr>
          <w:szCs w:val="21"/>
        </w:rPr>
        <w:t>网络层的安全性检测应符合下列规定：</w:t>
      </w:r>
    </w:p>
    <w:p w14:paraId="3F28E60E">
      <w:pPr>
        <w:pStyle w:val="164"/>
        <w:numPr>
          <w:ilvl w:val="0"/>
          <w:numId w:val="63"/>
        </w:numPr>
        <w:spacing w:line="330" w:lineRule="exact"/>
        <w:ind w:left="0" w:firstLine="630" w:firstLineChars="300"/>
        <w:rPr>
          <w:rFonts w:eastAsiaTheme="minorEastAsia"/>
          <w:szCs w:val="21"/>
        </w:rPr>
      </w:pPr>
      <w:r>
        <w:rPr>
          <w:rFonts w:eastAsiaTheme="minorEastAsia"/>
          <w:szCs w:val="21"/>
        </w:rPr>
        <w:t>信息网络应能抵御来自防火墙以外的网络攻击，使用流行的攻击手段进行模拟攻击，不被攻击破坏为合格。</w:t>
      </w:r>
    </w:p>
    <w:p w14:paraId="1F0E8FB0">
      <w:pPr>
        <w:pStyle w:val="164"/>
        <w:numPr>
          <w:ilvl w:val="0"/>
          <w:numId w:val="63"/>
        </w:numPr>
        <w:spacing w:line="330" w:lineRule="exact"/>
        <w:ind w:left="0" w:firstLine="630" w:firstLineChars="300"/>
        <w:rPr>
          <w:rFonts w:eastAsiaTheme="minorEastAsia"/>
          <w:szCs w:val="21"/>
        </w:rPr>
      </w:pPr>
      <w:r>
        <w:rPr>
          <w:rFonts w:eastAsiaTheme="minorEastAsia"/>
          <w:szCs w:val="21"/>
        </w:rPr>
        <w:t>信息网络应根据需求控制内部终端机的因特网连接请求和内容，</w:t>
      </w:r>
      <w:r>
        <w:rPr>
          <w:rFonts w:hint="eastAsia" w:eastAsiaTheme="minorEastAsia"/>
          <w:szCs w:val="21"/>
        </w:rPr>
        <w:t>应</w:t>
      </w:r>
      <w:r>
        <w:rPr>
          <w:rFonts w:eastAsiaTheme="minorEastAsia"/>
          <w:szCs w:val="21"/>
        </w:rPr>
        <w:t>使用终端机用不同身份访问因特网的不同资源，</w:t>
      </w:r>
      <w:r>
        <w:rPr>
          <w:rFonts w:hint="eastAsia" w:eastAsiaTheme="minorEastAsia"/>
          <w:szCs w:val="21"/>
        </w:rPr>
        <w:t>满足</w:t>
      </w:r>
      <w:r>
        <w:rPr>
          <w:rFonts w:eastAsiaTheme="minorEastAsia"/>
          <w:szCs w:val="21"/>
        </w:rPr>
        <w:t>设计要求判为合格。</w:t>
      </w:r>
    </w:p>
    <w:p w14:paraId="0CAB1C4C">
      <w:pPr>
        <w:pStyle w:val="164"/>
        <w:numPr>
          <w:ilvl w:val="0"/>
          <w:numId w:val="63"/>
        </w:numPr>
        <w:spacing w:line="330" w:lineRule="exact"/>
        <w:ind w:left="0" w:firstLine="630" w:firstLineChars="300"/>
        <w:rPr>
          <w:rFonts w:eastAsiaTheme="minorEastAsia"/>
          <w:szCs w:val="21"/>
        </w:rPr>
      </w:pPr>
      <w:r>
        <w:rPr>
          <w:rFonts w:eastAsiaTheme="minorEastAsia"/>
          <w:szCs w:val="21"/>
        </w:rPr>
        <w:t>未经授权</w:t>
      </w:r>
      <w:r>
        <w:rPr>
          <w:rFonts w:hint="eastAsia" w:eastAsiaTheme="minorEastAsia"/>
          <w:szCs w:val="21"/>
        </w:rPr>
        <w:t>时，应无法</w:t>
      </w:r>
      <w:r>
        <w:rPr>
          <w:rFonts w:eastAsiaTheme="minorEastAsia"/>
          <w:szCs w:val="21"/>
        </w:rPr>
        <w:t>从信息网络进入控制网络</w:t>
      </w:r>
      <w:r>
        <w:rPr>
          <w:rFonts w:hint="eastAsia" w:eastAsiaTheme="minorEastAsia"/>
          <w:szCs w:val="21"/>
        </w:rPr>
        <w:t>，满足</w:t>
      </w:r>
      <w:r>
        <w:rPr>
          <w:rFonts w:eastAsiaTheme="minorEastAsia"/>
          <w:szCs w:val="21"/>
        </w:rPr>
        <w:t>要求判为合格。</w:t>
      </w:r>
    </w:p>
    <w:p w14:paraId="1B693C6B">
      <w:pPr>
        <w:pStyle w:val="164"/>
        <w:numPr>
          <w:ilvl w:val="0"/>
          <w:numId w:val="63"/>
        </w:numPr>
        <w:spacing w:line="330" w:lineRule="exact"/>
        <w:ind w:left="0" w:firstLine="630" w:firstLineChars="300"/>
        <w:rPr>
          <w:rFonts w:eastAsiaTheme="minorEastAsia"/>
          <w:szCs w:val="21"/>
        </w:rPr>
      </w:pPr>
      <w:r>
        <w:rPr>
          <w:rFonts w:eastAsiaTheme="minorEastAsia"/>
          <w:szCs w:val="21"/>
        </w:rPr>
        <w:t>将含有当前已知流行病毒的文件通过文件传输、邮件附件、网上邻居等方式向各点传播，各点的防病毒软件应能正确地检测到该含病毒文件，并执行杀毒操作</w:t>
      </w:r>
      <w:r>
        <w:rPr>
          <w:rFonts w:hint="eastAsia" w:eastAsiaTheme="minorEastAsia"/>
          <w:szCs w:val="21"/>
        </w:rPr>
        <w:t>，满足</w:t>
      </w:r>
      <w:r>
        <w:rPr>
          <w:rFonts w:eastAsiaTheme="minorEastAsia"/>
          <w:szCs w:val="21"/>
        </w:rPr>
        <w:t>要求判为合格。</w:t>
      </w:r>
    </w:p>
    <w:p w14:paraId="2F3FA02D">
      <w:pPr>
        <w:pStyle w:val="164"/>
        <w:numPr>
          <w:ilvl w:val="0"/>
          <w:numId w:val="63"/>
        </w:numPr>
        <w:spacing w:line="330" w:lineRule="exact"/>
        <w:ind w:left="0" w:firstLine="630" w:firstLineChars="300"/>
        <w:rPr>
          <w:rFonts w:eastAsiaTheme="minorEastAsia"/>
          <w:szCs w:val="21"/>
        </w:rPr>
      </w:pPr>
      <w:r>
        <w:rPr>
          <w:rFonts w:eastAsiaTheme="minorEastAsia"/>
          <w:szCs w:val="21"/>
        </w:rPr>
        <w:t>使用流行的攻击手段进行模拟攻击</w:t>
      </w:r>
      <w:r>
        <w:rPr>
          <w:rFonts w:hint="eastAsia" w:eastAsiaTheme="minorEastAsia"/>
          <w:szCs w:val="21"/>
        </w:rPr>
        <w:t>时</w:t>
      </w:r>
      <w:r>
        <w:rPr>
          <w:rFonts w:eastAsiaTheme="minorEastAsia"/>
          <w:szCs w:val="21"/>
        </w:rPr>
        <w:t>，攻击应被入侵检测系统发现和阻断</w:t>
      </w:r>
      <w:r>
        <w:rPr>
          <w:rFonts w:hint="eastAsia" w:eastAsiaTheme="minorEastAsia"/>
          <w:szCs w:val="21"/>
        </w:rPr>
        <w:t>，满足</w:t>
      </w:r>
      <w:r>
        <w:rPr>
          <w:rFonts w:eastAsiaTheme="minorEastAsia"/>
          <w:szCs w:val="21"/>
        </w:rPr>
        <w:t>要求判为合格。</w:t>
      </w:r>
    </w:p>
    <w:p w14:paraId="36F0A6E1">
      <w:pPr>
        <w:pStyle w:val="164"/>
        <w:numPr>
          <w:ilvl w:val="0"/>
          <w:numId w:val="63"/>
        </w:numPr>
        <w:spacing w:line="330" w:lineRule="exact"/>
        <w:ind w:left="0" w:firstLine="630" w:firstLineChars="300"/>
        <w:rPr>
          <w:rFonts w:eastAsiaTheme="minorEastAsia"/>
          <w:szCs w:val="21"/>
        </w:rPr>
      </w:pPr>
      <w:r>
        <w:rPr>
          <w:rFonts w:eastAsiaTheme="minorEastAsia"/>
          <w:szCs w:val="21"/>
        </w:rPr>
        <w:t>应可正常访问若干未受限的网址或者内容</w:t>
      </w:r>
      <w:r>
        <w:rPr>
          <w:rFonts w:hint="eastAsia" w:eastAsiaTheme="minorEastAsia"/>
          <w:szCs w:val="21"/>
        </w:rPr>
        <w:t>，满足</w:t>
      </w:r>
      <w:r>
        <w:rPr>
          <w:rFonts w:eastAsiaTheme="minorEastAsia"/>
          <w:szCs w:val="21"/>
        </w:rPr>
        <w:t>要求</w:t>
      </w:r>
      <w:r>
        <w:rPr>
          <w:rFonts w:hint="eastAsia" w:eastAsiaTheme="minorEastAsia"/>
          <w:szCs w:val="21"/>
        </w:rPr>
        <w:t>判为合格</w:t>
      </w:r>
      <w:r>
        <w:rPr>
          <w:rFonts w:eastAsiaTheme="minorEastAsia"/>
          <w:szCs w:val="21"/>
        </w:rPr>
        <w:t>。</w:t>
      </w:r>
    </w:p>
    <w:p w14:paraId="493ED8FC">
      <w:pPr>
        <w:pStyle w:val="164"/>
        <w:numPr>
          <w:ilvl w:val="0"/>
          <w:numId w:val="62"/>
        </w:numPr>
        <w:spacing w:line="330" w:lineRule="exact"/>
        <w:ind w:left="0" w:firstLine="420" w:firstLineChars="0"/>
        <w:rPr>
          <w:rFonts w:eastAsiaTheme="minorEastAsia"/>
        </w:rPr>
      </w:pPr>
      <w:r>
        <w:rPr>
          <w:szCs w:val="21"/>
        </w:rPr>
        <w:t>系统层安全应符合下列规定：</w:t>
      </w:r>
    </w:p>
    <w:p w14:paraId="0B170DD2">
      <w:pPr>
        <w:pStyle w:val="164"/>
        <w:numPr>
          <w:ilvl w:val="0"/>
          <w:numId w:val="64"/>
        </w:numPr>
        <w:spacing w:line="330" w:lineRule="exact"/>
        <w:ind w:left="0" w:firstLine="630" w:firstLineChars="300"/>
        <w:rPr>
          <w:rFonts w:eastAsiaTheme="minorEastAsia"/>
          <w:szCs w:val="21"/>
        </w:rPr>
      </w:pPr>
      <w:r>
        <w:rPr>
          <w:rFonts w:eastAsiaTheme="minorEastAsia"/>
          <w:szCs w:val="21"/>
        </w:rPr>
        <w:t>严格管理操作系统的用户帐号，用户应使用满足安全要求的口令。</w:t>
      </w:r>
    </w:p>
    <w:p w14:paraId="0E79F5B4">
      <w:pPr>
        <w:pStyle w:val="164"/>
        <w:numPr>
          <w:ilvl w:val="0"/>
          <w:numId w:val="64"/>
        </w:numPr>
        <w:spacing w:line="330" w:lineRule="exact"/>
        <w:ind w:left="0" w:firstLine="630" w:firstLineChars="300"/>
        <w:rPr>
          <w:rFonts w:eastAsiaTheme="minorEastAsia"/>
          <w:szCs w:val="21"/>
        </w:rPr>
      </w:pPr>
      <w:r>
        <w:rPr>
          <w:rFonts w:eastAsiaTheme="minorEastAsia"/>
          <w:szCs w:val="21"/>
        </w:rPr>
        <w:t>服务器应只提供应的服务，其他无关的服务应关闭，对可能存在漏洞的服务或操作系统，应更换或者升级相应的补丁程序；扫描服务器，无漏洞者为合格。</w:t>
      </w:r>
    </w:p>
    <w:p w14:paraId="77D3A7A5">
      <w:pPr>
        <w:pStyle w:val="164"/>
        <w:numPr>
          <w:ilvl w:val="0"/>
          <w:numId w:val="64"/>
        </w:numPr>
        <w:spacing w:line="330" w:lineRule="exact"/>
        <w:ind w:left="0" w:firstLine="630" w:firstLineChars="300"/>
        <w:rPr>
          <w:rFonts w:eastAsiaTheme="minorEastAsia"/>
        </w:rPr>
      </w:pPr>
      <w:r>
        <w:rPr>
          <w:rFonts w:eastAsiaTheme="minorEastAsia"/>
          <w:szCs w:val="21"/>
        </w:rPr>
        <w:t>应设置并正确利用审计系统，对非法的侵入尝试应有记录；模拟非法尝试，审计日志中有正确记录判为合格。</w:t>
      </w:r>
    </w:p>
    <w:p w14:paraId="0DD35A0F">
      <w:pPr>
        <w:pStyle w:val="164"/>
        <w:numPr>
          <w:ilvl w:val="0"/>
          <w:numId w:val="62"/>
        </w:numPr>
        <w:spacing w:line="330" w:lineRule="exact"/>
        <w:ind w:left="0" w:firstLine="420" w:firstLineChars="0"/>
        <w:rPr>
          <w:rFonts w:eastAsiaTheme="minorEastAsia"/>
        </w:rPr>
      </w:pPr>
      <w:r>
        <w:rPr>
          <w:szCs w:val="21"/>
        </w:rPr>
        <w:t>应用层安全应符合下列规定：</w:t>
      </w:r>
    </w:p>
    <w:p w14:paraId="0032A155">
      <w:pPr>
        <w:pStyle w:val="164"/>
        <w:numPr>
          <w:ilvl w:val="0"/>
          <w:numId w:val="65"/>
        </w:numPr>
        <w:spacing w:line="330" w:lineRule="exact"/>
        <w:ind w:left="0" w:firstLine="630" w:firstLineChars="300"/>
        <w:rPr>
          <w:rFonts w:eastAsiaTheme="minorEastAsia"/>
          <w:szCs w:val="21"/>
        </w:rPr>
      </w:pPr>
      <w:r>
        <w:rPr>
          <w:rFonts w:eastAsiaTheme="minorEastAsia"/>
          <w:szCs w:val="21"/>
        </w:rPr>
        <w:t>用户口令应该加密传输，或者禁止在网络上传输，严格管理用户帐号，用户应使用满足安全要求的口令。</w:t>
      </w:r>
    </w:p>
    <w:p w14:paraId="3163EFFA">
      <w:pPr>
        <w:pStyle w:val="164"/>
        <w:numPr>
          <w:ilvl w:val="0"/>
          <w:numId w:val="65"/>
        </w:numPr>
        <w:spacing w:line="330" w:lineRule="exact"/>
        <w:ind w:left="0" w:firstLine="630" w:firstLineChars="300"/>
        <w:rPr>
          <w:rFonts w:eastAsiaTheme="minorEastAsia"/>
          <w:szCs w:val="21"/>
        </w:rPr>
      </w:pPr>
      <w:r>
        <w:rPr>
          <w:rFonts w:eastAsiaTheme="minorEastAsia"/>
          <w:szCs w:val="21"/>
        </w:rPr>
        <w:t>应在身份认证的基础上根据用户及资源对象实施访问控制，用户能正确访问其活动授权的对象资源，同时不能访问未获得授权的资源，</w:t>
      </w:r>
      <w:r>
        <w:rPr>
          <w:rFonts w:hint="eastAsia" w:eastAsiaTheme="minorEastAsia"/>
          <w:szCs w:val="21"/>
        </w:rPr>
        <w:t>满足</w:t>
      </w:r>
      <w:r>
        <w:rPr>
          <w:rFonts w:eastAsiaTheme="minorEastAsia"/>
          <w:szCs w:val="21"/>
        </w:rPr>
        <w:t>此要求者判为合格。</w:t>
      </w:r>
    </w:p>
    <w:p w14:paraId="61FA2934">
      <w:pPr>
        <w:pStyle w:val="164"/>
        <w:numPr>
          <w:ilvl w:val="0"/>
          <w:numId w:val="65"/>
        </w:numPr>
        <w:spacing w:line="330" w:lineRule="exact"/>
        <w:ind w:left="0" w:firstLine="630" w:firstLineChars="300"/>
        <w:rPr>
          <w:rFonts w:eastAsiaTheme="minorEastAsia"/>
          <w:szCs w:val="21"/>
        </w:rPr>
      </w:pPr>
      <w:r>
        <w:rPr>
          <w:rFonts w:eastAsiaTheme="minorEastAsia"/>
          <w:szCs w:val="21"/>
        </w:rPr>
        <w:t>数据在存储、使用和网络传输过程中，不应被篡改、破坏，不应被非法用户获得。</w:t>
      </w:r>
    </w:p>
    <w:p w14:paraId="473ED2E8">
      <w:pPr>
        <w:pStyle w:val="164"/>
        <w:numPr>
          <w:ilvl w:val="0"/>
          <w:numId w:val="65"/>
        </w:numPr>
        <w:spacing w:line="330" w:lineRule="exact"/>
        <w:ind w:left="0" w:firstLine="630" w:firstLineChars="300"/>
        <w:rPr>
          <w:rFonts w:eastAsiaTheme="minorEastAsia"/>
        </w:rPr>
      </w:pPr>
      <w:r>
        <w:rPr>
          <w:rFonts w:eastAsiaTheme="minorEastAsia"/>
          <w:szCs w:val="21"/>
        </w:rPr>
        <w:t>对应用系统的访问应有必要的审计记录。</w:t>
      </w:r>
    </w:p>
    <w:p w14:paraId="502DF263">
      <w:pPr>
        <w:pStyle w:val="3"/>
        <w:spacing w:before="240" w:after="120" w:afterLines="50" w:line="330" w:lineRule="exact"/>
        <w:rPr>
          <w:rFonts w:eastAsia="黑体"/>
          <w:b w:val="0"/>
          <w:bCs w:val="0"/>
          <w:sz w:val="21"/>
          <w:szCs w:val="21"/>
        </w:rPr>
      </w:pPr>
      <w:bookmarkStart w:id="64" w:name="_Toc182487943"/>
      <w:r>
        <w:rPr>
          <w:rFonts w:eastAsia="黑体"/>
          <w:b w:val="0"/>
          <w:bCs w:val="0"/>
          <w:sz w:val="21"/>
          <w:szCs w:val="21"/>
          <w:lang w:val="en-US"/>
        </w:rPr>
        <w:t xml:space="preserve">7.4 </w:t>
      </w:r>
      <w:r>
        <w:rPr>
          <w:rFonts w:eastAsia="黑体"/>
          <w:b w:val="0"/>
          <w:bCs w:val="0"/>
          <w:sz w:val="21"/>
          <w:szCs w:val="21"/>
        </w:rPr>
        <w:t>质量记录</w:t>
      </w:r>
      <w:bookmarkEnd w:id="64"/>
    </w:p>
    <w:p w14:paraId="0DB88D38">
      <w:pPr>
        <w:ind w:left="105" w:hanging="105"/>
        <w:rPr>
          <w:rFonts w:ascii="Times New Roman" w:hAnsi="Times New Roman"/>
        </w:rPr>
      </w:pPr>
      <w:r>
        <w:rPr>
          <w:rFonts w:ascii="Times New Roman" w:hAnsi="Times New Roman"/>
        </w:rPr>
        <w:t>7.4.1 质量记录应包含下列内容：</w:t>
      </w:r>
    </w:p>
    <w:p w14:paraId="7C0E5B3B">
      <w:pPr>
        <w:pStyle w:val="164"/>
        <w:numPr>
          <w:ilvl w:val="0"/>
          <w:numId w:val="66"/>
        </w:numPr>
        <w:spacing w:line="330" w:lineRule="exact"/>
        <w:ind w:left="0" w:firstLine="420"/>
        <w:rPr>
          <w:szCs w:val="21"/>
        </w:rPr>
      </w:pPr>
      <w:r>
        <w:rPr>
          <w:szCs w:val="21"/>
        </w:rPr>
        <w:t>所用材料及设备的出厂合格证、生产许可证、使用说明书、安装技术文件“3C”认证、质量检验报告、进场抽样检查报告。</w:t>
      </w:r>
    </w:p>
    <w:p w14:paraId="4DCEE7FC">
      <w:pPr>
        <w:pStyle w:val="164"/>
        <w:numPr>
          <w:ilvl w:val="0"/>
          <w:numId w:val="66"/>
        </w:numPr>
        <w:spacing w:line="330" w:lineRule="exact"/>
        <w:ind w:left="0" w:firstLine="420"/>
        <w:rPr>
          <w:szCs w:val="21"/>
        </w:rPr>
      </w:pPr>
      <w:r>
        <w:rPr>
          <w:szCs w:val="21"/>
        </w:rPr>
        <w:t>网络系统的检测记录和检测报告。</w:t>
      </w:r>
    </w:p>
    <w:p w14:paraId="15A68AA3">
      <w:pPr>
        <w:pStyle w:val="164"/>
        <w:numPr>
          <w:ilvl w:val="0"/>
          <w:numId w:val="66"/>
        </w:numPr>
        <w:spacing w:line="330" w:lineRule="exact"/>
        <w:ind w:left="0" w:firstLine="420"/>
        <w:rPr>
          <w:szCs w:val="21"/>
        </w:rPr>
      </w:pPr>
      <w:r>
        <w:rPr>
          <w:szCs w:val="21"/>
        </w:rPr>
        <w:t>工程安装质量及观感质量检测记录。</w:t>
      </w:r>
    </w:p>
    <w:p w14:paraId="31214BC2">
      <w:pPr>
        <w:pStyle w:val="164"/>
        <w:numPr>
          <w:ilvl w:val="0"/>
          <w:numId w:val="66"/>
        </w:numPr>
        <w:spacing w:line="330" w:lineRule="exact"/>
        <w:ind w:left="0" w:firstLine="420"/>
        <w:rPr>
          <w:szCs w:val="21"/>
        </w:rPr>
      </w:pPr>
      <w:r>
        <w:rPr>
          <w:szCs w:val="21"/>
        </w:rPr>
        <w:t>信息网络系统工程电气性能测试记录。</w:t>
      </w:r>
    </w:p>
    <w:p w14:paraId="65642252">
      <w:pPr>
        <w:pStyle w:val="164"/>
        <w:numPr>
          <w:ilvl w:val="0"/>
          <w:numId w:val="66"/>
        </w:numPr>
        <w:spacing w:line="330" w:lineRule="exact"/>
        <w:ind w:left="0" w:firstLine="420"/>
        <w:rPr>
          <w:szCs w:val="21"/>
        </w:rPr>
      </w:pPr>
      <w:r>
        <w:rPr>
          <w:szCs w:val="21"/>
        </w:rPr>
        <w:t>应用软件检测记录和检测报告。</w:t>
      </w:r>
    </w:p>
    <w:p w14:paraId="4D85A39E">
      <w:pPr>
        <w:pStyle w:val="164"/>
        <w:numPr>
          <w:ilvl w:val="0"/>
          <w:numId w:val="66"/>
        </w:numPr>
        <w:spacing w:line="330" w:lineRule="exact"/>
        <w:ind w:left="0" w:firstLine="420"/>
        <w:rPr>
          <w:szCs w:val="21"/>
        </w:rPr>
      </w:pPr>
      <w:r>
        <w:rPr>
          <w:szCs w:val="21"/>
        </w:rPr>
        <w:t>信息安全检测记录和检测报告。</w:t>
      </w:r>
    </w:p>
    <w:p w14:paraId="1AE2B998">
      <w:pPr>
        <w:pStyle w:val="164"/>
        <w:spacing w:before="100" w:after="100" w:line="330" w:lineRule="exact"/>
        <w:ind w:firstLine="0" w:firstLineChars="0"/>
        <w:rPr>
          <w:szCs w:val="21"/>
        </w:rPr>
      </w:pPr>
    </w:p>
    <w:p w14:paraId="38BE88BA">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5D062E38">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65" w:name="_Toc182487944"/>
      <w:r>
        <w:rPr>
          <w:rFonts w:ascii="Times New Roman" w:hAnsi="Times New Roman" w:eastAsia="黑体"/>
          <w:bCs/>
          <w:sz w:val="28"/>
          <w:szCs w:val="28"/>
        </w:rPr>
        <w:t>8 综合布线系统</w:t>
      </w:r>
      <w:bookmarkEnd w:id="65"/>
    </w:p>
    <w:p w14:paraId="5128009F">
      <w:pPr>
        <w:pStyle w:val="3"/>
        <w:spacing w:before="240" w:after="120" w:afterLines="50" w:line="330" w:lineRule="exact"/>
        <w:rPr>
          <w:rFonts w:eastAsia="黑体"/>
          <w:b w:val="0"/>
          <w:bCs w:val="0"/>
          <w:sz w:val="21"/>
          <w:szCs w:val="21"/>
        </w:rPr>
      </w:pPr>
      <w:bookmarkStart w:id="66" w:name="_Toc182487945"/>
      <w:r>
        <w:rPr>
          <w:rFonts w:eastAsia="黑体"/>
          <w:b w:val="0"/>
          <w:bCs w:val="0"/>
          <w:sz w:val="21"/>
          <w:szCs w:val="21"/>
          <w:lang w:val="en-US"/>
        </w:rPr>
        <w:t xml:space="preserve">8.1 </w:t>
      </w:r>
      <w:r>
        <w:rPr>
          <w:rFonts w:eastAsia="黑体"/>
          <w:b w:val="0"/>
          <w:bCs w:val="0"/>
          <w:sz w:val="21"/>
          <w:szCs w:val="21"/>
        </w:rPr>
        <w:t>一般规定</w:t>
      </w:r>
      <w:bookmarkEnd w:id="66"/>
    </w:p>
    <w:p w14:paraId="06ACAB48">
      <w:pPr>
        <w:pStyle w:val="164"/>
        <w:numPr>
          <w:ilvl w:val="0"/>
          <w:numId w:val="1"/>
        </w:numPr>
        <w:spacing w:line="330" w:lineRule="exact"/>
        <w:ind w:firstLineChars="0"/>
        <w:rPr>
          <w:rFonts w:eastAsiaTheme="minorEastAsia"/>
          <w:vanish/>
          <w:szCs w:val="21"/>
        </w:rPr>
      </w:pPr>
    </w:p>
    <w:p w14:paraId="2933A2A1">
      <w:pPr>
        <w:pStyle w:val="164"/>
        <w:numPr>
          <w:ilvl w:val="1"/>
          <w:numId w:val="1"/>
        </w:numPr>
        <w:spacing w:line="330" w:lineRule="exact"/>
        <w:ind w:firstLineChars="0"/>
        <w:rPr>
          <w:rFonts w:eastAsiaTheme="minorEastAsia"/>
          <w:vanish/>
          <w:szCs w:val="21"/>
        </w:rPr>
      </w:pPr>
    </w:p>
    <w:p w14:paraId="3CF2BA2E">
      <w:pPr>
        <w:pStyle w:val="164"/>
        <w:numPr>
          <w:ilvl w:val="1"/>
          <w:numId w:val="1"/>
        </w:numPr>
        <w:spacing w:line="330" w:lineRule="exact"/>
        <w:ind w:firstLineChars="0"/>
        <w:rPr>
          <w:rFonts w:eastAsiaTheme="minorEastAsia"/>
          <w:vanish/>
          <w:szCs w:val="21"/>
        </w:rPr>
      </w:pPr>
    </w:p>
    <w:p w14:paraId="46DD3952">
      <w:pPr>
        <w:pStyle w:val="164"/>
        <w:spacing w:before="100" w:after="100" w:line="330" w:lineRule="exact"/>
        <w:ind w:firstLine="0" w:firstLineChars="0"/>
        <w:rPr>
          <w:szCs w:val="21"/>
        </w:rPr>
      </w:pPr>
      <w:r>
        <w:rPr>
          <w:szCs w:val="21"/>
        </w:rPr>
        <w:t>8.1.1 本章适用于智能建筑工程中的综合布线系统的工程实施及质量控制、系统检测。</w:t>
      </w:r>
    </w:p>
    <w:p w14:paraId="2FECEAFD">
      <w:pPr>
        <w:pStyle w:val="164"/>
        <w:spacing w:before="100" w:after="100" w:line="330" w:lineRule="exact"/>
        <w:ind w:firstLine="0" w:firstLineChars="0"/>
        <w:rPr>
          <w:szCs w:val="21"/>
        </w:rPr>
      </w:pPr>
      <w:r>
        <w:rPr>
          <w:szCs w:val="21"/>
        </w:rPr>
        <w:t>8.1.2 综合布线系统的工程实施应按现行国家标准《综合布线系统工程设计规范》</w:t>
      </w:r>
      <w:r>
        <w:rPr>
          <w:szCs w:val="22"/>
        </w:rPr>
        <w:t>GB 50311</w:t>
      </w:r>
      <w:r>
        <w:rPr>
          <w:szCs w:val="21"/>
        </w:rPr>
        <w:t>和</w:t>
      </w:r>
      <w:r>
        <w:t>《综合布线系统工程验收规范》</w:t>
      </w:r>
      <w:r>
        <w:rPr>
          <w:szCs w:val="22"/>
        </w:rPr>
        <w:t>GB 50312</w:t>
      </w:r>
      <w:r>
        <w:rPr>
          <w:rFonts w:hint="eastAsia"/>
          <w:szCs w:val="22"/>
        </w:rPr>
        <w:t>的</w:t>
      </w:r>
      <w:r>
        <w:rPr>
          <w:szCs w:val="22"/>
        </w:rPr>
        <w:t>相</w:t>
      </w:r>
      <w:r>
        <w:rPr>
          <w:szCs w:val="21"/>
        </w:rPr>
        <w:t>关规定执行。</w:t>
      </w:r>
    </w:p>
    <w:p w14:paraId="2EFFAA7A">
      <w:pPr>
        <w:pStyle w:val="3"/>
        <w:spacing w:before="240" w:after="120" w:afterLines="50" w:line="330" w:lineRule="exact"/>
        <w:rPr>
          <w:rFonts w:eastAsia="黑体"/>
          <w:b w:val="0"/>
          <w:bCs w:val="0"/>
          <w:sz w:val="21"/>
          <w:szCs w:val="21"/>
        </w:rPr>
      </w:pPr>
      <w:bookmarkStart w:id="67" w:name="_Toc182487946"/>
      <w:r>
        <w:rPr>
          <w:rFonts w:eastAsia="黑体"/>
          <w:b w:val="0"/>
          <w:bCs w:val="0"/>
          <w:sz w:val="21"/>
          <w:szCs w:val="21"/>
          <w:lang w:val="en-US"/>
        </w:rPr>
        <w:t xml:space="preserve">8.2 </w:t>
      </w:r>
      <w:r>
        <w:rPr>
          <w:rFonts w:eastAsia="黑体"/>
          <w:b w:val="0"/>
          <w:bCs w:val="0"/>
          <w:sz w:val="21"/>
          <w:szCs w:val="21"/>
        </w:rPr>
        <w:t>施工准备</w:t>
      </w:r>
      <w:bookmarkEnd w:id="67"/>
    </w:p>
    <w:p w14:paraId="213BD780">
      <w:pPr>
        <w:pStyle w:val="164"/>
        <w:numPr>
          <w:ilvl w:val="1"/>
          <w:numId w:val="1"/>
        </w:numPr>
        <w:spacing w:line="330" w:lineRule="exact"/>
        <w:ind w:firstLineChars="0"/>
        <w:rPr>
          <w:rFonts w:eastAsiaTheme="minorEastAsia"/>
          <w:vanish/>
          <w:szCs w:val="21"/>
        </w:rPr>
      </w:pPr>
    </w:p>
    <w:p w14:paraId="0FC7006D">
      <w:pPr>
        <w:pStyle w:val="164"/>
        <w:spacing w:before="100" w:after="100" w:line="330" w:lineRule="exact"/>
        <w:ind w:firstLine="0" w:firstLineChars="0"/>
        <w:rPr>
          <w:szCs w:val="21"/>
        </w:rPr>
      </w:pPr>
      <w:r>
        <w:rPr>
          <w:szCs w:val="21"/>
        </w:rPr>
        <w:t>8.2.1 主要材料</w:t>
      </w:r>
      <w:r>
        <w:rPr>
          <w:rFonts w:hint="eastAsia"/>
          <w:szCs w:val="21"/>
        </w:rPr>
        <w:t>有线缆、钢管</w:t>
      </w:r>
      <w:r>
        <w:rPr>
          <w:rFonts w:eastAsiaTheme="minorEastAsia"/>
        </w:rPr>
        <w:t>（或电线管）、盒、地面插座</w:t>
      </w:r>
      <w:r>
        <w:rPr>
          <w:rFonts w:hint="eastAsia" w:eastAsiaTheme="minorEastAsia"/>
        </w:rPr>
        <w:t>、管道、塑料线</w:t>
      </w:r>
      <w:r>
        <w:rPr>
          <w:rFonts w:eastAsiaTheme="minorEastAsia"/>
        </w:rPr>
        <w:t>槽及其附件</w:t>
      </w:r>
      <w:r>
        <w:rPr>
          <w:rFonts w:hint="eastAsia" w:eastAsiaTheme="minorEastAsia"/>
        </w:rPr>
        <w:t>，并</w:t>
      </w:r>
      <w:r>
        <w:rPr>
          <w:szCs w:val="21"/>
        </w:rPr>
        <w:t>应符合下列规定：</w:t>
      </w:r>
    </w:p>
    <w:p w14:paraId="276C43A3">
      <w:pPr>
        <w:pStyle w:val="164"/>
        <w:numPr>
          <w:ilvl w:val="0"/>
          <w:numId w:val="67"/>
        </w:numPr>
        <w:spacing w:line="330" w:lineRule="exact"/>
        <w:ind w:left="0" w:firstLine="420"/>
        <w:rPr>
          <w:rFonts w:eastAsiaTheme="minorEastAsia"/>
        </w:rPr>
      </w:pPr>
      <w:r>
        <w:rPr>
          <w:rFonts w:eastAsiaTheme="minorEastAsia"/>
          <w:szCs w:val="21"/>
        </w:rPr>
        <w:t>电缆所附标志、标签内容应齐全、清晰</w:t>
      </w:r>
      <w:r>
        <w:rPr>
          <w:rFonts w:hint="eastAsia" w:eastAsiaTheme="minorEastAsia"/>
          <w:szCs w:val="21"/>
        </w:rPr>
        <w:t>，</w:t>
      </w:r>
      <w:r>
        <w:rPr>
          <w:rFonts w:eastAsiaTheme="minorEastAsia"/>
          <w:szCs w:val="21"/>
        </w:rPr>
        <w:t>外护套应完整无损，并附有出厂质量检验合格证和本批量电缆的性能检验报告</w:t>
      </w:r>
      <w:r>
        <w:rPr>
          <w:rFonts w:hint="eastAsia" w:eastAsiaTheme="minorEastAsia"/>
          <w:szCs w:val="21"/>
        </w:rPr>
        <w:t>；</w:t>
      </w:r>
      <w:r>
        <w:rPr>
          <w:rFonts w:eastAsiaTheme="minorEastAsia"/>
          <w:szCs w:val="21"/>
        </w:rPr>
        <w:t>光缆应在开箱后先检验外观无损伤，光缆端头封装良好</w:t>
      </w:r>
      <w:r>
        <w:rPr>
          <w:rFonts w:hint="eastAsia" w:eastAsiaTheme="minorEastAsia"/>
          <w:szCs w:val="21"/>
        </w:rPr>
        <w:t>，</w:t>
      </w:r>
      <w:r>
        <w:rPr>
          <w:rFonts w:eastAsiaTheme="minorEastAsia"/>
          <w:szCs w:val="21"/>
        </w:rPr>
        <w:t>进行数据测试合格后方可使用</w:t>
      </w:r>
      <w:r>
        <w:rPr>
          <w:rFonts w:hint="eastAsia" w:eastAsiaTheme="minorEastAsia"/>
          <w:szCs w:val="21"/>
        </w:rPr>
        <w:t>。</w:t>
      </w:r>
    </w:p>
    <w:p w14:paraId="7F6B9043">
      <w:pPr>
        <w:pStyle w:val="164"/>
        <w:numPr>
          <w:ilvl w:val="0"/>
          <w:numId w:val="67"/>
        </w:numPr>
        <w:spacing w:line="330" w:lineRule="exact"/>
        <w:ind w:left="0" w:firstLine="420"/>
        <w:rPr>
          <w:rFonts w:eastAsiaTheme="minorEastAsia"/>
        </w:rPr>
      </w:pPr>
      <w:r>
        <w:rPr>
          <w:rFonts w:eastAsiaTheme="minorEastAsia"/>
        </w:rPr>
        <w:t xml:space="preserve">钢管（或电线管）、盒、地面插座等型号、规格应满足设计要求，并有产品合格证。 </w:t>
      </w:r>
    </w:p>
    <w:p w14:paraId="5C8A688D">
      <w:pPr>
        <w:pStyle w:val="164"/>
        <w:numPr>
          <w:ilvl w:val="0"/>
          <w:numId w:val="67"/>
        </w:numPr>
        <w:spacing w:line="330" w:lineRule="exact"/>
        <w:ind w:left="0" w:firstLine="420"/>
        <w:rPr>
          <w:rFonts w:eastAsiaTheme="minorEastAsia"/>
        </w:rPr>
      </w:pPr>
      <w:r>
        <w:rPr>
          <w:rFonts w:eastAsiaTheme="minorEastAsia"/>
        </w:rPr>
        <w:t>管道采用地下通信管网时，应符合现行行业标准《通信管道工施工及验收技术规范》</w:t>
      </w:r>
      <w:r>
        <w:rPr>
          <w:szCs w:val="22"/>
        </w:rPr>
        <w:t>YDJ 39</w:t>
      </w:r>
      <w:r>
        <w:rPr>
          <w:rFonts w:eastAsiaTheme="minorEastAsia"/>
        </w:rPr>
        <w:t xml:space="preserve">的相关规定。 </w:t>
      </w:r>
    </w:p>
    <w:p w14:paraId="44D9E022">
      <w:pPr>
        <w:pStyle w:val="164"/>
        <w:numPr>
          <w:ilvl w:val="0"/>
          <w:numId w:val="67"/>
        </w:numPr>
        <w:spacing w:line="330" w:lineRule="exact"/>
        <w:ind w:left="0" w:firstLine="420"/>
        <w:rPr>
          <w:rFonts w:eastAsiaTheme="minorEastAsia"/>
        </w:rPr>
      </w:pPr>
      <w:r>
        <w:rPr>
          <w:rFonts w:eastAsiaTheme="minorEastAsia"/>
        </w:rPr>
        <w:t>塑料线槽及其附件型号规格应满足设计要求，并选用相应的定型产品。其敷设场所的环境温度不得低于-15℃，其阻燃性能氧指数不应低于27％。</w:t>
      </w:r>
    </w:p>
    <w:p w14:paraId="75785C4E">
      <w:pPr>
        <w:pStyle w:val="164"/>
        <w:numPr>
          <w:ilvl w:val="0"/>
          <w:numId w:val="67"/>
        </w:numPr>
        <w:spacing w:line="330" w:lineRule="exact"/>
        <w:ind w:left="0" w:firstLine="420"/>
        <w:rPr>
          <w:rFonts w:eastAsiaTheme="minorEastAsia"/>
        </w:rPr>
      </w:pPr>
      <w:r>
        <w:rPr>
          <w:rFonts w:eastAsiaTheme="minorEastAsia"/>
        </w:rPr>
        <w:t xml:space="preserve">各类施工配件及材料应有产品合格证及相关技术文件资料。 </w:t>
      </w:r>
    </w:p>
    <w:p w14:paraId="257A0204">
      <w:pPr>
        <w:pStyle w:val="164"/>
        <w:numPr>
          <w:ilvl w:val="255"/>
          <w:numId w:val="0"/>
        </w:numPr>
        <w:spacing w:before="100" w:after="100" w:line="330" w:lineRule="exact"/>
        <w:rPr>
          <w:rFonts w:eastAsiaTheme="minorEastAsia"/>
        </w:rPr>
      </w:pPr>
      <w:r>
        <w:rPr>
          <w:szCs w:val="21"/>
        </w:rPr>
        <w:t xml:space="preserve">8.2.2 </w:t>
      </w:r>
      <w:r>
        <w:rPr>
          <w:rFonts w:hint="eastAsia"/>
          <w:szCs w:val="21"/>
        </w:rPr>
        <w:t>主要机具有</w:t>
      </w:r>
      <w:r>
        <w:rPr>
          <w:rFonts w:eastAsiaTheme="minorEastAsia"/>
        </w:rPr>
        <w:t>电焊机、切割机、剥线钳、弥勒钳、打线钳、光纤熔接机、对讲机等施工机具</w:t>
      </w:r>
      <w:r>
        <w:rPr>
          <w:rFonts w:hint="eastAsia" w:eastAsiaTheme="minorEastAsia"/>
        </w:rPr>
        <w:t>；</w:t>
      </w:r>
      <w:r>
        <w:rPr>
          <w:rFonts w:eastAsiaTheme="minorEastAsia"/>
        </w:rPr>
        <w:t>线缆认证测试仪、万用表、示波器、低频信号发生器、光时域反射计等测试机具。</w:t>
      </w:r>
    </w:p>
    <w:p w14:paraId="54AC19A9">
      <w:pPr>
        <w:pStyle w:val="164"/>
        <w:spacing w:before="100" w:after="100" w:line="330" w:lineRule="exact"/>
        <w:ind w:firstLine="0" w:firstLineChars="0"/>
        <w:rPr>
          <w:szCs w:val="21"/>
        </w:rPr>
      </w:pPr>
      <w:r>
        <w:rPr>
          <w:szCs w:val="21"/>
        </w:rPr>
        <w:t xml:space="preserve">8.2.3 </w:t>
      </w:r>
      <w:r>
        <w:rPr>
          <w:rFonts w:hint="eastAsia"/>
          <w:szCs w:val="21"/>
        </w:rPr>
        <w:t>作业条件应符合下列规定</w:t>
      </w:r>
      <w:r>
        <w:rPr>
          <w:szCs w:val="21"/>
        </w:rPr>
        <w:t>：</w:t>
      </w:r>
    </w:p>
    <w:p w14:paraId="79747B29">
      <w:pPr>
        <w:pStyle w:val="164"/>
        <w:numPr>
          <w:ilvl w:val="0"/>
          <w:numId w:val="68"/>
        </w:numPr>
        <w:spacing w:line="330" w:lineRule="exact"/>
        <w:ind w:left="0" w:firstLine="420"/>
        <w:rPr>
          <w:rFonts w:eastAsiaTheme="minorEastAsia"/>
        </w:rPr>
      </w:pPr>
      <w:r>
        <w:rPr>
          <w:szCs w:val="21"/>
        </w:rPr>
        <w:t>施工前应对所用器材进行外观检验，检查其型号规格、数量、标志、标签、产品合格证、产品技术文件资料，有关器材的电气性能、机械性能、使用功能及特殊要求，应</w:t>
      </w:r>
      <w:r>
        <w:rPr>
          <w:rFonts w:hint="eastAsia"/>
          <w:szCs w:val="21"/>
        </w:rPr>
        <w:t>满足</w:t>
      </w:r>
      <w:r>
        <w:rPr>
          <w:szCs w:val="21"/>
        </w:rPr>
        <w:t>设计</w:t>
      </w:r>
      <w:r>
        <w:rPr>
          <w:rFonts w:hint="eastAsia"/>
          <w:szCs w:val="21"/>
        </w:rPr>
        <w:t>要求</w:t>
      </w:r>
      <w:r>
        <w:rPr>
          <w:szCs w:val="21"/>
        </w:rPr>
        <w:t>。</w:t>
      </w:r>
    </w:p>
    <w:p w14:paraId="696149CD">
      <w:pPr>
        <w:pStyle w:val="164"/>
        <w:numPr>
          <w:ilvl w:val="0"/>
          <w:numId w:val="68"/>
        </w:numPr>
        <w:spacing w:line="330" w:lineRule="exact"/>
        <w:ind w:left="0" w:firstLine="420"/>
        <w:rPr>
          <w:rFonts w:eastAsiaTheme="minorEastAsia"/>
        </w:rPr>
      </w:pPr>
      <w:r>
        <w:rPr>
          <w:rFonts w:eastAsiaTheme="minorEastAsia"/>
        </w:rPr>
        <w:t>结构工程中预留地槽、过墙管、孔洞的位置尺寸、数量均应符合设计规定。</w:t>
      </w:r>
    </w:p>
    <w:p w14:paraId="54591C68">
      <w:pPr>
        <w:pStyle w:val="164"/>
        <w:numPr>
          <w:ilvl w:val="0"/>
          <w:numId w:val="68"/>
        </w:numPr>
        <w:spacing w:line="330" w:lineRule="exact"/>
        <w:ind w:left="0" w:firstLine="420"/>
        <w:rPr>
          <w:rFonts w:eastAsiaTheme="minorEastAsia"/>
        </w:rPr>
      </w:pPr>
      <w:r>
        <w:rPr>
          <w:rFonts w:eastAsiaTheme="minorEastAsia"/>
        </w:rPr>
        <w:t>交接间、设备间、工作区土建工程已全部竣工。房屋内装饰工程完工，地面、墙面平整、光洁，门的高度和宽度应不妨碍设备和器材的搬运，门锁和钥匙齐全。</w:t>
      </w:r>
    </w:p>
    <w:p w14:paraId="79A3A0F0">
      <w:pPr>
        <w:pStyle w:val="164"/>
        <w:numPr>
          <w:ilvl w:val="0"/>
          <w:numId w:val="68"/>
        </w:numPr>
        <w:spacing w:line="330" w:lineRule="exact"/>
        <w:ind w:left="0" w:firstLine="420"/>
        <w:rPr>
          <w:rFonts w:eastAsiaTheme="minorEastAsia"/>
        </w:rPr>
      </w:pPr>
      <w:r>
        <w:rPr>
          <w:rFonts w:eastAsiaTheme="minorEastAsia"/>
        </w:rPr>
        <w:t>设备间铺设活动地板时，板块铺设严密坚固，每平方米水平允许偏差不应大于2mm，地板支柱牢固，活动地板防静电措施的接地应</w:t>
      </w:r>
      <w:r>
        <w:rPr>
          <w:rFonts w:hint="eastAsia" w:eastAsiaTheme="minorEastAsia"/>
          <w:szCs w:val="21"/>
        </w:rPr>
        <w:t>满足</w:t>
      </w:r>
      <w:r>
        <w:rPr>
          <w:rFonts w:eastAsiaTheme="minorEastAsia"/>
        </w:rPr>
        <w:t>设计和产品说明要求。</w:t>
      </w:r>
    </w:p>
    <w:p w14:paraId="15620B41">
      <w:pPr>
        <w:pStyle w:val="164"/>
        <w:numPr>
          <w:ilvl w:val="0"/>
          <w:numId w:val="68"/>
        </w:numPr>
        <w:spacing w:line="330" w:lineRule="exact"/>
        <w:ind w:left="0" w:firstLine="420"/>
        <w:rPr>
          <w:rFonts w:eastAsiaTheme="minorEastAsia"/>
        </w:rPr>
      </w:pPr>
      <w:r>
        <w:rPr>
          <w:rFonts w:eastAsiaTheme="minorEastAsia"/>
        </w:rPr>
        <w:t>交接间、设备间应提供可靠的施工电源和接地装置。</w:t>
      </w:r>
    </w:p>
    <w:p w14:paraId="6D567E06">
      <w:pPr>
        <w:pStyle w:val="164"/>
        <w:numPr>
          <w:ilvl w:val="0"/>
          <w:numId w:val="68"/>
        </w:numPr>
        <w:spacing w:line="330" w:lineRule="exact"/>
        <w:ind w:left="0" w:firstLine="420"/>
        <w:rPr>
          <w:rFonts w:eastAsiaTheme="minorEastAsia"/>
        </w:rPr>
      </w:pPr>
      <w:r>
        <w:rPr>
          <w:rFonts w:eastAsiaTheme="minorEastAsia"/>
        </w:rPr>
        <w:t>交接间、设备间的面积、环境温度、湿度均应满足设计要求。</w:t>
      </w:r>
    </w:p>
    <w:p w14:paraId="2A2D9BF9">
      <w:pPr>
        <w:pStyle w:val="164"/>
        <w:numPr>
          <w:ilvl w:val="0"/>
          <w:numId w:val="68"/>
        </w:numPr>
        <w:spacing w:line="330" w:lineRule="exact"/>
        <w:ind w:left="0" w:firstLine="420"/>
        <w:rPr>
          <w:rFonts w:eastAsiaTheme="minorEastAsia"/>
        </w:rPr>
      </w:pPr>
      <w:r>
        <w:rPr>
          <w:rFonts w:eastAsiaTheme="minorEastAsia"/>
        </w:rPr>
        <w:t>交接间、设备间应</w:t>
      </w:r>
      <w:r>
        <w:rPr>
          <w:rFonts w:hint="eastAsia" w:eastAsiaTheme="minorEastAsia"/>
          <w:szCs w:val="21"/>
        </w:rPr>
        <w:t>满足</w:t>
      </w:r>
      <w:r>
        <w:rPr>
          <w:rFonts w:eastAsiaTheme="minorEastAsia"/>
        </w:rPr>
        <w:t>安全防火要求，预留孔洞采取防火措施，室内无危险物的堆放，消防器材齐全。</w:t>
      </w:r>
    </w:p>
    <w:p w14:paraId="32C57999">
      <w:pPr>
        <w:pStyle w:val="3"/>
        <w:spacing w:before="240" w:after="120" w:afterLines="50" w:line="330" w:lineRule="exact"/>
        <w:rPr>
          <w:rFonts w:eastAsia="黑体"/>
          <w:b w:val="0"/>
          <w:bCs w:val="0"/>
          <w:sz w:val="21"/>
          <w:szCs w:val="21"/>
        </w:rPr>
      </w:pPr>
      <w:bookmarkStart w:id="68" w:name="_Toc182487947"/>
      <w:r>
        <w:rPr>
          <w:rFonts w:eastAsia="黑体"/>
          <w:b w:val="0"/>
          <w:bCs w:val="0"/>
          <w:sz w:val="21"/>
          <w:szCs w:val="21"/>
          <w:lang w:val="en-US"/>
        </w:rPr>
        <w:t xml:space="preserve">8.3 </w:t>
      </w:r>
      <w:r>
        <w:rPr>
          <w:rFonts w:eastAsia="黑体"/>
          <w:b w:val="0"/>
          <w:bCs w:val="0"/>
          <w:sz w:val="21"/>
          <w:szCs w:val="21"/>
        </w:rPr>
        <w:t>施工工艺</w:t>
      </w:r>
      <w:bookmarkEnd w:id="68"/>
    </w:p>
    <w:p w14:paraId="5CD6A9C3">
      <w:pPr>
        <w:pStyle w:val="164"/>
        <w:numPr>
          <w:ilvl w:val="1"/>
          <w:numId w:val="1"/>
        </w:numPr>
        <w:spacing w:line="330" w:lineRule="exact"/>
        <w:ind w:firstLineChars="0"/>
        <w:rPr>
          <w:rFonts w:eastAsiaTheme="minorEastAsia"/>
          <w:vanish/>
          <w:szCs w:val="21"/>
        </w:rPr>
      </w:pPr>
    </w:p>
    <w:p w14:paraId="323B8D1C">
      <w:pPr>
        <w:pStyle w:val="164"/>
        <w:spacing w:before="100" w:after="100" w:line="330" w:lineRule="exact"/>
        <w:ind w:firstLine="0" w:firstLineChars="0"/>
        <w:jc w:val="left"/>
        <w:rPr>
          <w:rFonts w:eastAsiaTheme="minorEastAsia"/>
          <w:sz w:val="20"/>
          <w:szCs w:val="21"/>
        </w:rPr>
      </w:pPr>
      <w:r>
        <w:rPr>
          <w:szCs w:val="21"/>
        </w:rPr>
        <w:t xml:space="preserve">8.3.1 </w:t>
      </w:r>
      <w:r>
        <w:rPr>
          <w:rFonts w:eastAsiaTheme="minorEastAsia"/>
          <w:szCs w:val="21"/>
        </w:rPr>
        <w:t>综合布线系统施工工艺流程见图8.3.1。</w:t>
      </w:r>
    </w:p>
    <w:p w14:paraId="31A13AE6">
      <w:pPr>
        <w:ind w:left="96" w:leftChars="23" w:hanging="48" w:hangingChars="23"/>
        <w:jc w:val="left"/>
        <w:rPr>
          <w:rFonts w:ascii="Times New Roman" w:hAnsi="Times New Roman" w:eastAsiaTheme="minorEastAsia"/>
          <w:sz w:val="17"/>
        </w:rPr>
      </w:pPr>
      <w:r>
        <w:rPr>
          <w:rFonts w:ascii="Times New Roman" w:hAnsi="Times New Roman"/>
        </w:rPr>
        <mc:AlternateContent>
          <mc:Choice Requires="wpg">
            <w:drawing>
              <wp:inline distT="0" distB="0" distL="0" distR="0">
                <wp:extent cx="5474335" cy="982345"/>
                <wp:effectExtent l="0" t="0" r="31115" b="27305"/>
                <wp:docPr id="63" name="组合 63"/>
                <wp:cNvGraphicFramePr/>
                <a:graphic xmlns:a="http://schemas.openxmlformats.org/drawingml/2006/main">
                  <a:graphicData uri="http://schemas.microsoft.com/office/word/2010/wordprocessingGroup">
                    <wpg:wgp>
                      <wpg:cNvGrpSpPr/>
                      <wpg:grpSpPr>
                        <a:xfrm>
                          <a:off x="0" y="0"/>
                          <a:ext cx="5474612" cy="982631"/>
                          <a:chOff x="-8" y="-6"/>
                          <a:chExt cx="7606" cy="1603"/>
                        </a:xfrm>
                      </wpg:grpSpPr>
                      <wps:wsp>
                        <wps:cNvPr id="64" name="Rectangle 3"/>
                        <wps:cNvSpPr>
                          <a:spLocks noChangeArrowheads="1"/>
                        </wps:cNvSpPr>
                        <wps:spPr bwMode="auto">
                          <a:xfrm>
                            <a:off x="3" y="21"/>
                            <a:ext cx="1440" cy="624"/>
                          </a:xfrm>
                          <a:prstGeom prst="rect">
                            <a:avLst/>
                          </a:prstGeom>
                          <a:solidFill>
                            <a:srgbClr val="FFFFFF"/>
                          </a:solidFill>
                          <a:ln w="9525">
                            <a:solidFill>
                              <a:srgbClr val="000000"/>
                            </a:solidFill>
                            <a:miter lim="800000"/>
                          </a:ln>
                        </wps:spPr>
                        <wps:txbx>
                          <w:txbxContent>
                            <w:p w14:paraId="1F740B6E">
                              <w:pPr>
                                <w:ind w:left="105" w:hanging="105"/>
                                <w:jc w:val="center"/>
                                <w:rPr>
                                  <w:rFonts w:ascii="宋体" w:hAnsi="宋体"/>
                                  <w:kern w:val="0"/>
                                </w:rPr>
                              </w:pPr>
                              <w:r>
                                <w:rPr>
                                  <w:rFonts w:hint="eastAsia" w:ascii="宋体" w:hAnsi="宋体"/>
                                  <w:kern w:val="0"/>
                                </w:rPr>
                                <w:t>管路敷设</w:t>
                              </w:r>
                            </w:p>
                          </w:txbxContent>
                        </wps:txbx>
                        <wps:bodyPr rot="0" vert="horz" wrap="square" lIns="91440" tIns="82800" rIns="91440" bIns="45720" anchor="t" anchorCtr="0" upright="1">
                          <a:noAutofit/>
                        </wps:bodyPr>
                      </wps:wsp>
                      <wps:wsp>
                        <wps:cNvPr id="66" name="Rectangle 5"/>
                        <wps:cNvSpPr>
                          <a:spLocks noChangeArrowheads="1"/>
                        </wps:cNvSpPr>
                        <wps:spPr bwMode="auto">
                          <a:xfrm>
                            <a:off x="1986" y="18"/>
                            <a:ext cx="1260" cy="624"/>
                          </a:xfrm>
                          <a:prstGeom prst="rect">
                            <a:avLst/>
                          </a:prstGeom>
                          <a:solidFill>
                            <a:srgbClr val="FFFFFF"/>
                          </a:solidFill>
                          <a:ln w="9525">
                            <a:solidFill>
                              <a:srgbClr val="000000"/>
                            </a:solidFill>
                            <a:miter lim="800000"/>
                          </a:ln>
                        </wps:spPr>
                        <wps:txbx>
                          <w:txbxContent>
                            <w:p w14:paraId="1AB4E15B">
                              <w:pPr>
                                <w:ind w:left="105" w:hanging="105"/>
                                <w:jc w:val="center"/>
                                <w:rPr>
                                  <w:rFonts w:ascii="宋体" w:hAnsi="宋体"/>
                                  <w:kern w:val="0"/>
                                </w:rPr>
                              </w:pPr>
                              <w:r>
                                <w:rPr>
                                  <w:rFonts w:hint="eastAsia" w:ascii="宋体" w:hAnsi="宋体"/>
                                  <w:kern w:val="0"/>
                                </w:rPr>
                                <w:t>盒箱安装</w:t>
                              </w:r>
                            </w:p>
                          </w:txbxContent>
                        </wps:txbx>
                        <wps:bodyPr rot="0" vert="horz" wrap="square" lIns="91440" tIns="82800" rIns="91440" bIns="45720" anchor="t" anchorCtr="0" upright="1">
                          <a:noAutofit/>
                        </wps:bodyPr>
                      </wps:wsp>
                      <wps:wsp>
                        <wps:cNvPr id="67" name="Rectangle 6"/>
                        <wps:cNvSpPr>
                          <a:spLocks noChangeArrowheads="1"/>
                        </wps:cNvSpPr>
                        <wps:spPr bwMode="auto">
                          <a:xfrm>
                            <a:off x="3786" y="18"/>
                            <a:ext cx="1250" cy="624"/>
                          </a:xfrm>
                          <a:prstGeom prst="rect">
                            <a:avLst/>
                          </a:prstGeom>
                          <a:solidFill>
                            <a:srgbClr val="FFFFFF"/>
                          </a:solidFill>
                          <a:ln w="9525">
                            <a:solidFill>
                              <a:srgbClr val="000000"/>
                            </a:solidFill>
                            <a:miter lim="800000"/>
                          </a:ln>
                        </wps:spPr>
                        <wps:txbx>
                          <w:txbxContent>
                            <w:p w14:paraId="41D10FD1">
                              <w:pPr>
                                <w:ind w:left="105" w:hanging="105"/>
                                <w:jc w:val="center"/>
                                <w:rPr>
                                  <w:rFonts w:ascii="宋体" w:hAnsi="宋体"/>
                                  <w:kern w:val="0"/>
                                </w:rPr>
                              </w:pPr>
                              <w:r>
                                <w:rPr>
                                  <w:rFonts w:hint="eastAsia" w:ascii="宋体" w:hAnsi="宋体"/>
                                  <w:kern w:val="0"/>
                                </w:rPr>
                                <w:t>缆线敷设</w:t>
                              </w:r>
                            </w:p>
                          </w:txbxContent>
                        </wps:txbx>
                        <wps:bodyPr rot="0" vert="horz" wrap="square" lIns="91440" tIns="82800" rIns="91440" bIns="45720" anchor="t" anchorCtr="0" upright="1">
                          <a:noAutofit/>
                        </wps:bodyPr>
                      </wps:wsp>
                      <wps:wsp>
                        <wps:cNvPr id="68" name="Rectangle 7"/>
                        <wps:cNvSpPr>
                          <a:spLocks noChangeArrowheads="1"/>
                        </wps:cNvSpPr>
                        <wps:spPr bwMode="auto">
                          <a:xfrm>
                            <a:off x="5618" y="-6"/>
                            <a:ext cx="1440" cy="624"/>
                          </a:xfrm>
                          <a:prstGeom prst="rect">
                            <a:avLst/>
                          </a:prstGeom>
                          <a:solidFill>
                            <a:srgbClr val="FFFFFF"/>
                          </a:solidFill>
                          <a:ln w="9525">
                            <a:solidFill>
                              <a:srgbClr val="000000"/>
                            </a:solidFill>
                            <a:miter lim="800000"/>
                          </a:ln>
                        </wps:spPr>
                        <wps:txbx>
                          <w:txbxContent>
                            <w:p w14:paraId="3C7F7184">
                              <w:pPr>
                                <w:ind w:left="105" w:hanging="105"/>
                                <w:jc w:val="center"/>
                                <w:rPr>
                                  <w:rFonts w:ascii="宋体" w:hAnsi="宋体"/>
                                  <w:kern w:val="0"/>
                                </w:rPr>
                              </w:pPr>
                              <w:r>
                                <w:rPr>
                                  <w:rFonts w:hint="eastAsia" w:ascii="宋体" w:hAnsi="宋体"/>
                                  <w:kern w:val="0"/>
                                </w:rPr>
                                <w:t>设备安装</w:t>
                              </w:r>
                            </w:p>
                          </w:txbxContent>
                        </wps:txbx>
                        <wps:bodyPr rot="0" vert="horz" wrap="square" lIns="91440" tIns="82800" rIns="91440" bIns="45720" anchor="t" anchorCtr="0" upright="1">
                          <a:noAutofit/>
                        </wps:bodyPr>
                      </wps:wsp>
                      <wps:wsp>
                        <wps:cNvPr id="70" name="Line 9"/>
                        <wps:cNvCnPr>
                          <a:cxnSpLocks noChangeShapeType="1"/>
                        </wps:cNvCnPr>
                        <wps:spPr bwMode="auto">
                          <a:xfrm flipV="1">
                            <a:off x="1443" y="330"/>
                            <a:ext cx="543" cy="3"/>
                          </a:xfrm>
                          <a:prstGeom prst="line">
                            <a:avLst/>
                          </a:prstGeom>
                          <a:noFill/>
                          <a:ln w="9525">
                            <a:solidFill>
                              <a:srgbClr val="000000"/>
                            </a:solidFill>
                            <a:round/>
                            <a:tailEnd type="triangle" w="med" len="med"/>
                          </a:ln>
                        </wps:spPr>
                        <wps:bodyPr/>
                      </wps:wsp>
                      <wps:wsp>
                        <wps:cNvPr id="71" name="Line 10"/>
                        <wps:cNvCnPr>
                          <a:cxnSpLocks noChangeShapeType="1"/>
                        </wps:cNvCnPr>
                        <wps:spPr bwMode="auto">
                          <a:xfrm>
                            <a:off x="3246" y="330"/>
                            <a:ext cx="540" cy="0"/>
                          </a:xfrm>
                          <a:prstGeom prst="line">
                            <a:avLst/>
                          </a:prstGeom>
                          <a:noFill/>
                          <a:ln w="9525">
                            <a:solidFill>
                              <a:srgbClr val="000000"/>
                            </a:solidFill>
                            <a:round/>
                            <a:tailEnd type="triangle" w="med" len="med"/>
                          </a:ln>
                        </wps:spPr>
                        <wps:bodyPr/>
                      </wps:wsp>
                      <wps:wsp>
                        <wps:cNvPr id="72" name="Line 11"/>
                        <wps:cNvCnPr>
                          <a:cxnSpLocks noChangeShapeType="1"/>
                        </wps:cNvCnPr>
                        <wps:spPr bwMode="auto">
                          <a:xfrm>
                            <a:off x="5056" y="320"/>
                            <a:ext cx="540" cy="0"/>
                          </a:xfrm>
                          <a:prstGeom prst="line">
                            <a:avLst/>
                          </a:prstGeom>
                          <a:noFill/>
                          <a:ln w="9525">
                            <a:solidFill>
                              <a:srgbClr val="000000"/>
                            </a:solidFill>
                            <a:round/>
                            <a:tailEnd type="triangle" w="med" len="med"/>
                          </a:ln>
                        </wps:spPr>
                        <wps:bodyPr/>
                      </wps:wsp>
                      <wps:wsp>
                        <wps:cNvPr id="73" name="Rectangle 12"/>
                        <wps:cNvSpPr>
                          <a:spLocks noChangeArrowheads="1"/>
                        </wps:cNvSpPr>
                        <wps:spPr bwMode="auto">
                          <a:xfrm>
                            <a:off x="-8" y="973"/>
                            <a:ext cx="1620" cy="624"/>
                          </a:xfrm>
                          <a:prstGeom prst="rect">
                            <a:avLst/>
                          </a:prstGeom>
                          <a:solidFill>
                            <a:srgbClr val="FFFFFF"/>
                          </a:solidFill>
                          <a:ln w="9525">
                            <a:solidFill>
                              <a:srgbClr val="000000"/>
                            </a:solidFill>
                            <a:miter lim="800000"/>
                          </a:ln>
                        </wps:spPr>
                        <wps:txbx>
                          <w:txbxContent>
                            <w:p w14:paraId="3414EBA9">
                              <w:pPr>
                                <w:ind w:left="105" w:hanging="105"/>
                                <w:jc w:val="center"/>
                                <w:rPr>
                                  <w:rFonts w:ascii="宋体" w:hAnsi="宋体"/>
                                  <w:kern w:val="0"/>
                                </w:rPr>
                              </w:pPr>
                              <w:r>
                                <w:rPr>
                                  <w:rFonts w:hint="eastAsia" w:ascii="宋体" w:hAnsi="宋体"/>
                                  <w:kern w:val="0"/>
                                </w:rPr>
                                <w:t>缆线终端安装</w:t>
                              </w:r>
                            </w:p>
                          </w:txbxContent>
                        </wps:txbx>
                        <wps:bodyPr rot="0" vert="horz" wrap="square" lIns="91440" tIns="82800" rIns="91440" bIns="45720" anchor="t" anchorCtr="0" upright="1">
                          <a:noAutofit/>
                        </wps:bodyPr>
                      </wps:wsp>
                      <wps:wsp>
                        <wps:cNvPr id="74" name="Line 13"/>
                        <wps:cNvCnPr>
                          <a:cxnSpLocks noChangeShapeType="1"/>
                        </wps:cNvCnPr>
                        <wps:spPr bwMode="auto">
                          <a:xfrm>
                            <a:off x="7058" y="336"/>
                            <a:ext cx="540" cy="0"/>
                          </a:xfrm>
                          <a:prstGeom prst="line">
                            <a:avLst/>
                          </a:prstGeom>
                          <a:noFill/>
                          <a:ln w="9525">
                            <a:solidFill>
                              <a:srgbClr val="000000"/>
                            </a:solidFill>
                            <a:round/>
                            <a:tailEnd type="triangle" w="med" len="med"/>
                          </a:ln>
                        </wps:spPr>
                        <wps:bodyPr/>
                      </wps:wsp>
                      <wps:wsp>
                        <wps:cNvPr id="75" name="Rectangle 14"/>
                        <wps:cNvSpPr>
                          <a:spLocks noChangeArrowheads="1"/>
                        </wps:cNvSpPr>
                        <wps:spPr bwMode="auto">
                          <a:xfrm>
                            <a:off x="2152" y="973"/>
                            <a:ext cx="1260" cy="624"/>
                          </a:xfrm>
                          <a:prstGeom prst="rect">
                            <a:avLst/>
                          </a:prstGeom>
                          <a:solidFill>
                            <a:srgbClr val="FFFFFF"/>
                          </a:solidFill>
                          <a:ln w="9525">
                            <a:solidFill>
                              <a:srgbClr val="000000"/>
                            </a:solidFill>
                            <a:miter lim="800000"/>
                          </a:ln>
                        </wps:spPr>
                        <wps:txbx>
                          <w:txbxContent>
                            <w:p w14:paraId="4AED181E">
                              <w:pPr>
                                <w:ind w:left="105" w:hanging="105"/>
                                <w:jc w:val="center"/>
                                <w:rPr>
                                  <w:rFonts w:ascii="宋体" w:hAnsi="宋体"/>
                                  <w:kern w:val="0"/>
                                </w:rPr>
                              </w:pPr>
                              <w:r>
                                <w:rPr>
                                  <w:rFonts w:hint="eastAsia" w:ascii="宋体" w:hAnsi="宋体"/>
                                  <w:kern w:val="0"/>
                                </w:rPr>
                                <w:t>系统测试</w:t>
                              </w:r>
                            </w:p>
                          </w:txbxContent>
                        </wps:txbx>
                        <wps:bodyPr rot="0" vert="horz" wrap="square" lIns="91440" tIns="82800" rIns="91440" bIns="45720" anchor="t" anchorCtr="0" upright="1">
                          <a:noAutofit/>
                        </wps:bodyPr>
                      </wps:wsp>
                      <wps:wsp>
                        <wps:cNvPr id="76" name="Line 16"/>
                        <wps:cNvCnPr>
                          <a:cxnSpLocks noChangeShapeType="1"/>
                        </wps:cNvCnPr>
                        <wps:spPr bwMode="auto">
                          <a:xfrm>
                            <a:off x="1612" y="1315"/>
                            <a:ext cx="540"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77.35pt;width:431.05pt;" coordorigin="-8,-6" coordsize="7606,1603" o:gfxdata="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AQAY3F1gAAAAUB&#10;AAAPAAAAAAAAAAEAIAAAACIAAABkcnMvZG93bnJldi54bWxQSwECFAAUAAAACACHTuJAwJnalVcE&#10;AACDHAAADgAAAAAAAAABACAAAAAlAQAAZHJzL2Uyb0RvYy54bWxQSwUGAAAAAAYABgBZAQAA7gcA&#10;AAAA&#10;">
                <o:lock v:ext="edit" aspectratio="f"/>
                <v:rect id="Rectangle 3" o:spid="_x0000_s1026" o:spt="1" style="position:absolute;left:3;top:21;height:624;width:1440;" fillcolor="#FFFFFF" filled="t" stroked="t" coordsize="21600,21600" o:gfxdata="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8YU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1F740B6E">
                        <w:pPr>
                          <w:ind w:left="105" w:hanging="105"/>
                          <w:jc w:val="center"/>
                          <w:rPr>
                            <w:rFonts w:ascii="宋体" w:hAnsi="宋体"/>
                            <w:kern w:val="0"/>
                          </w:rPr>
                        </w:pPr>
                        <w:r>
                          <w:rPr>
                            <w:rFonts w:hint="eastAsia" w:ascii="宋体" w:hAnsi="宋体"/>
                            <w:kern w:val="0"/>
                          </w:rPr>
                          <w:t>管路敷设</w:t>
                        </w:r>
                      </w:p>
                    </w:txbxContent>
                  </v:textbox>
                </v:rect>
                <v:rect id="Rectangle 5" o:spid="_x0000_s1026" o:spt="1" style="position:absolute;left:1986;top:18;height:624;width:1260;" fillcolor="#FFFFFF" filled="t" stroked="t" coordsize="21600,21600" o:gfxdata="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Ejv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1AB4E15B">
                        <w:pPr>
                          <w:ind w:left="105" w:hanging="105"/>
                          <w:jc w:val="center"/>
                          <w:rPr>
                            <w:rFonts w:ascii="宋体" w:hAnsi="宋体"/>
                            <w:kern w:val="0"/>
                          </w:rPr>
                        </w:pPr>
                        <w:r>
                          <w:rPr>
                            <w:rFonts w:hint="eastAsia" w:ascii="宋体" w:hAnsi="宋体"/>
                            <w:kern w:val="0"/>
                          </w:rPr>
                          <w:t>盒箱安装</w:t>
                        </w:r>
                      </w:p>
                    </w:txbxContent>
                  </v:textbox>
                </v:rect>
                <v:rect id="Rectangle 6" o:spid="_x0000_s1026" o:spt="1" style="position:absolute;left:3786;top:18;height:624;width:1250;" fillcolor="#FFFFFF" filled="t" stroked="t" coordsize="21600,21600" o:gfxdata="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2GJ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41D10FD1">
                        <w:pPr>
                          <w:ind w:left="105" w:hanging="105"/>
                          <w:jc w:val="center"/>
                          <w:rPr>
                            <w:rFonts w:ascii="宋体" w:hAnsi="宋体"/>
                            <w:kern w:val="0"/>
                          </w:rPr>
                        </w:pPr>
                        <w:r>
                          <w:rPr>
                            <w:rFonts w:hint="eastAsia" w:ascii="宋体" w:hAnsi="宋体"/>
                            <w:kern w:val="0"/>
                          </w:rPr>
                          <w:t>缆线敷设</w:t>
                        </w:r>
                      </w:p>
                    </w:txbxContent>
                  </v:textbox>
                </v:rect>
                <v:rect id="Rectangle 7" o:spid="_x0000_s1026" o:spt="1" style="position:absolute;left:5618;top:-6;height:624;width:1440;" fillcolor="#FFFFFF" filled="t" stroked="t" coordsize="21600,21600" o:gfxdata="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yElS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2.54mm,2.3mm,2.54mm,1.27mm">
                    <w:txbxContent>
                      <w:p w14:paraId="3C7F7184">
                        <w:pPr>
                          <w:ind w:left="105" w:hanging="105"/>
                          <w:jc w:val="center"/>
                          <w:rPr>
                            <w:rFonts w:ascii="宋体" w:hAnsi="宋体"/>
                            <w:kern w:val="0"/>
                          </w:rPr>
                        </w:pPr>
                        <w:r>
                          <w:rPr>
                            <w:rFonts w:hint="eastAsia" w:ascii="宋体" w:hAnsi="宋体"/>
                            <w:kern w:val="0"/>
                          </w:rPr>
                          <w:t>设备安装</w:t>
                        </w:r>
                      </w:p>
                    </w:txbxContent>
                  </v:textbox>
                </v:rect>
                <v:line id="Line 9" o:spid="_x0000_s1026" o:spt="20" style="position:absolute;left:1443;top:330;flip:y;height:3;width:543;" filled="f" stroked="t" coordsize="21600,21600" o:gfxdata="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P9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0" o:spid="_x0000_s1026" o:spt="20" style="position:absolute;left:3246;top:330;height:0;width:54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 o:spid="_x0000_s1026" o:spt="20" style="position:absolute;left:5056;top:320;height:0;width:54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2" o:spid="_x0000_s1026" o:spt="1" style="position:absolute;left:-8;top:973;height:624;width:1620;" fillcolor="#FFFFFF" filled="t" stroked="t" coordsize="21600,21600" o:gfxdata="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8W+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3414EBA9">
                        <w:pPr>
                          <w:ind w:left="105" w:hanging="105"/>
                          <w:jc w:val="center"/>
                          <w:rPr>
                            <w:rFonts w:ascii="宋体" w:hAnsi="宋体"/>
                            <w:kern w:val="0"/>
                          </w:rPr>
                        </w:pPr>
                        <w:r>
                          <w:rPr>
                            <w:rFonts w:hint="eastAsia" w:ascii="宋体" w:hAnsi="宋体"/>
                            <w:kern w:val="0"/>
                          </w:rPr>
                          <w:t>缆线终端安装</w:t>
                        </w:r>
                      </w:p>
                    </w:txbxContent>
                  </v:textbox>
                </v:rect>
                <v:line id="Line 13" o:spid="_x0000_s1026" o:spt="20" style="position:absolute;left:7058;top:336;height:0;width:54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4" o:spid="_x0000_s1026" o:spt="1" style="position:absolute;left:2152;top:973;height:624;width:1260;" fillcolor="#FFFFFF" filled="t" stroked="t" coordsize="21600,21600" o:gfxdata="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qKx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2.3mm,2.54mm,1.27mm">
                    <w:txbxContent>
                      <w:p w14:paraId="4AED181E">
                        <w:pPr>
                          <w:ind w:left="105" w:hanging="105"/>
                          <w:jc w:val="center"/>
                          <w:rPr>
                            <w:rFonts w:ascii="宋体" w:hAnsi="宋体"/>
                            <w:kern w:val="0"/>
                          </w:rPr>
                        </w:pPr>
                        <w:r>
                          <w:rPr>
                            <w:rFonts w:hint="eastAsia" w:ascii="宋体" w:hAnsi="宋体"/>
                            <w:kern w:val="0"/>
                          </w:rPr>
                          <w:t>系统测试</w:t>
                        </w:r>
                      </w:p>
                    </w:txbxContent>
                  </v:textbox>
                </v:rect>
                <v:line id="Line 16" o:spid="_x0000_s1026" o:spt="20" style="position:absolute;left:1612;top:1315;height:0;width:540;"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115D4739">
      <w:pPr>
        <w:ind w:left="0" w:firstLine="0" w:firstLineChars="0"/>
        <w:jc w:val="center"/>
        <w:rPr>
          <w:rFonts w:ascii="Times New Roman" w:hAnsi="Times New Roman" w:eastAsiaTheme="minorEastAsia"/>
          <w:sz w:val="20"/>
          <w:szCs w:val="21"/>
        </w:rPr>
      </w:pPr>
    </w:p>
    <w:p w14:paraId="42821BFD">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图8.3.1   综合布线系统施工工艺流程图</w:t>
      </w:r>
    </w:p>
    <w:p w14:paraId="6342E0C3">
      <w:pPr>
        <w:pStyle w:val="164"/>
        <w:spacing w:before="100" w:after="100" w:line="330" w:lineRule="exact"/>
        <w:ind w:firstLine="0" w:firstLineChars="0"/>
        <w:rPr>
          <w:szCs w:val="21"/>
        </w:rPr>
      </w:pPr>
      <w:r>
        <w:rPr>
          <w:szCs w:val="21"/>
        </w:rPr>
        <w:t>8.3.2 管路敷设应符合下列规定：</w:t>
      </w:r>
    </w:p>
    <w:p w14:paraId="17B572E8">
      <w:pPr>
        <w:pStyle w:val="164"/>
        <w:numPr>
          <w:ilvl w:val="0"/>
          <w:numId w:val="69"/>
        </w:numPr>
        <w:spacing w:line="330" w:lineRule="exact"/>
        <w:ind w:left="0" w:firstLine="420"/>
        <w:rPr>
          <w:rFonts w:eastAsiaTheme="minorEastAsia"/>
        </w:rPr>
      </w:pPr>
      <w:r>
        <w:rPr>
          <w:rFonts w:eastAsiaTheme="minorEastAsia"/>
        </w:rPr>
        <w:t>金属管或阻燃型硬质（PVC）塑料管暗敷设</w:t>
      </w:r>
      <w:r>
        <w:rPr>
          <w:szCs w:val="21"/>
        </w:rPr>
        <w:t>应</w:t>
      </w:r>
      <w:r>
        <w:rPr>
          <w:rFonts w:eastAsiaTheme="minorEastAsia"/>
          <w:szCs w:val="21"/>
        </w:rPr>
        <w:t>符合下列规定</w:t>
      </w:r>
      <w:r>
        <w:rPr>
          <w:rFonts w:eastAsiaTheme="minorEastAsia"/>
        </w:rPr>
        <w:t>：</w:t>
      </w:r>
    </w:p>
    <w:p w14:paraId="2705EE7F">
      <w:pPr>
        <w:pStyle w:val="164"/>
        <w:numPr>
          <w:ilvl w:val="0"/>
          <w:numId w:val="70"/>
        </w:numPr>
        <w:tabs>
          <w:tab w:val="left" w:pos="210"/>
          <w:tab w:val="left" w:pos="567"/>
        </w:tabs>
        <w:spacing w:line="330" w:lineRule="exact"/>
        <w:ind w:firstLine="630" w:firstLineChars="300"/>
        <w:rPr>
          <w:rFonts w:eastAsiaTheme="minorEastAsia"/>
          <w:szCs w:val="21"/>
        </w:rPr>
      </w:pPr>
      <w:r>
        <w:rPr>
          <w:rFonts w:eastAsiaTheme="minorEastAsia"/>
          <w:szCs w:val="21"/>
        </w:rPr>
        <w:t>暗配管宜采用金属管或阻燃型硬质（PVC）塑料管，预埋在墙体中间的暗管内径不宜超过50mm，楼板中的暗管内径直径为15mm～25mm，直线布管30m处应设置拉线盒或接线箱。</w:t>
      </w:r>
    </w:p>
    <w:p w14:paraId="299B4B2A">
      <w:pPr>
        <w:pStyle w:val="164"/>
        <w:numPr>
          <w:ilvl w:val="0"/>
          <w:numId w:val="70"/>
        </w:numPr>
        <w:tabs>
          <w:tab w:val="left" w:pos="210"/>
          <w:tab w:val="left" w:pos="567"/>
        </w:tabs>
        <w:spacing w:line="330" w:lineRule="exact"/>
        <w:ind w:firstLine="630" w:firstLineChars="300"/>
        <w:rPr>
          <w:rFonts w:eastAsiaTheme="minorEastAsia"/>
          <w:szCs w:val="21"/>
        </w:rPr>
      </w:pPr>
      <w:r>
        <w:rPr>
          <w:rFonts w:eastAsiaTheme="minorEastAsia"/>
          <w:szCs w:val="21"/>
        </w:rPr>
        <w:t>暗配管的转弯角度应大于90°，在路径上每根暗管的转弯角度不得多于二个，并不应有S弯出现。在弯曲布管时每间隔15m处，应设置暗拉线盒或接线箱。</w:t>
      </w:r>
    </w:p>
    <w:p w14:paraId="459F599B">
      <w:pPr>
        <w:pStyle w:val="164"/>
        <w:numPr>
          <w:ilvl w:val="0"/>
          <w:numId w:val="70"/>
        </w:numPr>
        <w:tabs>
          <w:tab w:val="left" w:pos="210"/>
          <w:tab w:val="left" w:pos="567"/>
        </w:tabs>
        <w:spacing w:line="330" w:lineRule="exact"/>
        <w:ind w:firstLine="630" w:firstLineChars="300"/>
        <w:rPr>
          <w:rFonts w:eastAsiaTheme="minorEastAsia"/>
          <w:szCs w:val="21"/>
        </w:rPr>
      </w:pPr>
      <w:r>
        <w:rPr>
          <w:rFonts w:eastAsiaTheme="minorEastAsia"/>
          <w:szCs w:val="21"/>
        </w:rPr>
        <w:t>暗配管转弯的弯曲半径不应小于该管外径的6倍，如暗管外径大于50mm时，不应＜l0倍。</w:t>
      </w:r>
    </w:p>
    <w:p w14:paraId="0D3D76DD">
      <w:pPr>
        <w:pStyle w:val="164"/>
        <w:numPr>
          <w:ilvl w:val="0"/>
          <w:numId w:val="69"/>
        </w:numPr>
        <w:spacing w:line="330" w:lineRule="exact"/>
        <w:ind w:left="0" w:firstLine="420"/>
        <w:rPr>
          <w:rFonts w:eastAsiaTheme="minorEastAsia"/>
        </w:rPr>
      </w:pPr>
      <w:r>
        <w:rPr>
          <w:rFonts w:eastAsiaTheme="minorEastAsia"/>
        </w:rPr>
        <w:t>金属线槽地面暗敷设</w:t>
      </w:r>
      <w:r>
        <w:rPr>
          <w:szCs w:val="21"/>
        </w:rPr>
        <w:t>应</w:t>
      </w:r>
      <w:r>
        <w:rPr>
          <w:rFonts w:eastAsiaTheme="minorEastAsia"/>
          <w:szCs w:val="21"/>
        </w:rPr>
        <w:t>符合下列规定</w:t>
      </w:r>
      <w:r>
        <w:rPr>
          <w:rFonts w:eastAsiaTheme="minorEastAsia"/>
        </w:rPr>
        <w:t>：</w:t>
      </w:r>
    </w:p>
    <w:p w14:paraId="0A05B0D0">
      <w:pPr>
        <w:pStyle w:val="164"/>
        <w:numPr>
          <w:ilvl w:val="0"/>
          <w:numId w:val="71"/>
        </w:numPr>
        <w:tabs>
          <w:tab w:val="left" w:pos="210"/>
          <w:tab w:val="left" w:pos="567"/>
        </w:tabs>
        <w:spacing w:line="330" w:lineRule="exact"/>
        <w:ind w:firstLine="630" w:firstLineChars="300"/>
        <w:rPr>
          <w:rFonts w:eastAsiaTheme="minorEastAsia"/>
          <w:szCs w:val="21"/>
        </w:rPr>
      </w:pPr>
      <w:r>
        <w:rPr>
          <w:rFonts w:eastAsiaTheme="minorEastAsia"/>
          <w:szCs w:val="21"/>
        </w:rPr>
        <w:t>在建筑物中预埋线槽，可根据其尺寸不同，按一层或二层设置，应至少预埋二根以上，线槽截面高度不宜超过25mm。</w:t>
      </w:r>
    </w:p>
    <w:p w14:paraId="175CDBB4">
      <w:pPr>
        <w:pStyle w:val="164"/>
        <w:numPr>
          <w:ilvl w:val="0"/>
          <w:numId w:val="71"/>
        </w:numPr>
        <w:tabs>
          <w:tab w:val="left" w:pos="210"/>
          <w:tab w:val="left" w:pos="567"/>
        </w:tabs>
        <w:spacing w:line="330" w:lineRule="exact"/>
        <w:ind w:firstLine="630" w:firstLineChars="300"/>
        <w:rPr>
          <w:rFonts w:eastAsiaTheme="minorEastAsia"/>
          <w:szCs w:val="21"/>
        </w:rPr>
      </w:pPr>
      <w:r>
        <w:rPr>
          <w:rFonts w:eastAsiaTheme="minorEastAsia"/>
          <w:szCs w:val="21"/>
        </w:rPr>
        <w:t>线槽直埋长度超过6m或在线槽路由交叉、转弯时，宜设置拉线盒，以便于布放缆线和维修。</w:t>
      </w:r>
    </w:p>
    <w:p w14:paraId="60654E72">
      <w:pPr>
        <w:pStyle w:val="164"/>
        <w:numPr>
          <w:ilvl w:val="0"/>
          <w:numId w:val="71"/>
        </w:numPr>
        <w:tabs>
          <w:tab w:val="left" w:pos="210"/>
          <w:tab w:val="left" w:pos="567"/>
        </w:tabs>
        <w:spacing w:line="330" w:lineRule="exact"/>
        <w:ind w:firstLine="630" w:firstLineChars="300"/>
        <w:rPr>
          <w:rFonts w:eastAsiaTheme="minorEastAsia"/>
          <w:szCs w:val="21"/>
        </w:rPr>
      </w:pPr>
      <w:r>
        <w:rPr>
          <w:rFonts w:eastAsiaTheme="minorEastAsia"/>
          <w:szCs w:val="21"/>
        </w:rPr>
        <w:t>拉线盒应能开启，并与地面齐平，盒盖处应采取防水措施。</w:t>
      </w:r>
    </w:p>
    <w:p w14:paraId="297F6540">
      <w:pPr>
        <w:pStyle w:val="164"/>
        <w:numPr>
          <w:ilvl w:val="0"/>
          <w:numId w:val="71"/>
        </w:numPr>
        <w:tabs>
          <w:tab w:val="left" w:pos="210"/>
          <w:tab w:val="left" w:pos="567"/>
        </w:tabs>
        <w:spacing w:line="330" w:lineRule="exact"/>
        <w:ind w:firstLine="630" w:firstLineChars="300"/>
        <w:rPr>
          <w:rFonts w:eastAsiaTheme="minorEastAsia"/>
          <w:szCs w:val="21"/>
        </w:rPr>
      </w:pPr>
      <w:r>
        <w:rPr>
          <w:rFonts w:eastAsiaTheme="minorEastAsia"/>
          <w:szCs w:val="21"/>
        </w:rPr>
        <w:t>线槽宜采用金属管引入分线盒内。预埋金属线槽见图8.3.3-1所示。</w:t>
      </w:r>
    </w:p>
    <w:p w14:paraId="175C0911">
      <w:pPr>
        <w:spacing w:line="330" w:lineRule="exact"/>
        <w:ind w:firstLineChars="0"/>
        <w:jc w:val="center"/>
        <w:rPr>
          <w:rFonts w:ascii="Times New Roman" w:hAnsi="Times New Roman"/>
          <w:kern w:val="0"/>
        </w:rPr>
      </w:pPr>
    </w:p>
    <w:p w14:paraId="40D48939">
      <w:pPr>
        <w:pStyle w:val="164"/>
        <w:ind w:left="1050" w:firstLine="0" w:firstLineChars="0"/>
        <w:jc w:val="center"/>
        <w:rPr>
          <w:kern w:val="0"/>
        </w:rPr>
      </w:pPr>
      <w:r>
        <w:drawing>
          <wp:inline distT="0" distB="0" distL="114300" distR="114300">
            <wp:extent cx="2751455" cy="1640840"/>
            <wp:effectExtent l="0" t="0" r="0" b="0"/>
            <wp:docPr id="77" name="图片 77" descr="图4.3.3-1   预埋金属线槽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4.3.3-1   预埋金属线槽图"/>
                    <pic:cNvPicPr>
                      <a:picLocks noChangeAspect="1"/>
                    </pic:cNvPicPr>
                  </pic:nvPicPr>
                  <pic:blipFill>
                    <a:blip r:embed="rId32"/>
                    <a:stretch>
                      <a:fillRect/>
                    </a:stretch>
                  </pic:blipFill>
                  <pic:spPr>
                    <a:xfrm>
                      <a:off x="0" y="0"/>
                      <a:ext cx="2780223" cy="1658517"/>
                    </a:xfrm>
                    <a:prstGeom prst="rect">
                      <a:avLst/>
                    </a:prstGeom>
                  </pic:spPr>
                </pic:pic>
              </a:graphicData>
            </a:graphic>
          </wp:inline>
        </w:drawing>
      </w:r>
    </w:p>
    <w:p w14:paraId="34A12474">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图8.3.3-1   预埋金属线槽图</w:t>
      </w:r>
    </w:p>
    <w:p w14:paraId="14CA673C">
      <w:pPr>
        <w:pStyle w:val="164"/>
        <w:numPr>
          <w:ilvl w:val="0"/>
          <w:numId w:val="69"/>
        </w:numPr>
        <w:autoSpaceDE w:val="0"/>
        <w:autoSpaceDN w:val="0"/>
        <w:adjustRightInd w:val="0"/>
        <w:snapToGrid w:val="0"/>
        <w:spacing w:line="330" w:lineRule="exact"/>
        <w:ind w:left="0" w:firstLine="400" w:firstLineChars="0"/>
        <w:jc w:val="left"/>
        <w:rPr>
          <w:rFonts w:eastAsiaTheme="minorEastAsia"/>
          <w:sz w:val="20"/>
          <w:szCs w:val="21"/>
        </w:rPr>
      </w:pPr>
      <w:r>
        <w:rPr>
          <w:rFonts w:eastAsiaTheme="minorEastAsia"/>
        </w:rPr>
        <w:t>格形楼板下暗敷设格形线槽和沟槽</w:t>
      </w:r>
      <w:r>
        <w:rPr>
          <w:szCs w:val="21"/>
        </w:rPr>
        <w:t>应</w:t>
      </w:r>
      <w:r>
        <w:rPr>
          <w:rFonts w:eastAsiaTheme="minorEastAsia"/>
          <w:szCs w:val="21"/>
        </w:rPr>
        <w:t>符合下列规定</w:t>
      </w:r>
      <w:r>
        <w:rPr>
          <w:rFonts w:eastAsiaTheme="minorEastAsia"/>
        </w:rPr>
        <w:t>：</w:t>
      </w:r>
    </w:p>
    <w:p w14:paraId="33E71D8C">
      <w:pPr>
        <w:pStyle w:val="164"/>
        <w:numPr>
          <w:ilvl w:val="0"/>
          <w:numId w:val="72"/>
        </w:numPr>
        <w:tabs>
          <w:tab w:val="left" w:pos="210"/>
          <w:tab w:val="left" w:pos="567"/>
        </w:tabs>
        <w:spacing w:line="330" w:lineRule="exact"/>
        <w:ind w:firstLine="630" w:firstLineChars="300"/>
        <w:rPr>
          <w:rFonts w:eastAsiaTheme="minorEastAsia"/>
          <w:szCs w:val="21"/>
        </w:rPr>
      </w:pPr>
      <w:r>
        <w:rPr>
          <w:rFonts w:eastAsiaTheme="minorEastAsia"/>
          <w:szCs w:val="21"/>
        </w:rPr>
        <w:t>沟槽和格形线槽应沟通。</w:t>
      </w:r>
    </w:p>
    <w:p w14:paraId="446558E7">
      <w:pPr>
        <w:pStyle w:val="164"/>
        <w:numPr>
          <w:ilvl w:val="0"/>
          <w:numId w:val="72"/>
        </w:numPr>
        <w:tabs>
          <w:tab w:val="left" w:pos="210"/>
          <w:tab w:val="left" w:pos="567"/>
        </w:tabs>
        <w:spacing w:line="330" w:lineRule="exact"/>
        <w:ind w:firstLine="630" w:firstLineChars="300"/>
        <w:rPr>
          <w:rFonts w:eastAsiaTheme="minorEastAsia"/>
          <w:szCs w:val="21"/>
        </w:rPr>
      </w:pPr>
      <w:r>
        <w:rPr>
          <w:rFonts w:eastAsiaTheme="minorEastAsia"/>
          <w:szCs w:val="21"/>
        </w:rPr>
        <w:t>沟槽盖板可开启，并与地面平齐，盖板和信息插座出口处应采取防水措施。</w:t>
      </w:r>
    </w:p>
    <w:p w14:paraId="7F1075F9">
      <w:pPr>
        <w:pStyle w:val="164"/>
        <w:numPr>
          <w:ilvl w:val="0"/>
          <w:numId w:val="72"/>
        </w:numPr>
        <w:tabs>
          <w:tab w:val="left" w:pos="210"/>
          <w:tab w:val="left" w:pos="567"/>
        </w:tabs>
        <w:spacing w:line="330" w:lineRule="exact"/>
        <w:ind w:firstLine="630" w:firstLineChars="300"/>
        <w:rPr>
          <w:rFonts w:eastAsiaTheme="minorEastAsia"/>
          <w:szCs w:val="21"/>
        </w:rPr>
      </w:pPr>
      <w:r>
        <w:rPr>
          <w:rFonts w:eastAsiaTheme="minorEastAsia"/>
          <w:szCs w:val="21"/>
        </w:rPr>
        <w:t>沟槽的宽度宜＜600mm。</w:t>
      </w:r>
    </w:p>
    <w:p w14:paraId="358ACC6A">
      <w:pPr>
        <w:pStyle w:val="164"/>
        <w:numPr>
          <w:ilvl w:val="0"/>
          <w:numId w:val="69"/>
        </w:numPr>
        <w:spacing w:line="330" w:lineRule="exact"/>
        <w:ind w:left="0" w:firstLine="420"/>
        <w:rPr>
          <w:rFonts w:eastAsiaTheme="minorEastAsia"/>
        </w:rPr>
      </w:pPr>
      <w:r>
        <w:rPr>
          <w:rFonts w:eastAsiaTheme="minorEastAsia"/>
        </w:rPr>
        <w:t>桥架敷设</w:t>
      </w:r>
      <w:r>
        <w:rPr>
          <w:szCs w:val="21"/>
        </w:rPr>
        <w:t>应</w:t>
      </w:r>
      <w:r>
        <w:rPr>
          <w:rFonts w:eastAsiaTheme="minorEastAsia"/>
          <w:szCs w:val="21"/>
        </w:rPr>
        <w:t>符合下列规定</w:t>
      </w:r>
      <w:r>
        <w:rPr>
          <w:rFonts w:eastAsiaTheme="minorEastAsia"/>
        </w:rPr>
        <w:t>：</w:t>
      </w:r>
    </w:p>
    <w:p w14:paraId="28D0DB32">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桥架水平敷设时，吊（支）架间距一般为1.5m～3m，垂直敷设时固定在建筑物构体上的间距宜＜2m。</w:t>
      </w:r>
    </w:p>
    <w:p w14:paraId="6F75DB16">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桥架及槽道的安装位置应符合设计图规定，左右偏差不应超过50mm。</w:t>
      </w:r>
    </w:p>
    <w:p w14:paraId="1762D79A">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桥架及槽道水平度每米偏差不应超过2mm。</w:t>
      </w:r>
    </w:p>
    <w:p w14:paraId="45F5E51E">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垂直桥架及槽道应与地面保持垂直，并无倾斜现象，垂直度偏差不应超过3mm。</w:t>
      </w:r>
    </w:p>
    <w:p w14:paraId="05639641">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两槽道拼接处水平度偏差不应超过2mm。</w:t>
      </w:r>
    </w:p>
    <w:p w14:paraId="5887F3BC">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吊（支）架安装应保持垂直平整，排列整齐，固定牢固，无歪斜现象。</w:t>
      </w:r>
    </w:p>
    <w:p w14:paraId="729E4F02">
      <w:pPr>
        <w:pStyle w:val="164"/>
        <w:numPr>
          <w:ilvl w:val="0"/>
          <w:numId w:val="73"/>
        </w:numPr>
        <w:tabs>
          <w:tab w:val="left" w:pos="210"/>
          <w:tab w:val="left" w:pos="567"/>
        </w:tabs>
        <w:spacing w:line="330" w:lineRule="exact"/>
        <w:ind w:firstLine="630" w:firstLineChars="300"/>
        <w:rPr>
          <w:rFonts w:eastAsiaTheme="minorEastAsia"/>
          <w:szCs w:val="21"/>
        </w:rPr>
      </w:pPr>
      <w:r>
        <w:rPr>
          <w:rFonts w:eastAsiaTheme="minorEastAsia"/>
          <w:szCs w:val="21"/>
        </w:rPr>
        <w:t>金属桥架及槽道节与节间应接触良好安装牢固。</w:t>
      </w:r>
    </w:p>
    <w:p w14:paraId="49D7CA39">
      <w:pPr>
        <w:pStyle w:val="164"/>
        <w:spacing w:before="100" w:after="100" w:line="330" w:lineRule="exact"/>
        <w:ind w:firstLine="0" w:firstLineChars="0"/>
        <w:rPr>
          <w:szCs w:val="21"/>
        </w:rPr>
      </w:pPr>
      <w:r>
        <w:rPr>
          <w:szCs w:val="21"/>
        </w:rPr>
        <w:t>8.3.3 盒箱安装应符合下列规定：</w:t>
      </w:r>
    </w:p>
    <w:p w14:paraId="7675CF62">
      <w:pPr>
        <w:pStyle w:val="164"/>
        <w:numPr>
          <w:ilvl w:val="0"/>
          <w:numId w:val="74"/>
        </w:numPr>
        <w:spacing w:line="330" w:lineRule="exact"/>
        <w:ind w:left="0" w:firstLine="420"/>
        <w:rPr>
          <w:rFonts w:eastAsiaTheme="minorEastAsia"/>
        </w:rPr>
      </w:pPr>
      <w:r>
        <w:rPr>
          <w:rFonts w:eastAsiaTheme="minorEastAsia"/>
        </w:rPr>
        <w:t>信息插座安装</w:t>
      </w:r>
      <w:r>
        <w:rPr>
          <w:szCs w:val="21"/>
        </w:rPr>
        <w:t>应</w:t>
      </w:r>
      <w:r>
        <w:rPr>
          <w:rFonts w:eastAsiaTheme="minorEastAsia"/>
          <w:szCs w:val="21"/>
        </w:rPr>
        <w:t>符合下列规定</w:t>
      </w:r>
      <w:r>
        <w:rPr>
          <w:rFonts w:eastAsiaTheme="minorEastAsia"/>
        </w:rPr>
        <w:t>：</w:t>
      </w:r>
    </w:p>
    <w:p w14:paraId="20A1EB46">
      <w:pPr>
        <w:pStyle w:val="164"/>
        <w:numPr>
          <w:ilvl w:val="0"/>
          <w:numId w:val="75"/>
        </w:numPr>
        <w:tabs>
          <w:tab w:val="left" w:pos="210"/>
          <w:tab w:val="left" w:pos="567"/>
        </w:tabs>
        <w:spacing w:line="330" w:lineRule="exact"/>
        <w:ind w:firstLine="630" w:firstLineChars="300"/>
        <w:rPr>
          <w:rFonts w:eastAsiaTheme="minorEastAsia"/>
          <w:szCs w:val="21"/>
        </w:rPr>
      </w:pPr>
      <w:r>
        <w:rPr>
          <w:rFonts w:eastAsiaTheme="minorEastAsia"/>
          <w:szCs w:val="21"/>
        </w:rPr>
        <w:t>安装在活动地板或地面上，应固定在接线盒内，插座面板有直立和水平等形式，接线盒盖可开启，并应严密防水、防尘。接线盒盖面应与地面平齐。</w:t>
      </w:r>
    </w:p>
    <w:p w14:paraId="7ECB9BE4">
      <w:pPr>
        <w:pStyle w:val="164"/>
        <w:numPr>
          <w:ilvl w:val="0"/>
          <w:numId w:val="75"/>
        </w:numPr>
        <w:tabs>
          <w:tab w:val="left" w:pos="210"/>
          <w:tab w:val="left" w:pos="567"/>
        </w:tabs>
        <w:spacing w:line="330" w:lineRule="exact"/>
        <w:ind w:firstLine="630" w:firstLineChars="300"/>
        <w:rPr>
          <w:rFonts w:eastAsiaTheme="minorEastAsia"/>
          <w:szCs w:val="21"/>
        </w:rPr>
      </w:pPr>
      <w:r>
        <w:rPr>
          <w:rFonts w:eastAsiaTheme="minorEastAsia"/>
          <w:szCs w:val="21"/>
        </w:rPr>
        <w:t>安装在墙体上，宜高出地面300mm，如地面采用活动地板时，应加上活动地板内净高尺寸。</w:t>
      </w:r>
    </w:p>
    <w:p w14:paraId="64287442">
      <w:pPr>
        <w:pStyle w:val="164"/>
        <w:numPr>
          <w:ilvl w:val="0"/>
          <w:numId w:val="75"/>
        </w:numPr>
        <w:tabs>
          <w:tab w:val="left" w:pos="210"/>
          <w:tab w:val="left" w:pos="567"/>
        </w:tabs>
        <w:spacing w:line="330" w:lineRule="exact"/>
        <w:ind w:firstLine="630" w:firstLineChars="300"/>
        <w:rPr>
          <w:rFonts w:eastAsiaTheme="minorEastAsia"/>
          <w:szCs w:val="21"/>
        </w:rPr>
      </w:pPr>
      <w:r>
        <w:rPr>
          <w:rFonts w:eastAsiaTheme="minorEastAsia"/>
          <w:szCs w:val="21"/>
        </w:rPr>
        <w:t>信息插座底座的固定方法以施工现场条件而定，宜采用扩张螺钉、射钉等方式。</w:t>
      </w:r>
    </w:p>
    <w:p w14:paraId="7F0100AF">
      <w:pPr>
        <w:pStyle w:val="164"/>
        <w:numPr>
          <w:ilvl w:val="0"/>
          <w:numId w:val="75"/>
        </w:numPr>
        <w:tabs>
          <w:tab w:val="left" w:pos="210"/>
          <w:tab w:val="left" w:pos="567"/>
        </w:tabs>
        <w:spacing w:line="330" w:lineRule="exact"/>
        <w:ind w:firstLine="630" w:firstLineChars="300"/>
        <w:rPr>
          <w:rFonts w:eastAsiaTheme="minorEastAsia"/>
          <w:szCs w:val="21"/>
        </w:rPr>
      </w:pPr>
      <w:r>
        <w:rPr>
          <w:rFonts w:eastAsiaTheme="minorEastAsia"/>
          <w:szCs w:val="21"/>
        </w:rPr>
        <w:t>固定螺丝需拧紧，不应产生松动现象。</w:t>
      </w:r>
    </w:p>
    <w:p w14:paraId="64842B50">
      <w:pPr>
        <w:pStyle w:val="164"/>
        <w:numPr>
          <w:ilvl w:val="0"/>
          <w:numId w:val="75"/>
        </w:numPr>
        <w:tabs>
          <w:tab w:val="left" w:pos="210"/>
          <w:tab w:val="left" w:pos="567"/>
        </w:tabs>
        <w:spacing w:line="330" w:lineRule="exact"/>
        <w:ind w:firstLine="630" w:firstLineChars="300"/>
        <w:rPr>
          <w:rFonts w:eastAsiaTheme="minorEastAsia"/>
          <w:szCs w:val="21"/>
        </w:rPr>
      </w:pPr>
      <w:r>
        <w:rPr>
          <w:rFonts w:eastAsiaTheme="minorEastAsia"/>
          <w:szCs w:val="21"/>
        </w:rPr>
        <w:t>信息插座应有标签，以颜色、图形、文字表示所接终端设备类型。</w:t>
      </w:r>
    </w:p>
    <w:p w14:paraId="3BB6BFF7">
      <w:pPr>
        <w:pStyle w:val="164"/>
        <w:numPr>
          <w:ilvl w:val="0"/>
          <w:numId w:val="74"/>
        </w:numPr>
        <w:spacing w:line="330" w:lineRule="exact"/>
        <w:ind w:left="0" w:firstLine="420"/>
        <w:rPr>
          <w:rFonts w:eastAsiaTheme="minorEastAsia"/>
        </w:rPr>
      </w:pPr>
      <w:r>
        <w:rPr>
          <w:rFonts w:eastAsiaTheme="minorEastAsia"/>
        </w:rPr>
        <w:t>交接箱或暗线箱宜暗设在墙体内，预留墙洞安装，箱底高出地面宜为500mm～1000mm。</w:t>
      </w:r>
    </w:p>
    <w:p w14:paraId="6CEF3122">
      <w:pPr>
        <w:pStyle w:val="164"/>
        <w:spacing w:before="100" w:after="100" w:line="330" w:lineRule="exact"/>
        <w:ind w:firstLine="0" w:firstLineChars="0"/>
        <w:rPr>
          <w:szCs w:val="21"/>
        </w:rPr>
      </w:pPr>
      <w:r>
        <w:rPr>
          <w:szCs w:val="21"/>
        </w:rPr>
        <w:t>8.3.4 缆线敷设应符合下列规定：</w:t>
      </w:r>
    </w:p>
    <w:p w14:paraId="2F3CCD5A">
      <w:pPr>
        <w:pStyle w:val="164"/>
        <w:numPr>
          <w:ilvl w:val="0"/>
          <w:numId w:val="76"/>
        </w:numPr>
        <w:spacing w:line="330" w:lineRule="exact"/>
        <w:ind w:left="0" w:firstLine="420"/>
        <w:rPr>
          <w:rFonts w:eastAsiaTheme="minorEastAsia"/>
        </w:rPr>
      </w:pPr>
      <w:r>
        <w:rPr>
          <w:rFonts w:eastAsiaTheme="minorEastAsia"/>
        </w:rPr>
        <w:t>缆线敷设一般应符合下列规定：</w:t>
      </w:r>
    </w:p>
    <w:p w14:paraId="4A9ED408">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缆线布放前应核对型号规格、程式、路由及位置与设计规定相符。</w:t>
      </w:r>
    </w:p>
    <w:p w14:paraId="4A3904AE">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缆线的布放应平直、不得产生扭绞，打圈等现象，不应受到外力的挤压和损伤。</w:t>
      </w:r>
    </w:p>
    <w:p w14:paraId="087575E2">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缆线在布放前两端应贴有标签，以表明起始和终端位置，标签书写应清晰，端正和正确。</w:t>
      </w:r>
    </w:p>
    <w:p w14:paraId="1D381D72">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电源线、信号电缆、对绞电缆、光缆及建筑物内其他弱电系统的缆线应分离布放。各缆线间的最小净距应满足设计要求。</w:t>
      </w:r>
    </w:p>
    <w:p w14:paraId="0CCE56B0">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缆线布放时应有冗余。在交接间，设备间对绞电缆预留长度，一般为0.5m～1.0m，工作区为0.1m～0.3m；光缆在设备端预留长度一般为3m～5m；有特殊要求的应按设计要求预留长度。</w:t>
      </w:r>
    </w:p>
    <w:p w14:paraId="62E06139">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缆线的弯曲半径应符合下列规定：</w:t>
      </w:r>
    </w:p>
    <w:p w14:paraId="54FEA5E4">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非屏蔽4对对绞电缆的弯曲半径应至少为电缆外径的4倍，在施工过程中应至少为8倍。</w:t>
      </w:r>
    </w:p>
    <w:p w14:paraId="482F0208">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屏蔽对绞电缆的弯曲半径应至少为电缆外径的6倍～10倍。</w:t>
      </w:r>
    </w:p>
    <w:p w14:paraId="4E6DBD74">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主干对绞电缆的弯曲半径应至少为电缆外径的10倍。</w:t>
      </w:r>
    </w:p>
    <w:p w14:paraId="6309EF18">
      <w:pPr>
        <w:pStyle w:val="164"/>
        <w:numPr>
          <w:ilvl w:val="0"/>
          <w:numId w:val="61"/>
        </w:numPr>
        <w:autoSpaceDE w:val="0"/>
        <w:autoSpaceDN w:val="0"/>
        <w:adjustRightInd w:val="0"/>
        <w:snapToGrid w:val="0"/>
        <w:spacing w:line="330" w:lineRule="exact"/>
        <w:ind w:left="0" w:firstLine="840" w:firstLineChars="400"/>
        <w:rPr>
          <w:rFonts w:eastAsiaTheme="minorEastAsia"/>
          <w:szCs w:val="21"/>
        </w:rPr>
      </w:pPr>
      <w:r>
        <w:rPr>
          <w:rFonts w:eastAsiaTheme="minorEastAsia"/>
          <w:szCs w:val="21"/>
        </w:rPr>
        <w:t>光缆的弯曲半径应至少为光缆外径的l5倍，在施工过程中应至少为20倍。</w:t>
      </w:r>
    </w:p>
    <w:p w14:paraId="0F265166">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缆线布放，在牵引过程中，吊挂缆线的支点相隔间距不应大于1.5m。</w:t>
      </w:r>
    </w:p>
    <w:p w14:paraId="4C0D7C30">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布放缆线的牵引力，应小于缆线允许张力的80%，对光缆瞬间最大牵引力不应超过光缆允许的张力。在以牵引方式敷设光缆时，主要牵引力应加在光缆的加强芯上。</w:t>
      </w:r>
    </w:p>
    <w:p w14:paraId="3C6217E0">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缆线布放过程中为避免受力和扭曲，应制作合格的牵引端头。如果用机械牵引时，应根据缆线牵引的长度、布放环境、牵引张力等因素选用集中牵引或分散牵引等方式。</w:t>
      </w:r>
    </w:p>
    <w:p w14:paraId="1A3ACF6F">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布放光缆时，光缆盘转动应与光缆布放同步，光缆牵引的速度一般为15m/min。光缆出盘处要保持松弛的弧度，并留有缓冲的余量，又不宜过多，避免光缆出现背扣。</w:t>
      </w:r>
    </w:p>
    <w:p w14:paraId="5D348DBE">
      <w:pPr>
        <w:pStyle w:val="164"/>
        <w:numPr>
          <w:ilvl w:val="0"/>
          <w:numId w:val="77"/>
        </w:numPr>
        <w:tabs>
          <w:tab w:val="left" w:pos="210"/>
          <w:tab w:val="left" w:pos="567"/>
        </w:tabs>
        <w:spacing w:line="330" w:lineRule="exact"/>
        <w:ind w:firstLine="630" w:firstLineChars="300"/>
        <w:rPr>
          <w:rFonts w:eastAsiaTheme="minorEastAsia"/>
          <w:szCs w:val="21"/>
        </w:rPr>
      </w:pPr>
      <w:r>
        <w:rPr>
          <w:rFonts w:eastAsiaTheme="minorEastAsia"/>
          <w:szCs w:val="21"/>
        </w:rPr>
        <w:t>对绞电缆与电力电缆最小净距应符合表8.3.4-1规定，与其他管线最小净距应符合表8.3.4-2规定。</w:t>
      </w:r>
    </w:p>
    <w:p w14:paraId="442EA99C">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表8.3.4-1   对绞电缆与电力线最小净距</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2"/>
        <w:gridCol w:w="1692"/>
        <w:gridCol w:w="1693"/>
        <w:gridCol w:w="1780"/>
      </w:tblGrid>
      <w:tr w14:paraId="48D9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14:paraId="4D2D9B9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条件</w:t>
            </w:r>
          </w:p>
        </w:tc>
        <w:tc>
          <w:tcPr>
            <w:tcW w:w="4758" w:type="dxa"/>
            <w:gridSpan w:val="3"/>
            <w:vAlign w:val="center"/>
          </w:tcPr>
          <w:p w14:paraId="69B7BCF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最小净距(mm)</w:t>
            </w:r>
          </w:p>
        </w:tc>
      </w:tr>
      <w:tr w14:paraId="7F83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14:paraId="6E28669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电力线缆规格</w:t>
            </w:r>
          </w:p>
        </w:tc>
        <w:tc>
          <w:tcPr>
            <w:tcW w:w="1559" w:type="dxa"/>
            <w:vAlign w:val="center"/>
          </w:tcPr>
          <w:p w14:paraId="1EF57E76">
            <w:pPr>
              <w:spacing w:line="330" w:lineRule="exact"/>
              <w:ind w:left="0" w:firstLine="0" w:firstLineChars="0"/>
              <w:jc w:val="center"/>
              <w:rPr>
                <w:rFonts w:ascii="Times New Roman" w:hAnsi="Times New Roman"/>
                <w:sz w:val="18"/>
                <w:szCs w:val="18"/>
              </w:rPr>
            </w:pPr>
            <w:r>
              <w:rPr>
                <w:rFonts w:ascii="Times New Roman" w:hAnsi="Times New Roman"/>
                <w:sz w:val="18"/>
                <w:szCs w:val="18"/>
              </w:rPr>
              <w:t>&lt;2kV·A</w:t>
            </w:r>
          </w:p>
          <w:p w14:paraId="4B013E3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w:t>
            </w:r>
            <w:r>
              <w:rPr>
                <w:rFonts w:ascii="Times New Roman" w:hAnsi="Times New Roman"/>
                <w:kern w:val="0"/>
                <w:sz w:val="18"/>
                <w:szCs w:val="18"/>
              </w:rPr>
              <w:t>～</w:t>
            </w:r>
            <w:r>
              <w:rPr>
                <w:rFonts w:ascii="Times New Roman" w:hAnsi="Times New Roman"/>
                <w:sz w:val="18"/>
                <w:szCs w:val="18"/>
              </w:rPr>
              <w:t>380V)</w:t>
            </w:r>
          </w:p>
        </w:tc>
        <w:tc>
          <w:tcPr>
            <w:tcW w:w="1560" w:type="dxa"/>
            <w:vAlign w:val="center"/>
          </w:tcPr>
          <w:p w14:paraId="09BCE3E2">
            <w:pPr>
              <w:spacing w:line="330" w:lineRule="exact"/>
              <w:ind w:left="0" w:firstLine="0" w:firstLineChars="0"/>
              <w:jc w:val="center"/>
              <w:rPr>
                <w:rFonts w:ascii="Times New Roman" w:hAnsi="Times New Roman"/>
                <w:sz w:val="18"/>
                <w:szCs w:val="18"/>
              </w:rPr>
            </w:pPr>
            <w:r>
              <w:rPr>
                <w:rFonts w:ascii="Times New Roman" w:hAnsi="Times New Roman"/>
                <w:sz w:val="18"/>
                <w:szCs w:val="18"/>
              </w:rPr>
              <w:t>2kV·A</w:t>
            </w:r>
            <w:r>
              <w:rPr>
                <w:rFonts w:ascii="Times New Roman" w:hAnsi="Times New Roman"/>
                <w:kern w:val="0"/>
                <w:sz w:val="18"/>
                <w:szCs w:val="18"/>
              </w:rPr>
              <w:t>～</w:t>
            </w:r>
            <w:r>
              <w:rPr>
                <w:rFonts w:ascii="Times New Roman" w:hAnsi="Times New Roman"/>
                <w:sz w:val="18"/>
                <w:szCs w:val="18"/>
              </w:rPr>
              <w:t>5 kV·A</w:t>
            </w:r>
          </w:p>
          <w:p w14:paraId="2E7EFA0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w:t>
            </w:r>
            <w:r>
              <w:rPr>
                <w:rFonts w:ascii="Times New Roman" w:hAnsi="Times New Roman"/>
                <w:kern w:val="0"/>
                <w:sz w:val="18"/>
                <w:szCs w:val="18"/>
              </w:rPr>
              <w:t>～</w:t>
            </w:r>
            <w:r>
              <w:rPr>
                <w:rFonts w:ascii="Times New Roman" w:hAnsi="Times New Roman"/>
                <w:sz w:val="18"/>
                <w:szCs w:val="18"/>
              </w:rPr>
              <w:t>380V)</w:t>
            </w:r>
          </w:p>
        </w:tc>
        <w:tc>
          <w:tcPr>
            <w:tcW w:w="1639" w:type="dxa"/>
            <w:vAlign w:val="center"/>
          </w:tcPr>
          <w:p w14:paraId="584B4087">
            <w:pPr>
              <w:spacing w:line="330" w:lineRule="exact"/>
              <w:ind w:left="0" w:firstLine="0" w:firstLineChars="0"/>
              <w:jc w:val="center"/>
              <w:rPr>
                <w:rFonts w:ascii="Times New Roman" w:hAnsi="Times New Roman"/>
                <w:sz w:val="18"/>
                <w:szCs w:val="18"/>
              </w:rPr>
            </w:pPr>
            <w:r>
              <w:rPr>
                <w:rFonts w:ascii="Times New Roman" w:hAnsi="Times New Roman"/>
                <w:sz w:val="18"/>
                <w:szCs w:val="18"/>
              </w:rPr>
              <w:t>&gt;5 kV·A</w:t>
            </w:r>
          </w:p>
          <w:p w14:paraId="59F74E4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w:t>
            </w:r>
            <w:r>
              <w:rPr>
                <w:rFonts w:ascii="Times New Roman" w:hAnsi="Times New Roman"/>
                <w:kern w:val="0"/>
                <w:sz w:val="18"/>
                <w:szCs w:val="18"/>
              </w:rPr>
              <w:t>～</w:t>
            </w:r>
            <w:r>
              <w:rPr>
                <w:rFonts w:ascii="Times New Roman" w:hAnsi="Times New Roman"/>
                <w:sz w:val="18"/>
                <w:szCs w:val="18"/>
              </w:rPr>
              <w:t>380V)</w:t>
            </w:r>
          </w:p>
        </w:tc>
      </w:tr>
      <w:tr w14:paraId="4F86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539" w:type="dxa"/>
            <w:vAlign w:val="center"/>
          </w:tcPr>
          <w:p w14:paraId="691AA5F0">
            <w:pPr>
              <w:spacing w:line="330" w:lineRule="exact"/>
              <w:ind w:left="0" w:firstLine="0" w:firstLineChars="0"/>
              <w:jc w:val="center"/>
              <w:rPr>
                <w:rFonts w:ascii="Times New Roman" w:hAnsi="Times New Roman"/>
                <w:sz w:val="18"/>
                <w:szCs w:val="18"/>
              </w:rPr>
            </w:pPr>
            <w:r>
              <w:rPr>
                <w:rFonts w:ascii="Times New Roman" w:hAnsi="Times New Roman"/>
                <w:sz w:val="18"/>
                <w:szCs w:val="18"/>
              </w:rPr>
              <w:t>对绞电缆与电力线平行敷设</w:t>
            </w:r>
          </w:p>
        </w:tc>
        <w:tc>
          <w:tcPr>
            <w:tcW w:w="1559" w:type="dxa"/>
            <w:vAlign w:val="center"/>
          </w:tcPr>
          <w:p w14:paraId="3E5CE23F">
            <w:pPr>
              <w:spacing w:line="330" w:lineRule="exact"/>
              <w:ind w:left="0" w:firstLine="0" w:firstLineChars="0"/>
              <w:jc w:val="center"/>
              <w:rPr>
                <w:rFonts w:ascii="Times New Roman" w:hAnsi="Times New Roman"/>
                <w:sz w:val="18"/>
                <w:szCs w:val="18"/>
              </w:rPr>
            </w:pPr>
            <w:r>
              <w:rPr>
                <w:rFonts w:ascii="Times New Roman" w:hAnsi="Times New Roman"/>
                <w:sz w:val="18"/>
                <w:szCs w:val="18"/>
              </w:rPr>
              <w:t>130</w:t>
            </w:r>
          </w:p>
        </w:tc>
        <w:tc>
          <w:tcPr>
            <w:tcW w:w="1560" w:type="dxa"/>
            <w:vAlign w:val="center"/>
          </w:tcPr>
          <w:p w14:paraId="0C60609C">
            <w:pPr>
              <w:spacing w:line="330" w:lineRule="exact"/>
              <w:ind w:left="0" w:firstLine="0" w:firstLineChars="0"/>
              <w:jc w:val="center"/>
              <w:rPr>
                <w:rFonts w:ascii="Times New Roman" w:hAnsi="Times New Roman"/>
                <w:sz w:val="18"/>
                <w:szCs w:val="18"/>
              </w:rPr>
            </w:pPr>
            <w:r>
              <w:rPr>
                <w:rFonts w:ascii="Times New Roman" w:hAnsi="Times New Roman"/>
                <w:sz w:val="18"/>
                <w:szCs w:val="18"/>
              </w:rPr>
              <w:t>300</w:t>
            </w:r>
          </w:p>
        </w:tc>
        <w:tc>
          <w:tcPr>
            <w:tcW w:w="1639" w:type="dxa"/>
            <w:vAlign w:val="center"/>
          </w:tcPr>
          <w:p w14:paraId="6866EC5A">
            <w:pPr>
              <w:spacing w:line="330" w:lineRule="exact"/>
              <w:ind w:left="0" w:firstLine="0" w:firstLineChars="0"/>
              <w:jc w:val="center"/>
              <w:rPr>
                <w:rFonts w:ascii="Times New Roman" w:hAnsi="Times New Roman"/>
                <w:sz w:val="18"/>
                <w:szCs w:val="18"/>
              </w:rPr>
            </w:pPr>
            <w:r>
              <w:rPr>
                <w:rFonts w:ascii="Times New Roman" w:hAnsi="Times New Roman"/>
                <w:sz w:val="18"/>
                <w:szCs w:val="18"/>
              </w:rPr>
              <w:t>600</w:t>
            </w:r>
          </w:p>
        </w:tc>
      </w:tr>
      <w:tr w14:paraId="2392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539" w:type="dxa"/>
            <w:vAlign w:val="center"/>
          </w:tcPr>
          <w:p w14:paraId="6AA94814">
            <w:pPr>
              <w:spacing w:line="330" w:lineRule="exact"/>
              <w:ind w:left="0" w:firstLine="0" w:firstLineChars="0"/>
              <w:jc w:val="center"/>
              <w:rPr>
                <w:rFonts w:ascii="Times New Roman" w:hAnsi="Times New Roman"/>
                <w:sz w:val="18"/>
                <w:szCs w:val="18"/>
              </w:rPr>
            </w:pPr>
            <w:r>
              <w:rPr>
                <w:rFonts w:ascii="Times New Roman" w:hAnsi="Times New Roman"/>
                <w:sz w:val="18"/>
                <w:szCs w:val="18"/>
              </w:rPr>
              <w:t>有一方在接地的槽道或钢管中</w:t>
            </w:r>
          </w:p>
        </w:tc>
        <w:tc>
          <w:tcPr>
            <w:tcW w:w="1559" w:type="dxa"/>
            <w:vAlign w:val="center"/>
          </w:tcPr>
          <w:p w14:paraId="7B3F1B40">
            <w:pPr>
              <w:spacing w:line="330" w:lineRule="exact"/>
              <w:ind w:left="0" w:firstLine="0" w:firstLineChars="0"/>
              <w:jc w:val="center"/>
              <w:rPr>
                <w:rFonts w:ascii="Times New Roman" w:hAnsi="Times New Roman"/>
                <w:sz w:val="18"/>
                <w:szCs w:val="18"/>
              </w:rPr>
            </w:pPr>
            <w:r>
              <w:rPr>
                <w:rFonts w:ascii="Times New Roman" w:hAnsi="Times New Roman"/>
                <w:sz w:val="18"/>
                <w:szCs w:val="18"/>
              </w:rPr>
              <w:t>70</w:t>
            </w:r>
          </w:p>
        </w:tc>
        <w:tc>
          <w:tcPr>
            <w:tcW w:w="1560" w:type="dxa"/>
            <w:vAlign w:val="center"/>
          </w:tcPr>
          <w:p w14:paraId="3F056D59">
            <w:pPr>
              <w:spacing w:line="330" w:lineRule="exact"/>
              <w:ind w:left="0" w:firstLine="0" w:firstLineChars="0"/>
              <w:jc w:val="center"/>
              <w:rPr>
                <w:rFonts w:ascii="Times New Roman" w:hAnsi="Times New Roman"/>
                <w:sz w:val="18"/>
                <w:szCs w:val="18"/>
              </w:rPr>
            </w:pPr>
            <w:r>
              <w:rPr>
                <w:rFonts w:ascii="Times New Roman" w:hAnsi="Times New Roman"/>
                <w:sz w:val="18"/>
                <w:szCs w:val="18"/>
              </w:rPr>
              <w:t>150</w:t>
            </w:r>
          </w:p>
        </w:tc>
        <w:tc>
          <w:tcPr>
            <w:tcW w:w="1639" w:type="dxa"/>
            <w:vAlign w:val="center"/>
          </w:tcPr>
          <w:p w14:paraId="4E40B5FD">
            <w:pPr>
              <w:spacing w:line="330" w:lineRule="exact"/>
              <w:ind w:left="0" w:firstLine="0" w:firstLineChars="0"/>
              <w:jc w:val="center"/>
              <w:rPr>
                <w:rFonts w:ascii="Times New Roman" w:hAnsi="Times New Roman"/>
                <w:sz w:val="18"/>
                <w:szCs w:val="18"/>
              </w:rPr>
            </w:pPr>
            <w:r>
              <w:rPr>
                <w:rFonts w:ascii="Times New Roman" w:hAnsi="Times New Roman"/>
                <w:sz w:val="18"/>
                <w:szCs w:val="18"/>
              </w:rPr>
              <w:t>300</w:t>
            </w:r>
          </w:p>
        </w:tc>
      </w:tr>
      <w:tr w14:paraId="72B6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539" w:type="dxa"/>
            <w:vAlign w:val="center"/>
          </w:tcPr>
          <w:p w14:paraId="48A21869">
            <w:pPr>
              <w:spacing w:line="330" w:lineRule="exact"/>
              <w:ind w:left="0" w:firstLine="0" w:firstLineChars="0"/>
              <w:jc w:val="center"/>
              <w:rPr>
                <w:rFonts w:ascii="Times New Roman" w:hAnsi="Times New Roman"/>
                <w:sz w:val="18"/>
                <w:szCs w:val="18"/>
              </w:rPr>
            </w:pPr>
            <w:r>
              <w:rPr>
                <w:rFonts w:ascii="Times New Roman" w:hAnsi="Times New Roman"/>
                <w:sz w:val="18"/>
                <w:szCs w:val="18"/>
              </w:rPr>
              <w:t>双方均在接地的槽道或钢管中</w:t>
            </w:r>
          </w:p>
        </w:tc>
        <w:tc>
          <w:tcPr>
            <w:tcW w:w="1559" w:type="dxa"/>
            <w:vAlign w:val="center"/>
          </w:tcPr>
          <w:p w14:paraId="0D8F558E">
            <w:pPr>
              <w:spacing w:line="330" w:lineRule="exact"/>
              <w:ind w:left="0" w:firstLine="0" w:firstLineChars="0"/>
              <w:jc w:val="center"/>
              <w:rPr>
                <w:rFonts w:ascii="Times New Roman" w:hAnsi="Times New Roman"/>
                <w:sz w:val="18"/>
                <w:szCs w:val="18"/>
              </w:rPr>
            </w:pPr>
            <w:r>
              <w:rPr>
                <w:rFonts w:ascii="Times New Roman" w:hAnsi="Times New Roman"/>
                <w:sz w:val="18"/>
                <w:szCs w:val="18"/>
              </w:rPr>
              <w:t>10</w:t>
            </w:r>
          </w:p>
        </w:tc>
        <w:tc>
          <w:tcPr>
            <w:tcW w:w="1560" w:type="dxa"/>
            <w:vAlign w:val="center"/>
          </w:tcPr>
          <w:p w14:paraId="4ED1E128">
            <w:pPr>
              <w:spacing w:line="330" w:lineRule="exact"/>
              <w:ind w:left="0" w:firstLine="0" w:firstLineChars="0"/>
              <w:jc w:val="center"/>
              <w:rPr>
                <w:rFonts w:ascii="Times New Roman" w:hAnsi="Times New Roman"/>
                <w:sz w:val="18"/>
                <w:szCs w:val="18"/>
              </w:rPr>
            </w:pPr>
            <w:r>
              <w:rPr>
                <w:rFonts w:ascii="Times New Roman" w:hAnsi="Times New Roman"/>
                <w:sz w:val="18"/>
                <w:szCs w:val="18"/>
              </w:rPr>
              <w:t>80</w:t>
            </w:r>
          </w:p>
        </w:tc>
        <w:tc>
          <w:tcPr>
            <w:tcW w:w="1639" w:type="dxa"/>
            <w:vAlign w:val="center"/>
          </w:tcPr>
          <w:p w14:paraId="64B79AB0">
            <w:pPr>
              <w:spacing w:line="330" w:lineRule="exact"/>
              <w:ind w:left="0" w:firstLine="0" w:firstLineChars="0"/>
              <w:jc w:val="center"/>
              <w:rPr>
                <w:rFonts w:ascii="Times New Roman" w:hAnsi="Times New Roman"/>
                <w:sz w:val="18"/>
                <w:szCs w:val="18"/>
              </w:rPr>
            </w:pPr>
            <w:r>
              <w:rPr>
                <w:rFonts w:ascii="Times New Roman" w:hAnsi="Times New Roman"/>
                <w:sz w:val="18"/>
                <w:szCs w:val="18"/>
              </w:rPr>
              <w:t>150</w:t>
            </w:r>
          </w:p>
        </w:tc>
      </w:tr>
    </w:tbl>
    <w:p w14:paraId="55A855B3">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表8.3.4-2   对绞电缆与其他管线最小净距(mm)</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3002"/>
        <w:gridCol w:w="3004"/>
      </w:tblGrid>
      <w:tr w14:paraId="5D10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051BC99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管线种类</w:t>
            </w:r>
          </w:p>
        </w:tc>
        <w:tc>
          <w:tcPr>
            <w:tcW w:w="2927" w:type="dxa"/>
            <w:vAlign w:val="center"/>
          </w:tcPr>
          <w:p w14:paraId="1611B90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平行净距</w:t>
            </w:r>
          </w:p>
        </w:tc>
        <w:tc>
          <w:tcPr>
            <w:tcW w:w="2928" w:type="dxa"/>
            <w:vAlign w:val="center"/>
          </w:tcPr>
          <w:p w14:paraId="40F39E6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垂直交叉净距</w:t>
            </w:r>
          </w:p>
        </w:tc>
      </w:tr>
      <w:tr w14:paraId="07C5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6309753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避雷引下线</w:t>
            </w:r>
          </w:p>
        </w:tc>
        <w:tc>
          <w:tcPr>
            <w:tcW w:w="2927" w:type="dxa"/>
            <w:vAlign w:val="center"/>
          </w:tcPr>
          <w:p w14:paraId="7CE1C24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1000</w:t>
            </w:r>
          </w:p>
        </w:tc>
        <w:tc>
          <w:tcPr>
            <w:tcW w:w="2928" w:type="dxa"/>
            <w:vAlign w:val="center"/>
          </w:tcPr>
          <w:p w14:paraId="7BE7D43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300</w:t>
            </w:r>
          </w:p>
        </w:tc>
      </w:tr>
      <w:tr w14:paraId="4414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38A2332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保护地线</w:t>
            </w:r>
          </w:p>
        </w:tc>
        <w:tc>
          <w:tcPr>
            <w:tcW w:w="2927" w:type="dxa"/>
            <w:vAlign w:val="center"/>
          </w:tcPr>
          <w:p w14:paraId="4190407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50</w:t>
            </w:r>
          </w:p>
        </w:tc>
        <w:tc>
          <w:tcPr>
            <w:tcW w:w="2928" w:type="dxa"/>
            <w:vAlign w:val="center"/>
          </w:tcPr>
          <w:p w14:paraId="5606205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20</w:t>
            </w:r>
          </w:p>
        </w:tc>
      </w:tr>
      <w:tr w14:paraId="0385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6B67B81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热力管（不包封）</w:t>
            </w:r>
          </w:p>
        </w:tc>
        <w:tc>
          <w:tcPr>
            <w:tcW w:w="2927" w:type="dxa"/>
            <w:vAlign w:val="center"/>
          </w:tcPr>
          <w:p w14:paraId="050D1C6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500</w:t>
            </w:r>
          </w:p>
        </w:tc>
        <w:tc>
          <w:tcPr>
            <w:tcW w:w="2928" w:type="dxa"/>
            <w:vAlign w:val="center"/>
          </w:tcPr>
          <w:p w14:paraId="63064B5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500</w:t>
            </w:r>
          </w:p>
        </w:tc>
      </w:tr>
      <w:tr w14:paraId="05FC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28E2BA6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热力管（包封）</w:t>
            </w:r>
          </w:p>
        </w:tc>
        <w:tc>
          <w:tcPr>
            <w:tcW w:w="2927" w:type="dxa"/>
            <w:vAlign w:val="center"/>
          </w:tcPr>
          <w:p w14:paraId="1D166FB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300</w:t>
            </w:r>
          </w:p>
        </w:tc>
        <w:tc>
          <w:tcPr>
            <w:tcW w:w="2928" w:type="dxa"/>
            <w:vAlign w:val="center"/>
          </w:tcPr>
          <w:p w14:paraId="00C7A47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300</w:t>
            </w:r>
          </w:p>
        </w:tc>
      </w:tr>
      <w:tr w14:paraId="4E4D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4FD4B59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给水管</w:t>
            </w:r>
          </w:p>
        </w:tc>
        <w:tc>
          <w:tcPr>
            <w:tcW w:w="2927" w:type="dxa"/>
            <w:vAlign w:val="center"/>
          </w:tcPr>
          <w:p w14:paraId="2E467F0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150</w:t>
            </w:r>
          </w:p>
        </w:tc>
        <w:tc>
          <w:tcPr>
            <w:tcW w:w="2928" w:type="dxa"/>
            <w:vAlign w:val="center"/>
          </w:tcPr>
          <w:p w14:paraId="618534F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20</w:t>
            </w:r>
          </w:p>
        </w:tc>
      </w:tr>
      <w:tr w14:paraId="0B27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7B34FBB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煤气管</w:t>
            </w:r>
          </w:p>
        </w:tc>
        <w:tc>
          <w:tcPr>
            <w:tcW w:w="2927" w:type="dxa"/>
            <w:vAlign w:val="center"/>
          </w:tcPr>
          <w:p w14:paraId="3AA8852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300</w:t>
            </w:r>
          </w:p>
        </w:tc>
        <w:tc>
          <w:tcPr>
            <w:tcW w:w="2928" w:type="dxa"/>
            <w:vAlign w:val="center"/>
          </w:tcPr>
          <w:p w14:paraId="6E09DB1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20</w:t>
            </w:r>
          </w:p>
        </w:tc>
      </w:tr>
      <w:tr w14:paraId="0DED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vAlign w:val="center"/>
          </w:tcPr>
          <w:p w14:paraId="7BDF504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压缩空气管</w:t>
            </w:r>
          </w:p>
        </w:tc>
        <w:tc>
          <w:tcPr>
            <w:tcW w:w="2927" w:type="dxa"/>
            <w:vAlign w:val="center"/>
          </w:tcPr>
          <w:p w14:paraId="4117232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150</w:t>
            </w:r>
          </w:p>
        </w:tc>
        <w:tc>
          <w:tcPr>
            <w:tcW w:w="2928" w:type="dxa"/>
            <w:vAlign w:val="center"/>
          </w:tcPr>
          <w:p w14:paraId="2FACA97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20</w:t>
            </w:r>
          </w:p>
        </w:tc>
      </w:tr>
    </w:tbl>
    <w:p w14:paraId="0510621E">
      <w:pPr>
        <w:pStyle w:val="164"/>
        <w:numPr>
          <w:ilvl w:val="0"/>
          <w:numId w:val="76"/>
        </w:numPr>
        <w:spacing w:line="330" w:lineRule="exact"/>
        <w:ind w:left="0" w:firstLine="420"/>
        <w:rPr>
          <w:rFonts w:eastAsiaTheme="minorEastAsia"/>
        </w:rPr>
      </w:pPr>
      <w:r>
        <w:rPr>
          <w:rFonts w:eastAsiaTheme="minorEastAsia"/>
        </w:rPr>
        <w:t>预埋线槽和暗管敷设缆线应符合下列规定：</w:t>
      </w:r>
    </w:p>
    <w:p w14:paraId="6090B9B7">
      <w:pPr>
        <w:pStyle w:val="164"/>
        <w:numPr>
          <w:ilvl w:val="0"/>
          <w:numId w:val="78"/>
        </w:numPr>
        <w:tabs>
          <w:tab w:val="left" w:pos="210"/>
          <w:tab w:val="left" w:pos="567"/>
        </w:tabs>
        <w:spacing w:line="330" w:lineRule="exact"/>
        <w:ind w:firstLine="630" w:firstLineChars="300"/>
        <w:rPr>
          <w:rFonts w:eastAsiaTheme="minorEastAsia"/>
          <w:szCs w:val="21"/>
        </w:rPr>
      </w:pPr>
      <w:r>
        <w:rPr>
          <w:rFonts w:eastAsiaTheme="minorEastAsia"/>
          <w:szCs w:val="21"/>
        </w:rPr>
        <w:t>敷设管道的两端应有标志，表示出房号、序号和长度。</w:t>
      </w:r>
    </w:p>
    <w:p w14:paraId="2B3190C0">
      <w:pPr>
        <w:pStyle w:val="164"/>
        <w:numPr>
          <w:ilvl w:val="0"/>
          <w:numId w:val="78"/>
        </w:numPr>
        <w:tabs>
          <w:tab w:val="left" w:pos="210"/>
          <w:tab w:val="left" w:pos="567"/>
        </w:tabs>
        <w:spacing w:line="330" w:lineRule="exact"/>
        <w:ind w:firstLine="630" w:firstLineChars="300"/>
        <w:rPr>
          <w:rFonts w:eastAsiaTheme="minorEastAsia"/>
          <w:szCs w:val="21"/>
        </w:rPr>
      </w:pPr>
      <w:r>
        <w:rPr>
          <w:rFonts w:eastAsiaTheme="minorEastAsia"/>
          <w:szCs w:val="21"/>
        </w:rPr>
        <w:t>管道内应无阻挡，管口应无毛刺，并安置牵引线或拉线。</w:t>
      </w:r>
    </w:p>
    <w:p w14:paraId="278AE57A">
      <w:pPr>
        <w:pStyle w:val="164"/>
        <w:numPr>
          <w:ilvl w:val="0"/>
          <w:numId w:val="78"/>
        </w:numPr>
        <w:tabs>
          <w:tab w:val="left" w:pos="210"/>
          <w:tab w:val="left" w:pos="567"/>
        </w:tabs>
        <w:spacing w:line="330" w:lineRule="exact"/>
        <w:ind w:firstLine="630" w:firstLineChars="300"/>
        <w:rPr>
          <w:rFonts w:eastAsiaTheme="minorEastAsia"/>
          <w:szCs w:val="21"/>
        </w:rPr>
      </w:pPr>
      <w:r>
        <w:rPr>
          <w:rFonts w:eastAsiaTheme="minorEastAsia"/>
          <w:szCs w:val="21"/>
        </w:rPr>
        <w:t>敷设暗管宜采用钢管或阻燃硬质（PVC）塑料管。布放双护套缆线和主干缆线时，直线管道的管径利用率应为50%～60%，弯管道为40%～50%，暗管布放4对对绞电缆时，管道的截面利用率应为25%～30%。预埋线槽宜采用金属线槽，线槽的截面利用率不应超过40%。</w:t>
      </w:r>
    </w:p>
    <w:p w14:paraId="169236FD">
      <w:pPr>
        <w:pStyle w:val="164"/>
        <w:numPr>
          <w:ilvl w:val="0"/>
          <w:numId w:val="78"/>
        </w:numPr>
        <w:tabs>
          <w:tab w:val="left" w:pos="210"/>
          <w:tab w:val="left" w:pos="567"/>
        </w:tabs>
        <w:spacing w:line="330" w:lineRule="exact"/>
        <w:ind w:firstLine="630" w:firstLineChars="300"/>
        <w:rPr>
          <w:rFonts w:eastAsiaTheme="minorEastAsia"/>
          <w:szCs w:val="21"/>
        </w:rPr>
      </w:pPr>
      <w:r>
        <w:rPr>
          <w:rFonts w:eastAsiaTheme="minorEastAsia"/>
          <w:szCs w:val="21"/>
        </w:rPr>
        <w:t>光缆与电缆同管敷设时，应在暗管内预置塑料子管，将光缆设在子管内，使光缆和电缆分开布放，子管的内径应为光缆外径的1.5倍。</w:t>
      </w:r>
    </w:p>
    <w:p w14:paraId="02544E32">
      <w:pPr>
        <w:pStyle w:val="164"/>
        <w:numPr>
          <w:ilvl w:val="0"/>
          <w:numId w:val="76"/>
        </w:numPr>
        <w:spacing w:line="330" w:lineRule="exact"/>
        <w:ind w:left="0" w:firstLine="420"/>
        <w:rPr>
          <w:rFonts w:eastAsiaTheme="minorEastAsia"/>
        </w:rPr>
      </w:pPr>
      <w:r>
        <w:rPr>
          <w:rFonts w:eastAsiaTheme="minorEastAsia"/>
        </w:rPr>
        <w:t>设置电缆桥架和线槽敷设缆线应符合下列规定：</w:t>
      </w:r>
    </w:p>
    <w:p w14:paraId="7748962C">
      <w:pPr>
        <w:pStyle w:val="164"/>
        <w:numPr>
          <w:ilvl w:val="0"/>
          <w:numId w:val="79"/>
        </w:numPr>
        <w:tabs>
          <w:tab w:val="left" w:pos="210"/>
          <w:tab w:val="left" w:pos="567"/>
        </w:tabs>
        <w:spacing w:line="330" w:lineRule="exact"/>
        <w:ind w:firstLine="630" w:firstLineChars="300"/>
        <w:rPr>
          <w:rFonts w:eastAsiaTheme="minorEastAsia"/>
          <w:szCs w:val="21"/>
        </w:rPr>
      </w:pPr>
      <w:r>
        <w:rPr>
          <w:rFonts w:eastAsiaTheme="minorEastAsia"/>
          <w:szCs w:val="21"/>
        </w:rPr>
        <w:t>电缆桥架宜高出地面2.2m以上，桥架顶部距顶棚或其他障碍物不应＜300mm。桥架宽度不宜＜100mm，桥架内横断面的填充率不应超过50%。</w:t>
      </w:r>
    </w:p>
    <w:p w14:paraId="36B6172A">
      <w:pPr>
        <w:pStyle w:val="164"/>
        <w:numPr>
          <w:ilvl w:val="0"/>
          <w:numId w:val="79"/>
        </w:numPr>
        <w:tabs>
          <w:tab w:val="left" w:pos="210"/>
          <w:tab w:val="left" w:pos="567"/>
        </w:tabs>
        <w:spacing w:line="330" w:lineRule="exact"/>
        <w:ind w:firstLine="630" w:firstLineChars="300"/>
        <w:rPr>
          <w:rFonts w:eastAsiaTheme="minorEastAsia"/>
          <w:szCs w:val="21"/>
        </w:rPr>
      </w:pPr>
      <w:r>
        <w:rPr>
          <w:rFonts w:eastAsiaTheme="minorEastAsia"/>
          <w:szCs w:val="21"/>
        </w:rPr>
        <w:t>电缆桥架内缆线垂直敷设时，在缆线的上端和每间隔1.5m处，应固定在桥架的支架上，水平敷设时，直线部分间隔距离在3m～5m处设固定点。在缆线的距离首端、尾端、转弯中心点处300mm～500mm处设置固定点。</w:t>
      </w:r>
    </w:p>
    <w:p w14:paraId="02A37683">
      <w:pPr>
        <w:pStyle w:val="164"/>
        <w:numPr>
          <w:ilvl w:val="0"/>
          <w:numId w:val="79"/>
        </w:numPr>
        <w:tabs>
          <w:tab w:val="left" w:pos="210"/>
          <w:tab w:val="left" w:pos="567"/>
        </w:tabs>
        <w:spacing w:line="330" w:lineRule="exact"/>
        <w:ind w:firstLine="630" w:firstLineChars="300"/>
        <w:rPr>
          <w:rFonts w:eastAsiaTheme="minorEastAsia"/>
          <w:szCs w:val="21"/>
        </w:rPr>
      </w:pPr>
      <w:r>
        <w:rPr>
          <w:rFonts w:eastAsiaTheme="minorEastAsia"/>
          <w:szCs w:val="21"/>
        </w:rPr>
        <w:t>电缆线槽宜高出地面2.2m。在吊顶内设置时、槽盖开启面应保持80mm的垂直净空，线槽截面利用率不应超过50%。</w:t>
      </w:r>
    </w:p>
    <w:p w14:paraId="5406214F">
      <w:pPr>
        <w:pStyle w:val="164"/>
        <w:numPr>
          <w:ilvl w:val="0"/>
          <w:numId w:val="79"/>
        </w:numPr>
        <w:tabs>
          <w:tab w:val="left" w:pos="210"/>
          <w:tab w:val="left" w:pos="567"/>
        </w:tabs>
        <w:spacing w:line="330" w:lineRule="exact"/>
        <w:ind w:firstLine="630" w:firstLineChars="300"/>
        <w:rPr>
          <w:rFonts w:eastAsiaTheme="minorEastAsia"/>
          <w:szCs w:val="21"/>
        </w:rPr>
      </w:pPr>
      <w:r>
        <w:rPr>
          <w:rFonts w:eastAsiaTheme="minorEastAsia"/>
          <w:szCs w:val="21"/>
        </w:rPr>
        <w:t>布放线槽缆线可以不绑扎，槽内缆线应顺直，尽量不交叉、缆线不应溢出线槽、在缆线进出线槽部位，转弯处应绑扎固定。垂直线槽布放缆线应每间隔1.5m处固定在缆线支架上。</w:t>
      </w:r>
    </w:p>
    <w:p w14:paraId="0A38A381">
      <w:pPr>
        <w:pStyle w:val="164"/>
        <w:numPr>
          <w:ilvl w:val="0"/>
          <w:numId w:val="79"/>
        </w:numPr>
        <w:tabs>
          <w:tab w:val="left" w:pos="210"/>
          <w:tab w:val="left" w:pos="567"/>
        </w:tabs>
        <w:spacing w:line="330" w:lineRule="exact"/>
        <w:ind w:firstLine="630" w:firstLineChars="300"/>
        <w:rPr>
          <w:rFonts w:eastAsiaTheme="minorEastAsia"/>
          <w:szCs w:val="21"/>
        </w:rPr>
      </w:pPr>
      <w:r>
        <w:rPr>
          <w:rFonts w:eastAsiaTheme="minorEastAsia"/>
          <w:szCs w:val="21"/>
        </w:rPr>
        <w:t>在水平、垂直桥架和垂直线槽中敷设缆线时，应对缆线进行绑扎。4对对绞电缆以24根为束，25对或以上主干对绞电缆、光缆及其他信号电缆应根据缆线的类型、缆径、缆线芯数分束绑扎。绑扎间距不宜大于1.5m。</w:t>
      </w:r>
    </w:p>
    <w:p w14:paraId="39E54123">
      <w:pPr>
        <w:pStyle w:val="164"/>
        <w:numPr>
          <w:ilvl w:val="0"/>
          <w:numId w:val="76"/>
        </w:numPr>
        <w:spacing w:line="330" w:lineRule="exact"/>
        <w:ind w:left="0" w:firstLine="420"/>
        <w:rPr>
          <w:rFonts w:eastAsiaTheme="minorEastAsia"/>
        </w:rPr>
      </w:pPr>
      <w:r>
        <w:rPr>
          <w:rFonts w:eastAsiaTheme="minorEastAsia"/>
        </w:rPr>
        <w:t>顶棚内敷设缆线时，应考虑防火要求缆线敷设应单独设置吊架，不得布放在顶棚吊架上，宜放置在金属线槽内布线。</w:t>
      </w:r>
    </w:p>
    <w:p w14:paraId="2B00BB2D">
      <w:pPr>
        <w:pStyle w:val="164"/>
        <w:numPr>
          <w:ilvl w:val="0"/>
          <w:numId w:val="76"/>
        </w:numPr>
        <w:spacing w:line="330" w:lineRule="exact"/>
        <w:ind w:left="0" w:firstLine="420"/>
        <w:rPr>
          <w:rFonts w:eastAsiaTheme="minorEastAsia"/>
        </w:rPr>
      </w:pPr>
      <w:r>
        <w:rPr>
          <w:rFonts w:eastAsiaTheme="minorEastAsia"/>
        </w:rPr>
        <w:t>在竖井内采用明配管、桥架、金属线槽等方式敷设缆线，并应</w:t>
      </w:r>
      <w:r>
        <w:rPr>
          <w:rFonts w:hint="eastAsia" w:eastAsiaTheme="minorEastAsia"/>
          <w:szCs w:val="21"/>
        </w:rPr>
        <w:t>满足</w:t>
      </w:r>
      <w:r>
        <w:rPr>
          <w:rFonts w:eastAsiaTheme="minorEastAsia"/>
        </w:rPr>
        <w:t>以上有关条款要求。竖井内楼板孔洞周边应设置50mm的防水台，洞口用防火材料封堵严实。</w:t>
      </w:r>
    </w:p>
    <w:p w14:paraId="5619708F">
      <w:pPr>
        <w:pStyle w:val="164"/>
        <w:numPr>
          <w:ilvl w:val="0"/>
          <w:numId w:val="76"/>
        </w:numPr>
        <w:spacing w:line="330" w:lineRule="exact"/>
        <w:ind w:left="0" w:firstLine="420"/>
        <w:rPr>
          <w:rFonts w:eastAsiaTheme="minorEastAsia"/>
        </w:rPr>
      </w:pPr>
      <w:r>
        <w:rPr>
          <w:rFonts w:eastAsiaTheme="minorEastAsia"/>
        </w:rPr>
        <w:t>连接硬件满足设计要求、标记和色码清晰、性能标志设置正确。</w:t>
      </w:r>
    </w:p>
    <w:p w14:paraId="28FFF52B">
      <w:pPr>
        <w:pStyle w:val="164"/>
        <w:numPr>
          <w:ilvl w:val="0"/>
          <w:numId w:val="76"/>
        </w:numPr>
        <w:spacing w:line="330" w:lineRule="exact"/>
        <w:ind w:left="0" w:firstLine="420"/>
        <w:rPr>
          <w:rFonts w:eastAsiaTheme="minorEastAsia"/>
        </w:rPr>
      </w:pPr>
      <w:r>
        <w:rPr>
          <w:rFonts w:eastAsiaTheme="minorEastAsia"/>
        </w:rPr>
        <w:t>建筑群子系统采用架空管道、直埋、墙壁明配管（槽）或暗配管（槽）敷设电缆、光缆施工技术要求应符合现行国家标准《市内电话线路工程施工及验收技术规范》</w:t>
      </w:r>
      <w:r>
        <w:rPr>
          <w:szCs w:val="22"/>
        </w:rPr>
        <w:t>YDJ 38-85</w:t>
      </w:r>
      <w:r>
        <w:rPr>
          <w:rFonts w:eastAsiaTheme="minorEastAsia"/>
        </w:rPr>
        <w:t>和《电信网光纤数字传输系统工程施工及验收暂行技术规定》</w:t>
      </w:r>
      <w:r>
        <w:rPr>
          <w:szCs w:val="22"/>
        </w:rPr>
        <w:t>YDJ 44-89</w:t>
      </w:r>
      <w:r>
        <w:rPr>
          <w:rFonts w:eastAsiaTheme="minorEastAsia"/>
        </w:rPr>
        <w:t>的相关规定。</w:t>
      </w:r>
    </w:p>
    <w:p w14:paraId="7E6D3694">
      <w:pPr>
        <w:pStyle w:val="164"/>
        <w:spacing w:before="100" w:after="100" w:line="330" w:lineRule="exact"/>
        <w:ind w:firstLine="0" w:firstLineChars="0"/>
        <w:rPr>
          <w:szCs w:val="21"/>
        </w:rPr>
      </w:pPr>
      <w:r>
        <w:rPr>
          <w:szCs w:val="21"/>
        </w:rPr>
        <w:t>8.3.5 设备安装应符合下列规定：</w:t>
      </w:r>
    </w:p>
    <w:p w14:paraId="3ED3C24D">
      <w:pPr>
        <w:pStyle w:val="164"/>
        <w:numPr>
          <w:ilvl w:val="0"/>
          <w:numId w:val="80"/>
        </w:numPr>
        <w:spacing w:line="330" w:lineRule="exact"/>
        <w:ind w:left="0" w:firstLine="420"/>
        <w:rPr>
          <w:rFonts w:eastAsiaTheme="minorEastAsia"/>
        </w:rPr>
      </w:pPr>
      <w:r>
        <w:rPr>
          <w:rFonts w:eastAsiaTheme="minorEastAsia"/>
        </w:rPr>
        <w:t>机架安装</w:t>
      </w:r>
      <w:r>
        <w:rPr>
          <w:szCs w:val="21"/>
        </w:rPr>
        <w:t>应</w:t>
      </w:r>
      <w:r>
        <w:rPr>
          <w:rFonts w:eastAsiaTheme="minorEastAsia"/>
          <w:szCs w:val="21"/>
        </w:rPr>
        <w:t>符合下列规定</w:t>
      </w:r>
      <w:r>
        <w:rPr>
          <w:rFonts w:eastAsiaTheme="minorEastAsia"/>
        </w:rPr>
        <w:t>：</w:t>
      </w:r>
    </w:p>
    <w:p w14:paraId="5CD1EB99">
      <w:pPr>
        <w:pStyle w:val="164"/>
        <w:numPr>
          <w:ilvl w:val="0"/>
          <w:numId w:val="81"/>
        </w:numPr>
        <w:tabs>
          <w:tab w:val="left" w:pos="210"/>
          <w:tab w:val="left" w:pos="567"/>
        </w:tabs>
        <w:spacing w:line="330" w:lineRule="exact"/>
        <w:ind w:firstLine="630" w:firstLineChars="300"/>
        <w:rPr>
          <w:rFonts w:eastAsiaTheme="minorEastAsia"/>
          <w:szCs w:val="21"/>
        </w:rPr>
      </w:pPr>
      <w:r>
        <w:rPr>
          <w:rFonts w:eastAsiaTheme="minorEastAsia"/>
          <w:szCs w:val="21"/>
        </w:rPr>
        <w:t>机架安装完毕后，水平、垂直度应符合厂家规定。如无厂家规定时，垂直度偏差不应大于3mm。</w:t>
      </w:r>
    </w:p>
    <w:p w14:paraId="7C482E6F">
      <w:pPr>
        <w:pStyle w:val="164"/>
        <w:numPr>
          <w:ilvl w:val="0"/>
          <w:numId w:val="81"/>
        </w:numPr>
        <w:tabs>
          <w:tab w:val="left" w:pos="210"/>
          <w:tab w:val="left" w:pos="567"/>
        </w:tabs>
        <w:spacing w:line="330" w:lineRule="exact"/>
        <w:ind w:firstLine="630" w:firstLineChars="300"/>
        <w:rPr>
          <w:rFonts w:eastAsiaTheme="minorEastAsia"/>
          <w:szCs w:val="21"/>
        </w:rPr>
      </w:pPr>
      <w:r>
        <w:rPr>
          <w:rFonts w:eastAsiaTheme="minorEastAsia"/>
          <w:szCs w:val="21"/>
        </w:rPr>
        <w:t>机架上的各种零件不得脱落或碰坏。漆面如有脱落应予以补漆，各种标志完整清晰。</w:t>
      </w:r>
    </w:p>
    <w:p w14:paraId="782A6111">
      <w:pPr>
        <w:pStyle w:val="164"/>
        <w:numPr>
          <w:ilvl w:val="0"/>
          <w:numId w:val="81"/>
        </w:numPr>
        <w:tabs>
          <w:tab w:val="left" w:pos="210"/>
          <w:tab w:val="left" w:pos="567"/>
        </w:tabs>
        <w:spacing w:line="330" w:lineRule="exact"/>
        <w:ind w:firstLine="630" w:firstLineChars="300"/>
        <w:rPr>
          <w:rFonts w:eastAsiaTheme="minorEastAsia"/>
          <w:szCs w:val="21"/>
        </w:rPr>
      </w:pPr>
      <w:r>
        <w:rPr>
          <w:rFonts w:eastAsiaTheme="minorEastAsia"/>
          <w:szCs w:val="21"/>
        </w:rPr>
        <w:t>机架的安装应牢固、应按设计图的防震要求进行加固。</w:t>
      </w:r>
    </w:p>
    <w:p w14:paraId="0CDAB60D">
      <w:pPr>
        <w:pStyle w:val="164"/>
        <w:numPr>
          <w:ilvl w:val="0"/>
          <w:numId w:val="81"/>
        </w:numPr>
        <w:tabs>
          <w:tab w:val="left" w:pos="210"/>
          <w:tab w:val="left" w:pos="567"/>
        </w:tabs>
        <w:spacing w:line="330" w:lineRule="exact"/>
        <w:ind w:firstLine="630" w:firstLineChars="300"/>
        <w:rPr>
          <w:rFonts w:eastAsiaTheme="minorEastAsia"/>
          <w:szCs w:val="21"/>
        </w:rPr>
      </w:pPr>
      <w:r>
        <w:rPr>
          <w:rFonts w:eastAsiaTheme="minorEastAsia"/>
          <w:szCs w:val="21"/>
        </w:rPr>
        <w:t>安装机架面板、架前应留有1.5m空间、机架背面离墙距离应大于0.8m，以便于安装和施工。</w:t>
      </w:r>
    </w:p>
    <w:p w14:paraId="3D86C15A">
      <w:pPr>
        <w:pStyle w:val="164"/>
        <w:numPr>
          <w:ilvl w:val="0"/>
          <w:numId w:val="81"/>
        </w:numPr>
        <w:tabs>
          <w:tab w:val="left" w:pos="210"/>
          <w:tab w:val="left" w:pos="567"/>
        </w:tabs>
        <w:spacing w:line="330" w:lineRule="exact"/>
        <w:ind w:firstLine="630" w:firstLineChars="300"/>
        <w:rPr>
          <w:rFonts w:eastAsiaTheme="minorEastAsia"/>
          <w:szCs w:val="21"/>
        </w:rPr>
      </w:pPr>
      <w:r>
        <w:rPr>
          <w:rFonts w:eastAsiaTheme="minorEastAsia"/>
          <w:szCs w:val="21"/>
        </w:rPr>
        <w:t>壁挂式机柜底距地面宜为300mm～800mm。</w:t>
      </w:r>
    </w:p>
    <w:p w14:paraId="75B46F1C">
      <w:pPr>
        <w:pStyle w:val="164"/>
        <w:numPr>
          <w:ilvl w:val="0"/>
          <w:numId w:val="80"/>
        </w:numPr>
        <w:spacing w:line="330" w:lineRule="exact"/>
        <w:ind w:left="0" w:firstLine="420"/>
        <w:rPr>
          <w:rFonts w:eastAsiaTheme="minorEastAsia"/>
        </w:rPr>
      </w:pPr>
      <w:r>
        <w:rPr>
          <w:rFonts w:eastAsiaTheme="minorEastAsia"/>
        </w:rPr>
        <w:t>配线设备机架安装</w:t>
      </w:r>
      <w:r>
        <w:rPr>
          <w:szCs w:val="21"/>
        </w:rPr>
        <w:t>应</w:t>
      </w:r>
      <w:r>
        <w:rPr>
          <w:rFonts w:eastAsiaTheme="minorEastAsia"/>
          <w:szCs w:val="21"/>
        </w:rPr>
        <w:t>符合下列规定</w:t>
      </w:r>
      <w:r>
        <w:rPr>
          <w:rFonts w:eastAsiaTheme="minorEastAsia"/>
        </w:rPr>
        <w:t>：</w:t>
      </w:r>
    </w:p>
    <w:p w14:paraId="26178813">
      <w:pPr>
        <w:pStyle w:val="164"/>
        <w:numPr>
          <w:ilvl w:val="0"/>
          <w:numId w:val="82"/>
        </w:numPr>
        <w:tabs>
          <w:tab w:val="left" w:pos="210"/>
          <w:tab w:val="left" w:pos="567"/>
        </w:tabs>
        <w:spacing w:line="330" w:lineRule="exact"/>
        <w:ind w:firstLine="630" w:firstLineChars="300"/>
        <w:rPr>
          <w:rFonts w:eastAsiaTheme="minorEastAsia"/>
          <w:szCs w:val="21"/>
        </w:rPr>
      </w:pPr>
      <w:r>
        <w:rPr>
          <w:rFonts w:eastAsiaTheme="minorEastAsia"/>
          <w:szCs w:val="21"/>
        </w:rPr>
        <w:t>采用下走线方式、架底位置应与电缆上线孔相对应。</w:t>
      </w:r>
    </w:p>
    <w:p w14:paraId="6FCC00F7">
      <w:pPr>
        <w:pStyle w:val="164"/>
        <w:numPr>
          <w:ilvl w:val="0"/>
          <w:numId w:val="82"/>
        </w:numPr>
        <w:tabs>
          <w:tab w:val="left" w:pos="210"/>
          <w:tab w:val="left" w:pos="567"/>
        </w:tabs>
        <w:spacing w:line="330" w:lineRule="exact"/>
        <w:ind w:firstLine="630" w:firstLineChars="300"/>
        <w:rPr>
          <w:rFonts w:eastAsiaTheme="minorEastAsia"/>
          <w:szCs w:val="21"/>
        </w:rPr>
      </w:pPr>
      <w:r>
        <w:rPr>
          <w:rFonts w:eastAsiaTheme="minorEastAsia"/>
          <w:szCs w:val="21"/>
        </w:rPr>
        <w:t>各直列垂直倾斜误差不应大于3mm，底座水平误差不应大于2mm。</w:t>
      </w:r>
    </w:p>
    <w:p w14:paraId="004DE930">
      <w:pPr>
        <w:pStyle w:val="164"/>
        <w:numPr>
          <w:ilvl w:val="0"/>
          <w:numId w:val="82"/>
        </w:numPr>
        <w:tabs>
          <w:tab w:val="left" w:pos="210"/>
          <w:tab w:val="left" w:pos="567"/>
        </w:tabs>
        <w:spacing w:line="330" w:lineRule="exact"/>
        <w:ind w:firstLine="630" w:firstLineChars="300"/>
        <w:rPr>
          <w:rFonts w:eastAsiaTheme="minorEastAsia"/>
          <w:szCs w:val="21"/>
        </w:rPr>
      </w:pPr>
      <w:r>
        <w:rPr>
          <w:rFonts w:eastAsiaTheme="minorEastAsia"/>
          <w:szCs w:val="21"/>
        </w:rPr>
        <w:t>接线端子各种标志应齐全。</w:t>
      </w:r>
    </w:p>
    <w:p w14:paraId="47F787D1">
      <w:pPr>
        <w:pStyle w:val="164"/>
        <w:numPr>
          <w:ilvl w:val="0"/>
          <w:numId w:val="80"/>
        </w:numPr>
        <w:spacing w:line="330" w:lineRule="exact"/>
        <w:ind w:left="0" w:firstLine="420"/>
        <w:rPr>
          <w:rFonts w:eastAsiaTheme="minorEastAsia"/>
        </w:rPr>
      </w:pPr>
      <w:r>
        <w:rPr>
          <w:rFonts w:eastAsiaTheme="minorEastAsia"/>
        </w:rPr>
        <w:t>各类接线模块安装</w:t>
      </w:r>
      <w:r>
        <w:rPr>
          <w:szCs w:val="21"/>
        </w:rPr>
        <w:t>应</w:t>
      </w:r>
      <w:r>
        <w:rPr>
          <w:rFonts w:eastAsiaTheme="minorEastAsia"/>
          <w:szCs w:val="21"/>
        </w:rPr>
        <w:t>符合下列规定</w:t>
      </w:r>
      <w:r>
        <w:rPr>
          <w:rFonts w:eastAsiaTheme="minorEastAsia"/>
        </w:rPr>
        <w:t>：</w:t>
      </w:r>
    </w:p>
    <w:p w14:paraId="7E222B4C">
      <w:pPr>
        <w:pStyle w:val="164"/>
        <w:numPr>
          <w:ilvl w:val="0"/>
          <w:numId w:val="83"/>
        </w:numPr>
        <w:tabs>
          <w:tab w:val="left" w:pos="210"/>
          <w:tab w:val="left" w:pos="567"/>
        </w:tabs>
        <w:spacing w:line="330" w:lineRule="exact"/>
        <w:ind w:firstLine="630" w:firstLineChars="300"/>
        <w:rPr>
          <w:rFonts w:eastAsiaTheme="minorEastAsia"/>
          <w:szCs w:val="21"/>
        </w:rPr>
      </w:pPr>
      <w:r>
        <w:rPr>
          <w:rFonts w:eastAsiaTheme="minorEastAsia"/>
          <w:szCs w:val="21"/>
        </w:rPr>
        <w:t>模块设备应完整无损，安装就位、标志齐全。</w:t>
      </w:r>
    </w:p>
    <w:p w14:paraId="7FE4110B">
      <w:pPr>
        <w:pStyle w:val="164"/>
        <w:numPr>
          <w:ilvl w:val="0"/>
          <w:numId w:val="83"/>
        </w:numPr>
        <w:tabs>
          <w:tab w:val="left" w:pos="210"/>
          <w:tab w:val="left" w:pos="567"/>
        </w:tabs>
        <w:spacing w:line="330" w:lineRule="exact"/>
        <w:ind w:firstLine="630" w:firstLineChars="300"/>
        <w:rPr>
          <w:rFonts w:eastAsiaTheme="minorEastAsia"/>
          <w:szCs w:val="21"/>
        </w:rPr>
      </w:pPr>
      <w:r>
        <w:rPr>
          <w:rFonts w:eastAsiaTheme="minorEastAsia"/>
          <w:szCs w:val="21"/>
        </w:rPr>
        <w:t>安装螺丝应拧牢固，面板应保持在一个水平面上。</w:t>
      </w:r>
    </w:p>
    <w:p w14:paraId="6B6EDEBC">
      <w:pPr>
        <w:pStyle w:val="164"/>
        <w:numPr>
          <w:ilvl w:val="0"/>
          <w:numId w:val="80"/>
        </w:numPr>
        <w:spacing w:line="330" w:lineRule="exact"/>
        <w:ind w:left="0" w:firstLine="420"/>
        <w:rPr>
          <w:rFonts w:eastAsiaTheme="minorEastAsia"/>
          <w:szCs w:val="21"/>
        </w:rPr>
      </w:pPr>
      <w:r>
        <w:rPr>
          <w:rFonts w:eastAsiaTheme="minorEastAsia"/>
        </w:rPr>
        <w:t>接地</w:t>
      </w:r>
      <w:r>
        <w:rPr>
          <w:szCs w:val="21"/>
        </w:rPr>
        <w:t>应</w:t>
      </w:r>
      <w:r>
        <w:rPr>
          <w:rFonts w:eastAsiaTheme="minorEastAsia"/>
          <w:szCs w:val="21"/>
        </w:rPr>
        <w:t>安装机架，配线设备及金属钢管、槽道、接地体，保护接地导线截面、颜色应满足设计要求，并保持良好的电气连接，压接处牢固可靠。</w:t>
      </w:r>
    </w:p>
    <w:p w14:paraId="1763C95C">
      <w:pPr>
        <w:pStyle w:val="164"/>
        <w:numPr>
          <w:ilvl w:val="0"/>
          <w:numId w:val="80"/>
        </w:numPr>
        <w:spacing w:line="330" w:lineRule="exact"/>
        <w:ind w:left="0" w:firstLine="420"/>
        <w:rPr>
          <w:rFonts w:eastAsiaTheme="minorEastAsia"/>
          <w:szCs w:val="21"/>
        </w:rPr>
      </w:pPr>
      <w:r>
        <w:rPr>
          <w:rFonts w:eastAsiaTheme="minorEastAsia"/>
          <w:szCs w:val="21"/>
        </w:rPr>
        <w:t>防雷、接地电阻值应满足设计要求，设备金属外壳及器件、缆线屏蔽接地线截面、色标应符合规范规定；接地端连接导体的安装应牢固可靠。</w:t>
      </w:r>
    </w:p>
    <w:p w14:paraId="6A309A06">
      <w:pPr>
        <w:pStyle w:val="164"/>
        <w:numPr>
          <w:ilvl w:val="0"/>
          <w:numId w:val="80"/>
        </w:numPr>
        <w:spacing w:line="330" w:lineRule="exact"/>
        <w:ind w:left="0" w:firstLine="420"/>
        <w:rPr>
          <w:rFonts w:eastAsiaTheme="minorEastAsia"/>
          <w:szCs w:val="21"/>
        </w:rPr>
      </w:pPr>
      <w:r>
        <w:rPr>
          <w:rFonts w:eastAsiaTheme="minorEastAsia"/>
          <w:szCs w:val="21"/>
        </w:rPr>
        <w:t>电气及防护、接地、抗电磁干扰、防静电、防火、防毒、环境保护应符合相关国标规范规定。</w:t>
      </w:r>
    </w:p>
    <w:p w14:paraId="6591BC95">
      <w:pPr>
        <w:pStyle w:val="164"/>
        <w:spacing w:before="100" w:after="100" w:line="330" w:lineRule="exact"/>
        <w:ind w:firstLine="0" w:firstLineChars="0"/>
        <w:rPr>
          <w:szCs w:val="21"/>
        </w:rPr>
      </w:pPr>
      <w:r>
        <w:rPr>
          <w:szCs w:val="21"/>
        </w:rPr>
        <w:t>8.3.6 缆线终端安装应符合下列规定：</w:t>
      </w:r>
    </w:p>
    <w:p w14:paraId="22FC8941">
      <w:pPr>
        <w:pStyle w:val="164"/>
        <w:numPr>
          <w:ilvl w:val="0"/>
          <w:numId w:val="84"/>
        </w:numPr>
        <w:spacing w:line="330" w:lineRule="exact"/>
        <w:ind w:left="0" w:firstLine="420"/>
        <w:rPr>
          <w:rFonts w:eastAsiaTheme="minorEastAsia"/>
        </w:rPr>
      </w:pPr>
      <w:r>
        <w:rPr>
          <w:rFonts w:hint="eastAsia" w:eastAsiaTheme="minorEastAsia"/>
        </w:rPr>
        <w:t>安装前</w:t>
      </w:r>
      <w:r>
        <w:rPr>
          <w:rFonts w:eastAsiaTheme="minorEastAsia"/>
          <w:szCs w:val="21"/>
        </w:rPr>
        <w:t>应检查标签颜色和数字含义</w:t>
      </w:r>
      <w:r>
        <w:rPr>
          <w:rFonts w:hint="eastAsia" w:eastAsiaTheme="minorEastAsia"/>
          <w:szCs w:val="21"/>
        </w:rPr>
        <w:t>，按顺序</w:t>
      </w:r>
      <w:r>
        <w:rPr>
          <w:rFonts w:eastAsiaTheme="minorEastAsia"/>
          <w:szCs w:val="21"/>
        </w:rPr>
        <w:t>卡接牢固、接触良好</w:t>
      </w:r>
      <w:r>
        <w:rPr>
          <w:rFonts w:hint="eastAsia" w:eastAsiaTheme="minorEastAsia"/>
          <w:szCs w:val="21"/>
        </w:rPr>
        <w:t>；</w:t>
      </w:r>
      <w:r>
        <w:rPr>
          <w:rFonts w:eastAsiaTheme="minorEastAsia"/>
          <w:szCs w:val="21"/>
        </w:rPr>
        <w:t>对绞电缆与插接件连接应认准线号、线位色标，不得颠倒和错接</w:t>
      </w:r>
      <w:r>
        <w:rPr>
          <w:rFonts w:hint="eastAsia" w:eastAsiaTheme="minorEastAsia"/>
        </w:rPr>
        <w:t>。</w:t>
      </w:r>
    </w:p>
    <w:p w14:paraId="3AB85083">
      <w:pPr>
        <w:pStyle w:val="164"/>
        <w:numPr>
          <w:ilvl w:val="0"/>
          <w:numId w:val="84"/>
        </w:numPr>
        <w:spacing w:line="330" w:lineRule="exact"/>
        <w:ind w:left="0" w:firstLine="420"/>
        <w:rPr>
          <w:rFonts w:eastAsiaTheme="minorEastAsia"/>
        </w:rPr>
      </w:pPr>
      <w:r>
        <w:rPr>
          <w:rFonts w:eastAsiaTheme="minorEastAsia"/>
        </w:rPr>
        <w:t>对绞电缆芯线终端应符合下列规定：</w:t>
      </w:r>
    </w:p>
    <w:p w14:paraId="4BF590F9">
      <w:pPr>
        <w:pStyle w:val="164"/>
        <w:numPr>
          <w:ilvl w:val="0"/>
          <w:numId w:val="85"/>
        </w:numPr>
        <w:tabs>
          <w:tab w:val="left" w:pos="210"/>
          <w:tab w:val="left" w:pos="567"/>
        </w:tabs>
        <w:spacing w:line="330" w:lineRule="exact"/>
        <w:ind w:firstLine="630" w:firstLineChars="300"/>
        <w:rPr>
          <w:rFonts w:eastAsiaTheme="minorEastAsia"/>
          <w:szCs w:val="21"/>
        </w:rPr>
      </w:pPr>
      <w:r>
        <w:rPr>
          <w:rFonts w:eastAsiaTheme="minorEastAsia"/>
          <w:szCs w:val="21"/>
        </w:rPr>
        <w:t>终端时，每对对绞线应尽量保持扭绞状态，非扭绞长度对于5类线不应大于13mm； 4类线≤25mm。</w:t>
      </w:r>
    </w:p>
    <w:p w14:paraId="26C78311">
      <w:pPr>
        <w:pStyle w:val="164"/>
        <w:numPr>
          <w:ilvl w:val="0"/>
          <w:numId w:val="85"/>
        </w:numPr>
        <w:tabs>
          <w:tab w:val="left" w:pos="210"/>
          <w:tab w:val="left" w:pos="567"/>
        </w:tabs>
        <w:spacing w:line="330" w:lineRule="exact"/>
        <w:ind w:firstLine="630" w:firstLineChars="300"/>
        <w:rPr>
          <w:rFonts w:eastAsiaTheme="minorEastAsia"/>
          <w:szCs w:val="21"/>
        </w:rPr>
      </w:pPr>
      <w:r>
        <w:rPr>
          <w:rFonts w:eastAsiaTheme="minorEastAsia"/>
          <w:szCs w:val="21"/>
        </w:rPr>
        <w:t>剥除护套均不得刮伤绝缘层，应使用专用工具剥除。</w:t>
      </w:r>
    </w:p>
    <w:p w14:paraId="4EFBD826">
      <w:pPr>
        <w:pStyle w:val="164"/>
        <w:numPr>
          <w:ilvl w:val="0"/>
          <w:numId w:val="85"/>
        </w:numPr>
        <w:tabs>
          <w:tab w:val="left" w:pos="210"/>
          <w:tab w:val="left" w:pos="567"/>
        </w:tabs>
        <w:spacing w:line="330" w:lineRule="exact"/>
        <w:ind w:firstLine="630" w:firstLineChars="300"/>
        <w:rPr>
          <w:rFonts w:eastAsiaTheme="minorEastAsia"/>
          <w:szCs w:val="21"/>
        </w:rPr>
      </w:pPr>
      <w:r>
        <w:rPr>
          <w:rFonts w:eastAsiaTheme="minorEastAsia"/>
          <w:szCs w:val="21"/>
        </w:rPr>
        <w:t>对绞线在信息插座（RJ45）相连时，应按色标和线对顺序进行卡接。插座类型，色标和编号应符合图8.3.6-1规定。</w:t>
      </w:r>
    </w:p>
    <w:p w14:paraId="2EA013C1">
      <w:pPr>
        <w:autoSpaceDE w:val="0"/>
        <w:autoSpaceDN w:val="0"/>
        <w:adjustRightInd w:val="0"/>
        <w:snapToGrid w:val="0"/>
        <w:ind w:left="105" w:hanging="105"/>
        <w:jc w:val="left"/>
        <w:rPr>
          <w:rFonts w:ascii="Times New Roman" w:hAnsi="Times New Roman"/>
          <w:kern w:val="0"/>
        </w:rPr>
      </w:pPr>
      <w:r>
        <w:rPr>
          <w:rFonts w:ascii="Times New Roman" w:hAnsi="Times New Roman"/>
          <w:kern w:val="0"/>
        </w:rPr>
        <w:t xml:space="preserve">   </w:t>
      </w:r>
      <w:r>
        <w:rPr>
          <w:rFonts w:ascii="Times New Roman" w:hAnsi="Times New Roman"/>
          <w:kern w:val="0"/>
        </w:rPr>
        <w:drawing>
          <wp:inline distT="0" distB="0" distL="114300" distR="114300">
            <wp:extent cx="5267325" cy="2108835"/>
            <wp:effectExtent l="0" t="0" r="9525" b="5715"/>
            <wp:docPr id="78" name="图片 78" descr="图4.3.7-1   插座类型、色标、编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4.3.7-1   插座类型、色标、编号图"/>
                    <pic:cNvPicPr>
                      <a:picLocks noChangeAspect="1"/>
                    </pic:cNvPicPr>
                  </pic:nvPicPr>
                  <pic:blipFill>
                    <a:blip r:embed="rId33"/>
                    <a:stretch>
                      <a:fillRect/>
                    </a:stretch>
                  </pic:blipFill>
                  <pic:spPr>
                    <a:xfrm>
                      <a:off x="0" y="0"/>
                      <a:ext cx="5267325" cy="2108835"/>
                    </a:xfrm>
                    <a:prstGeom prst="rect">
                      <a:avLst/>
                    </a:prstGeom>
                  </pic:spPr>
                </pic:pic>
              </a:graphicData>
            </a:graphic>
          </wp:inline>
        </w:drawing>
      </w:r>
    </w:p>
    <w:p w14:paraId="4E22A6CF">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图8.3.6-1   插座类型、色标、编号图</w:t>
      </w:r>
    </w:p>
    <w:p w14:paraId="226628EB">
      <w:pPr>
        <w:pStyle w:val="164"/>
        <w:numPr>
          <w:ilvl w:val="0"/>
          <w:numId w:val="85"/>
        </w:numPr>
        <w:tabs>
          <w:tab w:val="left" w:pos="210"/>
          <w:tab w:val="left" w:pos="567"/>
        </w:tabs>
        <w:spacing w:line="330" w:lineRule="exact"/>
        <w:ind w:firstLine="630" w:firstLineChars="300"/>
        <w:rPr>
          <w:rFonts w:eastAsiaTheme="minorEastAsia"/>
          <w:szCs w:val="21"/>
        </w:rPr>
      </w:pPr>
      <w:r>
        <w:rPr>
          <w:rFonts w:eastAsiaTheme="minorEastAsia"/>
          <w:szCs w:val="21"/>
        </w:rPr>
        <w:t>屏蔽对绞电缆的屏蔽层与接插件终端处屏蔽罩可靠接触，缆线屏蔽层应与接插件屏蔽罩368圆周接触，接触长度不宜＜100mm。</w:t>
      </w:r>
    </w:p>
    <w:p w14:paraId="443C916B">
      <w:pPr>
        <w:pStyle w:val="164"/>
        <w:numPr>
          <w:ilvl w:val="0"/>
          <w:numId w:val="84"/>
        </w:numPr>
        <w:spacing w:line="330" w:lineRule="exact"/>
        <w:ind w:left="0" w:firstLine="420"/>
        <w:rPr>
          <w:rFonts w:eastAsiaTheme="minorEastAsia"/>
        </w:rPr>
      </w:pPr>
      <w:r>
        <w:rPr>
          <w:rFonts w:eastAsiaTheme="minorEastAsia"/>
        </w:rPr>
        <w:t>光缆芯线终端应符合下列规定：</w:t>
      </w:r>
    </w:p>
    <w:p w14:paraId="62A38BBD">
      <w:pPr>
        <w:pStyle w:val="164"/>
        <w:numPr>
          <w:ilvl w:val="0"/>
          <w:numId w:val="86"/>
        </w:numPr>
        <w:tabs>
          <w:tab w:val="left" w:pos="210"/>
          <w:tab w:val="left" w:pos="567"/>
        </w:tabs>
        <w:spacing w:line="330" w:lineRule="exact"/>
        <w:ind w:firstLine="630" w:firstLineChars="300"/>
        <w:rPr>
          <w:rFonts w:eastAsiaTheme="minorEastAsia"/>
          <w:szCs w:val="21"/>
        </w:rPr>
      </w:pPr>
      <w:r>
        <w:rPr>
          <w:rFonts w:eastAsiaTheme="minorEastAsia"/>
          <w:szCs w:val="21"/>
        </w:rPr>
        <w:t>采用光纤连接盒对光缆芯线接续、保护、光纤连接盒可为固定和抽屉二种方式。在连接盒中光纤应能得到足够的弯曲半径。</w:t>
      </w:r>
    </w:p>
    <w:p w14:paraId="3734B1A5">
      <w:pPr>
        <w:pStyle w:val="164"/>
        <w:numPr>
          <w:ilvl w:val="0"/>
          <w:numId w:val="86"/>
        </w:numPr>
        <w:tabs>
          <w:tab w:val="left" w:pos="210"/>
          <w:tab w:val="left" w:pos="567"/>
        </w:tabs>
        <w:spacing w:line="330" w:lineRule="exact"/>
        <w:ind w:firstLine="630" w:firstLineChars="300"/>
        <w:rPr>
          <w:rFonts w:eastAsiaTheme="minorEastAsia"/>
          <w:szCs w:val="21"/>
        </w:rPr>
      </w:pPr>
      <w:r>
        <w:rPr>
          <w:rFonts w:eastAsiaTheme="minorEastAsia"/>
          <w:szCs w:val="21"/>
        </w:rPr>
        <w:t>光纤融接或机械连接处应加以保护和固定，使用连接器以便于光纤的跳接。</w:t>
      </w:r>
    </w:p>
    <w:p w14:paraId="7B8FD490">
      <w:pPr>
        <w:pStyle w:val="164"/>
        <w:numPr>
          <w:ilvl w:val="0"/>
          <w:numId w:val="86"/>
        </w:numPr>
        <w:tabs>
          <w:tab w:val="left" w:pos="210"/>
          <w:tab w:val="left" w:pos="567"/>
        </w:tabs>
        <w:spacing w:line="330" w:lineRule="exact"/>
        <w:ind w:firstLine="630" w:firstLineChars="300"/>
        <w:rPr>
          <w:rFonts w:eastAsiaTheme="minorEastAsia"/>
          <w:szCs w:val="21"/>
        </w:rPr>
      </w:pPr>
      <w:r>
        <w:rPr>
          <w:rFonts w:eastAsiaTheme="minorEastAsia"/>
          <w:szCs w:val="21"/>
        </w:rPr>
        <w:t>连接盒面板应有标志。</w:t>
      </w:r>
    </w:p>
    <w:p w14:paraId="57DA9F68">
      <w:pPr>
        <w:pStyle w:val="164"/>
        <w:numPr>
          <w:ilvl w:val="0"/>
          <w:numId w:val="86"/>
        </w:numPr>
        <w:tabs>
          <w:tab w:val="left" w:pos="210"/>
          <w:tab w:val="left" w:pos="567"/>
        </w:tabs>
        <w:spacing w:line="330" w:lineRule="exact"/>
        <w:ind w:firstLine="630" w:firstLineChars="300"/>
        <w:rPr>
          <w:rFonts w:eastAsiaTheme="minorEastAsia"/>
          <w:szCs w:val="21"/>
        </w:rPr>
      </w:pPr>
      <w:r>
        <w:rPr>
          <w:rFonts w:eastAsiaTheme="minorEastAsia"/>
          <w:szCs w:val="21"/>
        </w:rPr>
        <w:t>光纤活动连接器在插入适配器之前应进行清洁，所插位置满足设计要求。</w:t>
      </w:r>
    </w:p>
    <w:p w14:paraId="792245CC">
      <w:pPr>
        <w:pStyle w:val="164"/>
        <w:numPr>
          <w:ilvl w:val="0"/>
          <w:numId w:val="86"/>
        </w:numPr>
        <w:tabs>
          <w:tab w:val="left" w:pos="210"/>
          <w:tab w:val="left" w:pos="567"/>
        </w:tabs>
        <w:spacing w:line="330" w:lineRule="exact"/>
        <w:ind w:firstLine="630" w:firstLineChars="300"/>
        <w:rPr>
          <w:rFonts w:eastAsiaTheme="minorEastAsia"/>
          <w:szCs w:val="21"/>
        </w:rPr>
      </w:pPr>
      <w:r>
        <w:rPr>
          <w:rFonts w:eastAsiaTheme="minorEastAsia"/>
          <w:szCs w:val="21"/>
        </w:rPr>
        <w:t>光纤接续损耗值应符合表8.3.6-2的规定。</w:t>
      </w:r>
    </w:p>
    <w:p w14:paraId="32DCAE54">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表8.3.6-2   光缆接续损耗表</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60"/>
        <w:gridCol w:w="1660"/>
      </w:tblGrid>
      <w:tr w14:paraId="64C7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gridSpan w:val="5"/>
            <w:vAlign w:val="center"/>
          </w:tcPr>
          <w:p w14:paraId="571892D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光纤接续损耗（dB）</w:t>
            </w:r>
          </w:p>
        </w:tc>
      </w:tr>
      <w:tr w14:paraId="3E56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restart"/>
            <w:vAlign w:val="center"/>
          </w:tcPr>
          <w:p w14:paraId="5061CDC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光纤类别</w:t>
            </w:r>
          </w:p>
        </w:tc>
        <w:tc>
          <w:tcPr>
            <w:tcW w:w="3318" w:type="dxa"/>
            <w:gridSpan w:val="2"/>
            <w:vAlign w:val="center"/>
          </w:tcPr>
          <w:p w14:paraId="531F1EA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多模</w:t>
            </w:r>
          </w:p>
        </w:tc>
        <w:tc>
          <w:tcPr>
            <w:tcW w:w="3320" w:type="dxa"/>
            <w:gridSpan w:val="2"/>
          </w:tcPr>
          <w:p w14:paraId="6BE8000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单模</w:t>
            </w:r>
          </w:p>
        </w:tc>
      </w:tr>
      <w:tr w14:paraId="0D08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continue"/>
            <w:vAlign w:val="center"/>
          </w:tcPr>
          <w:p w14:paraId="24990F2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1659" w:type="dxa"/>
            <w:vAlign w:val="center"/>
          </w:tcPr>
          <w:p w14:paraId="1EE6079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平均值</w:t>
            </w:r>
          </w:p>
        </w:tc>
        <w:tc>
          <w:tcPr>
            <w:tcW w:w="1659" w:type="dxa"/>
            <w:vAlign w:val="center"/>
          </w:tcPr>
          <w:p w14:paraId="79BE9BF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最大值</w:t>
            </w:r>
          </w:p>
        </w:tc>
        <w:tc>
          <w:tcPr>
            <w:tcW w:w="1660" w:type="dxa"/>
            <w:vAlign w:val="center"/>
          </w:tcPr>
          <w:p w14:paraId="20738BE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平均值</w:t>
            </w:r>
          </w:p>
        </w:tc>
        <w:tc>
          <w:tcPr>
            <w:tcW w:w="1660" w:type="dxa"/>
            <w:vAlign w:val="center"/>
          </w:tcPr>
          <w:p w14:paraId="0BCB304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最大值</w:t>
            </w:r>
          </w:p>
        </w:tc>
      </w:tr>
      <w:tr w14:paraId="177A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2859313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融接</w:t>
            </w:r>
          </w:p>
        </w:tc>
        <w:tc>
          <w:tcPr>
            <w:tcW w:w="1659" w:type="dxa"/>
            <w:vAlign w:val="center"/>
          </w:tcPr>
          <w:p w14:paraId="00C2391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0.15</w:t>
            </w:r>
          </w:p>
        </w:tc>
        <w:tc>
          <w:tcPr>
            <w:tcW w:w="1659" w:type="dxa"/>
            <w:vAlign w:val="center"/>
          </w:tcPr>
          <w:p w14:paraId="3615EC7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0.30</w:t>
            </w:r>
          </w:p>
        </w:tc>
        <w:tc>
          <w:tcPr>
            <w:tcW w:w="1660" w:type="dxa"/>
            <w:vAlign w:val="center"/>
          </w:tcPr>
          <w:p w14:paraId="021D96C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0.15</w:t>
            </w:r>
          </w:p>
        </w:tc>
        <w:tc>
          <w:tcPr>
            <w:tcW w:w="1660" w:type="dxa"/>
            <w:vAlign w:val="center"/>
          </w:tcPr>
          <w:p w14:paraId="442D434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0.30</w:t>
            </w:r>
          </w:p>
        </w:tc>
      </w:tr>
      <w:tr w14:paraId="26B4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5F1C697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机械接续</w:t>
            </w:r>
          </w:p>
        </w:tc>
        <w:tc>
          <w:tcPr>
            <w:tcW w:w="1659" w:type="dxa"/>
            <w:vAlign w:val="center"/>
          </w:tcPr>
          <w:p w14:paraId="6005D5D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0.15</w:t>
            </w:r>
          </w:p>
        </w:tc>
        <w:tc>
          <w:tcPr>
            <w:tcW w:w="1659" w:type="dxa"/>
            <w:vAlign w:val="center"/>
          </w:tcPr>
          <w:p w14:paraId="5AE95F0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0.30</w:t>
            </w:r>
          </w:p>
        </w:tc>
        <w:tc>
          <w:tcPr>
            <w:tcW w:w="1660" w:type="dxa"/>
            <w:vAlign w:val="center"/>
          </w:tcPr>
          <w:p w14:paraId="45EEE1F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0.20</w:t>
            </w:r>
          </w:p>
        </w:tc>
        <w:tc>
          <w:tcPr>
            <w:tcW w:w="1660" w:type="dxa"/>
            <w:vAlign w:val="center"/>
          </w:tcPr>
          <w:p w14:paraId="78606FF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0.30</w:t>
            </w:r>
          </w:p>
        </w:tc>
      </w:tr>
    </w:tbl>
    <w:p w14:paraId="6A4ABC43">
      <w:pPr>
        <w:pStyle w:val="164"/>
        <w:numPr>
          <w:ilvl w:val="0"/>
          <w:numId w:val="84"/>
        </w:numPr>
        <w:spacing w:line="330" w:lineRule="exact"/>
        <w:ind w:left="0" w:firstLine="420"/>
        <w:rPr>
          <w:rFonts w:eastAsiaTheme="minorEastAsia"/>
        </w:rPr>
      </w:pPr>
      <w:r>
        <w:rPr>
          <w:rFonts w:eastAsiaTheme="minorEastAsia"/>
        </w:rPr>
        <w:t>各类跳线的成端</w:t>
      </w:r>
      <w:r>
        <w:rPr>
          <w:szCs w:val="21"/>
        </w:rPr>
        <w:t>应符合下列规定：</w:t>
      </w:r>
    </w:p>
    <w:p w14:paraId="502551AC">
      <w:pPr>
        <w:pStyle w:val="164"/>
        <w:numPr>
          <w:ilvl w:val="0"/>
          <w:numId w:val="87"/>
        </w:numPr>
        <w:tabs>
          <w:tab w:val="left" w:pos="210"/>
          <w:tab w:val="left" w:pos="567"/>
        </w:tabs>
        <w:spacing w:line="330" w:lineRule="exact"/>
        <w:ind w:firstLine="630" w:firstLineChars="300"/>
        <w:rPr>
          <w:rFonts w:eastAsiaTheme="minorEastAsia"/>
          <w:szCs w:val="21"/>
        </w:rPr>
      </w:pPr>
      <w:r>
        <w:rPr>
          <w:rFonts w:eastAsiaTheme="minorEastAsia"/>
          <w:szCs w:val="21"/>
        </w:rPr>
        <w:t>各类跳线缆线和插件间接触应良好，接线无误，标志齐全。跳线选用类型应符合系统设计要求。</w:t>
      </w:r>
    </w:p>
    <w:p w14:paraId="42BB0C93">
      <w:pPr>
        <w:pStyle w:val="164"/>
        <w:numPr>
          <w:ilvl w:val="0"/>
          <w:numId w:val="87"/>
        </w:numPr>
        <w:tabs>
          <w:tab w:val="left" w:pos="210"/>
          <w:tab w:val="left" w:pos="567"/>
        </w:tabs>
        <w:spacing w:line="330" w:lineRule="exact"/>
        <w:ind w:firstLine="630" w:firstLineChars="300"/>
        <w:rPr>
          <w:rFonts w:eastAsiaTheme="minorEastAsia"/>
          <w:szCs w:val="21"/>
        </w:rPr>
      </w:pPr>
      <w:r>
        <w:rPr>
          <w:rFonts w:eastAsiaTheme="minorEastAsia"/>
          <w:szCs w:val="21"/>
        </w:rPr>
        <w:t>各类跳线长度应满足设计要求，一般对绞电缆不应超过5m，光缆不应超过10m。</w:t>
      </w:r>
    </w:p>
    <w:p w14:paraId="1CDE3C1F">
      <w:pPr>
        <w:pStyle w:val="164"/>
        <w:spacing w:before="100" w:after="100" w:line="330" w:lineRule="exact"/>
        <w:ind w:firstLine="0" w:firstLineChars="0"/>
        <w:rPr>
          <w:szCs w:val="21"/>
        </w:rPr>
      </w:pPr>
      <w:r>
        <w:rPr>
          <w:szCs w:val="21"/>
        </w:rPr>
        <w:t>8.3.7 系统测试应符合下列规定：</w:t>
      </w:r>
    </w:p>
    <w:p w14:paraId="14B52723">
      <w:pPr>
        <w:pStyle w:val="164"/>
        <w:numPr>
          <w:ilvl w:val="0"/>
          <w:numId w:val="88"/>
        </w:numPr>
        <w:spacing w:line="330" w:lineRule="exact"/>
        <w:ind w:left="0" w:firstLine="420"/>
        <w:rPr>
          <w:rFonts w:eastAsiaTheme="minorEastAsia"/>
        </w:rPr>
      </w:pPr>
      <w:r>
        <w:rPr>
          <w:rFonts w:eastAsiaTheme="minorEastAsia"/>
        </w:rPr>
        <w:t>综合布线系统测试包括：电缆系统电气性能测试及光纤系统性能测试，测试记录表格应按现行国家标准《综合布线系统工程验收规范》</w:t>
      </w:r>
      <w:r>
        <w:rPr>
          <w:szCs w:val="22"/>
        </w:rPr>
        <w:t>GB 50312</w:t>
      </w:r>
      <w:r>
        <w:rPr>
          <w:rFonts w:eastAsiaTheme="minorEastAsia"/>
        </w:rPr>
        <w:t>的规定执行。</w:t>
      </w:r>
    </w:p>
    <w:p w14:paraId="04AB3433">
      <w:pPr>
        <w:pStyle w:val="164"/>
        <w:numPr>
          <w:ilvl w:val="0"/>
          <w:numId w:val="88"/>
        </w:numPr>
        <w:spacing w:line="330" w:lineRule="exact"/>
        <w:ind w:left="0" w:firstLine="420"/>
        <w:rPr>
          <w:rFonts w:eastAsiaTheme="minorEastAsia"/>
        </w:rPr>
      </w:pPr>
      <w:r>
        <w:rPr>
          <w:rFonts w:eastAsiaTheme="minorEastAsia"/>
        </w:rPr>
        <w:t>对绞电缆及光纤布线系统的现场测试仪应具有针对不同布线系统等级的相应精度。</w:t>
      </w:r>
    </w:p>
    <w:p w14:paraId="36FE2AC5">
      <w:pPr>
        <w:pStyle w:val="164"/>
        <w:numPr>
          <w:ilvl w:val="0"/>
          <w:numId w:val="88"/>
        </w:numPr>
        <w:spacing w:line="330" w:lineRule="exact"/>
        <w:ind w:left="0" w:firstLine="420"/>
        <w:rPr>
          <w:rFonts w:eastAsiaTheme="minorEastAsia"/>
        </w:rPr>
      </w:pPr>
      <w:r>
        <w:rPr>
          <w:rFonts w:eastAsiaTheme="minorEastAsia"/>
        </w:rPr>
        <w:t>电缆、光缆测试仪器应经过计量部门校验，并取得合格证。</w:t>
      </w:r>
    </w:p>
    <w:p w14:paraId="4FBBA1C8">
      <w:pPr>
        <w:pStyle w:val="164"/>
        <w:numPr>
          <w:ilvl w:val="0"/>
          <w:numId w:val="88"/>
        </w:numPr>
        <w:spacing w:line="330" w:lineRule="exact"/>
        <w:ind w:left="0" w:firstLine="420"/>
        <w:rPr>
          <w:rFonts w:eastAsiaTheme="minorEastAsia"/>
        </w:rPr>
      </w:pPr>
      <w:r>
        <w:rPr>
          <w:rFonts w:eastAsiaTheme="minorEastAsia"/>
        </w:rPr>
        <w:t>测试对绞电缆和光纤的测试仪器应具有存储测试记录功能，可自动输出打印记录。</w:t>
      </w:r>
    </w:p>
    <w:p w14:paraId="6C3A43CE">
      <w:pPr>
        <w:pStyle w:val="164"/>
        <w:numPr>
          <w:ilvl w:val="0"/>
          <w:numId w:val="88"/>
        </w:numPr>
        <w:spacing w:line="330" w:lineRule="exact"/>
        <w:ind w:left="0" w:firstLine="420"/>
        <w:rPr>
          <w:rFonts w:eastAsiaTheme="minorEastAsia"/>
        </w:rPr>
      </w:pPr>
      <w:r>
        <w:rPr>
          <w:rFonts w:eastAsiaTheme="minorEastAsia"/>
        </w:rPr>
        <w:t>3类、5类、5e类、6类、7类布线系统的测试内容应符合表8.3.7-1规定。</w:t>
      </w:r>
    </w:p>
    <w:p w14:paraId="124820FD">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表8.3.7-1   3 类、5 类、5e 类、6 类、7 类布线系统的测试内容</w:t>
      </w:r>
    </w:p>
    <w:tbl>
      <w:tblPr>
        <w:tblStyle w:val="42"/>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52"/>
        <w:gridCol w:w="4616"/>
      </w:tblGrid>
      <w:tr w14:paraId="1158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42633C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布线类型</w:t>
            </w:r>
          </w:p>
        </w:tc>
        <w:tc>
          <w:tcPr>
            <w:tcW w:w="2552" w:type="dxa"/>
            <w:vAlign w:val="center"/>
          </w:tcPr>
          <w:p w14:paraId="789DE13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测试项目</w:t>
            </w:r>
          </w:p>
        </w:tc>
        <w:tc>
          <w:tcPr>
            <w:tcW w:w="4616" w:type="dxa"/>
            <w:vAlign w:val="center"/>
          </w:tcPr>
          <w:p w14:paraId="5BD4E4B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测试内容</w:t>
            </w:r>
          </w:p>
        </w:tc>
      </w:tr>
      <w:tr w14:paraId="4A1B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084345F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 类、5 类布线</w:t>
            </w:r>
          </w:p>
        </w:tc>
        <w:tc>
          <w:tcPr>
            <w:tcW w:w="2552" w:type="dxa"/>
            <w:vAlign w:val="center"/>
          </w:tcPr>
          <w:p w14:paraId="17DF13E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接线图测试</w:t>
            </w:r>
          </w:p>
        </w:tc>
        <w:tc>
          <w:tcPr>
            <w:tcW w:w="4616" w:type="dxa"/>
            <w:vAlign w:val="center"/>
          </w:tcPr>
          <w:p w14:paraId="640C621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测试水平电缆终接在工作区或电信间配线设备的 8 位模块式通用插座的安装连接正确与错误，对非 RJ45 的连接方式按相关规定要求列出结果</w:t>
            </w:r>
          </w:p>
        </w:tc>
      </w:tr>
      <w:tr w14:paraId="4DDB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26AC4C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Align w:val="center"/>
          </w:tcPr>
          <w:p w14:paraId="750BF32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布线链路及信道缆线长度测试</w:t>
            </w:r>
          </w:p>
        </w:tc>
        <w:tc>
          <w:tcPr>
            <w:tcW w:w="4616" w:type="dxa"/>
            <w:vAlign w:val="center"/>
          </w:tcPr>
          <w:p w14:paraId="667C692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应在测试连接图所要求的极限长度范围之内</w:t>
            </w:r>
          </w:p>
        </w:tc>
      </w:tr>
      <w:tr w14:paraId="6858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040BFC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restart"/>
            <w:vAlign w:val="center"/>
          </w:tcPr>
          <w:p w14:paraId="4F09A82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基本链路性能指标</w:t>
            </w:r>
          </w:p>
        </w:tc>
        <w:tc>
          <w:tcPr>
            <w:tcW w:w="4616" w:type="dxa"/>
            <w:vAlign w:val="center"/>
          </w:tcPr>
          <w:p w14:paraId="4085CEB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近端串音（dB）；</w:t>
            </w:r>
          </w:p>
        </w:tc>
      </w:tr>
      <w:tr w14:paraId="6406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CC987D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7A6CD57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3C45FCF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衰减（dB）</w:t>
            </w:r>
          </w:p>
        </w:tc>
      </w:tr>
      <w:tr w14:paraId="7E65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1FEFAE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restart"/>
            <w:vAlign w:val="center"/>
          </w:tcPr>
          <w:p w14:paraId="0DEBB84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信道性能指标</w:t>
            </w:r>
          </w:p>
        </w:tc>
        <w:tc>
          <w:tcPr>
            <w:tcW w:w="4616" w:type="dxa"/>
            <w:vAlign w:val="center"/>
          </w:tcPr>
          <w:p w14:paraId="2708244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近端串音（dB）；</w:t>
            </w:r>
          </w:p>
        </w:tc>
      </w:tr>
      <w:tr w14:paraId="1AC1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367D29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1107CDA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7368E90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衰减（dB）</w:t>
            </w:r>
          </w:p>
        </w:tc>
      </w:tr>
      <w:tr w14:paraId="6FB1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79C3F02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5e 类、6 类、7 类布线</w:t>
            </w:r>
          </w:p>
        </w:tc>
        <w:tc>
          <w:tcPr>
            <w:tcW w:w="2552" w:type="dxa"/>
            <w:vAlign w:val="center"/>
          </w:tcPr>
          <w:p w14:paraId="6CE02AA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接线图测试</w:t>
            </w:r>
          </w:p>
        </w:tc>
        <w:tc>
          <w:tcPr>
            <w:tcW w:w="4616" w:type="dxa"/>
            <w:vAlign w:val="center"/>
          </w:tcPr>
          <w:p w14:paraId="6ED154D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测试水平电缆终接在工作区或电信间配线设备的8位模块式通用插座的安装连接正确与错误，对非RJ45的连接方式按相关规定要求列出结果</w:t>
            </w:r>
          </w:p>
        </w:tc>
      </w:tr>
      <w:tr w14:paraId="054F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059756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Align w:val="center"/>
          </w:tcPr>
          <w:p w14:paraId="02FA4A3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布线链路及信道缆线长度测试</w:t>
            </w:r>
          </w:p>
        </w:tc>
        <w:tc>
          <w:tcPr>
            <w:tcW w:w="4616" w:type="dxa"/>
            <w:vAlign w:val="center"/>
          </w:tcPr>
          <w:p w14:paraId="56FEBAC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应在测试连接图所要求的极限长度范围之内</w:t>
            </w:r>
          </w:p>
        </w:tc>
      </w:tr>
      <w:tr w14:paraId="7756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AC64D5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restart"/>
            <w:vAlign w:val="center"/>
          </w:tcPr>
          <w:p w14:paraId="0492F85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永久链路或 CP 链路性能指标</w:t>
            </w:r>
          </w:p>
        </w:tc>
        <w:tc>
          <w:tcPr>
            <w:tcW w:w="4616" w:type="dxa"/>
            <w:vAlign w:val="center"/>
          </w:tcPr>
          <w:p w14:paraId="154E491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回波损耗（RL）；</w:t>
            </w:r>
          </w:p>
        </w:tc>
      </w:tr>
      <w:tr w14:paraId="20CE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3BB4AA1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1CEEC6F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0F53E6E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插入损耗(IL)；</w:t>
            </w:r>
          </w:p>
        </w:tc>
      </w:tr>
      <w:tr w14:paraId="4078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323D269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6EFE9F7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3938509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近端串音（NEXT）；</w:t>
            </w:r>
          </w:p>
        </w:tc>
      </w:tr>
      <w:tr w14:paraId="7A0F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7D881E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27FB7B5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75B69F7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近端串音功率和（PS NEXT）；</w:t>
            </w:r>
          </w:p>
        </w:tc>
      </w:tr>
      <w:tr w14:paraId="6D77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123470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5169063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451FBBE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线对之间的衰减串音比（ACR）；</w:t>
            </w:r>
          </w:p>
        </w:tc>
      </w:tr>
      <w:tr w14:paraId="2ED7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905E80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12A3E36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3457FED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ACR 功率和（PS ACR）；</w:t>
            </w:r>
          </w:p>
        </w:tc>
      </w:tr>
      <w:tr w14:paraId="5831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2949D6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3A67263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2314BB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线对与线对之间等电平远端串音（ELFEXT）；</w:t>
            </w:r>
          </w:p>
        </w:tc>
      </w:tr>
      <w:tr w14:paraId="7360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3932FA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4098579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F65E71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等电平远端串音功率和（PS ELFEXT）；</w:t>
            </w:r>
          </w:p>
        </w:tc>
      </w:tr>
      <w:tr w14:paraId="5F58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1CB1C0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77FF5EC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1AE5075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直流环路电阻；</w:t>
            </w:r>
          </w:p>
        </w:tc>
      </w:tr>
      <w:tr w14:paraId="3B84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760761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2A9EAED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4A726B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传播时延；</w:t>
            </w:r>
          </w:p>
        </w:tc>
      </w:tr>
      <w:tr w14:paraId="0C38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ECA70D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67571E2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142C8D5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传播时延偏差；</w:t>
            </w:r>
          </w:p>
        </w:tc>
      </w:tr>
      <w:tr w14:paraId="74E9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180A3F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1F1F46D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0DEDBFF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电缆屏蔽层连通情况；</w:t>
            </w:r>
          </w:p>
        </w:tc>
      </w:tr>
      <w:tr w14:paraId="0816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B36EA8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restart"/>
            <w:vAlign w:val="center"/>
          </w:tcPr>
          <w:p w14:paraId="74CF589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信道性能指标</w:t>
            </w:r>
          </w:p>
        </w:tc>
        <w:tc>
          <w:tcPr>
            <w:tcW w:w="4616" w:type="dxa"/>
            <w:vAlign w:val="center"/>
          </w:tcPr>
          <w:p w14:paraId="5185764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回波损耗（RL）；</w:t>
            </w:r>
          </w:p>
        </w:tc>
      </w:tr>
      <w:tr w14:paraId="7D88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B3E3AB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4D5FE1B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7263E65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插入损耗(IL)；</w:t>
            </w:r>
          </w:p>
        </w:tc>
      </w:tr>
      <w:tr w14:paraId="65D4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89D02F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0A87A2A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1077FA9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近端串音（NEXT）；</w:t>
            </w:r>
          </w:p>
        </w:tc>
      </w:tr>
      <w:tr w14:paraId="1D10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6B19F7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073F4D8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28D2D5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近端串音功率和（PS NEXT）；</w:t>
            </w:r>
          </w:p>
        </w:tc>
      </w:tr>
      <w:tr w14:paraId="697F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EE5A30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6AAB215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422A3D5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信道线对于线对之间的衰减串音比（ACR）；</w:t>
            </w:r>
          </w:p>
        </w:tc>
      </w:tr>
      <w:tr w14:paraId="6DBE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B76746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6A5CA46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7F1BEF7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ACR 功率和（PS ACR）；</w:t>
            </w:r>
          </w:p>
        </w:tc>
      </w:tr>
      <w:tr w14:paraId="5024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4023833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2D6D1F1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4E4F380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线对与线对之间等电平远端串音（ELFEXT）；</w:t>
            </w:r>
          </w:p>
        </w:tc>
      </w:tr>
      <w:tr w14:paraId="3F36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33AD0C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2268F06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EDBBED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等电平远端串音功率和（PS ELFEXT）；</w:t>
            </w:r>
          </w:p>
        </w:tc>
      </w:tr>
      <w:tr w14:paraId="538C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870C01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3887364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3639696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直流环路电阻；</w:t>
            </w:r>
          </w:p>
        </w:tc>
      </w:tr>
      <w:tr w14:paraId="593E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4F5ECF2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033F036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371A11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传播时延；</w:t>
            </w:r>
          </w:p>
        </w:tc>
      </w:tr>
      <w:tr w14:paraId="5D4B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747C29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7701EFE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205E50B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sz w:val="18"/>
                <w:szCs w:val="18"/>
              </w:rPr>
              <w:t>传播时延偏差；</w:t>
            </w:r>
          </w:p>
        </w:tc>
      </w:tr>
      <w:tr w14:paraId="239F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19C6AD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2552" w:type="dxa"/>
            <w:vMerge w:val="continue"/>
            <w:vAlign w:val="center"/>
          </w:tcPr>
          <w:p w14:paraId="08BAF02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4616" w:type="dxa"/>
            <w:vAlign w:val="center"/>
          </w:tcPr>
          <w:p w14:paraId="069BD74C">
            <w:pPr>
              <w:autoSpaceDE w:val="0"/>
              <w:autoSpaceDN w:val="0"/>
              <w:adjustRightInd w:val="0"/>
              <w:snapToGrid w:val="0"/>
              <w:spacing w:line="330" w:lineRule="exact"/>
              <w:ind w:left="0" w:firstLine="0" w:firstLineChars="0"/>
              <w:jc w:val="center"/>
              <w:rPr>
                <w:rFonts w:ascii="Times New Roman" w:hAnsi="Times New Roman"/>
                <w:sz w:val="18"/>
                <w:szCs w:val="18"/>
              </w:rPr>
            </w:pPr>
            <w:r>
              <w:rPr>
                <w:rFonts w:ascii="Times New Roman" w:hAnsi="Times New Roman"/>
                <w:sz w:val="18"/>
                <w:szCs w:val="18"/>
              </w:rPr>
              <w:t>电缆屏蔽层连通情况</w:t>
            </w:r>
          </w:p>
        </w:tc>
      </w:tr>
    </w:tbl>
    <w:p w14:paraId="2C3D5415">
      <w:pPr>
        <w:pStyle w:val="164"/>
        <w:numPr>
          <w:ilvl w:val="0"/>
          <w:numId w:val="88"/>
        </w:numPr>
        <w:spacing w:line="330" w:lineRule="exact"/>
        <w:ind w:left="0" w:firstLine="420"/>
        <w:rPr>
          <w:rFonts w:eastAsiaTheme="minorEastAsia"/>
        </w:rPr>
      </w:pPr>
      <w:r>
        <w:rPr>
          <w:rFonts w:eastAsiaTheme="minorEastAsia"/>
        </w:rPr>
        <w:t>所有电缆的链路和信道在不同频率和级别下的测试结果应符合《综合布线系统工程验收规范》GB 50312的有关规定。</w:t>
      </w:r>
    </w:p>
    <w:p w14:paraId="47CF68A5">
      <w:pPr>
        <w:pStyle w:val="164"/>
        <w:numPr>
          <w:ilvl w:val="0"/>
          <w:numId w:val="88"/>
        </w:numPr>
        <w:spacing w:line="330" w:lineRule="exact"/>
        <w:ind w:left="0" w:firstLine="420"/>
        <w:rPr>
          <w:rFonts w:eastAsiaTheme="minorEastAsia"/>
        </w:rPr>
      </w:pPr>
      <w:r>
        <w:rPr>
          <w:rFonts w:eastAsiaTheme="minorEastAsia"/>
        </w:rPr>
        <w:t>光纤测试包括检查光纤的连通性、光纤的长度、光纤链路的插入损耗、光纤链路的衰减测试，测试结果应符合《综合布线系统工程验收规范》GB 50312的有关规定。</w:t>
      </w:r>
    </w:p>
    <w:p w14:paraId="7AEE5290">
      <w:pPr>
        <w:pStyle w:val="164"/>
        <w:numPr>
          <w:ilvl w:val="0"/>
          <w:numId w:val="88"/>
        </w:numPr>
        <w:spacing w:line="330" w:lineRule="exact"/>
        <w:ind w:left="0" w:firstLine="420"/>
        <w:rPr>
          <w:rFonts w:eastAsiaTheme="minorEastAsia"/>
        </w:rPr>
      </w:pPr>
      <w:r>
        <w:rPr>
          <w:rFonts w:eastAsiaTheme="minorEastAsia"/>
        </w:rPr>
        <w:t>综合布线系统光缆波长窗口的各项参数，应符合表8.3.7-2的规定。</w:t>
      </w:r>
    </w:p>
    <w:p w14:paraId="23E2493D">
      <w:pPr>
        <w:widowControl/>
        <w:spacing w:before="120" w:beforeLines="50" w:after="93" w:afterLines="39" w:line="330" w:lineRule="exact"/>
        <w:ind w:left="0" w:firstLine="0" w:firstLineChars="0"/>
        <w:jc w:val="center"/>
        <w:rPr>
          <w:rFonts w:ascii="Times New Roman" w:hAnsi="Times New Roman"/>
          <w:b/>
          <w:bCs/>
          <w:sz w:val="18"/>
          <w:szCs w:val="18"/>
        </w:rPr>
      </w:pPr>
      <w:r>
        <w:rPr>
          <w:rFonts w:ascii="Times New Roman" w:hAnsi="Times New Roman"/>
          <w:b/>
          <w:bCs/>
          <w:sz w:val="18"/>
          <w:szCs w:val="18"/>
        </w:rPr>
        <w:t>表8.3.7-2   光缆波长窗口参数</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60"/>
        <w:gridCol w:w="1660"/>
      </w:tblGrid>
      <w:tr w14:paraId="477C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3B20646E">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光纤模式</w:t>
            </w:r>
          </w:p>
          <w:p w14:paraId="64B99D6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标称波长(nm)</w:t>
            </w:r>
          </w:p>
        </w:tc>
        <w:tc>
          <w:tcPr>
            <w:tcW w:w="1659" w:type="dxa"/>
            <w:vAlign w:val="center"/>
          </w:tcPr>
          <w:p w14:paraId="3FD9A47C">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下限</w:t>
            </w:r>
          </w:p>
          <w:p w14:paraId="1B87F7E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(nm)</w:t>
            </w:r>
          </w:p>
        </w:tc>
        <w:tc>
          <w:tcPr>
            <w:tcW w:w="1659" w:type="dxa"/>
            <w:vAlign w:val="center"/>
          </w:tcPr>
          <w:p w14:paraId="4A3D0326">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上限</w:t>
            </w:r>
          </w:p>
          <w:p w14:paraId="21AE9A2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(nm)</w:t>
            </w:r>
          </w:p>
        </w:tc>
        <w:tc>
          <w:tcPr>
            <w:tcW w:w="1660" w:type="dxa"/>
            <w:vAlign w:val="center"/>
          </w:tcPr>
          <w:p w14:paraId="425D943A">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基准试验波长</w:t>
            </w:r>
          </w:p>
          <w:p w14:paraId="1B0C53C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(nm)</w:t>
            </w:r>
          </w:p>
        </w:tc>
        <w:tc>
          <w:tcPr>
            <w:tcW w:w="1660" w:type="dxa"/>
            <w:vAlign w:val="center"/>
          </w:tcPr>
          <w:p w14:paraId="42F6E9E9">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谱线最大宽度</w:t>
            </w:r>
          </w:p>
          <w:p w14:paraId="157869B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FWHM(nm)</w:t>
            </w:r>
          </w:p>
        </w:tc>
      </w:tr>
      <w:tr w14:paraId="5FC7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019728E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多模</w:t>
            </w:r>
          </w:p>
        </w:tc>
        <w:tc>
          <w:tcPr>
            <w:tcW w:w="1659" w:type="dxa"/>
            <w:vAlign w:val="center"/>
          </w:tcPr>
          <w:p w14:paraId="1F091BA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790</w:t>
            </w:r>
          </w:p>
        </w:tc>
        <w:tc>
          <w:tcPr>
            <w:tcW w:w="1659" w:type="dxa"/>
            <w:vAlign w:val="center"/>
          </w:tcPr>
          <w:p w14:paraId="3B75D70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910</w:t>
            </w:r>
          </w:p>
        </w:tc>
        <w:tc>
          <w:tcPr>
            <w:tcW w:w="1660" w:type="dxa"/>
            <w:vAlign w:val="center"/>
          </w:tcPr>
          <w:p w14:paraId="32C7810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850</w:t>
            </w:r>
          </w:p>
        </w:tc>
        <w:tc>
          <w:tcPr>
            <w:tcW w:w="1660" w:type="dxa"/>
            <w:vAlign w:val="center"/>
          </w:tcPr>
          <w:p w14:paraId="2AAD920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50</w:t>
            </w:r>
          </w:p>
        </w:tc>
      </w:tr>
      <w:tr w14:paraId="266E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725DB8D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多模</w:t>
            </w:r>
          </w:p>
        </w:tc>
        <w:tc>
          <w:tcPr>
            <w:tcW w:w="1659" w:type="dxa"/>
            <w:vAlign w:val="center"/>
          </w:tcPr>
          <w:p w14:paraId="108A26E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1285</w:t>
            </w:r>
          </w:p>
        </w:tc>
        <w:tc>
          <w:tcPr>
            <w:tcW w:w="1659" w:type="dxa"/>
            <w:vAlign w:val="center"/>
          </w:tcPr>
          <w:p w14:paraId="1F02D79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1330</w:t>
            </w:r>
          </w:p>
        </w:tc>
        <w:tc>
          <w:tcPr>
            <w:tcW w:w="1660" w:type="dxa"/>
            <w:vAlign w:val="center"/>
          </w:tcPr>
          <w:p w14:paraId="4B16734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1300</w:t>
            </w:r>
          </w:p>
        </w:tc>
        <w:tc>
          <w:tcPr>
            <w:tcW w:w="1660" w:type="dxa"/>
            <w:vAlign w:val="center"/>
          </w:tcPr>
          <w:p w14:paraId="375080E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150</w:t>
            </w:r>
          </w:p>
        </w:tc>
      </w:tr>
      <w:tr w14:paraId="4D21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7CBC9FA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单模</w:t>
            </w:r>
          </w:p>
        </w:tc>
        <w:tc>
          <w:tcPr>
            <w:tcW w:w="1659" w:type="dxa"/>
            <w:vAlign w:val="center"/>
          </w:tcPr>
          <w:p w14:paraId="6B45D12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1288</w:t>
            </w:r>
          </w:p>
        </w:tc>
        <w:tc>
          <w:tcPr>
            <w:tcW w:w="1659" w:type="dxa"/>
            <w:vAlign w:val="center"/>
          </w:tcPr>
          <w:p w14:paraId="7075152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1339</w:t>
            </w:r>
          </w:p>
        </w:tc>
        <w:tc>
          <w:tcPr>
            <w:tcW w:w="1660" w:type="dxa"/>
            <w:vAlign w:val="center"/>
          </w:tcPr>
          <w:p w14:paraId="56B8CF6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1310</w:t>
            </w:r>
          </w:p>
        </w:tc>
        <w:tc>
          <w:tcPr>
            <w:tcW w:w="1660" w:type="dxa"/>
            <w:vAlign w:val="center"/>
          </w:tcPr>
          <w:p w14:paraId="0AFAA89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10</w:t>
            </w:r>
          </w:p>
        </w:tc>
      </w:tr>
      <w:tr w14:paraId="1E2B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221BB07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单模</w:t>
            </w:r>
          </w:p>
        </w:tc>
        <w:tc>
          <w:tcPr>
            <w:tcW w:w="1659" w:type="dxa"/>
            <w:vAlign w:val="center"/>
          </w:tcPr>
          <w:p w14:paraId="1B4DE59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1525</w:t>
            </w:r>
          </w:p>
        </w:tc>
        <w:tc>
          <w:tcPr>
            <w:tcW w:w="1659" w:type="dxa"/>
            <w:vAlign w:val="center"/>
          </w:tcPr>
          <w:p w14:paraId="166D2D8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1575</w:t>
            </w:r>
          </w:p>
        </w:tc>
        <w:tc>
          <w:tcPr>
            <w:tcW w:w="1660" w:type="dxa"/>
            <w:vAlign w:val="center"/>
          </w:tcPr>
          <w:p w14:paraId="7577F71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1550</w:t>
            </w:r>
          </w:p>
        </w:tc>
        <w:tc>
          <w:tcPr>
            <w:tcW w:w="1660" w:type="dxa"/>
            <w:vAlign w:val="center"/>
          </w:tcPr>
          <w:p w14:paraId="165035C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10</w:t>
            </w:r>
          </w:p>
        </w:tc>
      </w:tr>
    </w:tbl>
    <w:p w14:paraId="37DB2A5D">
      <w:pPr>
        <w:spacing w:line="330" w:lineRule="exact"/>
        <w:ind w:left="0" w:firstLine="0" w:firstLineChars="0"/>
        <w:jc w:val="left"/>
        <w:rPr>
          <w:rFonts w:ascii="Times New Roman" w:hAnsi="Times New Roman"/>
          <w:sz w:val="18"/>
          <w:szCs w:val="18"/>
        </w:rPr>
      </w:pPr>
      <w:r>
        <w:rPr>
          <w:rFonts w:ascii="Times New Roman" w:hAnsi="Times New Roman"/>
          <w:sz w:val="18"/>
          <w:szCs w:val="18"/>
        </w:rPr>
        <w:t>注：1多模光纤</w:t>
      </w:r>
      <w:r>
        <w:rPr>
          <w:rFonts w:hint="eastAsia" w:ascii="Times New Roman" w:hAnsi="Times New Roman"/>
          <w:sz w:val="18"/>
          <w:szCs w:val="18"/>
        </w:rPr>
        <w:t>的</w:t>
      </w:r>
      <w:r>
        <w:rPr>
          <w:rFonts w:ascii="Times New Roman" w:hAnsi="Times New Roman"/>
          <w:sz w:val="18"/>
          <w:szCs w:val="18"/>
        </w:rPr>
        <w:t>芯线标称直径为62.5/125um或50/125um</w:t>
      </w:r>
      <w:r>
        <w:rPr>
          <w:rFonts w:hint="eastAsia" w:ascii="Times New Roman" w:hAnsi="Times New Roman"/>
          <w:sz w:val="18"/>
          <w:szCs w:val="18"/>
        </w:rPr>
        <w:t>，</w:t>
      </w:r>
      <w:r>
        <w:rPr>
          <w:rFonts w:ascii="Times New Roman" w:hAnsi="Times New Roman"/>
          <w:sz w:val="18"/>
          <w:szCs w:val="18"/>
        </w:rPr>
        <w:t>并应符合《通信用多模光纤系列》GB/T 12357规定的A1b或A1a光纤；</w:t>
      </w:r>
    </w:p>
    <w:p w14:paraId="3C7AA27C">
      <w:pPr>
        <w:spacing w:line="330" w:lineRule="exact"/>
        <w:ind w:left="0" w:firstLine="360" w:firstLineChars="200"/>
        <w:jc w:val="left"/>
        <w:rPr>
          <w:rFonts w:ascii="Times New Roman" w:hAnsi="Times New Roman"/>
          <w:sz w:val="18"/>
          <w:szCs w:val="18"/>
        </w:rPr>
      </w:pPr>
      <w:r>
        <w:rPr>
          <w:rFonts w:ascii="Times New Roman" w:hAnsi="Times New Roman"/>
          <w:sz w:val="18"/>
          <w:szCs w:val="18"/>
        </w:rPr>
        <w:t>2 850nm波长时最大衰减为3.5dB/km（20°C）</w:t>
      </w:r>
      <w:r>
        <w:rPr>
          <w:rFonts w:hint="eastAsia" w:ascii="Times New Roman" w:hAnsi="Times New Roman"/>
          <w:sz w:val="18"/>
          <w:szCs w:val="18"/>
        </w:rPr>
        <w:t>，</w:t>
      </w:r>
      <w:r>
        <w:rPr>
          <w:rFonts w:ascii="Times New Roman" w:hAnsi="Times New Roman"/>
          <w:sz w:val="18"/>
          <w:szCs w:val="18"/>
        </w:rPr>
        <w:t>最小模式宽带为200MHzkm（20°C）；</w:t>
      </w:r>
    </w:p>
    <w:p w14:paraId="752C3F7F">
      <w:pPr>
        <w:spacing w:line="330" w:lineRule="exact"/>
        <w:ind w:left="0" w:firstLine="360" w:firstLineChars="200"/>
        <w:jc w:val="left"/>
        <w:rPr>
          <w:rFonts w:ascii="Times New Roman" w:hAnsi="Times New Roman"/>
          <w:sz w:val="18"/>
          <w:szCs w:val="18"/>
        </w:rPr>
      </w:pPr>
      <w:r>
        <w:rPr>
          <w:rFonts w:ascii="Times New Roman" w:hAnsi="Times New Roman"/>
          <w:sz w:val="18"/>
          <w:szCs w:val="18"/>
        </w:rPr>
        <w:t>3 1300nm波长时最大衰减为1dB/km（20°C）</w:t>
      </w:r>
      <w:r>
        <w:rPr>
          <w:rFonts w:hint="eastAsia" w:ascii="Times New Roman" w:hAnsi="Times New Roman"/>
          <w:sz w:val="18"/>
          <w:szCs w:val="18"/>
        </w:rPr>
        <w:t>，</w:t>
      </w:r>
      <w:r>
        <w:rPr>
          <w:rFonts w:ascii="Times New Roman" w:hAnsi="Times New Roman"/>
          <w:sz w:val="18"/>
          <w:szCs w:val="18"/>
        </w:rPr>
        <w:t>最小模式带宽为500MHzkm（20°C）。</w:t>
      </w:r>
    </w:p>
    <w:p w14:paraId="3D8CEC3D">
      <w:pPr>
        <w:pStyle w:val="164"/>
        <w:numPr>
          <w:ilvl w:val="0"/>
          <w:numId w:val="88"/>
        </w:numPr>
        <w:spacing w:line="330" w:lineRule="exact"/>
        <w:ind w:left="0" w:firstLine="420"/>
        <w:rPr>
          <w:rFonts w:eastAsiaTheme="minorEastAsia"/>
        </w:rPr>
      </w:pPr>
      <w:r>
        <w:rPr>
          <w:rFonts w:eastAsiaTheme="minorEastAsia"/>
        </w:rPr>
        <w:t>综合布线系统的光缆，在表8.3.7-3各项参数的条件下，光纤链路可允许的最大传输距离，应符合表8.3.8-11的规定。</w:t>
      </w:r>
    </w:p>
    <w:p w14:paraId="624FB8C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表8.3.7-3   光纤链路允许最大传输距离表</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43"/>
        <w:gridCol w:w="992"/>
        <w:gridCol w:w="1071"/>
        <w:gridCol w:w="1056"/>
        <w:gridCol w:w="1072"/>
      </w:tblGrid>
      <w:tr w14:paraId="535E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vAlign w:val="center"/>
          </w:tcPr>
          <w:p w14:paraId="277165B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光缆应用类别</w:t>
            </w:r>
          </w:p>
        </w:tc>
        <w:tc>
          <w:tcPr>
            <w:tcW w:w="1843" w:type="dxa"/>
            <w:vMerge w:val="restart"/>
            <w:vAlign w:val="center"/>
          </w:tcPr>
          <w:p w14:paraId="4458F8A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链路长度（m）</w:t>
            </w:r>
          </w:p>
        </w:tc>
        <w:tc>
          <w:tcPr>
            <w:tcW w:w="2063" w:type="dxa"/>
            <w:gridSpan w:val="2"/>
            <w:vAlign w:val="center"/>
          </w:tcPr>
          <w:p w14:paraId="2446DA5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多模衰减值(dB)</w:t>
            </w:r>
          </w:p>
        </w:tc>
        <w:tc>
          <w:tcPr>
            <w:tcW w:w="2128" w:type="dxa"/>
            <w:gridSpan w:val="2"/>
            <w:vAlign w:val="center"/>
          </w:tcPr>
          <w:p w14:paraId="4D33B2C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单模衰减值(dB)</w:t>
            </w:r>
          </w:p>
        </w:tc>
      </w:tr>
      <w:tr w14:paraId="31F2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vAlign w:val="center"/>
          </w:tcPr>
          <w:p w14:paraId="7D702FC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1843" w:type="dxa"/>
            <w:vMerge w:val="continue"/>
            <w:vAlign w:val="center"/>
          </w:tcPr>
          <w:p w14:paraId="53E5A0A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p>
        </w:tc>
        <w:tc>
          <w:tcPr>
            <w:tcW w:w="992" w:type="dxa"/>
            <w:vAlign w:val="center"/>
          </w:tcPr>
          <w:p w14:paraId="2B5061A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850(nm)</w:t>
            </w:r>
          </w:p>
        </w:tc>
        <w:tc>
          <w:tcPr>
            <w:tcW w:w="1071" w:type="dxa"/>
            <w:vAlign w:val="center"/>
          </w:tcPr>
          <w:p w14:paraId="45BF5F1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1300(nm)</w:t>
            </w:r>
          </w:p>
        </w:tc>
        <w:tc>
          <w:tcPr>
            <w:tcW w:w="1056" w:type="dxa"/>
            <w:vAlign w:val="center"/>
          </w:tcPr>
          <w:p w14:paraId="59AF04B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1310(nm)</w:t>
            </w:r>
          </w:p>
        </w:tc>
        <w:tc>
          <w:tcPr>
            <w:tcW w:w="1072" w:type="dxa"/>
            <w:vAlign w:val="center"/>
          </w:tcPr>
          <w:p w14:paraId="2A55A04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1550(nm)</w:t>
            </w:r>
          </w:p>
        </w:tc>
      </w:tr>
      <w:tr w14:paraId="50BA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3F3AD3B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配线（水平）子系统</w:t>
            </w:r>
          </w:p>
        </w:tc>
        <w:tc>
          <w:tcPr>
            <w:tcW w:w="1843" w:type="dxa"/>
            <w:vAlign w:val="center"/>
          </w:tcPr>
          <w:p w14:paraId="4ED86D7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100</w:t>
            </w:r>
          </w:p>
        </w:tc>
        <w:tc>
          <w:tcPr>
            <w:tcW w:w="992" w:type="dxa"/>
            <w:vAlign w:val="center"/>
          </w:tcPr>
          <w:p w14:paraId="5FED511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2.5</w:t>
            </w:r>
          </w:p>
        </w:tc>
        <w:tc>
          <w:tcPr>
            <w:tcW w:w="1071" w:type="dxa"/>
            <w:vAlign w:val="center"/>
          </w:tcPr>
          <w:p w14:paraId="2E4CC2C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2.2</w:t>
            </w:r>
          </w:p>
        </w:tc>
        <w:tc>
          <w:tcPr>
            <w:tcW w:w="1056" w:type="dxa"/>
            <w:vAlign w:val="center"/>
          </w:tcPr>
          <w:p w14:paraId="51D9744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2.2</w:t>
            </w:r>
          </w:p>
        </w:tc>
        <w:tc>
          <w:tcPr>
            <w:tcW w:w="1072" w:type="dxa"/>
            <w:vAlign w:val="center"/>
          </w:tcPr>
          <w:p w14:paraId="1E4ED12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2.2</w:t>
            </w:r>
          </w:p>
        </w:tc>
      </w:tr>
      <w:tr w14:paraId="7B45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0B264DC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干线（垂直）子系统</w:t>
            </w:r>
          </w:p>
        </w:tc>
        <w:tc>
          <w:tcPr>
            <w:tcW w:w="1843" w:type="dxa"/>
            <w:vAlign w:val="center"/>
          </w:tcPr>
          <w:p w14:paraId="5781945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500</w:t>
            </w:r>
          </w:p>
        </w:tc>
        <w:tc>
          <w:tcPr>
            <w:tcW w:w="992" w:type="dxa"/>
            <w:vAlign w:val="center"/>
          </w:tcPr>
          <w:p w14:paraId="2123D1E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3.8</w:t>
            </w:r>
          </w:p>
        </w:tc>
        <w:tc>
          <w:tcPr>
            <w:tcW w:w="1071" w:type="dxa"/>
            <w:vAlign w:val="center"/>
          </w:tcPr>
          <w:p w14:paraId="763842A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2.6</w:t>
            </w:r>
          </w:p>
        </w:tc>
        <w:tc>
          <w:tcPr>
            <w:tcW w:w="1056" w:type="dxa"/>
            <w:vAlign w:val="center"/>
          </w:tcPr>
          <w:p w14:paraId="676252F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2.7</w:t>
            </w:r>
          </w:p>
        </w:tc>
        <w:tc>
          <w:tcPr>
            <w:tcW w:w="1072" w:type="dxa"/>
            <w:vAlign w:val="center"/>
          </w:tcPr>
          <w:p w14:paraId="4216AF0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2.7</w:t>
            </w:r>
          </w:p>
        </w:tc>
      </w:tr>
      <w:tr w14:paraId="1718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2490401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建筑群子系统</w:t>
            </w:r>
          </w:p>
        </w:tc>
        <w:tc>
          <w:tcPr>
            <w:tcW w:w="1843" w:type="dxa"/>
            <w:vAlign w:val="center"/>
          </w:tcPr>
          <w:p w14:paraId="4CF71A7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1500</w:t>
            </w:r>
          </w:p>
        </w:tc>
        <w:tc>
          <w:tcPr>
            <w:tcW w:w="992" w:type="dxa"/>
            <w:vAlign w:val="center"/>
          </w:tcPr>
          <w:p w14:paraId="3EBEB02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7.4</w:t>
            </w:r>
          </w:p>
        </w:tc>
        <w:tc>
          <w:tcPr>
            <w:tcW w:w="1071" w:type="dxa"/>
            <w:vAlign w:val="center"/>
          </w:tcPr>
          <w:p w14:paraId="3478A41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3.6</w:t>
            </w:r>
          </w:p>
        </w:tc>
        <w:tc>
          <w:tcPr>
            <w:tcW w:w="1056" w:type="dxa"/>
            <w:vAlign w:val="center"/>
          </w:tcPr>
          <w:p w14:paraId="133C74C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3.6</w:t>
            </w:r>
          </w:p>
        </w:tc>
        <w:tc>
          <w:tcPr>
            <w:tcW w:w="1072" w:type="dxa"/>
            <w:vAlign w:val="center"/>
          </w:tcPr>
          <w:p w14:paraId="1158CF6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3.6</w:t>
            </w:r>
          </w:p>
        </w:tc>
      </w:tr>
    </w:tbl>
    <w:p w14:paraId="2AD6EEAA">
      <w:pPr>
        <w:pStyle w:val="164"/>
        <w:numPr>
          <w:ilvl w:val="0"/>
          <w:numId w:val="88"/>
        </w:numPr>
        <w:spacing w:line="330" w:lineRule="exact"/>
        <w:ind w:left="0" w:firstLine="420"/>
        <w:rPr>
          <w:rFonts w:eastAsiaTheme="minorEastAsia"/>
        </w:rPr>
      </w:pPr>
      <w:r>
        <w:rPr>
          <w:rFonts w:hint="eastAsia" w:eastAsiaTheme="minorEastAsia"/>
        </w:rPr>
        <w:t xml:space="preserve"> </w:t>
      </w:r>
      <w:r>
        <w:rPr>
          <w:rFonts w:eastAsiaTheme="minorEastAsia"/>
        </w:rPr>
        <w:t>综合布线系统多模光纤链路的最小光学模式带宽，应符合表8.3.7-4的规定。</w:t>
      </w:r>
    </w:p>
    <w:p w14:paraId="128EBA3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表8.3.7-4   多模光纤链路的光学模式带宽表</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9"/>
      </w:tblGrid>
      <w:tr w14:paraId="7175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088B7EC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标称波长(nm)</w:t>
            </w:r>
          </w:p>
        </w:tc>
        <w:tc>
          <w:tcPr>
            <w:tcW w:w="4149" w:type="dxa"/>
            <w:vAlign w:val="center"/>
          </w:tcPr>
          <w:p w14:paraId="6A8AFF6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最小光学模式带宽表（MHz）</w:t>
            </w:r>
          </w:p>
        </w:tc>
      </w:tr>
      <w:tr w14:paraId="1875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42D6FCF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850</w:t>
            </w:r>
          </w:p>
        </w:tc>
        <w:tc>
          <w:tcPr>
            <w:tcW w:w="4149" w:type="dxa"/>
            <w:vAlign w:val="center"/>
          </w:tcPr>
          <w:p w14:paraId="4CB35FF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100</w:t>
            </w:r>
          </w:p>
        </w:tc>
      </w:tr>
      <w:tr w14:paraId="491B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E5C488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1300</w:t>
            </w:r>
          </w:p>
        </w:tc>
        <w:tc>
          <w:tcPr>
            <w:tcW w:w="4149" w:type="dxa"/>
            <w:vAlign w:val="center"/>
          </w:tcPr>
          <w:p w14:paraId="3556418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250</w:t>
            </w:r>
          </w:p>
        </w:tc>
      </w:tr>
    </w:tbl>
    <w:p w14:paraId="41167525">
      <w:pPr>
        <w:pStyle w:val="164"/>
        <w:numPr>
          <w:ilvl w:val="0"/>
          <w:numId w:val="88"/>
        </w:numPr>
        <w:spacing w:line="330" w:lineRule="exact"/>
        <w:ind w:left="0" w:firstLine="420"/>
        <w:rPr>
          <w:rFonts w:eastAsiaTheme="minorEastAsia"/>
        </w:rPr>
      </w:pPr>
      <w:r>
        <w:rPr>
          <w:rFonts w:hint="eastAsia" w:eastAsiaTheme="minorEastAsia"/>
        </w:rPr>
        <w:t xml:space="preserve"> </w:t>
      </w:r>
      <w:r>
        <w:rPr>
          <w:rFonts w:eastAsiaTheme="minorEastAsia"/>
        </w:rPr>
        <w:t>综合布线系统光纤链路任一接口的光学反射衰减限值，应符合表8.3.7-5的规定。</w:t>
      </w:r>
    </w:p>
    <w:p w14:paraId="1598E3B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表8.3.7-5   光纤链路的光回波损耗值表</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10"/>
        <w:gridCol w:w="1801"/>
        <w:gridCol w:w="2348"/>
      </w:tblGrid>
      <w:tr w14:paraId="70BC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5656E3A">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光纤模式</w:t>
            </w:r>
          </w:p>
          <w:p w14:paraId="3F42731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标称波长(nm)</w:t>
            </w:r>
          </w:p>
        </w:tc>
        <w:tc>
          <w:tcPr>
            <w:tcW w:w="2310" w:type="dxa"/>
            <w:vAlign w:val="center"/>
          </w:tcPr>
          <w:p w14:paraId="7347541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最小回波损耗值(dB)</w:t>
            </w:r>
          </w:p>
        </w:tc>
        <w:tc>
          <w:tcPr>
            <w:tcW w:w="1801" w:type="dxa"/>
            <w:vAlign w:val="center"/>
          </w:tcPr>
          <w:p w14:paraId="1272ACF0">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光纤模式</w:t>
            </w:r>
          </w:p>
          <w:p w14:paraId="546122E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标称波长(nm)</w:t>
            </w:r>
          </w:p>
        </w:tc>
        <w:tc>
          <w:tcPr>
            <w:tcW w:w="2348" w:type="dxa"/>
            <w:vAlign w:val="center"/>
          </w:tcPr>
          <w:p w14:paraId="2D855FE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最小回波损耗值(dB)</w:t>
            </w:r>
          </w:p>
        </w:tc>
      </w:tr>
      <w:tr w14:paraId="2D5F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37E22C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多模850</w:t>
            </w:r>
          </w:p>
        </w:tc>
        <w:tc>
          <w:tcPr>
            <w:tcW w:w="2310" w:type="dxa"/>
            <w:vAlign w:val="center"/>
          </w:tcPr>
          <w:p w14:paraId="6909352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20</w:t>
            </w:r>
          </w:p>
        </w:tc>
        <w:tc>
          <w:tcPr>
            <w:tcW w:w="1801" w:type="dxa"/>
            <w:vAlign w:val="center"/>
          </w:tcPr>
          <w:p w14:paraId="214A46C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单模1310</w:t>
            </w:r>
          </w:p>
        </w:tc>
        <w:tc>
          <w:tcPr>
            <w:tcW w:w="2348" w:type="dxa"/>
            <w:vAlign w:val="center"/>
          </w:tcPr>
          <w:p w14:paraId="398B3AE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26</w:t>
            </w:r>
          </w:p>
        </w:tc>
      </w:tr>
      <w:tr w14:paraId="1D9A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9FA522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多模1300</w:t>
            </w:r>
          </w:p>
        </w:tc>
        <w:tc>
          <w:tcPr>
            <w:tcW w:w="2310" w:type="dxa"/>
            <w:vAlign w:val="center"/>
          </w:tcPr>
          <w:p w14:paraId="232FBBB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20</w:t>
            </w:r>
          </w:p>
        </w:tc>
        <w:tc>
          <w:tcPr>
            <w:tcW w:w="1801" w:type="dxa"/>
            <w:vAlign w:val="center"/>
          </w:tcPr>
          <w:p w14:paraId="7941A29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单模1550</w:t>
            </w:r>
          </w:p>
        </w:tc>
        <w:tc>
          <w:tcPr>
            <w:tcW w:w="2348" w:type="dxa"/>
            <w:vAlign w:val="center"/>
          </w:tcPr>
          <w:p w14:paraId="66065FE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26</w:t>
            </w:r>
          </w:p>
        </w:tc>
      </w:tr>
    </w:tbl>
    <w:p w14:paraId="39521DD6">
      <w:pPr>
        <w:pStyle w:val="164"/>
        <w:numPr>
          <w:ilvl w:val="0"/>
          <w:numId w:val="88"/>
        </w:numPr>
        <w:spacing w:line="330" w:lineRule="exact"/>
        <w:ind w:left="0" w:firstLine="420"/>
        <w:rPr>
          <w:rFonts w:eastAsiaTheme="minorEastAsia"/>
        </w:rPr>
      </w:pPr>
      <w:r>
        <w:rPr>
          <w:rFonts w:hint="eastAsia" w:eastAsiaTheme="minorEastAsia"/>
        </w:rPr>
        <w:t xml:space="preserve"> </w:t>
      </w:r>
      <w:r>
        <w:rPr>
          <w:rFonts w:eastAsiaTheme="minorEastAsia"/>
        </w:rPr>
        <w:t>综合布线系统的缆线与设备之间的相互连接应注意阻抗匹配和平衡与不平衡的转换适配。特性阻抗的分类应符合100Ω、150Ω两类标准，其允许偏差值为±15Ω（适用于频率&gt;1MHz）。</w:t>
      </w:r>
    </w:p>
    <w:p w14:paraId="1E4F6CA4">
      <w:pPr>
        <w:pStyle w:val="164"/>
        <w:numPr>
          <w:ilvl w:val="0"/>
          <w:numId w:val="88"/>
        </w:numPr>
        <w:spacing w:line="330" w:lineRule="exact"/>
        <w:ind w:left="0" w:firstLine="420"/>
        <w:rPr>
          <w:rFonts w:eastAsiaTheme="minorEastAsia"/>
        </w:rPr>
      </w:pPr>
      <w:r>
        <w:rPr>
          <w:rFonts w:hint="eastAsia" w:eastAsiaTheme="minorEastAsia"/>
        </w:rPr>
        <w:t xml:space="preserve"> </w:t>
      </w:r>
      <w:r>
        <w:rPr>
          <w:rFonts w:eastAsiaTheme="minorEastAsia"/>
        </w:rPr>
        <w:t>电气性能测试仪应按二级精度，具体见表8.3.7-6。</w:t>
      </w:r>
    </w:p>
    <w:p w14:paraId="6807978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表8.3.7-6   测试仪精度最低性能要求</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119"/>
        <w:gridCol w:w="3907"/>
      </w:tblGrid>
      <w:tr w14:paraId="5E76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64C3E7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序号</w:t>
            </w:r>
          </w:p>
        </w:tc>
        <w:tc>
          <w:tcPr>
            <w:tcW w:w="3119" w:type="dxa"/>
            <w:vAlign w:val="center"/>
          </w:tcPr>
          <w:p w14:paraId="3604B50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性能参数</w:t>
            </w:r>
          </w:p>
        </w:tc>
        <w:tc>
          <w:tcPr>
            <w:tcW w:w="3907" w:type="dxa"/>
            <w:vAlign w:val="center"/>
          </w:tcPr>
          <w:p w14:paraId="6DA1423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1-100兆赫(MHz)</w:t>
            </w:r>
          </w:p>
        </w:tc>
      </w:tr>
      <w:tr w14:paraId="6E47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71FEA6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w:t>
            </w:r>
          </w:p>
        </w:tc>
        <w:tc>
          <w:tcPr>
            <w:tcW w:w="3119" w:type="dxa"/>
            <w:vAlign w:val="center"/>
          </w:tcPr>
          <w:p w14:paraId="6E711EC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随机噪声最低值</w:t>
            </w:r>
          </w:p>
        </w:tc>
        <w:tc>
          <w:tcPr>
            <w:tcW w:w="3907" w:type="dxa"/>
            <w:vAlign w:val="center"/>
          </w:tcPr>
          <w:p w14:paraId="04B6A79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65-15log(f/100)dB</w:t>
            </w:r>
          </w:p>
        </w:tc>
      </w:tr>
      <w:tr w14:paraId="2BAD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71B902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w:t>
            </w:r>
          </w:p>
        </w:tc>
        <w:tc>
          <w:tcPr>
            <w:tcW w:w="3119" w:type="dxa"/>
            <w:vAlign w:val="center"/>
          </w:tcPr>
          <w:p w14:paraId="3776AA2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剩余近端串音（NEXT）</w:t>
            </w:r>
          </w:p>
        </w:tc>
        <w:tc>
          <w:tcPr>
            <w:tcW w:w="3907" w:type="dxa"/>
            <w:vAlign w:val="center"/>
          </w:tcPr>
          <w:p w14:paraId="5E6A363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55-15log(f/100)dB</w:t>
            </w:r>
          </w:p>
        </w:tc>
      </w:tr>
      <w:tr w14:paraId="7CE9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5A1DCA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w:t>
            </w:r>
          </w:p>
        </w:tc>
        <w:tc>
          <w:tcPr>
            <w:tcW w:w="3119" w:type="dxa"/>
            <w:vAlign w:val="center"/>
          </w:tcPr>
          <w:p w14:paraId="6D9A985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平衡输出信号</w:t>
            </w:r>
          </w:p>
        </w:tc>
        <w:tc>
          <w:tcPr>
            <w:tcW w:w="3907" w:type="dxa"/>
            <w:vAlign w:val="center"/>
          </w:tcPr>
          <w:p w14:paraId="5ED3C2E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37-15log(f/100)dB</w:t>
            </w:r>
          </w:p>
        </w:tc>
      </w:tr>
      <w:tr w14:paraId="4708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9AA7CC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4</w:t>
            </w:r>
          </w:p>
        </w:tc>
        <w:tc>
          <w:tcPr>
            <w:tcW w:w="3119" w:type="dxa"/>
            <w:vAlign w:val="center"/>
          </w:tcPr>
          <w:p w14:paraId="3C80DDF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共模抑制</w:t>
            </w:r>
          </w:p>
        </w:tc>
        <w:tc>
          <w:tcPr>
            <w:tcW w:w="3907" w:type="dxa"/>
            <w:vAlign w:val="center"/>
          </w:tcPr>
          <w:p w14:paraId="36CF3A9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37-15log(f/100)dB</w:t>
            </w:r>
          </w:p>
        </w:tc>
      </w:tr>
      <w:tr w14:paraId="2FB9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48615C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w:t>
            </w:r>
          </w:p>
        </w:tc>
        <w:tc>
          <w:tcPr>
            <w:tcW w:w="3119" w:type="dxa"/>
            <w:vAlign w:val="center"/>
          </w:tcPr>
          <w:p w14:paraId="16FF7DF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动态精确度</w:t>
            </w:r>
          </w:p>
        </w:tc>
        <w:tc>
          <w:tcPr>
            <w:tcW w:w="3907" w:type="dxa"/>
            <w:vAlign w:val="center"/>
          </w:tcPr>
          <w:p w14:paraId="628F54E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±0.75dB</w:t>
            </w:r>
          </w:p>
        </w:tc>
      </w:tr>
      <w:tr w14:paraId="09BB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917C61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6</w:t>
            </w:r>
          </w:p>
        </w:tc>
        <w:tc>
          <w:tcPr>
            <w:tcW w:w="3119" w:type="dxa"/>
            <w:vAlign w:val="center"/>
          </w:tcPr>
          <w:p w14:paraId="70184E8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长度精确度</w:t>
            </w:r>
          </w:p>
        </w:tc>
        <w:tc>
          <w:tcPr>
            <w:tcW w:w="3907" w:type="dxa"/>
            <w:vAlign w:val="center"/>
          </w:tcPr>
          <w:p w14:paraId="6F8984E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±1m±4%</w:t>
            </w:r>
          </w:p>
        </w:tc>
      </w:tr>
      <w:tr w14:paraId="44DE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EB79A3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7</w:t>
            </w:r>
          </w:p>
        </w:tc>
        <w:tc>
          <w:tcPr>
            <w:tcW w:w="3119" w:type="dxa"/>
            <w:vAlign w:val="center"/>
          </w:tcPr>
          <w:p w14:paraId="64A34C0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回损</w:t>
            </w:r>
          </w:p>
        </w:tc>
        <w:tc>
          <w:tcPr>
            <w:tcW w:w="3907" w:type="dxa"/>
            <w:vAlign w:val="center"/>
          </w:tcPr>
          <w:p w14:paraId="67A876B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15dB</w:t>
            </w:r>
          </w:p>
        </w:tc>
      </w:tr>
    </w:tbl>
    <w:p w14:paraId="1F9ABEE1">
      <w:pPr>
        <w:spacing w:line="330" w:lineRule="exact"/>
        <w:ind w:left="0" w:firstLine="0" w:firstLineChars="0"/>
        <w:jc w:val="center"/>
        <w:rPr>
          <w:rFonts w:ascii="Times New Roman" w:hAnsi="Times New Roman" w:eastAsiaTheme="minorEastAsia"/>
          <w:sz w:val="18"/>
          <w:szCs w:val="18"/>
        </w:rPr>
      </w:pPr>
      <w:r>
        <w:rPr>
          <w:rFonts w:ascii="Times New Roman" w:hAnsi="Times New Roman" w:eastAsiaTheme="minorEastAsia"/>
          <w:sz w:val="18"/>
          <w:szCs w:val="18"/>
        </w:rPr>
        <w:t>注：动态精确度适用于从0dB基准值至优于近端串扰极限值10dB的一个带宽，按60dB限制。</w:t>
      </w:r>
    </w:p>
    <w:p w14:paraId="0E9977E3">
      <w:pPr>
        <w:pStyle w:val="164"/>
        <w:numPr>
          <w:ilvl w:val="0"/>
          <w:numId w:val="88"/>
        </w:numPr>
        <w:spacing w:line="330" w:lineRule="exact"/>
        <w:ind w:left="0" w:firstLine="420"/>
        <w:rPr>
          <w:rFonts w:eastAsiaTheme="minorEastAsia"/>
        </w:rPr>
      </w:pPr>
      <w:r>
        <w:rPr>
          <w:rFonts w:hint="eastAsia" w:eastAsiaTheme="minorEastAsia"/>
        </w:rPr>
        <w:t xml:space="preserve"> </w:t>
      </w:r>
      <w:r>
        <w:rPr>
          <w:rFonts w:eastAsiaTheme="minorEastAsia"/>
        </w:rPr>
        <w:t>测试仪表对于一个信息插座的电气性能测试时间宜在20s～50s之间。</w:t>
      </w:r>
    </w:p>
    <w:p w14:paraId="7667DC53">
      <w:pPr>
        <w:pStyle w:val="3"/>
        <w:spacing w:before="240" w:after="120" w:afterLines="50" w:line="330" w:lineRule="exact"/>
        <w:rPr>
          <w:rFonts w:eastAsia="黑体"/>
          <w:b w:val="0"/>
          <w:bCs w:val="0"/>
          <w:sz w:val="21"/>
          <w:szCs w:val="21"/>
          <w:lang w:val="en-US"/>
        </w:rPr>
      </w:pPr>
      <w:bookmarkStart w:id="69" w:name="_Toc182487948"/>
      <w:r>
        <w:rPr>
          <w:rFonts w:eastAsia="黑体"/>
          <w:b w:val="0"/>
          <w:bCs w:val="0"/>
          <w:sz w:val="21"/>
          <w:szCs w:val="21"/>
          <w:lang w:val="en-US"/>
        </w:rPr>
        <w:t>8.4 质量记录</w:t>
      </w:r>
      <w:bookmarkEnd w:id="69"/>
    </w:p>
    <w:p w14:paraId="097C4BB9">
      <w:pPr>
        <w:ind w:left="105" w:hanging="105"/>
        <w:rPr>
          <w:rFonts w:ascii="Times New Roman" w:hAnsi="Times New Roman"/>
        </w:rPr>
      </w:pPr>
      <w:r>
        <w:rPr>
          <w:rFonts w:ascii="Times New Roman" w:hAnsi="Times New Roman"/>
        </w:rPr>
        <w:t>8.4.1 质量记录应包含下列内容：</w:t>
      </w:r>
    </w:p>
    <w:p w14:paraId="0071BD85">
      <w:pPr>
        <w:pStyle w:val="164"/>
        <w:numPr>
          <w:ilvl w:val="0"/>
          <w:numId w:val="89"/>
        </w:numPr>
        <w:spacing w:line="330" w:lineRule="exact"/>
        <w:ind w:left="0" w:firstLine="420"/>
        <w:rPr>
          <w:rFonts w:eastAsiaTheme="minorEastAsia"/>
        </w:rPr>
      </w:pPr>
      <w:r>
        <w:rPr>
          <w:rFonts w:eastAsiaTheme="minorEastAsia"/>
        </w:rPr>
        <w:t>设备、器件、缆线、接插件各类跳线、接线排、信息插座、光纤插座等产品的出厂合格证、产品技术文件资料应齐全。</w:t>
      </w:r>
    </w:p>
    <w:p w14:paraId="26804B78">
      <w:pPr>
        <w:pStyle w:val="164"/>
        <w:numPr>
          <w:ilvl w:val="0"/>
          <w:numId w:val="89"/>
        </w:numPr>
        <w:spacing w:line="330" w:lineRule="exact"/>
        <w:ind w:left="0" w:firstLine="420"/>
        <w:rPr>
          <w:rFonts w:eastAsiaTheme="minorEastAsia"/>
        </w:rPr>
      </w:pPr>
      <w:r>
        <w:rPr>
          <w:rFonts w:eastAsiaTheme="minorEastAsia"/>
        </w:rPr>
        <w:t>综合布线系统管槽、缆线敷设等安装工程、安装预检、隐检工程签证，自检、互检记录。</w:t>
      </w:r>
    </w:p>
    <w:p w14:paraId="22DBFE42">
      <w:pPr>
        <w:pStyle w:val="164"/>
        <w:numPr>
          <w:ilvl w:val="0"/>
          <w:numId w:val="89"/>
        </w:numPr>
        <w:spacing w:line="330" w:lineRule="exact"/>
        <w:ind w:left="0" w:firstLine="420"/>
        <w:rPr>
          <w:rFonts w:eastAsiaTheme="minorEastAsia"/>
        </w:rPr>
      </w:pPr>
      <w:r>
        <w:rPr>
          <w:rFonts w:eastAsiaTheme="minorEastAsia"/>
        </w:rPr>
        <w:t>设计变更，洽商记录，设备器材明细表，竣工图。</w:t>
      </w:r>
    </w:p>
    <w:p w14:paraId="6CB5E9C7">
      <w:pPr>
        <w:pStyle w:val="164"/>
        <w:numPr>
          <w:ilvl w:val="0"/>
          <w:numId w:val="89"/>
        </w:numPr>
        <w:spacing w:line="330" w:lineRule="exact"/>
        <w:ind w:left="0" w:firstLine="420"/>
        <w:rPr>
          <w:rFonts w:eastAsiaTheme="minorEastAsia"/>
        </w:rPr>
      </w:pPr>
      <w:r>
        <w:rPr>
          <w:rFonts w:eastAsiaTheme="minorEastAsia"/>
        </w:rPr>
        <w:t>分项工程检验批质量</w:t>
      </w:r>
      <w:r>
        <w:rPr>
          <w:rFonts w:hint="eastAsia" w:eastAsiaTheme="minorEastAsia"/>
        </w:rPr>
        <w:t>检验</w:t>
      </w:r>
      <w:r>
        <w:rPr>
          <w:rFonts w:eastAsiaTheme="minorEastAsia"/>
        </w:rPr>
        <w:t>记录。</w:t>
      </w:r>
    </w:p>
    <w:p w14:paraId="19D6578B">
      <w:pPr>
        <w:pStyle w:val="164"/>
        <w:numPr>
          <w:ilvl w:val="0"/>
          <w:numId w:val="89"/>
        </w:numPr>
        <w:spacing w:line="330" w:lineRule="exact"/>
        <w:ind w:left="0" w:firstLine="420"/>
        <w:rPr>
          <w:rFonts w:eastAsiaTheme="minorEastAsia"/>
        </w:rPr>
      </w:pPr>
      <w:r>
        <w:rPr>
          <w:rFonts w:eastAsiaTheme="minorEastAsia"/>
        </w:rPr>
        <w:t>综合布线系统随工</w:t>
      </w:r>
      <w:r>
        <w:rPr>
          <w:rFonts w:hint="eastAsia" w:eastAsiaTheme="minorEastAsia"/>
        </w:rPr>
        <w:t>检验</w:t>
      </w:r>
      <w:r>
        <w:rPr>
          <w:rFonts w:eastAsiaTheme="minorEastAsia"/>
        </w:rPr>
        <w:t>记录系统调试运行记录。</w:t>
      </w:r>
    </w:p>
    <w:p w14:paraId="4EE91C14">
      <w:pPr>
        <w:pStyle w:val="164"/>
        <w:numPr>
          <w:ilvl w:val="0"/>
          <w:numId w:val="89"/>
        </w:numPr>
        <w:spacing w:line="330" w:lineRule="exact"/>
        <w:ind w:left="0" w:firstLine="420"/>
        <w:rPr>
          <w:rFonts w:eastAsiaTheme="minorEastAsia"/>
        </w:rPr>
      </w:pPr>
      <w:r>
        <w:rPr>
          <w:rFonts w:eastAsiaTheme="minorEastAsia"/>
        </w:rPr>
        <w:t>综合布线系统工程电气性能测试记录，如系统采用微机设计、管理、维护，监测应提供程序清单和用户数据文件，以及磁盘、操作说明等文件。</w:t>
      </w:r>
    </w:p>
    <w:p w14:paraId="5FE70806">
      <w:pPr>
        <w:pStyle w:val="164"/>
        <w:numPr>
          <w:ilvl w:val="0"/>
          <w:numId w:val="89"/>
        </w:numPr>
        <w:spacing w:line="330" w:lineRule="exact"/>
        <w:ind w:left="0" w:firstLine="420"/>
        <w:rPr>
          <w:rFonts w:eastAsiaTheme="minorEastAsia"/>
        </w:rPr>
      </w:pPr>
      <w:r>
        <w:rPr>
          <w:rFonts w:eastAsiaTheme="minorEastAsia"/>
        </w:rPr>
        <w:t>系统链路测试记录。</w:t>
      </w:r>
    </w:p>
    <w:p w14:paraId="46916C59">
      <w:pPr>
        <w:ind w:left="105" w:hanging="105"/>
        <w:rPr>
          <w:rFonts w:ascii="Times New Roman" w:hAnsi="Times New Roman"/>
        </w:rPr>
        <w:sectPr>
          <w:pgSz w:w="11900" w:h="16840"/>
          <w:pgMar w:top="1558" w:right="1544" w:bottom="1113" w:left="1564" w:header="0" w:footer="567" w:gutter="0"/>
          <w:cols w:space="720" w:num="1"/>
          <w:docGrid w:linePitch="360" w:charSpace="0"/>
        </w:sectPr>
      </w:pPr>
    </w:p>
    <w:p w14:paraId="53DB9FCF">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70" w:name="_Toc182487949"/>
      <w:r>
        <w:rPr>
          <w:rFonts w:ascii="Times New Roman" w:hAnsi="Times New Roman" w:eastAsia="黑体"/>
          <w:bCs/>
          <w:sz w:val="28"/>
          <w:szCs w:val="28"/>
        </w:rPr>
        <w:t>9 移动通信室内信号覆盖系统</w:t>
      </w:r>
      <w:bookmarkEnd w:id="70"/>
    </w:p>
    <w:p w14:paraId="2B8EA509">
      <w:pPr>
        <w:spacing w:line="330" w:lineRule="exact"/>
        <w:ind w:left="0" w:firstLine="0" w:firstLineChars="0"/>
        <w:rPr>
          <w:rFonts w:ascii="Times New Roman" w:hAnsi="Times New Roman"/>
          <w:szCs w:val="21"/>
        </w:rPr>
      </w:pPr>
      <w:r>
        <w:rPr>
          <w:rFonts w:ascii="Times New Roman" w:hAnsi="Times New Roman"/>
          <w:szCs w:val="21"/>
        </w:rPr>
        <w:t>9.1 本章适用于对移动通信室内信号覆盖系统设备安装场地的检查。</w:t>
      </w:r>
    </w:p>
    <w:p w14:paraId="1A5E2622">
      <w:pPr>
        <w:spacing w:line="330" w:lineRule="exact"/>
        <w:ind w:left="0" w:firstLine="0" w:firstLineChars="0"/>
        <w:rPr>
          <w:rFonts w:ascii="Times New Roman" w:hAnsi="Times New Roman"/>
          <w:szCs w:val="21"/>
        </w:rPr>
      </w:pPr>
      <w:r>
        <w:rPr>
          <w:rFonts w:ascii="Times New Roman" w:hAnsi="Times New Roman"/>
          <w:szCs w:val="21"/>
        </w:rPr>
        <w:t>9.2机房的净高、地面防静电、电源、照明、温湿度、防尘、防水、消防和接地等，应</w:t>
      </w:r>
      <w:r>
        <w:rPr>
          <w:rFonts w:hint="eastAsia" w:eastAsiaTheme="minorEastAsia"/>
          <w:szCs w:val="21"/>
        </w:rPr>
        <w:t>满足</w:t>
      </w:r>
      <w:r>
        <w:rPr>
          <w:rFonts w:ascii="Times New Roman" w:hAnsi="Times New Roman"/>
          <w:szCs w:val="21"/>
        </w:rPr>
        <w:t>通信工程设计要求。</w:t>
      </w:r>
    </w:p>
    <w:p w14:paraId="28E9B45B">
      <w:pPr>
        <w:spacing w:line="330" w:lineRule="exact"/>
        <w:ind w:left="0" w:firstLine="0" w:firstLineChars="0"/>
        <w:rPr>
          <w:rFonts w:ascii="Times New Roman" w:hAnsi="Times New Roman"/>
          <w:szCs w:val="21"/>
        </w:rPr>
      </w:pPr>
      <w:r>
        <w:rPr>
          <w:rFonts w:ascii="Times New Roman" w:hAnsi="Times New Roman"/>
          <w:szCs w:val="21"/>
        </w:rPr>
        <w:t>9.3 预留孔洞位置和尺寸应满足设计要求。</w:t>
      </w:r>
    </w:p>
    <w:p w14:paraId="28B8BDE8">
      <w:pPr>
        <w:spacing w:line="330" w:lineRule="exact"/>
        <w:ind w:left="0" w:firstLine="0" w:firstLineChars="0"/>
        <w:rPr>
          <w:rFonts w:ascii="Times New Roman" w:hAnsi="Times New Roman"/>
          <w:szCs w:val="21"/>
        </w:rPr>
      </w:pPr>
      <w:r>
        <w:rPr>
          <w:rFonts w:ascii="Times New Roman" w:hAnsi="Times New Roman"/>
          <w:szCs w:val="21"/>
        </w:rPr>
        <w:t>注：《智能建筑工程质量验收规范》</w:t>
      </w:r>
      <w:r>
        <w:rPr>
          <w:rFonts w:ascii="Times New Roman" w:hAnsi="Times New Roman"/>
        </w:rPr>
        <w:t>GB 50339</w:t>
      </w:r>
      <w:r>
        <w:rPr>
          <w:rFonts w:ascii="Times New Roman" w:hAnsi="Times New Roman"/>
          <w:szCs w:val="21"/>
        </w:rPr>
        <w:t>关于本章的条文说明中指出：目前，智能建筑工程中移动通信室内信号覆盖系统大多由电信运营商或建设单位测试。本章仅为保障移动通信室内信号覆盖系统的通信畅通，对通信设备安装场地的检查提出技术要求。</w:t>
      </w:r>
    </w:p>
    <w:p w14:paraId="525A459F">
      <w:pPr>
        <w:spacing w:line="330" w:lineRule="exact"/>
        <w:ind w:left="0" w:firstLine="0" w:firstLineChars="0"/>
        <w:rPr>
          <w:rFonts w:ascii="Times New Roman" w:hAnsi="Times New Roman"/>
          <w:szCs w:val="21"/>
        </w:rPr>
      </w:pPr>
    </w:p>
    <w:p w14:paraId="6C2DC485">
      <w:pPr>
        <w:spacing w:line="330" w:lineRule="exact"/>
        <w:ind w:left="0" w:firstLine="0" w:firstLineChars="0"/>
        <w:rPr>
          <w:rFonts w:ascii="Times New Roman" w:hAnsi="Times New Roman"/>
          <w:szCs w:val="21"/>
        </w:rPr>
      </w:pPr>
    </w:p>
    <w:p w14:paraId="32D90167">
      <w:pPr>
        <w:spacing w:line="330" w:lineRule="exact"/>
        <w:ind w:left="0" w:firstLine="0" w:firstLineChars="0"/>
        <w:rPr>
          <w:rFonts w:ascii="Times New Roman" w:hAnsi="Times New Roman"/>
          <w:szCs w:val="21"/>
        </w:rPr>
      </w:pPr>
    </w:p>
    <w:p w14:paraId="4A17933A">
      <w:pPr>
        <w:spacing w:line="330" w:lineRule="exact"/>
        <w:ind w:left="0" w:firstLine="0" w:firstLineChars="0"/>
        <w:rPr>
          <w:rFonts w:ascii="Times New Roman" w:hAnsi="Times New Roman"/>
          <w:szCs w:val="21"/>
        </w:rPr>
      </w:pPr>
    </w:p>
    <w:p w14:paraId="0577E480">
      <w:pPr>
        <w:spacing w:line="330" w:lineRule="exact"/>
        <w:ind w:left="0" w:firstLine="0" w:firstLineChars="0"/>
        <w:rPr>
          <w:rFonts w:ascii="Times New Roman" w:hAnsi="Times New Roman"/>
          <w:szCs w:val="21"/>
        </w:rPr>
      </w:pPr>
    </w:p>
    <w:p w14:paraId="6385C077">
      <w:pPr>
        <w:spacing w:line="330" w:lineRule="exact"/>
        <w:ind w:left="0" w:firstLine="0" w:firstLineChars="0"/>
        <w:rPr>
          <w:rFonts w:ascii="Times New Roman" w:hAnsi="Times New Roman"/>
          <w:szCs w:val="21"/>
        </w:rPr>
      </w:pPr>
    </w:p>
    <w:p w14:paraId="1D357764">
      <w:pPr>
        <w:spacing w:line="330" w:lineRule="exact"/>
        <w:ind w:left="0" w:firstLine="0" w:firstLineChars="0"/>
        <w:rPr>
          <w:rFonts w:ascii="Times New Roman" w:hAnsi="Times New Roman"/>
          <w:szCs w:val="21"/>
        </w:rPr>
      </w:pPr>
    </w:p>
    <w:p w14:paraId="2731E8DC">
      <w:pPr>
        <w:spacing w:line="330" w:lineRule="exact"/>
        <w:ind w:left="0" w:firstLine="0" w:firstLineChars="0"/>
        <w:rPr>
          <w:rFonts w:ascii="Times New Roman" w:hAnsi="Times New Roman"/>
          <w:szCs w:val="21"/>
        </w:rPr>
      </w:pPr>
    </w:p>
    <w:p w14:paraId="40BEF5DF">
      <w:pPr>
        <w:spacing w:line="330" w:lineRule="exact"/>
        <w:ind w:left="0" w:firstLine="0" w:firstLineChars="0"/>
        <w:rPr>
          <w:rFonts w:ascii="Times New Roman" w:hAnsi="Times New Roman"/>
          <w:szCs w:val="21"/>
        </w:rPr>
      </w:pPr>
    </w:p>
    <w:p w14:paraId="78EB3D75">
      <w:pPr>
        <w:spacing w:line="330" w:lineRule="exact"/>
        <w:ind w:left="0" w:firstLine="0" w:firstLineChars="0"/>
        <w:rPr>
          <w:rFonts w:ascii="Times New Roman" w:hAnsi="Times New Roman"/>
          <w:szCs w:val="21"/>
        </w:rPr>
      </w:pPr>
    </w:p>
    <w:p w14:paraId="73A19C59">
      <w:pPr>
        <w:spacing w:line="330" w:lineRule="exact"/>
        <w:ind w:left="0" w:firstLine="0" w:firstLineChars="0"/>
        <w:rPr>
          <w:rFonts w:ascii="Times New Roman" w:hAnsi="Times New Roman"/>
          <w:szCs w:val="21"/>
        </w:rPr>
      </w:pPr>
    </w:p>
    <w:p w14:paraId="3D1B5376">
      <w:pPr>
        <w:spacing w:line="330" w:lineRule="exact"/>
        <w:ind w:left="0" w:firstLine="0" w:firstLineChars="0"/>
        <w:rPr>
          <w:rFonts w:ascii="Times New Roman" w:hAnsi="Times New Roman"/>
          <w:szCs w:val="21"/>
        </w:rPr>
        <w:sectPr>
          <w:pgSz w:w="11900" w:h="16840"/>
          <w:pgMar w:top="1558" w:right="1544" w:bottom="1113" w:left="1564" w:header="0" w:footer="567" w:gutter="0"/>
          <w:cols w:space="720" w:num="1"/>
          <w:docGrid w:linePitch="360" w:charSpace="0"/>
        </w:sectPr>
      </w:pPr>
    </w:p>
    <w:p w14:paraId="5AA891F7">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71" w:name="_Toc182487950"/>
      <w:r>
        <w:rPr>
          <w:rFonts w:ascii="Times New Roman" w:hAnsi="Times New Roman" w:eastAsia="黑体"/>
          <w:bCs/>
          <w:sz w:val="28"/>
          <w:szCs w:val="28"/>
        </w:rPr>
        <w:t>10 卫星通信系统</w:t>
      </w:r>
      <w:bookmarkEnd w:id="71"/>
    </w:p>
    <w:p w14:paraId="0FF48601">
      <w:pPr>
        <w:pStyle w:val="3"/>
        <w:spacing w:before="240" w:after="120" w:afterLines="50" w:line="330" w:lineRule="exact"/>
        <w:rPr>
          <w:rFonts w:eastAsia="黑体"/>
          <w:b w:val="0"/>
          <w:bCs w:val="0"/>
          <w:sz w:val="21"/>
          <w:szCs w:val="21"/>
          <w:lang w:val="en-US"/>
        </w:rPr>
      </w:pPr>
      <w:bookmarkStart w:id="72" w:name="_Toc182487951"/>
      <w:r>
        <w:rPr>
          <w:rFonts w:eastAsia="黑体"/>
          <w:b w:val="0"/>
          <w:bCs w:val="0"/>
          <w:sz w:val="21"/>
          <w:szCs w:val="21"/>
          <w:lang w:val="en-US"/>
        </w:rPr>
        <w:t>10.1 一般规定</w:t>
      </w:r>
      <w:bookmarkEnd w:id="72"/>
    </w:p>
    <w:p w14:paraId="32C57C9A">
      <w:pPr>
        <w:spacing w:line="330" w:lineRule="exact"/>
        <w:ind w:left="0" w:firstLine="0" w:firstLineChars="0"/>
        <w:rPr>
          <w:rFonts w:ascii="Times New Roman" w:hAnsi="Times New Roman"/>
          <w:szCs w:val="21"/>
        </w:rPr>
      </w:pPr>
      <w:r>
        <w:rPr>
          <w:rFonts w:ascii="Times New Roman" w:hAnsi="Times New Roman"/>
          <w:szCs w:val="21"/>
        </w:rPr>
        <w:t>10.1.1 本章适用于智能建筑工程中安装的卫星通信网络系统及其与公用通信网之间的接口的系统施工、检测。</w:t>
      </w:r>
    </w:p>
    <w:p w14:paraId="5D49E82D">
      <w:pPr>
        <w:spacing w:line="330" w:lineRule="exact"/>
        <w:ind w:left="0" w:firstLine="0" w:firstLineChars="0"/>
        <w:rPr>
          <w:rFonts w:ascii="Times New Roman" w:hAnsi="Times New Roman"/>
          <w:szCs w:val="21"/>
        </w:rPr>
      </w:pPr>
      <w:r>
        <w:rPr>
          <w:rFonts w:ascii="Times New Roman" w:hAnsi="Times New Roman"/>
          <w:szCs w:val="21"/>
        </w:rPr>
        <w:t>10.1.2 卫星通信系统的施工及</w:t>
      </w:r>
      <w:r>
        <w:rPr>
          <w:rFonts w:hint="eastAsia" w:ascii="Times New Roman" w:hAnsi="Times New Roman"/>
          <w:szCs w:val="21"/>
        </w:rPr>
        <w:t>检验</w:t>
      </w:r>
      <w:r>
        <w:rPr>
          <w:rFonts w:ascii="Times New Roman" w:hAnsi="Times New Roman"/>
          <w:szCs w:val="21"/>
        </w:rPr>
        <w:t>应执行现行国家标准《智能建筑工程质量验收规范》</w:t>
      </w:r>
      <w:r>
        <w:rPr>
          <w:rFonts w:ascii="Times New Roman" w:hAnsi="Times New Roman"/>
        </w:rPr>
        <w:t>GB 50339</w:t>
      </w:r>
      <w:r>
        <w:rPr>
          <w:rFonts w:ascii="Times New Roman" w:hAnsi="Times New Roman"/>
          <w:szCs w:val="21"/>
        </w:rPr>
        <w:t>和《工程建设标准强制性条文》的有关规定。</w:t>
      </w:r>
    </w:p>
    <w:p w14:paraId="41A6DC62">
      <w:pPr>
        <w:pStyle w:val="3"/>
        <w:spacing w:before="240" w:after="120" w:afterLines="50" w:line="330" w:lineRule="exact"/>
        <w:rPr>
          <w:rFonts w:eastAsia="黑体"/>
          <w:b w:val="0"/>
          <w:bCs w:val="0"/>
          <w:sz w:val="21"/>
          <w:szCs w:val="21"/>
          <w:lang w:val="en-US"/>
        </w:rPr>
      </w:pPr>
      <w:bookmarkStart w:id="73" w:name="_Toc182487952"/>
      <w:r>
        <w:rPr>
          <w:rFonts w:eastAsia="黑体"/>
          <w:b w:val="0"/>
          <w:bCs w:val="0"/>
          <w:sz w:val="21"/>
          <w:szCs w:val="21"/>
          <w:lang w:val="en-US"/>
        </w:rPr>
        <w:t>10.2 施工准备</w:t>
      </w:r>
      <w:bookmarkEnd w:id="73"/>
    </w:p>
    <w:p w14:paraId="53FF710C">
      <w:pPr>
        <w:spacing w:line="330" w:lineRule="exact"/>
        <w:ind w:left="105" w:hanging="105" w:firstLineChars="0"/>
        <w:rPr>
          <w:rFonts w:ascii="Times New Roman" w:hAnsi="Times New Roman"/>
        </w:rPr>
      </w:pPr>
      <w:r>
        <w:rPr>
          <w:rFonts w:ascii="Times New Roman" w:hAnsi="Times New Roman"/>
        </w:rPr>
        <w:t>10.2.1 主要材料</w:t>
      </w:r>
      <w:r>
        <w:rPr>
          <w:rFonts w:hint="eastAsia" w:ascii="Times New Roman" w:hAnsi="Times New Roman"/>
        </w:rPr>
        <w:t>有</w:t>
      </w:r>
      <w:r>
        <w:rPr>
          <w:rFonts w:ascii="Times New Roman" w:hAnsi="Times New Roman"/>
        </w:rPr>
        <w:t>服务器、工作站等。</w:t>
      </w:r>
    </w:p>
    <w:p w14:paraId="09A0C09D">
      <w:pPr>
        <w:spacing w:line="330" w:lineRule="exact"/>
        <w:ind w:left="105" w:hanging="105" w:firstLineChars="0"/>
        <w:rPr>
          <w:rFonts w:ascii="Times New Roman" w:hAnsi="Times New Roman"/>
          <w:szCs w:val="21"/>
        </w:rPr>
      </w:pPr>
      <w:r>
        <w:rPr>
          <w:rFonts w:ascii="Times New Roman" w:hAnsi="Times New Roman"/>
        </w:rPr>
        <w:t>10.2.2 主要机具</w:t>
      </w:r>
      <w:r>
        <w:rPr>
          <w:rFonts w:hint="eastAsia" w:ascii="Times New Roman" w:hAnsi="Times New Roman"/>
        </w:rPr>
        <w:t>有</w:t>
      </w:r>
      <w:r>
        <w:rPr>
          <w:rFonts w:ascii="Times New Roman" w:hAnsi="Times New Roman"/>
          <w:szCs w:val="21"/>
        </w:rPr>
        <w:t>电工工具、对讲机、网络专用工具、测试软件及仪器、水泥、砂子、石子、铁锹、抹子、水桶、插线板、绳子、线管、弯头、直节、胀丝、膨胀螺钉等。</w:t>
      </w:r>
    </w:p>
    <w:p w14:paraId="586E5A9B">
      <w:pPr>
        <w:spacing w:line="330" w:lineRule="exact"/>
        <w:ind w:left="105" w:hanging="105"/>
        <w:rPr>
          <w:rFonts w:ascii="Times New Roman" w:hAnsi="Times New Roman"/>
        </w:rPr>
      </w:pPr>
      <w:r>
        <w:rPr>
          <w:rFonts w:ascii="Times New Roman" w:hAnsi="Times New Roman"/>
        </w:rPr>
        <w:t xml:space="preserve">10.2.3 </w:t>
      </w:r>
      <w:r>
        <w:rPr>
          <w:rFonts w:hint="eastAsia"/>
          <w:szCs w:val="21"/>
        </w:rPr>
        <w:t>作业条件应符合下列规定</w:t>
      </w:r>
      <w:r>
        <w:rPr>
          <w:rFonts w:ascii="Times New Roman" w:hAnsi="Times New Roman"/>
        </w:rPr>
        <w:t>：</w:t>
      </w:r>
    </w:p>
    <w:p w14:paraId="7096CFFB">
      <w:pPr>
        <w:spacing w:line="330" w:lineRule="exact"/>
        <w:ind w:left="0"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 xml:space="preserve"> 施工前应进行技术交底、安全技术交底和环境交底，明确施工方法及质量标准、环境保护、节能降耗、健康安全等控制措施。</w:t>
      </w:r>
    </w:p>
    <w:p w14:paraId="64B5C4FF">
      <w:pPr>
        <w:spacing w:line="330" w:lineRule="exact"/>
        <w:ind w:left="0"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 xml:space="preserve"> 应明确卫星通信系统的功能要求、各子系统的接口形式、通信协议、数据格式及整体安全要求。</w:t>
      </w:r>
    </w:p>
    <w:p w14:paraId="1C96CDCB">
      <w:pPr>
        <w:spacing w:line="330" w:lineRule="exact"/>
        <w:ind w:left="0" w:firstLine="422" w:firstLineChars="200"/>
        <w:rPr>
          <w:rFonts w:ascii="Times New Roman" w:hAnsi="Times New Roman"/>
          <w:szCs w:val="21"/>
        </w:rPr>
      </w:pPr>
      <w:r>
        <w:rPr>
          <w:rFonts w:ascii="Times New Roman" w:hAnsi="Times New Roman"/>
          <w:b/>
          <w:bCs/>
          <w:szCs w:val="21"/>
        </w:rPr>
        <w:t>3</w:t>
      </w:r>
      <w:r>
        <w:rPr>
          <w:rFonts w:ascii="Times New Roman" w:hAnsi="Times New Roman"/>
          <w:szCs w:val="21"/>
        </w:rPr>
        <w:t xml:space="preserve"> </w:t>
      </w:r>
      <w:r>
        <w:rPr>
          <w:rFonts w:hint="eastAsia" w:ascii="Times New Roman" w:hAnsi="Times New Roman"/>
          <w:szCs w:val="21"/>
        </w:rPr>
        <w:t>天线</w:t>
      </w:r>
      <w:r>
        <w:rPr>
          <w:rFonts w:ascii="Times New Roman" w:hAnsi="Times New Roman"/>
          <w:szCs w:val="21"/>
        </w:rPr>
        <w:t>安装环境应符合下列</w:t>
      </w:r>
      <w:r>
        <w:rPr>
          <w:rFonts w:hint="eastAsia" w:ascii="Times New Roman" w:hAnsi="Times New Roman"/>
          <w:szCs w:val="21"/>
        </w:rPr>
        <w:t>规定</w:t>
      </w:r>
      <w:r>
        <w:rPr>
          <w:rFonts w:ascii="Times New Roman" w:hAnsi="Times New Roman"/>
          <w:szCs w:val="21"/>
        </w:rPr>
        <w:t>：</w:t>
      </w:r>
    </w:p>
    <w:p w14:paraId="6061A449">
      <w:pPr>
        <w:pStyle w:val="164"/>
        <w:numPr>
          <w:ilvl w:val="0"/>
          <w:numId w:val="90"/>
        </w:numPr>
        <w:tabs>
          <w:tab w:val="left" w:pos="210"/>
          <w:tab w:val="left" w:pos="567"/>
        </w:tabs>
        <w:spacing w:line="330" w:lineRule="exact"/>
        <w:ind w:firstLine="630" w:firstLineChars="300"/>
        <w:rPr>
          <w:szCs w:val="21"/>
        </w:rPr>
      </w:pPr>
      <w:r>
        <w:rPr>
          <w:szCs w:val="21"/>
        </w:rPr>
        <w:t>天线安装位置周围应有足够的活动空间，5m×5m范围内无墙壁、树木、机器等障碍物，以便于天线及卫星室外设备的安装。</w:t>
      </w:r>
    </w:p>
    <w:p w14:paraId="1CE85F8F">
      <w:pPr>
        <w:pStyle w:val="164"/>
        <w:numPr>
          <w:ilvl w:val="0"/>
          <w:numId w:val="90"/>
        </w:numPr>
        <w:tabs>
          <w:tab w:val="left" w:pos="210"/>
          <w:tab w:val="left" w:pos="567"/>
        </w:tabs>
        <w:spacing w:line="330" w:lineRule="exact"/>
        <w:ind w:firstLine="630" w:firstLineChars="300"/>
        <w:rPr>
          <w:szCs w:val="21"/>
        </w:rPr>
      </w:pPr>
      <w:r>
        <w:rPr>
          <w:szCs w:val="21"/>
        </w:rPr>
        <w:t>卫星天线应安装在避雷有效区内。</w:t>
      </w:r>
    </w:p>
    <w:p w14:paraId="19A6BF07">
      <w:pPr>
        <w:pStyle w:val="164"/>
        <w:numPr>
          <w:ilvl w:val="0"/>
          <w:numId w:val="90"/>
        </w:numPr>
        <w:tabs>
          <w:tab w:val="left" w:pos="210"/>
          <w:tab w:val="left" w:pos="567"/>
        </w:tabs>
        <w:spacing w:line="330" w:lineRule="exact"/>
        <w:ind w:firstLine="630" w:firstLineChars="300"/>
        <w:rPr>
          <w:szCs w:val="21"/>
        </w:rPr>
      </w:pPr>
      <w:r>
        <w:rPr>
          <w:szCs w:val="21"/>
        </w:rPr>
        <w:t>应保证天线正南方向偏东及偏西45°内无障碍物，周围无大功率发射器，天线所在位置应避开风高所在位置，天线面正对方向避开航线。</w:t>
      </w:r>
    </w:p>
    <w:p w14:paraId="2CFB2D5C">
      <w:pPr>
        <w:spacing w:line="330" w:lineRule="exact"/>
        <w:ind w:left="0" w:firstLine="422" w:firstLineChars="200"/>
        <w:rPr>
          <w:rFonts w:ascii="Times New Roman" w:hAnsi="Times New Roman"/>
          <w:szCs w:val="21"/>
        </w:rPr>
      </w:pPr>
      <w:r>
        <w:rPr>
          <w:rFonts w:ascii="Times New Roman" w:hAnsi="Times New Roman"/>
          <w:b/>
          <w:bCs/>
          <w:szCs w:val="21"/>
        </w:rPr>
        <w:t>4</w:t>
      </w:r>
      <w:r>
        <w:rPr>
          <w:rFonts w:ascii="Times New Roman" w:hAnsi="Times New Roman"/>
          <w:szCs w:val="21"/>
        </w:rPr>
        <w:t xml:space="preserve"> </w:t>
      </w:r>
      <w:r>
        <w:rPr>
          <w:rFonts w:hint="eastAsia" w:ascii="Times New Roman" w:hAnsi="Times New Roman"/>
          <w:szCs w:val="21"/>
        </w:rPr>
        <w:t>天线</w:t>
      </w:r>
      <w:r>
        <w:rPr>
          <w:rFonts w:ascii="Times New Roman" w:hAnsi="Times New Roman"/>
          <w:szCs w:val="21"/>
        </w:rPr>
        <w:t>安装位置应符合下列</w:t>
      </w:r>
      <w:r>
        <w:rPr>
          <w:rFonts w:hint="eastAsia" w:ascii="Times New Roman" w:hAnsi="Times New Roman"/>
          <w:szCs w:val="21"/>
        </w:rPr>
        <w:t>规定</w:t>
      </w:r>
      <w:r>
        <w:rPr>
          <w:rFonts w:ascii="Times New Roman" w:hAnsi="Times New Roman"/>
          <w:szCs w:val="21"/>
        </w:rPr>
        <w:t>：</w:t>
      </w:r>
    </w:p>
    <w:p w14:paraId="3B07F6A4">
      <w:pPr>
        <w:pStyle w:val="164"/>
        <w:numPr>
          <w:ilvl w:val="0"/>
          <w:numId w:val="91"/>
        </w:numPr>
        <w:tabs>
          <w:tab w:val="left" w:pos="210"/>
          <w:tab w:val="left" w:pos="567"/>
        </w:tabs>
        <w:spacing w:line="330" w:lineRule="exact"/>
        <w:ind w:firstLine="630" w:firstLineChars="300"/>
        <w:rPr>
          <w:szCs w:val="21"/>
        </w:rPr>
      </w:pPr>
      <w:r>
        <w:rPr>
          <w:szCs w:val="21"/>
        </w:rPr>
        <w:t>天线在楼顶平台安装时基座应置于承重墙或柱上。</w:t>
      </w:r>
    </w:p>
    <w:p w14:paraId="3B8DD1B6">
      <w:pPr>
        <w:pStyle w:val="164"/>
        <w:numPr>
          <w:ilvl w:val="0"/>
          <w:numId w:val="91"/>
        </w:numPr>
        <w:tabs>
          <w:tab w:val="left" w:pos="210"/>
          <w:tab w:val="left" w:pos="567"/>
        </w:tabs>
        <w:spacing w:line="330" w:lineRule="exact"/>
        <w:ind w:firstLine="630" w:firstLineChars="300"/>
        <w:rPr>
          <w:szCs w:val="21"/>
        </w:rPr>
      </w:pPr>
      <w:r>
        <w:rPr>
          <w:szCs w:val="21"/>
        </w:rPr>
        <w:t>天线在地面安装时应夯实基础地面</w:t>
      </w:r>
      <w:r>
        <w:rPr>
          <w:rFonts w:hint="eastAsia"/>
          <w:szCs w:val="21"/>
        </w:rPr>
        <w:t>并</w:t>
      </w:r>
      <w:r>
        <w:rPr>
          <w:szCs w:val="21"/>
        </w:rPr>
        <w:t>避开地下管线。</w:t>
      </w:r>
    </w:p>
    <w:p w14:paraId="4AB30EAE">
      <w:pPr>
        <w:pStyle w:val="164"/>
        <w:numPr>
          <w:ilvl w:val="0"/>
          <w:numId w:val="91"/>
        </w:numPr>
        <w:tabs>
          <w:tab w:val="left" w:pos="210"/>
          <w:tab w:val="left" w:pos="567"/>
        </w:tabs>
        <w:spacing w:line="330" w:lineRule="exact"/>
        <w:ind w:firstLine="630" w:firstLineChars="300"/>
        <w:rPr>
          <w:szCs w:val="21"/>
        </w:rPr>
      </w:pPr>
      <w:r>
        <w:rPr>
          <w:szCs w:val="21"/>
        </w:rPr>
        <w:t>天线安装场地应靠近工作场地</w:t>
      </w:r>
      <w:r>
        <w:rPr>
          <w:rFonts w:hint="eastAsia"/>
          <w:szCs w:val="21"/>
        </w:rPr>
        <w:t>，</w:t>
      </w:r>
      <w:r>
        <w:rPr>
          <w:szCs w:val="21"/>
        </w:rPr>
        <w:t>信号馈线长度</w:t>
      </w:r>
      <w:r>
        <w:rPr>
          <w:rFonts w:hint="eastAsia"/>
          <w:szCs w:val="21"/>
        </w:rPr>
        <w:t>≤</w:t>
      </w:r>
      <w:r>
        <w:rPr>
          <w:szCs w:val="21"/>
        </w:rPr>
        <w:t>80m。</w:t>
      </w:r>
    </w:p>
    <w:p w14:paraId="524701B3">
      <w:pPr>
        <w:pStyle w:val="164"/>
        <w:numPr>
          <w:ilvl w:val="0"/>
          <w:numId w:val="91"/>
        </w:numPr>
        <w:tabs>
          <w:tab w:val="left" w:pos="210"/>
          <w:tab w:val="left" w:pos="567"/>
        </w:tabs>
        <w:spacing w:line="330" w:lineRule="exact"/>
        <w:ind w:firstLine="630" w:firstLineChars="300"/>
        <w:rPr>
          <w:szCs w:val="21"/>
        </w:rPr>
      </w:pPr>
      <w:r>
        <w:rPr>
          <w:szCs w:val="21"/>
        </w:rPr>
        <w:t>应安装在人和动物少或很难接触的地方</w:t>
      </w:r>
      <w:r>
        <w:rPr>
          <w:rFonts w:hint="eastAsia"/>
          <w:szCs w:val="21"/>
        </w:rPr>
        <w:t>并</w:t>
      </w:r>
      <w:r>
        <w:rPr>
          <w:szCs w:val="21"/>
        </w:rPr>
        <w:t>一定的保护设施。</w:t>
      </w:r>
    </w:p>
    <w:p w14:paraId="40239C85">
      <w:pPr>
        <w:spacing w:line="330" w:lineRule="exact"/>
        <w:ind w:left="0" w:firstLine="420" w:firstLineChars="200"/>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卫星通信系统的设备、材料进场检验应符合下列规定：</w:t>
      </w:r>
    </w:p>
    <w:p w14:paraId="3138615A">
      <w:pPr>
        <w:pStyle w:val="164"/>
        <w:numPr>
          <w:ilvl w:val="0"/>
          <w:numId w:val="92"/>
        </w:numPr>
        <w:tabs>
          <w:tab w:val="left" w:pos="210"/>
          <w:tab w:val="left" w:pos="567"/>
        </w:tabs>
        <w:spacing w:line="330" w:lineRule="exact"/>
        <w:ind w:firstLine="630" w:firstLineChars="300"/>
        <w:rPr>
          <w:szCs w:val="21"/>
        </w:rPr>
      </w:pPr>
      <w:r>
        <w:rPr>
          <w:rFonts w:hint="eastAsia"/>
          <w:szCs w:val="21"/>
        </w:rPr>
        <w:t>产品外观应完好、无损伤、无瑕疵，品种、数量、产地满足设计要求；</w:t>
      </w:r>
    </w:p>
    <w:p w14:paraId="5AFB74AA">
      <w:pPr>
        <w:pStyle w:val="164"/>
        <w:numPr>
          <w:ilvl w:val="0"/>
          <w:numId w:val="92"/>
        </w:numPr>
        <w:tabs>
          <w:tab w:val="left" w:pos="210"/>
          <w:tab w:val="left" w:pos="567"/>
        </w:tabs>
        <w:spacing w:line="330" w:lineRule="exact"/>
        <w:ind w:firstLine="630" w:firstLineChars="300"/>
        <w:rPr>
          <w:szCs w:val="21"/>
        </w:rPr>
      </w:pPr>
      <w:r>
        <w:rPr>
          <w:rFonts w:hint="eastAsia"/>
          <w:szCs w:val="21"/>
        </w:rPr>
        <w:t>设备和软件产品应做质量检查。</w:t>
      </w:r>
    </w:p>
    <w:p w14:paraId="46E6F8CD">
      <w:pPr>
        <w:pStyle w:val="164"/>
        <w:numPr>
          <w:ilvl w:val="0"/>
          <w:numId w:val="92"/>
        </w:numPr>
        <w:tabs>
          <w:tab w:val="left" w:pos="210"/>
          <w:tab w:val="left" w:pos="567"/>
        </w:tabs>
        <w:spacing w:line="330" w:lineRule="exact"/>
        <w:ind w:firstLine="630" w:firstLineChars="300"/>
        <w:rPr>
          <w:szCs w:val="21"/>
        </w:rPr>
      </w:pPr>
      <w:r>
        <w:rPr>
          <w:rFonts w:hint="eastAsia"/>
          <w:szCs w:val="21"/>
        </w:rPr>
        <w:t>进口产品除应符合本规程规定外，尚应提供原产地证明和商检证明，配套提供的质量合格证明、检测报告及安装、使用、维护说明书等文件资料应为中文文本或附中文译文。</w:t>
      </w:r>
    </w:p>
    <w:p w14:paraId="09191DBA">
      <w:pPr>
        <w:spacing w:line="330" w:lineRule="exact"/>
        <w:ind w:left="210" w:firstLine="210" w:firstLineChars="0"/>
        <w:rPr>
          <w:rFonts w:ascii="Times New Roman" w:hAnsi="Times New Roman"/>
          <w:szCs w:val="21"/>
        </w:rPr>
      </w:pPr>
      <w:r>
        <w:rPr>
          <w:rFonts w:ascii="Times New Roman" w:hAnsi="Times New Roman"/>
          <w:b/>
          <w:bCs/>
          <w:szCs w:val="21"/>
        </w:rPr>
        <w:t>5</w:t>
      </w:r>
      <w:r>
        <w:rPr>
          <w:rFonts w:hint="eastAsia" w:ascii="Times New Roman" w:hAnsi="Times New Roman"/>
          <w:szCs w:val="21"/>
        </w:rPr>
        <w:t>为固定天线的活动钢架基础，应建水泥方墩基础并满足设计要求，钢架四脚应固定于水泥方墩内。</w:t>
      </w:r>
    </w:p>
    <w:p w14:paraId="2396190D">
      <w:pPr>
        <w:spacing w:line="330" w:lineRule="exact"/>
        <w:ind w:left="210" w:firstLine="210" w:firstLineChars="0"/>
        <w:rPr>
          <w:rFonts w:ascii="Times New Roman" w:hAnsi="Times New Roman"/>
          <w:szCs w:val="21"/>
        </w:rPr>
      </w:pPr>
      <w:r>
        <w:rPr>
          <w:rFonts w:ascii="Times New Roman" w:hAnsi="Times New Roman"/>
          <w:b/>
          <w:bCs/>
          <w:szCs w:val="21"/>
        </w:rPr>
        <w:t>6</w:t>
      </w:r>
      <w:r>
        <w:rPr>
          <w:rFonts w:hint="eastAsia" w:ascii="Times New Roman" w:hAnsi="Times New Roman"/>
          <w:szCs w:val="21"/>
        </w:rPr>
        <w:t>防雷接地应单独接地或同大楼共用接地体。保护地线的接地电阻值单独设置接地体时不应大于</w:t>
      </w:r>
      <w:r>
        <w:rPr>
          <w:rFonts w:ascii="Times New Roman" w:hAnsi="Times New Roman"/>
          <w:szCs w:val="21"/>
        </w:rPr>
        <w:t>8</w:t>
      </w:r>
      <w:r>
        <w:rPr>
          <w:rFonts w:hint="eastAsia" w:ascii="Times New Roman" w:hAnsi="Times New Roman"/>
          <w:szCs w:val="21"/>
        </w:rPr>
        <w:t>Ω；采用同大楼共用接地体时，不应大于</w:t>
      </w:r>
      <w:r>
        <w:rPr>
          <w:rFonts w:ascii="Times New Roman" w:hAnsi="Times New Roman"/>
          <w:szCs w:val="21"/>
        </w:rPr>
        <w:t>4</w:t>
      </w:r>
      <w:r>
        <w:rPr>
          <w:rFonts w:hint="eastAsia" w:ascii="Times New Roman" w:hAnsi="Times New Roman"/>
          <w:szCs w:val="21"/>
        </w:rPr>
        <w:t>Ω；天线塔顶部应安装尖端放电的避雷针装置，避雷针高出天线顶端的高度应能确保天线处于避雷针的</w:t>
      </w:r>
      <w:r>
        <w:rPr>
          <w:rFonts w:ascii="Times New Roman" w:hAnsi="Times New Roman"/>
          <w:szCs w:val="21"/>
        </w:rPr>
        <w:t>45</w:t>
      </w:r>
      <w:r>
        <w:rPr>
          <w:rFonts w:hint="eastAsia" w:ascii="Times New Roman" w:hAnsi="Times New Roman"/>
          <w:szCs w:val="21"/>
        </w:rPr>
        <w:t>°防雷保护角内。</w:t>
      </w:r>
    </w:p>
    <w:p w14:paraId="504BCF34">
      <w:pPr>
        <w:spacing w:line="330" w:lineRule="exact"/>
        <w:ind w:left="210" w:firstLine="210" w:firstLineChars="0"/>
        <w:rPr>
          <w:rFonts w:ascii="Times New Roman" w:hAnsi="Times New Roman"/>
          <w:szCs w:val="21"/>
        </w:rPr>
      </w:pPr>
      <w:r>
        <w:rPr>
          <w:rFonts w:ascii="Times New Roman" w:hAnsi="Times New Roman"/>
          <w:b/>
          <w:bCs/>
          <w:szCs w:val="21"/>
        </w:rPr>
        <w:t>7</w:t>
      </w:r>
      <w:r>
        <w:rPr>
          <w:rFonts w:ascii="Times New Roman" w:hAnsi="Times New Roman"/>
          <w:szCs w:val="21"/>
        </w:rPr>
        <w:t xml:space="preserve"> </w:t>
      </w:r>
      <w:r>
        <w:rPr>
          <w:rFonts w:hint="eastAsia" w:ascii="Times New Roman" w:hAnsi="Times New Roman"/>
          <w:szCs w:val="21"/>
        </w:rPr>
        <w:t>设备间温室应保持在</w:t>
      </w:r>
      <w:r>
        <w:rPr>
          <w:rFonts w:ascii="Times New Roman" w:hAnsi="Times New Roman"/>
          <w:szCs w:val="21"/>
        </w:rPr>
        <w:t>10</w:t>
      </w:r>
      <w:r>
        <w:rPr>
          <w:rFonts w:hint="eastAsia" w:ascii="Times New Roman" w:hAnsi="Times New Roman"/>
          <w:szCs w:val="21"/>
        </w:rPr>
        <w:t>°</w:t>
      </w:r>
      <w:r>
        <w:rPr>
          <w:rFonts w:ascii="Times New Roman" w:hAnsi="Times New Roman"/>
          <w:szCs w:val="21"/>
        </w:rPr>
        <w:t>C~25</w:t>
      </w:r>
      <w:r>
        <w:rPr>
          <w:rFonts w:hint="eastAsia" w:ascii="Times New Roman" w:hAnsi="Times New Roman"/>
          <w:szCs w:val="21"/>
        </w:rPr>
        <w:t>°</w:t>
      </w:r>
      <w:r>
        <w:rPr>
          <w:rFonts w:ascii="Times New Roman" w:hAnsi="Times New Roman"/>
          <w:szCs w:val="21"/>
        </w:rPr>
        <w:t>C</w:t>
      </w:r>
      <w:r>
        <w:rPr>
          <w:rFonts w:hint="eastAsia" w:ascii="Times New Roman" w:hAnsi="Times New Roman"/>
          <w:szCs w:val="21"/>
        </w:rPr>
        <w:t>之间，相对温湿度应保持</w:t>
      </w:r>
      <w:r>
        <w:rPr>
          <w:rFonts w:ascii="Times New Roman" w:hAnsi="Times New Roman"/>
          <w:szCs w:val="21"/>
        </w:rPr>
        <w:t>60</w:t>
      </w:r>
      <w:r>
        <w:rPr>
          <w:rFonts w:hint="eastAsia" w:ascii="Times New Roman" w:hAnsi="Times New Roman"/>
          <w:szCs w:val="21"/>
        </w:rPr>
        <w:t>％</w:t>
      </w:r>
      <w:r>
        <w:rPr>
          <w:rFonts w:ascii="Times New Roman" w:hAnsi="Times New Roman"/>
          <w:szCs w:val="21"/>
        </w:rPr>
        <w:t>~80</w:t>
      </w:r>
      <w:r>
        <w:rPr>
          <w:rFonts w:hint="eastAsia" w:ascii="Times New Roman" w:hAnsi="Times New Roman"/>
          <w:szCs w:val="21"/>
        </w:rPr>
        <w:t>％。室内设备电源线和信号线应分开走线。机房应安装消防及报警系统。</w:t>
      </w:r>
    </w:p>
    <w:p w14:paraId="3DBB935B">
      <w:pPr>
        <w:pStyle w:val="3"/>
        <w:spacing w:before="240" w:after="120" w:afterLines="50" w:line="330" w:lineRule="exact"/>
        <w:rPr>
          <w:rFonts w:eastAsia="黑体"/>
          <w:b w:val="0"/>
          <w:bCs w:val="0"/>
          <w:sz w:val="21"/>
          <w:szCs w:val="21"/>
          <w:lang w:val="en-US"/>
        </w:rPr>
      </w:pPr>
      <w:bookmarkStart w:id="74" w:name="_Toc182487953"/>
      <w:r>
        <w:rPr>
          <w:rFonts w:eastAsia="黑体"/>
          <w:b w:val="0"/>
          <w:bCs w:val="0"/>
          <w:sz w:val="21"/>
          <w:szCs w:val="21"/>
          <w:lang w:val="en-US"/>
        </w:rPr>
        <w:t>10.3 施工工艺</w:t>
      </w:r>
      <w:bookmarkEnd w:id="74"/>
    </w:p>
    <w:p w14:paraId="6010F043">
      <w:pPr>
        <w:spacing w:line="330" w:lineRule="exact"/>
        <w:ind w:left="0" w:firstLine="0" w:firstLineChars="0"/>
        <w:rPr>
          <w:rFonts w:ascii="Times New Roman" w:hAnsi="Times New Roman" w:eastAsiaTheme="minorEastAsia"/>
          <w:szCs w:val="21"/>
        </w:rPr>
      </w:pPr>
      <w:r>
        <w:rPr>
          <w:rFonts w:ascii="Times New Roman" w:hAnsi="Times New Roman"/>
          <w:szCs w:val="21"/>
        </w:rPr>
        <w:t xml:space="preserve">10.3.1 </w:t>
      </w:r>
      <w:r>
        <w:rPr>
          <w:rFonts w:ascii="Times New Roman" w:hAnsi="Times New Roman" w:eastAsiaTheme="minorEastAsia"/>
          <w:szCs w:val="21"/>
        </w:rPr>
        <w:t>卫星通信系统施工工艺流程见图10.3.1。</w:t>
      </w:r>
    </w:p>
    <w:p w14:paraId="04DE21E5">
      <w:pPr>
        <w:spacing w:line="330" w:lineRule="exact"/>
        <w:ind w:left="0" w:firstLine="0" w:firstLineChars="0"/>
        <w:rPr>
          <w:rFonts w:ascii="Times New Roman" w:hAnsi="Times New Roman" w:eastAsiaTheme="minorEastAsia"/>
          <w:szCs w:val="21"/>
        </w:rPr>
      </w:pPr>
      <w:r>
        <w:rPr>
          <w:rFonts w:ascii="Times New Roman" w:hAnsi="Times New Roman"/>
          <w:sz w:val="20"/>
          <w:szCs w:val="20"/>
        </w:rPr>
        <mc:AlternateContent>
          <mc:Choice Requires="wpg">
            <w:drawing>
              <wp:anchor distT="0" distB="0" distL="114935" distR="114935" simplePos="0" relativeHeight="251674624" behindDoc="0" locked="0" layoutInCell="1" allowOverlap="1">
                <wp:simplePos x="0" y="0"/>
                <wp:positionH relativeFrom="page">
                  <wp:posOffset>1628775</wp:posOffset>
                </wp:positionH>
                <wp:positionV relativeFrom="paragraph">
                  <wp:posOffset>130175</wp:posOffset>
                </wp:positionV>
                <wp:extent cx="4243705" cy="288925"/>
                <wp:effectExtent l="0" t="0" r="23495" b="15875"/>
                <wp:wrapNone/>
                <wp:docPr id="79" name="组合 79"/>
                <wp:cNvGraphicFramePr/>
                <a:graphic xmlns:a="http://schemas.openxmlformats.org/drawingml/2006/main">
                  <a:graphicData uri="http://schemas.microsoft.com/office/word/2010/wordprocessingGroup">
                    <wpg:wgp>
                      <wpg:cNvGrpSpPr/>
                      <wpg:grpSpPr>
                        <a:xfrm>
                          <a:off x="0" y="0"/>
                          <a:ext cx="4243999" cy="289127"/>
                          <a:chOff x="3" y="0"/>
                          <a:chExt cx="5141" cy="719"/>
                        </a:xfrm>
                      </wpg:grpSpPr>
                      <wps:wsp>
                        <wps:cNvPr id="80" name="Rectangle 32"/>
                        <wps:cNvSpPr>
                          <a:spLocks noChangeArrowheads="1"/>
                        </wps:cNvSpPr>
                        <wps:spPr bwMode="auto">
                          <a:xfrm>
                            <a:off x="1800" y="0"/>
                            <a:ext cx="1440" cy="719"/>
                          </a:xfrm>
                          <a:prstGeom prst="rect">
                            <a:avLst/>
                          </a:prstGeom>
                          <a:solidFill>
                            <a:srgbClr val="FFFFFF"/>
                          </a:solidFill>
                          <a:ln w="9525">
                            <a:solidFill>
                              <a:srgbClr val="000000"/>
                            </a:solidFill>
                            <a:miter lim="800000"/>
                          </a:ln>
                        </wps:spPr>
                        <wps:txbx>
                          <w:txbxContent>
                            <w:p w14:paraId="4A65F455">
                              <w:pPr>
                                <w:ind w:left="105" w:hanging="105"/>
                                <w:jc w:val="center"/>
                              </w:pPr>
                              <w:r>
                                <w:rPr>
                                  <w:rFonts w:hint="eastAsia" w:ascii="宋体" w:hAnsi="宋体"/>
                                  <w:kern w:val="0"/>
                                </w:rPr>
                                <w:t>室内设备安装</w:t>
                              </w:r>
                            </w:p>
                          </w:txbxContent>
                        </wps:txbx>
                        <wps:bodyPr rot="0" vert="horz" wrap="square" lIns="91440" tIns="82800" rIns="91440" bIns="45720" anchor="t" anchorCtr="0" upright="1">
                          <a:noAutofit/>
                        </wps:bodyPr>
                      </wps:wsp>
                      <wps:wsp>
                        <wps:cNvPr id="81" name="Rectangle 33"/>
                        <wps:cNvSpPr>
                          <a:spLocks noChangeArrowheads="1"/>
                        </wps:cNvSpPr>
                        <wps:spPr bwMode="auto">
                          <a:xfrm>
                            <a:off x="3" y="0"/>
                            <a:ext cx="1260" cy="719"/>
                          </a:xfrm>
                          <a:prstGeom prst="rect">
                            <a:avLst/>
                          </a:prstGeom>
                          <a:solidFill>
                            <a:srgbClr val="FFFFFF"/>
                          </a:solidFill>
                          <a:ln w="9525">
                            <a:solidFill>
                              <a:srgbClr val="000000"/>
                            </a:solidFill>
                            <a:miter lim="800000"/>
                          </a:ln>
                        </wps:spPr>
                        <wps:txbx>
                          <w:txbxContent>
                            <w:p w14:paraId="7AD7374A">
                              <w:pPr>
                                <w:ind w:left="105" w:hanging="105"/>
                                <w:jc w:val="center"/>
                              </w:pPr>
                              <w:r>
                                <w:rPr>
                                  <w:rFonts w:hint="eastAsia" w:ascii="宋体" w:hAnsi="宋体"/>
                                  <w:kern w:val="0"/>
                                </w:rPr>
                                <w:t>天线安装调试</w:t>
                              </w:r>
                            </w:p>
                          </w:txbxContent>
                        </wps:txbx>
                        <wps:bodyPr rot="0" vert="horz" wrap="square" lIns="91440" tIns="82800" rIns="91440" bIns="45720" anchor="t" anchorCtr="0" upright="1">
                          <a:noAutofit/>
                        </wps:bodyPr>
                      </wps:wsp>
                      <wps:wsp>
                        <wps:cNvPr id="82" name="Rectangle 34"/>
                        <wps:cNvSpPr>
                          <a:spLocks noChangeArrowheads="1"/>
                        </wps:cNvSpPr>
                        <wps:spPr bwMode="auto">
                          <a:xfrm>
                            <a:off x="3783" y="0"/>
                            <a:ext cx="1361" cy="716"/>
                          </a:xfrm>
                          <a:prstGeom prst="rect">
                            <a:avLst/>
                          </a:prstGeom>
                          <a:solidFill>
                            <a:srgbClr val="FFFFFF"/>
                          </a:solidFill>
                          <a:ln w="9525">
                            <a:solidFill>
                              <a:srgbClr val="000000"/>
                            </a:solidFill>
                            <a:miter lim="800000"/>
                          </a:ln>
                        </wps:spPr>
                        <wps:txbx>
                          <w:txbxContent>
                            <w:p w14:paraId="63B3400D">
                              <w:pPr>
                                <w:ind w:left="105" w:hanging="105"/>
                                <w:jc w:val="center"/>
                                <w:rPr>
                                  <w:rFonts w:ascii="宋体" w:hAnsi="宋体"/>
                                  <w:spacing w:val="-10"/>
                                  <w:kern w:val="0"/>
                                </w:rPr>
                              </w:pPr>
                              <w:r>
                                <w:rPr>
                                  <w:rFonts w:hint="eastAsia" w:ascii="宋体" w:hAnsi="宋体"/>
                                  <w:kern w:val="0"/>
                                </w:rPr>
                                <w:t>参数配置</w:t>
                              </w:r>
                            </w:p>
                          </w:txbxContent>
                        </wps:txbx>
                        <wps:bodyPr rot="0" vert="horz" wrap="square" lIns="91440" tIns="82800" rIns="91440" bIns="45720" anchor="t" anchorCtr="0" upright="1">
                          <a:noAutofit/>
                        </wps:bodyPr>
                      </wps:wsp>
                      <wps:wsp>
                        <wps:cNvPr id="83" name="Line 37"/>
                        <wps:cNvCnPr>
                          <a:cxnSpLocks noChangeShapeType="1"/>
                        </wps:cNvCnPr>
                        <wps:spPr bwMode="auto">
                          <a:xfrm>
                            <a:off x="1260" y="312"/>
                            <a:ext cx="540" cy="0"/>
                          </a:xfrm>
                          <a:prstGeom prst="line">
                            <a:avLst/>
                          </a:prstGeom>
                          <a:noFill/>
                          <a:ln w="9525">
                            <a:solidFill>
                              <a:srgbClr val="000000"/>
                            </a:solidFill>
                            <a:round/>
                            <a:tailEnd type="triangle" w="med" len="med"/>
                          </a:ln>
                        </wps:spPr>
                        <wps:bodyPr/>
                      </wps:wsp>
                      <wps:wsp>
                        <wps:cNvPr id="84" name="Line 38"/>
                        <wps:cNvCnPr>
                          <a:cxnSpLocks noChangeShapeType="1"/>
                        </wps:cNvCnPr>
                        <wps:spPr bwMode="auto">
                          <a:xfrm>
                            <a:off x="3240" y="312"/>
                            <a:ext cx="540" cy="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128.25pt;margin-top:10.25pt;height:22.75pt;width:334.15pt;mso-position-horizontal-relative:page;z-index:251674624;mso-width-relative:page;mso-height-relative:page;" coordorigin="3,0" coordsize="5141,719" o:gfxdata="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AV&#10;dsVC2QAAAAkBAAAPAAAAAAAAAAEAIAAAACIAAABkcnMvZG93bnJldi54bWxQSwECFAAUAAAACACH&#10;TuJApgqES3kDAADEDgAADgAAAAAAAAABACAAAAAoAQAAZHJzL2Uyb0RvYy54bWxQSwUGAAAAAAYA&#10;BgBZAQAAEwcAAAAA&#10;">
                <o:lock v:ext="edit" aspectratio="f"/>
                <v:rect id="Rectangle 32" o:spid="_x0000_s1026" o:spt="1" style="position:absolute;left:1800;top:0;height:719;width:1440;" fillcolor="#FFFFFF" filled="t" stroked="t" coordsize="21600,21600" o:gfxdata="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I+Ki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2.54mm,2.3mm,2.54mm,1.27mm">
                    <w:txbxContent>
                      <w:p w14:paraId="4A65F455">
                        <w:pPr>
                          <w:ind w:left="105" w:hanging="105"/>
                          <w:jc w:val="center"/>
                        </w:pPr>
                        <w:r>
                          <w:rPr>
                            <w:rFonts w:hint="eastAsia" w:ascii="宋体" w:hAnsi="宋体"/>
                            <w:kern w:val="0"/>
                          </w:rPr>
                          <w:t>室内设备安装</w:t>
                        </w:r>
                      </w:p>
                    </w:txbxContent>
                  </v:textbox>
                </v:rect>
                <v:rect id="Rectangle 33" o:spid="_x0000_s1026" o:spt="1" style="position:absolute;left:3;top:0;height:719;width:1260;" fillcolor="#FFFFFF" filled="t" stroked="t" coordsize="21600,21600" o:gfxdata="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EXT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2.3mm,2.54mm,1.27mm">
                    <w:txbxContent>
                      <w:p w14:paraId="7AD7374A">
                        <w:pPr>
                          <w:ind w:left="105" w:hanging="105"/>
                          <w:jc w:val="center"/>
                        </w:pPr>
                        <w:r>
                          <w:rPr>
                            <w:rFonts w:hint="eastAsia" w:ascii="宋体" w:hAnsi="宋体"/>
                            <w:kern w:val="0"/>
                          </w:rPr>
                          <w:t>天线安装调试</w:t>
                        </w:r>
                      </w:p>
                    </w:txbxContent>
                  </v:textbox>
                </v:rect>
                <v:rect id="Rectangle 34" o:spid="_x0000_s1026" o:spt="1" style="position:absolute;left:3783;top:0;height:716;width:1361;" fillcolor="#FFFFFF" filled="t" stroked="t" coordsize="21600,21600" o:gfxdata="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Ww0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2.3mm,2.54mm,1.27mm">
                    <w:txbxContent>
                      <w:p w14:paraId="63B3400D">
                        <w:pPr>
                          <w:ind w:left="105" w:hanging="105"/>
                          <w:jc w:val="center"/>
                          <w:rPr>
                            <w:rFonts w:ascii="宋体" w:hAnsi="宋体"/>
                            <w:spacing w:val="-10"/>
                            <w:kern w:val="0"/>
                          </w:rPr>
                        </w:pPr>
                        <w:r>
                          <w:rPr>
                            <w:rFonts w:hint="eastAsia" w:ascii="宋体" w:hAnsi="宋体"/>
                            <w:kern w:val="0"/>
                          </w:rPr>
                          <w:t>参数配置</w:t>
                        </w:r>
                      </w:p>
                    </w:txbxContent>
                  </v:textbox>
                </v:rect>
                <v:line id="Line 37" o:spid="_x0000_s1026" o:spt="20" style="position:absolute;left:1260;top:312;height:0;width:540;"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8" o:spid="_x0000_s1026" o:spt="20" style="position:absolute;left:3240;top:312;height:0;width:540;"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58C702B7">
      <w:pPr>
        <w:pStyle w:val="164"/>
        <w:tabs>
          <w:tab w:val="left" w:pos="624"/>
        </w:tabs>
        <w:spacing w:before="100" w:after="100"/>
        <w:ind w:firstLine="0" w:firstLineChars="0"/>
        <w:rPr>
          <w:szCs w:val="21"/>
        </w:rPr>
      </w:pPr>
    </w:p>
    <w:p w14:paraId="65C00CFB">
      <w:pPr>
        <w:ind w:left="0" w:firstLine="0" w:firstLineChars="0"/>
        <w:rPr>
          <w:rFonts w:ascii="Times New Roman" w:hAnsi="Times New Roman"/>
        </w:rPr>
      </w:pPr>
    </w:p>
    <w:p w14:paraId="13BEE59C">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图10.3.1   卫星通讯系统施工工艺流程图</w:t>
      </w:r>
    </w:p>
    <w:p w14:paraId="1D7B3EC8">
      <w:pPr>
        <w:spacing w:line="330" w:lineRule="exact"/>
        <w:ind w:left="105" w:hanging="105" w:firstLineChars="0"/>
        <w:rPr>
          <w:rFonts w:ascii="Times New Roman" w:hAnsi="Times New Roman"/>
          <w:szCs w:val="21"/>
        </w:rPr>
      </w:pPr>
      <w:r>
        <w:rPr>
          <w:rFonts w:ascii="Times New Roman" w:hAnsi="Times New Roman"/>
          <w:szCs w:val="21"/>
        </w:rPr>
        <w:t>10.3.2 天线的安装调试应按照设计和</w:t>
      </w:r>
      <w:r>
        <w:rPr>
          <w:rFonts w:hint="eastAsia" w:ascii="Times New Roman" w:hAnsi="Times New Roman"/>
          <w:szCs w:val="21"/>
        </w:rPr>
        <w:t>国家相关</w:t>
      </w:r>
      <w:r>
        <w:rPr>
          <w:rFonts w:ascii="Times New Roman" w:hAnsi="Times New Roman"/>
          <w:szCs w:val="21"/>
        </w:rPr>
        <w:t>规范要求进行，需根据设计中所选用的卫星，调试卫星天线的俯仰角，设置频谱仪的中心频率、带宽（SPAN）、RBW，VBW等的参数值；卫星天线信标电平需达到最大值。设备连接图见图 10.3.2。</w:t>
      </w:r>
    </w:p>
    <w:p w14:paraId="1C243F79">
      <w:pPr>
        <w:ind w:left="0" w:firstLine="0" w:firstLineChars="0"/>
        <w:rPr>
          <w:rFonts w:ascii="Times New Roman" w:hAnsi="Times New Roman"/>
          <w:szCs w:val="21"/>
        </w:rPr>
      </w:pPr>
      <w:r>
        <w:rPr>
          <w:rFonts w:ascii="Times New Roman" w:hAnsi="Times New Roman"/>
          <w:szCs w:val="21"/>
        </w:rPr>
        <w:drawing>
          <wp:inline distT="0" distB="0" distL="114300" distR="114300">
            <wp:extent cx="5268595" cy="1215390"/>
            <wp:effectExtent l="0" t="0" r="8255" b="3810"/>
            <wp:docPr id="85" name="图片 85" descr="图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10.4.2"/>
                    <pic:cNvPicPr>
                      <a:picLocks noChangeAspect="1"/>
                    </pic:cNvPicPr>
                  </pic:nvPicPr>
                  <pic:blipFill>
                    <a:blip r:embed="rId34"/>
                    <a:stretch>
                      <a:fillRect/>
                    </a:stretch>
                  </pic:blipFill>
                  <pic:spPr>
                    <a:xfrm>
                      <a:off x="0" y="0"/>
                      <a:ext cx="5268595" cy="1215390"/>
                    </a:xfrm>
                    <a:prstGeom prst="rect">
                      <a:avLst/>
                    </a:prstGeom>
                  </pic:spPr>
                </pic:pic>
              </a:graphicData>
            </a:graphic>
          </wp:inline>
        </w:drawing>
      </w:r>
    </w:p>
    <w:p w14:paraId="35A3BD01">
      <w:pPr>
        <w:spacing w:before="93" w:beforeLines="39" w:after="120" w:afterLines="50" w:line="330" w:lineRule="exact"/>
        <w:ind w:left="0" w:firstLine="0" w:firstLineChars="0"/>
        <w:jc w:val="center"/>
        <w:rPr>
          <w:rFonts w:ascii="Times New Roman" w:hAnsi="Times New Roman"/>
          <w:szCs w:val="21"/>
        </w:rPr>
      </w:pPr>
      <w:r>
        <w:rPr>
          <w:rFonts w:ascii="Times New Roman" w:hAnsi="Times New Roman"/>
          <w:szCs w:val="21"/>
        </w:rPr>
        <w:t>图 10.3.2 调试卫星天线对星操作设备连接图</w:t>
      </w:r>
    </w:p>
    <w:p w14:paraId="6596A41B">
      <w:pPr>
        <w:spacing w:line="330" w:lineRule="exact"/>
        <w:ind w:left="0" w:firstLine="0" w:firstLineChars="0"/>
        <w:rPr>
          <w:rFonts w:ascii="Times New Roman" w:hAnsi="Times New Roman"/>
          <w:szCs w:val="21"/>
        </w:rPr>
      </w:pPr>
      <w:r>
        <w:rPr>
          <w:rFonts w:ascii="Times New Roman" w:hAnsi="Times New Roman"/>
          <w:szCs w:val="21"/>
        </w:rPr>
        <w:t>10.3.3 室内设备安装应按照图10.3.3进行连接</w:t>
      </w:r>
    </w:p>
    <w:p w14:paraId="5F228A5B">
      <w:pPr>
        <w:ind w:left="0" w:firstLine="0" w:firstLineChars="0"/>
        <w:rPr>
          <w:rFonts w:ascii="Times New Roman" w:hAnsi="Times New Roman"/>
          <w:szCs w:val="21"/>
        </w:rPr>
      </w:pPr>
      <w:r>
        <w:rPr>
          <w:rFonts w:ascii="Times New Roman" w:hAnsi="Times New Roman"/>
          <w:szCs w:val="21"/>
        </w:rPr>
        <w:drawing>
          <wp:inline distT="0" distB="0" distL="114300" distR="114300">
            <wp:extent cx="5264150" cy="2855595"/>
            <wp:effectExtent l="0" t="0" r="12700" b="1905"/>
            <wp:docPr id="86" name="图片 86" descr="图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10.3.3"/>
                    <pic:cNvPicPr>
                      <a:picLocks noChangeAspect="1"/>
                    </pic:cNvPicPr>
                  </pic:nvPicPr>
                  <pic:blipFill>
                    <a:blip r:embed="rId35"/>
                    <a:stretch>
                      <a:fillRect/>
                    </a:stretch>
                  </pic:blipFill>
                  <pic:spPr>
                    <a:xfrm>
                      <a:off x="0" y="0"/>
                      <a:ext cx="5264150" cy="2855595"/>
                    </a:xfrm>
                    <a:prstGeom prst="rect">
                      <a:avLst/>
                    </a:prstGeom>
                  </pic:spPr>
                </pic:pic>
              </a:graphicData>
            </a:graphic>
          </wp:inline>
        </w:drawing>
      </w:r>
    </w:p>
    <w:p w14:paraId="4B22AA23">
      <w:pPr>
        <w:spacing w:before="93" w:beforeLines="39" w:after="120" w:afterLines="50" w:line="330" w:lineRule="exact"/>
        <w:ind w:left="0" w:firstLine="0" w:firstLineChars="0"/>
        <w:jc w:val="center"/>
        <w:rPr>
          <w:rFonts w:ascii="Times New Roman" w:hAnsi="Times New Roman"/>
          <w:szCs w:val="21"/>
        </w:rPr>
      </w:pPr>
      <w:r>
        <w:rPr>
          <w:rFonts w:ascii="Times New Roman" w:hAnsi="Times New Roman"/>
          <w:szCs w:val="21"/>
        </w:rPr>
        <w:t>图 10.3.3 室内单元的连接图</w:t>
      </w:r>
    </w:p>
    <w:p w14:paraId="0BE5DBD5">
      <w:pPr>
        <w:spacing w:line="330" w:lineRule="exact"/>
        <w:ind w:left="0" w:firstLine="0" w:firstLineChars="0"/>
        <w:rPr>
          <w:rFonts w:ascii="Times New Roman" w:hAnsi="Times New Roman"/>
          <w:szCs w:val="21"/>
        </w:rPr>
      </w:pPr>
      <w:r>
        <w:rPr>
          <w:rFonts w:ascii="Times New Roman" w:hAnsi="Times New Roman"/>
          <w:szCs w:val="21"/>
        </w:rPr>
        <w:t>10.3.4 参数配置应</w:t>
      </w:r>
      <w:r>
        <w:rPr>
          <w:rFonts w:hint="eastAsia" w:ascii="Times New Roman" w:hAnsi="Times New Roman"/>
          <w:szCs w:val="21"/>
        </w:rPr>
        <w:t>符合下列规定</w:t>
      </w:r>
      <w:r>
        <w:rPr>
          <w:rFonts w:ascii="Times New Roman" w:hAnsi="Times New Roman"/>
          <w:szCs w:val="21"/>
        </w:rPr>
        <w:t>：</w:t>
      </w:r>
    </w:p>
    <w:p w14:paraId="0C2F2910">
      <w:pPr>
        <w:spacing w:line="330" w:lineRule="exact"/>
        <w:ind w:left="0"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 xml:space="preserve"> 设备加电前各连接线路应</w:t>
      </w:r>
      <w:r>
        <w:rPr>
          <w:rFonts w:hint="eastAsia" w:ascii="Times New Roman" w:hAnsi="Times New Roman"/>
          <w:szCs w:val="21"/>
        </w:rPr>
        <w:t>符合下列规定</w:t>
      </w:r>
      <w:r>
        <w:rPr>
          <w:rFonts w:ascii="Times New Roman" w:hAnsi="Times New Roman"/>
          <w:szCs w:val="21"/>
        </w:rPr>
        <w:t>：</w:t>
      </w:r>
    </w:p>
    <w:p w14:paraId="08470483">
      <w:pPr>
        <w:pStyle w:val="164"/>
        <w:numPr>
          <w:ilvl w:val="0"/>
          <w:numId w:val="93"/>
        </w:numPr>
        <w:tabs>
          <w:tab w:val="left" w:pos="210"/>
          <w:tab w:val="left" w:pos="567"/>
        </w:tabs>
        <w:spacing w:line="330" w:lineRule="exact"/>
        <w:ind w:firstLine="630" w:firstLineChars="300"/>
        <w:rPr>
          <w:szCs w:val="21"/>
        </w:rPr>
      </w:pPr>
      <w:r>
        <w:rPr>
          <w:szCs w:val="21"/>
        </w:rPr>
        <w:t>收发电缆连接应正确；</w:t>
      </w:r>
    </w:p>
    <w:p w14:paraId="2784C3D3">
      <w:pPr>
        <w:pStyle w:val="164"/>
        <w:numPr>
          <w:ilvl w:val="0"/>
          <w:numId w:val="93"/>
        </w:numPr>
        <w:tabs>
          <w:tab w:val="left" w:pos="210"/>
          <w:tab w:val="left" w:pos="567"/>
        </w:tabs>
        <w:spacing w:line="330" w:lineRule="exact"/>
        <w:ind w:firstLine="630" w:firstLineChars="300"/>
        <w:rPr>
          <w:szCs w:val="21"/>
        </w:rPr>
      </w:pPr>
      <w:r>
        <w:rPr>
          <w:szCs w:val="21"/>
        </w:rPr>
        <w:t>各设备的电源线和接收主站的直流ODU电源连接需牢固。</w:t>
      </w:r>
    </w:p>
    <w:p w14:paraId="2B592BE7">
      <w:pPr>
        <w:pStyle w:val="164"/>
        <w:numPr>
          <w:ilvl w:val="0"/>
          <w:numId w:val="93"/>
        </w:numPr>
        <w:tabs>
          <w:tab w:val="left" w:pos="210"/>
          <w:tab w:val="left" w:pos="567"/>
        </w:tabs>
        <w:spacing w:line="330" w:lineRule="exact"/>
        <w:ind w:firstLine="630" w:firstLineChars="300"/>
        <w:rPr>
          <w:szCs w:val="21"/>
        </w:rPr>
      </w:pPr>
      <w:r>
        <w:rPr>
          <w:szCs w:val="21"/>
        </w:rPr>
        <w:t>设备电压需在220V±5V的范围内，零地压差需在±2V范围内。</w:t>
      </w:r>
    </w:p>
    <w:p w14:paraId="16F603E1">
      <w:pPr>
        <w:spacing w:line="330" w:lineRule="exact"/>
        <w:ind w:left="0"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 xml:space="preserve"> 应按照说明配置接收主站的相关参数。</w:t>
      </w:r>
    </w:p>
    <w:p w14:paraId="76FF82BC">
      <w:pPr>
        <w:pStyle w:val="3"/>
        <w:spacing w:before="240" w:after="120" w:afterLines="50" w:line="330" w:lineRule="exact"/>
        <w:rPr>
          <w:rFonts w:eastAsia="黑体"/>
          <w:b w:val="0"/>
          <w:bCs w:val="0"/>
          <w:sz w:val="21"/>
          <w:szCs w:val="21"/>
          <w:lang w:val="en-US"/>
        </w:rPr>
      </w:pPr>
      <w:bookmarkStart w:id="75" w:name="_Toc182487954"/>
      <w:r>
        <w:rPr>
          <w:rFonts w:eastAsia="黑体"/>
          <w:b w:val="0"/>
          <w:bCs w:val="0"/>
          <w:sz w:val="21"/>
          <w:szCs w:val="21"/>
          <w:lang w:val="en-US"/>
        </w:rPr>
        <w:t>10.4 质量记录</w:t>
      </w:r>
      <w:bookmarkEnd w:id="75"/>
    </w:p>
    <w:p w14:paraId="434768BF">
      <w:pPr>
        <w:ind w:left="105" w:hanging="105"/>
        <w:rPr>
          <w:rFonts w:ascii="Times New Roman" w:hAnsi="Times New Roman"/>
        </w:rPr>
      </w:pPr>
      <w:r>
        <w:rPr>
          <w:rFonts w:ascii="Times New Roman" w:hAnsi="Times New Roman"/>
        </w:rPr>
        <w:t>10.4.1 质量记录应包含下列内容：</w:t>
      </w:r>
    </w:p>
    <w:p w14:paraId="258A4A5E">
      <w:pPr>
        <w:pStyle w:val="164"/>
        <w:spacing w:before="100" w:after="100" w:line="330" w:lineRule="exact"/>
        <w:ind w:firstLine="422"/>
        <w:rPr>
          <w:szCs w:val="21"/>
        </w:rPr>
      </w:pPr>
      <w:r>
        <w:rPr>
          <w:b/>
          <w:bCs/>
          <w:szCs w:val="21"/>
        </w:rPr>
        <w:t>1</w:t>
      </w:r>
      <w:r>
        <w:rPr>
          <w:szCs w:val="21"/>
        </w:rPr>
        <w:t xml:space="preserve"> 设备的合格证、 质量检验报告、3C认证证书、产品技术说明书和技术资料。</w:t>
      </w:r>
    </w:p>
    <w:p w14:paraId="4553CFF7">
      <w:pPr>
        <w:pStyle w:val="164"/>
        <w:spacing w:before="100" w:after="100" w:line="330" w:lineRule="exact"/>
        <w:ind w:firstLine="422"/>
        <w:rPr>
          <w:szCs w:val="21"/>
        </w:rPr>
      </w:pPr>
      <w:r>
        <w:rPr>
          <w:b/>
          <w:bCs/>
          <w:szCs w:val="21"/>
        </w:rPr>
        <w:t>2</w:t>
      </w:r>
      <w:r>
        <w:rPr>
          <w:szCs w:val="21"/>
        </w:rPr>
        <w:t xml:space="preserve"> 材料、构配件进场检验记录。</w:t>
      </w:r>
    </w:p>
    <w:p w14:paraId="3B5E0C13">
      <w:pPr>
        <w:pStyle w:val="164"/>
        <w:spacing w:before="100" w:after="100" w:line="330" w:lineRule="exact"/>
        <w:ind w:firstLine="422"/>
        <w:rPr>
          <w:szCs w:val="21"/>
        </w:rPr>
      </w:pPr>
      <w:r>
        <w:rPr>
          <w:b/>
          <w:bCs/>
          <w:szCs w:val="21"/>
        </w:rPr>
        <w:t>3</w:t>
      </w:r>
      <w:r>
        <w:rPr>
          <w:szCs w:val="21"/>
        </w:rPr>
        <w:t xml:space="preserve"> 隐蔽工程检验记录。</w:t>
      </w:r>
    </w:p>
    <w:p w14:paraId="22020A79">
      <w:pPr>
        <w:pStyle w:val="164"/>
        <w:spacing w:before="100" w:after="100" w:line="330" w:lineRule="exact"/>
        <w:ind w:firstLine="422"/>
        <w:rPr>
          <w:szCs w:val="21"/>
        </w:rPr>
      </w:pPr>
      <w:r>
        <w:rPr>
          <w:b/>
          <w:bCs/>
          <w:szCs w:val="21"/>
        </w:rPr>
        <w:t>4</w:t>
      </w:r>
      <w:r>
        <w:rPr>
          <w:szCs w:val="21"/>
        </w:rPr>
        <w:t xml:space="preserve"> 工程安装质量及观感质量检查记录。</w:t>
      </w:r>
    </w:p>
    <w:p w14:paraId="43588811">
      <w:pPr>
        <w:pStyle w:val="164"/>
        <w:spacing w:before="100" w:after="100" w:line="330" w:lineRule="exact"/>
        <w:ind w:firstLine="422"/>
        <w:rPr>
          <w:szCs w:val="21"/>
        </w:rPr>
      </w:pPr>
      <w:r>
        <w:rPr>
          <w:b/>
          <w:bCs/>
          <w:szCs w:val="21"/>
        </w:rPr>
        <w:t>5</w:t>
      </w:r>
      <w:r>
        <w:rPr>
          <w:szCs w:val="21"/>
        </w:rPr>
        <w:t xml:space="preserve"> 系统调试及试运行记录。</w:t>
      </w:r>
    </w:p>
    <w:bookmarkEnd w:id="55"/>
    <w:p w14:paraId="3570AD4F">
      <w:pPr>
        <w:pStyle w:val="164"/>
        <w:spacing w:before="100" w:after="100" w:line="330" w:lineRule="exact"/>
        <w:ind w:firstLine="0" w:firstLineChars="0"/>
        <w:rPr>
          <w:szCs w:val="21"/>
        </w:rPr>
      </w:pPr>
    </w:p>
    <w:p w14:paraId="3EB5857E">
      <w:pPr>
        <w:pStyle w:val="164"/>
        <w:spacing w:before="100" w:after="100" w:line="330" w:lineRule="exact"/>
        <w:ind w:firstLine="0" w:firstLineChars="0"/>
        <w:rPr>
          <w:szCs w:val="21"/>
        </w:rPr>
      </w:pPr>
    </w:p>
    <w:p w14:paraId="54CF0BCA">
      <w:pPr>
        <w:pStyle w:val="164"/>
        <w:spacing w:before="100" w:after="100" w:line="330" w:lineRule="exact"/>
        <w:ind w:firstLine="0" w:firstLineChars="0"/>
        <w:rPr>
          <w:szCs w:val="21"/>
        </w:rPr>
      </w:pPr>
    </w:p>
    <w:p w14:paraId="26041622">
      <w:pPr>
        <w:pStyle w:val="164"/>
        <w:spacing w:before="100" w:after="100" w:line="330" w:lineRule="exact"/>
        <w:ind w:firstLine="0" w:firstLineChars="0"/>
        <w:rPr>
          <w:szCs w:val="21"/>
        </w:rPr>
      </w:pPr>
    </w:p>
    <w:p w14:paraId="05D1D05A">
      <w:pPr>
        <w:pStyle w:val="164"/>
        <w:spacing w:before="100" w:after="100" w:line="330" w:lineRule="exact"/>
        <w:ind w:firstLine="0" w:firstLineChars="0"/>
        <w:rPr>
          <w:szCs w:val="21"/>
        </w:rPr>
      </w:pPr>
    </w:p>
    <w:p w14:paraId="5D32B06F">
      <w:pPr>
        <w:pStyle w:val="164"/>
        <w:spacing w:before="100" w:after="100" w:line="330" w:lineRule="exact"/>
        <w:ind w:firstLine="0" w:firstLineChars="0"/>
        <w:rPr>
          <w:szCs w:val="21"/>
        </w:rPr>
      </w:pPr>
    </w:p>
    <w:p w14:paraId="7CA784D0">
      <w:pPr>
        <w:pStyle w:val="164"/>
        <w:spacing w:before="100" w:after="100" w:line="330" w:lineRule="exact"/>
        <w:ind w:firstLine="0" w:firstLineChars="0"/>
        <w:rPr>
          <w:szCs w:val="21"/>
        </w:rPr>
      </w:pPr>
    </w:p>
    <w:p w14:paraId="419F0E62">
      <w:pPr>
        <w:pStyle w:val="164"/>
        <w:spacing w:before="100" w:after="100" w:line="330" w:lineRule="exact"/>
        <w:ind w:firstLine="0" w:firstLineChars="0"/>
        <w:rPr>
          <w:szCs w:val="21"/>
        </w:rPr>
      </w:pPr>
    </w:p>
    <w:p w14:paraId="0DF791F5">
      <w:pPr>
        <w:pStyle w:val="164"/>
        <w:spacing w:before="100" w:after="100" w:line="330" w:lineRule="exact"/>
        <w:ind w:firstLine="0" w:firstLineChars="0"/>
        <w:rPr>
          <w:szCs w:val="21"/>
        </w:rPr>
      </w:pPr>
    </w:p>
    <w:p w14:paraId="6DA71B00">
      <w:pPr>
        <w:pStyle w:val="164"/>
        <w:spacing w:before="100" w:after="100" w:line="330" w:lineRule="exact"/>
        <w:ind w:firstLine="0" w:firstLineChars="0"/>
        <w:rPr>
          <w:szCs w:val="21"/>
        </w:rPr>
      </w:pPr>
    </w:p>
    <w:p w14:paraId="3EC3B547">
      <w:pPr>
        <w:pStyle w:val="164"/>
        <w:spacing w:before="100" w:after="100" w:line="330" w:lineRule="exact"/>
        <w:ind w:firstLine="0" w:firstLineChars="0"/>
        <w:rPr>
          <w:szCs w:val="21"/>
        </w:rPr>
      </w:pPr>
    </w:p>
    <w:p w14:paraId="750E3C62">
      <w:pPr>
        <w:pStyle w:val="164"/>
        <w:spacing w:before="100" w:after="100" w:line="330" w:lineRule="exact"/>
        <w:ind w:firstLine="0" w:firstLineChars="0"/>
        <w:rPr>
          <w:szCs w:val="21"/>
        </w:rPr>
      </w:pPr>
    </w:p>
    <w:p w14:paraId="3E2F6267">
      <w:pPr>
        <w:pStyle w:val="164"/>
        <w:spacing w:before="100" w:after="100" w:line="330" w:lineRule="exact"/>
        <w:ind w:firstLine="0" w:firstLineChars="0"/>
        <w:rPr>
          <w:szCs w:val="21"/>
        </w:rPr>
      </w:pPr>
    </w:p>
    <w:p w14:paraId="3ADEEB5A">
      <w:pPr>
        <w:pStyle w:val="164"/>
        <w:spacing w:before="100" w:after="100" w:line="330" w:lineRule="exact"/>
        <w:ind w:firstLine="0" w:firstLineChars="0"/>
        <w:rPr>
          <w:szCs w:val="21"/>
        </w:rPr>
      </w:pPr>
    </w:p>
    <w:p w14:paraId="14F79EAF">
      <w:pPr>
        <w:pStyle w:val="164"/>
        <w:spacing w:before="100" w:after="100" w:line="330" w:lineRule="exact"/>
        <w:ind w:firstLine="0" w:firstLineChars="0"/>
        <w:rPr>
          <w:szCs w:val="21"/>
        </w:rPr>
      </w:pPr>
    </w:p>
    <w:p w14:paraId="7A8F61E2">
      <w:pPr>
        <w:pStyle w:val="164"/>
        <w:spacing w:before="100" w:after="100" w:line="330" w:lineRule="exact"/>
        <w:ind w:firstLine="0" w:firstLineChars="0"/>
        <w:rPr>
          <w:szCs w:val="21"/>
        </w:rPr>
      </w:pPr>
    </w:p>
    <w:p w14:paraId="69AB11C9">
      <w:pPr>
        <w:pStyle w:val="164"/>
        <w:spacing w:before="100" w:after="100" w:line="330" w:lineRule="exact"/>
        <w:ind w:firstLine="0" w:firstLineChars="0"/>
        <w:rPr>
          <w:szCs w:val="21"/>
        </w:rPr>
      </w:pPr>
    </w:p>
    <w:p w14:paraId="62D6416E">
      <w:pPr>
        <w:pStyle w:val="164"/>
        <w:spacing w:before="100" w:after="100" w:line="330" w:lineRule="exact"/>
        <w:ind w:firstLine="0" w:firstLineChars="0"/>
        <w:rPr>
          <w:szCs w:val="21"/>
        </w:rPr>
      </w:pPr>
    </w:p>
    <w:p w14:paraId="5C3141AC">
      <w:pPr>
        <w:pStyle w:val="164"/>
        <w:spacing w:before="100" w:after="100" w:line="330" w:lineRule="exact"/>
        <w:ind w:firstLine="0" w:firstLineChars="0"/>
        <w:rPr>
          <w:szCs w:val="21"/>
        </w:rPr>
        <w:sectPr>
          <w:pgSz w:w="11900" w:h="16840"/>
          <w:pgMar w:top="1558" w:right="1544" w:bottom="1113" w:left="1564" w:header="0" w:footer="567" w:gutter="0"/>
          <w:cols w:space="720" w:num="1"/>
          <w:docGrid w:linePitch="360" w:charSpace="0"/>
        </w:sectPr>
      </w:pPr>
    </w:p>
    <w:p w14:paraId="1A47EA60">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76" w:name="_Toc182487955"/>
      <w:bookmarkStart w:id="77" w:name="_Toc171955126"/>
      <w:r>
        <w:rPr>
          <w:rFonts w:ascii="Times New Roman" w:hAnsi="Times New Roman" w:eastAsia="黑体"/>
          <w:bCs/>
          <w:sz w:val="28"/>
          <w:szCs w:val="28"/>
        </w:rPr>
        <w:t>11 有线电视及卫星电视接收系统</w:t>
      </w:r>
      <w:bookmarkEnd w:id="76"/>
    </w:p>
    <w:p w14:paraId="53F72384">
      <w:pPr>
        <w:pStyle w:val="3"/>
        <w:spacing w:before="240" w:after="120" w:afterLines="50" w:line="330" w:lineRule="exact"/>
        <w:rPr>
          <w:rFonts w:eastAsia="黑体"/>
          <w:b w:val="0"/>
          <w:bCs w:val="0"/>
          <w:sz w:val="21"/>
          <w:szCs w:val="21"/>
        </w:rPr>
      </w:pPr>
      <w:bookmarkStart w:id="78" w:name="_Toc182487956"/>
      <w:r>
        <w:rPr>
          <w:rFonts w:eastAsia="黑体"/>
          <w:b w:val="0"/>
          <w:bCs w:val="0"/>
          <w:sz w:val="21"/>
          <w:szCs w:val="21"/>
          <w:lang w:val="en-US"/>
        </w:rPr>
        <w:t xml:space="preserve">11.1 </w:t>
      </w:r>
      <w:r>
        <w:rPr>
          <w:rFonts w:eastAsia="黑体"/>
          <w:b w:val="0"/>
          <w:bCs w:val="0"/>
          <w:sz w:val="21"/>
          <w:szCs w:val="21"/>
        </w:rPr>
        <w:t>一般规定</w:t>
      </w:r>
      <w:bookmarkEnd w:id="78"/>
    </w:p>
    <w:p w14:paraId="4B1A5319">
      <w:pPr>
        <w:pStyle w:val="164"/>
        <w:numPr>
          <w:ilvl w:val="0"/>
          <w:numId w:val="1"/>
        </w:numPr>
        <w:spacing w:line="330" w:lineRule="exact"/>
        <w:ind w:firstLineChars="0"/>
        <w:rPr>
          <w:rFonts w:eastAsiaTheme="minorEastAsia"/>
          <w:vanish/>
          <w:szCs w:val="21"/>
        </w:rPr>
      </w:pPr>
    </w:p>
    <w:p w14:paraId="4BF2BF3F">
      <w:pPr>
        <w:pStyle w:val="164"/>
        <w:numPr>
          <w:ilvl w:val="1"/>
          <w:numId w:val="1"/>
        </w:numPr>
        <w:spacing w:line="330" w:lineRule="exact"/>
        <w:ind w:firstLineChars="0"/>
        <w:rPr>
          <w:rFonts w:eastAsiaTheme="minorEastAsia"/>
          <w:vanish/>
          <w:szCs w:val="21"/>
        </w:rPr>
      </w:pPr>
    </w:p>
    <w:p w14:paraId="3A9FB392">
      <w:pPr>
        <w:pStyle w:val="164"/>
        <w:numPr>
          <w:ilvl w:val="1"/>
          <w:numId w:val="1"/>
        </w:numPr>
        <w:spacing w:line="330" w:lineRule="exact"/>
        <w:ind w:firstLineChars="0"/>
        <w:rPr>
          <w:rFonts w:eastAsiaTheme="minorEastAsia"/>
          <w:vanish/>
          <w:szCs w:val="21"/>
        </w:rPr>
      </w:pPr>
    </w:p>
    <w:p w14:paraId="1BB8C028">
      <w:pPr>
        <w:pStyle w:val="164"/>
        <w:spacing w:before="100" w:after="100" w:line="330" w:lineRule="exact"/>
        <w:ind w:firstLine="0" w:firstLineChars="0"/>
        <w:rPr>
          <w:szCs w:val="21"/>
        </w:rPr>
      </w:pPr>
      <w:r>
        <w:rPr>
          <w:szCs w:val="21"/>
        </w:rPr>
        <w:t>11.1.1 本章适用于卫星接收与有线电视系统的工程实施、质量控制和系统检测。</w:t>
      </w:r>
    </w:p>
    <w:p w14:paraId="19B08963">
      <w:pPr>
        <w:pStyle w:val="164"/>
        <w:spacing w:before="100" w:after="100" w:line="330" w:lineRule="exact"/>
        <w:ind w:firstLine="0" w:firstLineChars="0"/>
        <w:rPr>
          <w:szCs w:val="21"/>
        </w:rPr>
      </w:pPr>
      <w:r>
        <w:rPr>
          <w:szCs w:val="21"/>
        </w:rPr>
        <w:t>11.1.2 系统设计的接收信号场强，宜取自实测数据。当获取实测数据确有困难时，可采用理论计算的方法计算场强值。</w:t>
      </w:r>
    </w:p>
    <w:p w14:paraId="2493600D">
      <w:pPr>
        <w:pStyle w:val="3"/>
        <w:spacing w:before="240" w:after="120" w:afterLines="50" w:line="330" w:lineRule="exact"/>
        <w:rPr>
          <w:rFonts w:eastAsia="黑体"/>
          <w:b w:val="0"/>
          <w:bCs w:val="0"/>
          <w:sz w:val="21"/>
          <w:szCs w:val="21"/>
          <w:lang w:val="en-US"/>
        </w:rPr>
      </w:pPr>
      <w:bookmarkStart w:id="79" w:name="_Toc182487957"/>
      <w:r>
        <w:rPr>
          <w:rFonts w:eastAsia="黑体"/>
          <w:b w:val="0"/>
          <w:bCs w:val="0"/>
          <w:sz w:val="21"/>
          <w:szCs w:val="21"/>
          <w:lang w:val="en-US"/>
        </w:rPr>
        <w:t>11.2施工准备</w:t>
      </w:r>
      <w:bookmarkEnd w:id="79"/>
    </w:p>
    <w:p w14:paraId="44D89855">
      <w:pPr>
        <w:pStyle w:val="164"/>
        <w:numPr>
          <w:ilvl w:val="1"/>
          <w:numId w:val="1"/>
        </w:numPr>
        <w:spacing w:line="330" w:lineRule="exact"/>
        <w:ind w:firstLineChars="0"/>
        <w:rPr>
          <w:rFonts w:eastAsiaTheme="minorEastAsia"/>
          <w:vanish/>
          <w:szCs w:val="21"/>
        </w:rPr>
      </w:pPr>
    </w:p>
    <w:p w14:paraId="4458C4E7">
      <w:pPr>
        <w:pStyle w:val="164"/>
        <w:spacing w:before="100" w:after="100" w:line="330" w:lineRule="exact"/>
        <w:ind w:firstLine="0" w:firstLineChars="0"/>
        <w:rPr>
          <w:szCs w:val="21"/>
        </w:rPr>
      </w:pPr>
      <w:r>
        <w:rPr>
          <w:szCs w:val="21"/>
        </w:rPr>
        <w:t>11.2.1 主要材料</w:t>
      </w:r>
      <w:r>
        <w:rPr>
          <w:rFonts w:hint="eastAsia"/>
          <w:szCs w:val="21"/>
        </w:rPr>
        <w:t>有天线、铁件、</w:t>
      </w:r>
      <w:r>
        <w:rPr>
          <w:rFonts w:eastAsiaTheme="minorEastAsia"/>
        </w:rPr>
        <w:t>用户终端面板</w:t>
      </w:r>
      <w:r>
        <w:rPr>
          <w:rFonts w:hint="eastAsia"/>
          <w:szCs w:val="21"/>
        </w:rPr>
        <w:t>、电视电缆等，并</w:t>
      </w:r>
      <w:r>
        <w:rPr>
          <w:szCs w:val="21"/>
        </w:rPr>
        <w:t>应符合下列规定：</w:t>
      </w:r>
    </w:p>
    <w:p w14:paraId="1C86AB76">
      <w:pPr>
        <w:pStyle w:val="164"/>
        <w:numPr>
          <w:ilvl w:val="0"/>
          <w:numId w:val="94"/>
        </w:numPr>
        <w:spacing w:line="330" w:lineRule="exact"/>
        <w:ind w:left="0" w:firstLine="420"/>
        <w:rPr>
          <w:rFonts w:eastAsiaTheme="minorEastAsia"/>
        </w:rPr>
      </w:pPr>
      <w:r>
        <w:rPr>
          <w:rFonts w:eastAsiaTheme="minorEastAsia"/>
        </w:rPr>
        <w:t>应根据不同的接收频道、接收卫星、场强、接收环境以及有线电视系统设施规模选择开路天线和卫星天线，以满足接收图像品质的要求，并应有产品合格证。</w:t>
      </w:r>
    </w:p>
    <w:p w14:paraId="756C83AA">
      <w:pPr>
        <w:pStyle w:val="164"/>
        <w:numPr>
          <w:ilvl w:val="0"/>
          <w:numId w:val="94"/>
        </w:numPr>
        <w:spacing w:line="330" w:lineRule="exact"/>
        <w:ind w:left="0" w:firstLine="420"/>
        <w:rPr>
          <w:rFonts w:eastAsiaTheme="minorEastAsia"/>
        </w:rPr>
      </w:pPr>
      <w:r>
        <w:rPr>
          <w:rFonts w:eastAsiaTheme="minorEastAsia"/>
        </w:rPr>
        <w:t>各种铁件应全部采用镀锌处理。不能镀锌处理时，应进行防腐处理。</w:t>
      </w:r>
    </w:p>
    <w:p w14:paraId="5F03FAA1">
      <w:pPr>
        <w:pStyle w:val="164"/>
        <w:numPr>
          <w:ilvl w:val="0"/>
          <w:numId w:val="94"/>
        </w:numPr>
        <w:spacing w:line="330" w:lineRule="exact"/>
        <w:ind w:left="0" w:firstLine="420"/>
        <w:rPr>
          <w:rFonts w:eastAsiaTheme="minorEastAsia"/>
        </w:rPr>
      </w:pPr>
      <w:r>
        <w:rPr>
          <w:rFonts w:eastAsiaTheme="minorEastAsia"/>
        </w:rPr>
        <w:t>用户终端面板插座插孔阻抗应为75Ω，并应有产品合格证。</w:t>
      </w:r>
    </w:p>
    <w:p w14:paraId="36B2E5A7">
      <w:pPr>
        <w:pStyle w:val="164"/>
        <w:numPr>
          <w:ilvl w:val="0"/>
          <w:numId w:val="94"/>
        </w:numPr>
        <w:spacing w:line="330" w:lineRule="exact"/>
        <w:ind w:left="0" w:firstLine="420"/>
        <w:rPr>
          <w:rFonts w:eastAsiaTheme="minorEastAsia"/>
        </w:rPr>
      </w:pPr>
      <w:r>
        <w:rPr>
          <w:rFonts w:eastAsiaTheme="minorEastAsia"/>
        </w:rPr>
        <w:t>电视电缆应采用屏蔽性能较好的绝缘电缆，特性阻抗应为75Ω，并应有产品合格证和检验报告。对于现场环境有干扰的，可选用双屏蔽电缆；对于需要现场架空的电缆，可选用自承式电视电缆，室外电缆应采用黑色护套电缆。</w:t>
      </w:r>
    </w:p>
    <w:p w14:paraId="0821187B">
      <w:pPr>
        <w:pStyle w:val="164"/>
        <w:numPr>
          <w:ilvl w:val="0"/>
          <w:numId w:val="94"/>
        </w:numPr>
        <w:spacing w:line="330" w:lineRule="exact"/>
        <w:ind w:left="0" w:firstLine="420"/>
        <w:rPr>
          <w:rFonts w:eastAsiaTheme="minorEastAsia"/>
        </w:rPr>
      </w:pPr>
      <w:r>
        <w:rPr>
          <w:rFonts w:eastAsiaTheme="minorEastAsia"/>
        </w:rPr>
        <w:t>器材、设备外观</w:t>
      </w:r>
      <w:r>
        <w:rPr>
          <w:rFonts w:hint="eastAsia" w:eastAsiaTheme="minorEastAsia"/>
        </w:rPr>
        <w:t>应</w:t>
      </w:r>
      <w:r>
        <w:rPr>
          <w:rFonts w:eastAsiaTheme="minorEastAsia"/>
        </w:rPr>
        <w:t>完整无损，配件</w:t>
      </w:r>
      <w:r>
        <w:rPr>
          <w:rFonts w:hint="eastAsia" w:eastAsiaTheme="minorEastAsia"/>
        </w:rPr>
        <w:t>、</w:t>
      </w:r>
      <w:r>
        <w:rPr>
          <w:rFonts w:eastAsiaTheme="minorEastAsia"/>
        </w:rPr>
        <w:t>产品说明书和技术资料齐全，并应有产品合格证和3C认证标识。</w:t>
      </w:r>
    </w:p>
    <w:p w14:paraId="78B4CDDE">
      <w:pPr>
        <w:pStyle w:val="164"/>
        <w:numPr>
          <w:ilvl w:val="255"/>
          <w:numId w:val="0"/>
        </w:numPr>
        <w:spacing w:before="100" w:after="100" w:line="330" w:lineRule="exact"/>
        <w:rPr>
          <w:rFonts w:eastAsiaTheme="minorEastAsia"/>
        </w:rPr>
      </w:pPr>
      <w:r>
        <w:rPr>
          <w:szCs w:val="21"/>
        </w:rPr>
        <w:t xml:space="preserve">11.2.2 </w:t>
      </w:r>
      <w:r>
        <w:rPr>
          <w:rFonts w:hint="eastAsia"/>
          <w:szCs w:val="21"/>
        </w:rPr>
        <w:t>主要机具有</w:t>
      </w:r>
      <w:r>
        <w:rPr>
          <w:rFonts w:eastAsiaTheme="minorEastAsia"/>
        </w:rPr>
        <w:t>起重机械、电焊机、切割机、电钻、砂轮机等施工机具；数字万用表、频谱分析仪、场强仪、光功率计、光时域反射仪、卫星信号测试仪等测试仪器。</w:t>
      </w:r>
    </w:p>
    <w:p w14:paraId="4B4ABDC7">
      <w:pPr>
        <w:pStyle w:val="164"/>
        <w:spacing w:before="100" w:after="100" w:line="330" w:lineRule="exact"/>
        <w:ind w:firstLine="0" w:firstLineChars="0"/>
        <w:rPr>
          <w:szCs w:val="21"/>
        </w:rPr>
      </w:pPr>
      <w:r>
        <w:rPr>
          <w:szCs w:val="21"/>
        </w:rPr>
        <w:t>11.2.3 作业条件应符合下列规定：</w:t>
      </w:r>
    </w:p>
    <w:p w14:paraId="0D5F4626">
      <w:pPr>
        <w:pStyle w:val="164"/>
        <w:numPr>
          <w:ilvl w:val="0"/>
          <w:numId w:val="95"/>
        </w:numPr>
        <w:spacing w:line="330" w:lineRule="exact"/>
        <w:ind w:left="0" w:firstLine="420"/>
        <w:rPr>
          <w:rFonts w:eastAsiaTheme="minorEastAsia"/>
        </w:rPr>
      </w:pPr>
      <w:r>
        <w:rPr>
          <w:rFonts w:eastAsiaTheme="minorEastAsia"/>
        </w:rPr>
        <w:t>建筑工程</w:t>
      </w:r>
      <w:r>
        <w:rPr>
          <w:rFonts w:hint="eastAsia" w:eastAsiaTheme="minorEastAsia"/>
        </w:rPr>
        <w:t>的</w:t>
      </w:r>
      <w:r>
        <w:rPr>
          <w:rFonts w:eastAsiaTheme="minorEastAsia"/>
        </w:rPr>
        <w:t>天线架设</w:t>
      </w:r>
      <w:r>
        <w:rPr>
          <w:rFonts w:hint="eastAsia" w:eastAsiaTheme="minorEastAsia"/>
        </w:rPr>
        <w:t>应满足</w:t>
      </w:r>
      <w:r>
        <w:rPr>
          <w:rFonts w:eastAsiaTheme="minorEastAsia"/>
        </w:rPr>
        <w:t>设</w:t>
      </w:r>
      <w:r>
        <w:rPr>
          <w:rFonts w:hint="eastAsia" w:eastAsiaTheme="minorEastAsia"/>
        </w:rPr>
        <w:t>计要求</w:t>
      </w:r>
      <w:r>
        <w:rPr>
          <w:rFonts w:eastAsiaTheme="minorEastAsia"/>
        </w:rPr>
        <w:t>，作业环境</w:t>
      </w:r>
      <w:r>
        <w:rPr>
          <w:rFonts w:hint="eastAsia" w:eastAsiaTheme="minorEastAsia"/>
        </w:rPr>
        <w:t>应</w:t>
      </w:r>
      <w:r>
        <w:rPr>
          <w:rFonts w:eastAsiaTheme="minorEastAsia"/>
        </w:rPr>
        <w:t>满足天线架设的施工要求。</w:t>
      </w:r>
    </w:p>
    <w:p w14:paraId="1B12E4E4">
      <w:pPr>
        <w:pStyle w:val="164"/>
        <w:numPr>
          <w:ilvl w:val="0"/>
          <w:numId w:val="95"/>
        </w:numPr>
        <w:spacing w:line="330" w:lineRule="exact"/>
        <w:ind w:left="0" w:firstLine="420"/>
        <w:rPr>
          <w:rFonts w:eastAsiaTheme="minorEastAsia"/>
        </w:rPr>
      </w:pPr>
      <w:r>
        <w:rPr>
          <w:rFonts w:eastAsiaTheme="minorEastAsia"/>
        </w:rPr>
        <w:t>机房接地线和电源线的布放应</w:t>
      </w:r>
      <w:r>
        <w:rPr>
          <w:rFonts w:hint="eastAsia" w:eastAsiaTheme="minorEastAsia"/>
        </w:rPr>
        <w:t>满足设计</w:t>
      </w:r>
      <w:r>
        <w:rPr>
          <w:rFonts w:eastAsiaTheme="minorEastAsia"/>
        </w:rPr>
        <w:t>要求。</w:t>
      </w:r>
    </w:p>
    <w:p w14:paraId="3EE3C470">
      <w:pPr>
        <w:pStyle w:val="164"/>
        <w:numPr>
          <w:ilvl w:val="0"/>
          <w:numId w:val="95"/>
        </w:numPr>
        <w:spacing w:line="330" w:lineRule="exact"/>
        <w:ind w:left="0" w:firstLine="420"/>
        <w:rPr>
          <w:rFonts w:eastAsiaTheme="minorEastAsia"/>
        </w:rPr>
      </w:pPr>
      <w:r>
        <w:rPr>
          <w:rFonts w:eastAsiaTheme="minorEastAsia"/>
        </w:rPr>
        <w:t>前端设备、传输设备、电源设备等全部到齐，其他设备和材料数量应满足连续施工的要求。</w:t>
      </w:r>
    </w:p>
    <w:p w14:paraId="42F3CCB6">
      <w:pPr>
        <w:pStyle w:val="164"/>
        <w:numPr>
          <w:ilvl w:val="0"/>
          <w:numId w:val="95"/>
        </w:numPr>
        <w:spacing w:line="330" w:lineRule="exact"/>
        <w:ind w:left="0" w:firstLine="420"/>
        <w:rPr>
          <w:rFonts w:eastAsiaTheme="minorEastAsia"/>
        </w:rPr>
      </w:pPr>
      <w:r>
        <w:rPr>
          <w:rFonts w:eastAsiaTheme="minorEastAsia"/>
        </w:rPr>
        <w:t>型材、管材和铁件应</w:t>
      </w:r>
      <w:r>
        <w:rPr>
          <w:rFonts w:hint="eastAsia" w:eastAsiaTheme="minorEastAsia"/>
        </w:rPr>
        <w:t>满足施工</w:t>
      </w:r>
      <w:r>
        <w:rPr>
          <w:rFonts w:eastAsiaTheme="minorEastAsia"/>
        </w:rPr>
        <w:t>要求。</w:t>
      </w:r>
    </w:p>
    <w:p w14:paraId="1E013BA9">
      <w:pPr>
        <w:pStyle w:val="164"/>
        <w:numPr>
          <w:ilvl w:val="0"/>
          <w:numId w:val="95"/>
        </w:numPr>
        <w:spacing w:line="330" w:lineRule="exact"/>
        <w:ind w:left="0" w:firstLine="420"/>
        <w:rPr>
          <w:rFonts w:eastAsiaTheme="minorEastAsia"/>
        </w:rPr>
      </w:pPr>
      <w:r>
        <w:rPr>
          <w:rFonts w:eastAsiaTheme="minorEastAsia"/>
        </w:rPr>
        <w:t>工程中使用的视频电缆和光缆规格、形式应</w:t>
      </w:r>
      <w:r>
        <w:rPr>
          <w:rFonts w:hint="eastAsia" w:eastAsiaTheme="minorEastAsia"/>
        </w:rPr>
        <w:t>满足设计要求</w:t>
      </w:r>
      <w:r>
        <w:rPr>
          <w:rFonts w:eastAsiaTheme="minorEastAsia"/>
        </w:rPr>
        <w:t>。</w:t>
      </w:r>
    </w:p>
    <w:p w14:paraId="305A7832">
      <w:pPr>
        <w:pStyle w:val="164"/>
        <w:numPr>
          <w:ilvl w:val="0"/>
          <w:numId w:val="95"/>
        </w:numPr>
        <w:spacing w:line="330" w:lineRule="exact"/>
        <w:ind w:left="0" w:firstLine="420"/>
        <w:rPr>
          <w:rFonts w:eastAsiaTheme="minorEastAsia"/>
        </w:rPr>
      </w:pPr>
      <w:r>
        <w:rPr>
          <w:rFonts w:eastAsiaTheme="minorEastAsia"/>
        </w:rPr>
        <w:t>预埋及暗装工程，电视系统工程应随土建室内装饰工程结束后施工。</w:t>
      </w:r>
    </w:p>
    <w:p w14:paraId="19C1D9AD">
      <w:pPr>
        <w:pStyle w:val="164"/>
        <w:numPr>
          <w:ilvl w:val="0"/>
          <w:numId w:val="95"/>
        </w:numPr>
        <w:spacing w:line="330" w:lineRule="exact"/>
        <w:ind w:left="0" w:firstLine="420"/>
        <w:rPr>
          <w:rFonts w:eastAsiaTheme="minorEastAsia"/>
        </w:rPr>
      </w:pPr>
      <w:r>
        <w:rPr>
          <w:rFonts w:eastAsiaTheme="minorEastAsia"/>
        </w:rPr>
        <w:t>天线安装应在建筑物屋面结构工程结束后进行。</w:t>
      </w:r>
    </w:p>
    <w:p w14:paraId="3CC88E93">
      <w:pPr>
        <w:pStyle w:val="3"/>
        <w:spacing w:before="240" w:after="120" w:afterLines="50" w:line="330" w:lineRule="exact"/>
        <w:rPr>
          <w:rFonts w:eastAsia="黑体"/>
          <w:b w:val="0"/>
          <w:bCs w:val="0"/>
          <w:sz w:val="21"/>
          <w:szCs w:val="21"/>
          <w:lang w:val="en-US"/>
        </w:rPr>
      </w:pPr>
      <w:bookmarkStart w:id="80" w:name="_Toc182487958"/>
      <w:r>
        <w:rPr>
          <w:rFonts w:eastAsia="黑体"/>
          <w:b w:val="0"/>
          <w:bCs w:val="0"/>
          <w:sz w:val="21"/>
          <w:szCs w:val="21"/>
          <w:lang w:val="en-US"/>
        </w:rPr>
        <w:t>11.3 施工工艺</w:t>
      </w:r>
      <w:bookmarkEnd w:id="80"/>
    </w:p>
    <w:p w14:paraId="7512773D">
      <w:pPr>
        <w:pStyle w:val="164"/>
        <w:numPr>
          <w:ilvl w:val="1"/>
          <w:numId w:val="1"/>
        </w:numPr>
        <w:spacing w:line="330" w:lineRule="exact"/>
        <w:ind w:firstLineChars="0"/>
        <w:rPr>
          <w:rFonts w:eastAsiaTheme="minorEastAsia"/>
          <w:vanish/>
          <w:szCs w:val="21"/>
        </w:rPr>
      </w:pPr>
    </w:p>
    <w:p w14:paraId="60755732">
      <w:pPr>
        <w:pStyle w:val="164"/>
        <w:spacing w:before="100" w:after="100" w:line="330" w:lineRule="exact"/>
        <w:ind w:firstLine="0" w:firstLineChars="0"/>
        <w:rPr>
          <w:szCs w:val="21"/>
        </w:rPr>
      </w:pPr>
      <w:r>
        <w:rPr>
          <w:szCs w:val="21"/>
        </w:rPr>
        <w:t xml:space="preserve">11.3.1 </w:t>
      </w:r>
      <w:r>
        <w:rPr>
          <w:rFonts w:eastAsiaTheme="minorEastAsia"/>
          <w:szCs w:val="21"/>
        </w:rPr>
        <w:t>有线电视及卫星电视接收系统施工工艺流程见图11.3.1。</w:t>
      </w:r>
    </w:p>
    <w:p w14:paraId="109EF2B5">
      <w:pPr>
        <w:ind w:left="0" w:firstLine="0" w:firstLineChars="0"/>
        <w:rPr>
          <w:rFonts w:ascii="Times New Roman" w:hAnsi="Times New Roman"/>
        </w:rPr>
      </w:pPr>
      <w:r>
        <w:rPr>
          <w:rFonts w:ascii="Times New Roman" w:hAnsi="Times New Roman"/>
          <w:sz w:val="20"/>
          <w:szCs w:val="20"/>
        </w:rPr>
        <mc:AlternateContent>
          <mc:Choice Requires="wpg">
            <w:drawing>
              <wp:anchor distT="0" distB="0" distL="114935" distR="114935" simplePos="0" relativeHeight="251677696" behindDoc="0" locked="0" layoutInCell="1" allowOverlap="1">
                <wp:simplePos x="0" y="0"/>
                <wp:positionH relativeFrom="column">
                  <wp:posOffset>-1905</wp:posOffset>
                </wp:positionH>
                <wp:positionV relativeFrom="paragraph">
                  <wp:posOffset>2540</wp:posOffset>
                </wp:positionV>
                <wp:extent cx="5626100" cy="802640"/>
                <wp:effectExtent l="4445" t="5080" r="8255" b="11430"/>
                <wp:wrapNone/>
                <wp:docPr id="87" name="组合 87"/>
                <wp:cNvGraphicFramePr/>
                <a:graphic xmlns:a="http://schemas.openxmlformats.org/drawingml/2006/main">
                  <a:graphicData uri="http://schemas.microsoft.com/office/word/2010/wordprocessingGroup">
                    <wpg:wgp>
                      <wpg:cNvGrpSpPr/>
                      <wpg:grpSpPr>
                        <a:xfrm>
                          <a:off x="0" y="0"/>
                          <a:ext cx="5625876" cy="802640"/>
                          <a:chOff x="0" y="0"/>
                          <a:chExt cx="7933" cy="1996"/>
                        </a:xfrm>
                      </wpg:grpSpPr>
                      <wps:wsp>
                        <wps:cNvPr id="88" name="Rectangle 32"/>
                        <wps:cNvSpPr>
                          <a:spLocks noChangeArrowheads="1"/>
                        </wps:cNvSpPr>
                        <wps:spPr bwMode="auto">
                          <a:xfrm>
                            <a:off x="1800" y="0"/>
                            <a:ext cx="1440" cy="719"/>
                          </a:xfrm>
                          <a:prstGeom prst="rect">
                            <a:avLst/>
                          </a:prstGeom>
                          <a:solidFill>
                            <a:srgbClr val="FFFFFF"/>
                          </a:solidFill>
                          <a:ln w="9525">
                            <a:solidFill>
                              <a:srgbClr val="000000"/>
                            </a:solidFill>
                            <a:miter lim="800000"/>
                          </a:ln>
                        </wps:spPr>
                        <wps:txbx>
                          <w:txbxContent>
                            <w:p w14:paraId="313E0755">
                              <w:pPr>
                                <w:ind w:left="105" w:hanging="105"/>
                                <w:jc w:val="center"/>
                              </w:pPr>
                              <w:r>
                                <w:rPr>
                                  <w:rFonts w:hint="eastAsia" w:ascii="宋体" w:hAnsi="宋体"/>
                                  <w:kern w:val="0"/>
                                </w:rPr>
                                <w:t>天线安装</w:t>
                              </w:r>
                            </w:p>
                          </w:txbxContent>
                        </wps:txbx>
                        <wps:bodyPr rot="0" vert="horz" wrap="square" lIns="91440" tIns="82800" rIns="91440" bIns="45720" anchor="ctr" anchorCtr="0" upright="1">
                          <a:noAutofit/>
                        </wps:bodyPr>
                      </wps:wsp>
                      <wps:wsp>
                        <wps:cNvPr id="89" name="Rectangle 33"/>
                        <wps:cNvSpPr>
                          <a:spLocks noChangeArrowheads="1"/>
                        </wps:cNvSpPr>
                        <wps:spPr bwMode="auto">
                          <a:xfrm>
                            <a:off x="3" y="0"/>
                            <a:ext cx="1260" cy="719"/>
                          </a:xfrm>
                          <a:prstGeom prst="rect">
                            <a:avLst/>
                          </a:prstGeom>
                          <a:solidFill>
                            <a:srgbClr val="FFFFFF"/>
                          </a:solidFill>
                          <a:ln w="9525">
                            <a:solidFill>
                              <a:srgbClr val="000000"/>
                            </a:solidFill>
                            <a:miter lim="800000"/>
                          </a:ln>
                        </wps:spPr>
                        <wps:txbx>
                          <w:txbxContent>
                            <w:p w14:paraId="6CC1AB15">
                              <w:pPr>
                                <w:ind w:left="105" w:hanging="105"/>
                                <w:jc w:val="center"/>
                              </w:pPr>
                              <w:r>
                                <w:rPr>
                                  <w:rFonts w:hint="eastAsia" w:ascii="宋体" w:hAnsi="宋体"/>
                                  <w:kern w:val="0"/>
                                </w:rPr>
                                <w:t>站址选择</w:t>
                              </w:r>
                            </w:p>
                          </w:txbxContent>
                        </wps:txbx>
                        <wps:bodyPr rot="0" vert="horz" wrap="square" lIns="91440" tIns="82800" rIns="91440" bIns="45720" anchor="ctr" anchorCtr="0" upright="1">
                          <a:noAutofit/>
                        </wps:bodyPr>
                      </wps:wsp>
                      <wps:wsp>
                        <wps:cNvPr id="90" name="Rectangle 34"/>
                        <wps:cNvSpPr>
                          <a:spLocks noChangeArrowheads="1"/>
                        </wps:cNvSpPr>
                        <wps:spPr bwMode="auto">
                          <a:xfrm>
                            <a:off x="3783" y="0"/>
                            <a:ext cx="2697" cy="716"/>
                          </a:xfrm>
                          <a:prstGeom prst="rect">
                            <a:avLst/>
                          </a:prstGeom>
                          <a:solidFill>
                            <a:srgbClr val="FFFFFF"/>
                          </a:solidFill>
                          <a:ln w="9525">
                            <a:solidFill>
                              <a:srgbClr val="000000"/>
                            </a:solidFill>
                            <a:miter lim="800000"/>
                          </a:ln>
                        </wps:spPr>
                        <wps:txbx>
                          <w:txbxContent>
                            <w:p w14:paraId="497A7544">
                              <w:pPr>
                                <w:ind w:left="105" w:hanging="105"/>
                                <w:jc w:val="center"/>
                                <w:rPr>
                                  <w:rFonts w:ascii="宋体" w:hAnsi="宋体"/>
                                  <w:spacing w:val="-10"/>
                                  <w:kern w:val="0"/>
                                </w:rPr>
                              </w:pPr>
                              <w:r>
                                <w:rPr>
                                  <w:rFonts w:hint="eastAsia" w:ascii="宋体" w:hAnsi="宋体"/>
                                  <w:kern w:val="0"/>
                                </w:rPr>
                                <w:t>前端设备和机房设备安装</w:t>
                              </w:r>
                            </w:p>
                          </w:txbxContent>
                        </wps:txbx>
                        <wps:bodyPr rot="0" vert="horz" wrap="square" lIns="91440" tIns="82800" rIns="91440" bIns="45720" anchor="ctr" anchorCtr="0" upright="1">
                          <a:noAutofit/>
                        </wps:bodyPr>
                      </wps:wsp>
                      <wps:wsp>
                        <wps:cNvPr id="91" name="Rectangle 35"/>
                        <wps:cNvSpPr>
                          <a:spLocks noChangeArrowheads="1"/>
                        </wps:cNvSpPr>
                        <wps:spPr bwMode="auto">
                          <a:xfrm>
                            <a:off x="0" y="1248"/>
                            <a:ext cx="1620" cy="748"/>
                          </a:xfrm>
                          <a:prstGeom prst="rect">
                            <a:avLst/>
                          </a:prstGeom>
                          <a:solidFill>
                            <a:srgbClr val="FFFFFF"/>
                          </a:solidFill>
                          <a:ln w="9525">
                            <a:solidFill>
                              <a:srgbClr val="000000"/>
                            </a:solidFill>
                            <a:miter lim="800000"/>
                          </a:ln>
                        </wps:spPr>
                        <wps:txbx>
                          <w:txbxContent>
                            <w:p w14:paraId="40415F2A">
                              <w:pPr>
                                <w:ind w:left="95" w:hanging="95"/>
                                <w:jc w:val="center"/>
                              </w:pPr>
                              <w:r>
                                <w:rPr>
                                  <w:rFonts w:hint="eastAsia" w:ascii="宋体" w:hAnsi="宋体"/>
                                  <w:spacing w:val="-10"/>
                                  <w:kern w:val="0"/>
                                </w:rPr>
                                <w:t>传输部分安装</w:t>
                              </w:r>
                            </w:p>
                          </w:txbxContent>
                        </wps:txbx>
                        <wps:bodyPr rot="0" vert="horz" wrap="square" lIns="91440" tIns="82800" rIns="91440" bIns="45720" anchor="ctr" anchorCtr="0" upright="1">
                          <a:noAutofit/>
                        </wps:bodyPr>
                      </wps:wsp>
                      <wps:wsp>
                        <wps:cNvPr id="92" name="Rectangle 36"/>
                        <wps:cNvSpPr>
                          <a:spLocks noChangeArrowheads="1"/>
                        </wps:cNvSpPr>
                        <wps:spPr bwMode="auto">
                          <a:xfrm>
                            <a:off x="2160" y="1248"/>
                            <a:ext cx="1800" cy="733"/>
                          </a:xfrm>
                          <a:prstGeom prst="rect">
                            <a:avLst/>
                          </a:prstGeom>
                          <a:solidFill>
                            <a:srgbClr val="FFFFFF"/>
                          </a:solidFill>
                          <a:ln w="9525">
                            <a:solidFill>
                              <a:srgbClr val="000000"/>
                            </a:solidFill>
                            <a:miter lim="800000"/>
                          </a:ln>
                        </wps:spPr>
                        <wps:txbx>
                          <w:txbxContent>
                            <w:p w14:paraId="5D92746E">
                              <w:pPr>
                                <w:ind w:left="105" w:hanging="105"/>
                                <w:jc w:val="center"/>
                              </w:pPr>
                              <w:r>
                                <w:rPr>
                                  <w:rFonts w:hint="eastAsia"/>
                                </w:rPr>
                                <w:t>用户终端安装</w:t>
                              </w:r>
                            </w:p>
                          </w:txbxContent>
                        </wps:txbx>
                        <wps:bodyPr rot="0" vert="horz" wrap="square" lIns="91440" tIns="82800" rIns="91440" bIns="45720" anchor="ctr" anchorCtr="0" upright="1">
                          <a:noAutofit/>
                        </wps:bodyPr>
                      </wps:wsp>
                      <wps:wsp>
                        <wps:cNvPr id="93" name="Line 37"/>
                        <wps:cNvCnPr>
                          <a:cxnSpLocks noChangeShapeType="1"/>
                        </wps:cNvCnPr>
                        <wps:spPr bwMode="auto">
                          <a:xfrm>
                            <a:off x="1260" y="312"/>
                            <a:ext cx="540" cy="0"/>
                          </a:xfrm>
                          <a:prstGeom prst="line">
                            <a:avLst/>
                          </a:prstGeom>
                          <a:noFill/>
                          <a:ln w="9525">
                            <a:solidFill>
                              <a:srgbClr val="000000"/>
                            </a:solidFill>
                            <a:round/>
                            <a:tailEnd type="triangle" w="med" len="med"/>
                          </a:ln>
                        </wps:spPr>
                        <wps:bodyPr/>
                      </wps:wsp>
                      <wps:wsp>
                        <wps:cNvPr id="94" name="Line 38"/>
                        <wps:cNvCnPr>
                          <a:cxnSpLocks noChangeShapeType="1"/>
                        </wps:cNvCnPr>
                        <wps:spPr bwMode="auto">
                          <a:xfrm>
                            <a:off x="3240" y="312"/>
                            <a:ext cx="540" cy="0"/>
                          </a:xfrm>
                          <a:prstGeom prst="line">
                            <a:avLst/>
                          </a:prstGeom>
                          <a:noFill/>
                          <a:ln w="9525">
                            <a:solidFill>
                              <a:srgbClr val="000000"/>
                            </a:solidFill>
                            <a:round/>
                            <a:tailEnd type="triangle" w="med" len="med"/>
                          </a:ln>
                        </wps:spPr>
                        <wps:bodyPr/>
                      </wps:wsp>
                      <wps:wsp>
                        <wps:cNvPr id="95" name="Line 39"/>
                        <wps:cNvCnPr>
                          <a:cxnSpLocks noChangeShapeType="1"/>
                        </wps:cNvCnPr>
                        <wps:spPr bwMode="auto">
                          <a:xfrm>
                            <a:off x="6480" y="312"/>
                            <a:ext cx="540" cy="0"/>
                          </a:xfrm>
                          <a:prstGeom prst="line">
                            <a:avLst/>
                          </a:prstGeom>
                          <a:noFill/>
                          <a:ln w="9525">
                            <a:solidFill>
                              <a:srgbClr val="000000"/>
                            </a:solidFill>
                            <a:round/>
                            <a:tailEnd type="triangle" w="med" len="med"/>
                          </a:ln>
                        </wps:spPr>
                        <wps:bodyPr/>
                      </wps:wsp>
                      <wps:wsp>
                        <wps:cNvPr id="96" name="Line 40"/>
                        <wps:cNvCnPr>
                          <a:cxnSpLocks noChangeShapeType="1"/>
                        </wps:cNvCnPr>
                        <wps:spPr bwMode="auto">
                          <a:xfrm>
                            <a:off x="1620" y="1560"/>
                            <a:ext cx="540" cy="0"/>
                          </a:xfrm>
                          <a:prstGeom prst="line">
                            <a:avLst/>
                          </a:prstGeom>
                          <a:noFill/>
                          <a:ln w="9525">
                            <a:solidFill>
                              <a:srgbClr val="000000"/>
                            </a:solidFill>
                            <a:round/>
                            <a:tailEnd type="triangle" w="med" len="med"/>
                          </a:ln>
                        </wps:spPr>
                        <wps:bodyPr/>
                      </wps:wsp>
                      <wps:wsp>
                        <wps:cNvPr id="97" name="Rectangle 41"/>
                        <wps:cNvSpPr>
                          <a:spLocks noChangeArrowheads="1"/>
                        </wps:cNvSpPr>
                        <wps:spPr bwMode="auto">
                          <a:xfrm>
                            <a:off x="4500" y="1248"/>
                            <a:ext cx="1440" cy="748"/>
                          </a:xfrm>
                          <a:prstGeom prst="rect">
                            <a:avLst/>
                          </a:prstGeom>
                          <a:solidFill>
                            <a:srgbClr val="FFFFFF"/>
                          </a:solidFill>
                          <a:ln w="9525">
                            <a:solidFill>
                              <a:srgbClr val="000000"/>
                            </a:solidFill>
                            <a:miter lim="800000"/>
                          </a:ln>
                        </wps:spPr>
                        <wps:txbx>
                          <w:txbxContent>
                            <w:p w14:paraId="72F000B2">
                              <w:pPr>
                                <w:ind w:left="105" w:hanging="105"/>
                                <w:jc w:val="center"/>
                              </w:pPr>
                              <w:r>
                                <w:rPr>
                                  <w:rFonts w:hint="eastAsia" w:ascii="宋体" w:hAnsi="宋体"/>
                                  <w:kern w:val="0"/>
                                </w:rPr>
                                <w:t>系统调试</w:t>
                              </w:r>
                            </w:p>
                          </w:txbxContent>
                        </wps:txbx>
                        <wps:bodyPr rot="0" vert="horz" wrap="square" lIns="91440" tIns="82800" rIns="91440" bIns="45720" anchor="ctr" anchorCtr="0" upright="1">
                          <a:noAutofit/>
                        </wps:bodyPr>
                      </wps:wsp>
                      <wps:wsp>
                        <wps:cNvPr id="98" name="Line 42"/>
                        <wps:cNvCnPr>
                          <a:cxnSpLocks noChangeShapeType="1"/>
                        </wps:cNvCnPr>
                        <wps:spPr bwMode="auto">
                          <a:xfrm>
                            <a:off x="3960" y="1560"/>
                            <a:ext cx="540" cy="0"/>
                          </a:xfrm>
                          <a:prstGeom prst="line">
                            <a:avLst/>
                          </a:prstGeom>
                          <a:noFill/>
                          <a:ln w="9525">
                            <a:solidFill>
                              <a:srgbClr val="000000"/>
                            </a:solidFill>
                            <a:round/>
                            <a:tailEnd type="triangle" w="med" len="med"/>
                          </a:ln>
                        </wps:spPr>
                        <wps:bodyPr/>
                      </wps:wsp>
                      <wps:wsp>
                        <wps:cNvPr id="99" name="Rectangle 41"/>
                        <wps:cNvSpPr>
                          <a:spLocks noChangeArrowheads="1"/>
                        </wps:cNvSpPr>
                        <wps:spPr bwMode="auto">
                          <a:xfrm>
                            <a:off x="6493" y="1233"/>
                            <a:ext cx="1440" cy="748"/>
                          </a:xfrm>
                          <a:prstGeom prst="rect">
                            <a:avLst/>
                          </a:prstGeom>
                          <a:solidFill>
                            <a:srgbClr val="FFFFFF"/>
                          </a:solidFill>
                          <a:ln w="9525">
                            <a:solidFill>
                              <a:srgbClr val="000000"/>
                            </a:solidFill>
                            <a:miter lim="800000"/>
                          </a:ln>
                        </wps:spPr>
                        <wps:txbx>
                          <w:txbxContent>
                            <w:p w14:paraId="4668023F">
                              <w:pPr>
                                <w:ind w:left="105" w:hanging="105"/>
                                <w:jc w:val="center"/>
                              </w:pPr>
                              <w:r>
                                <w:rPr>
                                  <w:rFonts w:hint="eastAsia" w:ascii="宋体" w:hAnsi="宋体"/>
                                  <w:kern w:val="0"/>
                                </w:rPr>
                                <w:t>系统测试</w:t>
                              </w:r>
                            </w:p>
                          </w:txbxContent>
                        </wps:txbx>
                        <wps:bodyPr rot="0" vert="horz" wrap="square" lIns="91440" tIns="82800" rIns="91440" bIns="45720" anchor="ctr" anchorCtr="0" upright="1">
                          <a:noAutofit/>
                        </wps:bodyPr>
                      </wps:wsp>
                      <wps:wsp>
                        <wps:cNvPr id="100" name="Line 42"/>
                        <wps:cNvCnPr>
                          <a:cxnSpLocks noChangeShapeType="1"/>
                        </wps:cNvCnPr>
                        <wps:spPr bwMode="auto">
                          <a:xfrm>
                            <a:off x="5953" y="1545"/>
                            <a:ext cx="540" cy="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0.15pt;margin-top:0.2pt;height:63.2pt;width:443pt;z-index:251677696;mso-width-relative:page;mso-height-relative:page;" coordsize="7933,1996" o:gfxdata="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KxUkkDWAAAABgEAAA8AAAAAAAAAAQAgAAAAIgAAAGRycy9kb3ducmV2LnhtbFBLAQIUABQA&#10;AAAIAIdO4kD0WgnDZQQAACAhAAAOAAAAAAAAAAEAIAAAACUBAABkcnMvZTJvRG9jLnhtbFBLBQYA&#10;AAAABgAGAFkBAAD8BwAAAAA=&#10;">
                <o:lock v:ext="edit" aspectratio="f"/>
                <v:rect id="Rectangle 32" o:spid="_x0000_s1026" o:spt="1" style="position:absolute;left:1800;top:0;height:719;width:1440;v-text-anchor:middle;" fillcolor="#FFFFFF" filled="t" stroked="t" coordsize="21600,21600" o:gfxdata="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lth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313E0755">
                        <w:pPr>
                          <w:ind w:left="105" w:hanging="105"/>
                          <w:jc w:val="center"/>
                        </w:pPr>
                        <w:r>
                          <w:rPr>
                            <w:rFonts w:hint="eastAsia" w:ascii="宋体" w:hAnsi="宋体"/>
                            <w:kern w:val="0"/>
                          </w:rPr>
                          <w:t>天线安装</w:t>
                        </w:r>
                      </w:p>
                    </w:txbxContent>
                  </v:textbox>
                </v:rect>
                <v:rect id="Rectangle 33" o:spid="_x0000_s1026" o:spt="1" style="position:absolute;left:3;top:0;height:719;width:1260;v-text-anchor:middle;" fillcolor="#FFFFFF" filled="t" stroked="t" coordsize="21600,21600" o:gfxdata="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v76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2.54mm,2.3mm,2.54mm,1.27mm">
                    <w:txbxContent>
                      <w:p w14:paraId="6CC1AB15">
                        <w:pPr>
                          <w:ind w:left="105" w:hanging="105"/>
                          <w:jc w:val="center"/>
                        </w:pPr>
                        <w:r>
                          <w:rPr>
                            <w:rFonts w:hint="eastAsia" w:ascii="宋体" w:hAnsi="宋体"/>
                            <w:kern w:val="0"/>
                          </w:rPr>
                          <w:t>站址选择</w:t>
                        </w:r>
                      </w:p>
                    </w:txbxContent>
                  </v:textbox>
                </v:rect>
                <v:rect id="Rectangle 34" o:spid="_x0000_s1026" o:spt="1" style="position:absolute;left:3783;top:0;height:716;width:2697;v-text-anchor:middle;" fillcolor="#FFFFFF" filled="t" stroked="t" coordsize="21600,21600" o:gfxdata="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JcG6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497A7544">
                        <w:pPr>
                          <w:ind w:left="105" w:hanging="105"/>
                          <w:jc w:val="center"/>
                          <w:rPr>
                            <w:rFonts w:ascii="宋体" w:hAnsi="宋体"/>
                            <w:spacing w:val="-10"/>
                            <w:kern w:val="0"/>
                          </w:rPr>
                        </w:pPr>
                        <w:r>
                          <w:rPr>
                            <w:rFonts w:hint="eastAsia" w:ascii="宋体" w:hAnsi="宋体"/>
                            <w:kern w:val="0"/>
                          </w:rPr>
                          <w:t>前端设备和机房设备安装</w:t>
                        </w:r>
                      </w:p>
                    </w:txbxContent>
                  </v:textbox>
                </v:rect>
                <v:rect id="Rectangle 35" o:spid="_x0000_s1026" o:spt="1" style="position:absolute;left:0;top:1248;height:748;width:1620;v-text-anchor:middle;" fillcolor="#FFFFFF" filled="t" stroked="t" coordsize="21600,21600" o:gfxdata="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pZC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2.3mm,2.54mm,1.27mm">
                    <w:txbxContent>
                      <w:p w14:paraId="40415F2A">
                        <w:pPr>
                          <w:ind w:left="95" w:hanging="95"/>
                          <w:jc w:val="center"/>
                        </w:pPr>
                        <w:r>
                          <w:rPr>
                            <w:rFonts w:hint="eastAsia" w:ascii="宋体" w:hAnsi="宋体"/>
                            <w:spacing w:val="-10"/>
                            <w:kern w:val="0"/>
                          </w:rPr>
                          <w:t>传输部分安装</w:t>
                        </w:r>
                      </w:p>
                    </w:txbxContent>
                  </v:textbox>
                </v:rect>
                <v:rect id="Rectangle 36" o:spid="_x0000_s1026" o:spt="1" style="position:absolute;left:2160;top:1248;height:733;width:1800;v-text-anchor:middle;" fillcolor="#FFFFFF" filled="t" stroked="t" coordsize="21600,21600" o:gfxdata="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pW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2.54mm,2.3mm,2.54mm,1.27mm">
                    <w:txbxContent>
                      <w:p w14:paraId="5D92746E">
                        <w:pPr>
                          <w:ind w:left="105" w:hanging="105"/>
                          <w:jc w:val="center"/>
                        </w:pPr>
                        <w:r>
                          <w:rPr>
                            <w:rFonts w:hint="eastAsia"/>
                          </w:rPr>
                          <w:t>用户终端安装</w:t>
                        </w:r>
                      </w:p>
                    </w:txbxContent>
                  </v:textbox>
                </v:rect>
                <v:line id="Line 37" o:spid="_x0000_s1026" o:spt="20" style="position:absolute;left:1260;top:312;height:0;width:540;"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8" o:spid="_x0000_s1026" o:spt="20" style="position:absolute;left:3240;top:312;height:0;width:54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9" o:spid="_x0000_s1026" o:spt="20" style="position:absolute;left:6480;top:312;height:0;width:540;"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0" o:spid="_x0000_s1026" o:spt="20" style="position:absolute;left:1620;top:1560;height:0;width:540;"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41" o:spid="_x0000_s1026" o:spt="1" style="position:absolute;left:4500;top:1248;height:748;width:1440;v-text-anchor:middle;" fillcolor="#FFFFFF" filled="t" stroked="t" coordsize="21600,21600" o:gfxdata="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FnO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2.54mm,2.3mm,2.54mm,1.27mm">
                    <w:txbxContent>
                      <w:p w14:paraId="72F000B2">
                        <w:pPr>
                          <w:ind w:left="105" w:hanging="105"/>
                          <w:jc w:val="center"/>
                        </w:pPr>
                        <w:r>
                          <w:rPr>
                            <w:rFonts w:hint="eastAsia" w:ascii="宋体" w:hAnsi="宋体"/>
                            <w:kern w:val="0"/>
                          </w:rPr>
                          <w:t>系统调试</w:t>
                        </w:r>
                      </w:p>
                    </w:txbxContent>
                  </v:textbox>
                </v:rect>
                <v:line id="Line 42" o:spid="_x0000_s1026" o:spt="20" style="position:absolute;left:3960;top:1560;height:0;width:540;"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Rectangle 41" o:spid="_x0000_s1026" o:spt="1" style="position:absolute;left:6493;top:1233;height:748;width:1440;v-text-anchor:middle;" fillcolor="#FFFFFF" filled="t" stroked="t" coordsize="21600,21600" o:gfxdata="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faC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2.3mm,2.54mm,1.27mm">
                    <w:txbxContent>
                      <w:p w14:paraId="4668023F">
                        <w:pPr>
                          <w:ind w:left="105" w:hanging="105"/>
                          <w:jc w:val="center"/>
                        </w:pPr>
                        <w:r>
                          <w:rPr>
                            <w:rFonts w:hint="eastAsia" w:ascii="宋体" w:hAnsi="宋体"/>
                            <w:kern w:val="0"/>
                          </w:rPr>
                          <w:t>系统测试</w:t>
                        </w:r>
                      </w:p>
                    </w:txbxContent>
                  </v:textbox>
                </v:rect>
                <v:line id="Line 42" o:spid="_x0000_s1026" o:spt="20" style="position:absolute;left:5953;top:1545;height:0;width:54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3CD1BF8E">
      <w:pPr>
        <w:ind w:left="0" w:firstLine="0" w:firstLineChars="0"/>
        <w:rPr>
          <w:rFonts w:ascii="Times New Roman" w:hAnsi="Times New Roman"/>
        </w:rPr>
      </w:pPr>
    </w:p>
    <w:p w14:paraId="55AE6E18">
      <w:pPr>
        <w:ind w:left="0" w:firstLine="0" w:firstLineChars="0"/>
        <w:rPr>
          <w:rFonts w:ascii="Times New Roman" w:hAnsi="Times New Roman"/>
        </w:rPr>
      </w:pPr>
    </w:p>
    <w:p w14:paraId="1FC281D0">
      <w:pPr>
        <w:ind w:left="0" w:firstLine="0" w:firstLineChars="0"/>
        <w:rPr>
          <w:rFonts w:ascii="Times New Roman" w:hAnsi="Times New Roman"/>
        </w:rPr>
      </w:pPr>
    </w:p>
    <w:p w14:paraId="03FABC0B">
      <w:pPr>
        <w:ind w:left="0" w:firstLine="0" w:firstLineChars="0"/>
        <w:rPr>
          <w:rFonts w:ascii="Times New Roman" w:hAnsi="Times New Roman"/>
        </w:rPr>
      </w:pPr>
    </w:p>
    <w:p w14:paraId="2E9D86FA">
      <w:pPr>
        <w:ind w:left="0" w:firstLine="0" w:firstLineChars="0"/>
        <w:jc w:val="center"/>
        <w:rPr>
          <w:rFonts w:ascii="Times New Roman" w:hAnsi="Times New Roman" w:eastAsiaTheme="minorEastAsia"/>
          <w:sz w:val="20"/>
          <w:szCs w:val="21"/>
        </w:rPr>
      </w:pPr>
    </w:p>
    <w:p w14:paraId="450C9D4E">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图11.3.1   有线电视及卫星电视接收系统施工工艺流程图</w:t>
      </w:r>
    </w:p>
    <w:p w14:paraId="0FFB92BB">
      <w:pPr>
        <w:pStyle w:val="164"/>
        <w:spacing w:line="330" w:lineRule="exact"/>
        <w:ind w:firstLine="0" w:firstLineChars="0"/>
        <w:rPr>
          <w:rFonts w:eastAsiaTheme="minorEastAsia"/>
          <w:szCs w:val="21"/>
        </w:rPr>
      </w:pPr>
      <w:r>
        <w:rPr>
          <w:szCs w:val="21"/>
        </w:rPr>
        <w:t xml:space="preserve">11.3.2 </w:t>
      </w:r>
      <w:r>
        <w:rPr>
          <w:rFonts w:eastAsiaTheme="minorEastAsia"/>
          <w:szCs w:val="21"/>
        </w:rPr>
        <w:t>站址选择</w:t>
      </w:r>
      <w:r>
        <w:rPr>
          <w:szCs w:val="21"/>
        </w:rPr>
        <w:t>应符合下列规定：</w:t>
      </w:r>
    </w:p>
    <w:p w14:paraId="4138B7CC">
      <w:pPr>
        <w:pStyle w:val="164"/>
        <w:numPr>
          <w:ilvl w:val="0"/>
          <w:numId w:val="96"/>
        </w:numPr>
        <w:spacing w:line="330" w:lineRule="exact"/>
        <w:ind w:left="0" w:firstLine="420"/>
        <w:rPr>
          <w:rFonts w:eastAsiaTheme="minorEastAsia"/>
        </w:rPr>
      </w:pPr>
      <w:r>
        <w:rPr>
          <w:rFonts w:eastAsiaTheme="minorEastAsia"/>
        </w:rPr>
        <w:t>接收现场应满足开阔空旷的条件，应避开接收电波传输方向上的遮挡物和周围的金属构件，以及一些可能造成干扰的因素，例如：高压电力线、电梯机房、飞机航道、微波干扰带、工业干扰等，且不应距离公路过近。</w:t>
      </w:r>
    </w:p>
    <w:p w14:paraId="37EFD8DD">
      <w:pPr>
        <w:pStyle w:val="164"/>
        <w:numPr>
          <w:ilvl w:val="0"/>
          <w:numId w:val="96"/>
        </w:numPr>
        <w:spacing w:line="330" w:lineRule="exact"/>
        <w:ind w:left="0" w:firstLine="420"/>
        <w:rPr>
          <w:rFonts w:eastAsiaTheme="minorEastAsia"/>
        </w:rPr>
      </w:pPr>
      <w:r>
        <w:rPr>
          <w:rFonts w:eastAsiaTheme="minorEastAsia"/>
        </w:rPr>
        <w:t>架设天线的高度应尽量提高，宜避开周围高大建筑物产生的阴影区。</w:t>
      </w:r>
    </w:p>
    <w:p w14:paraId="075F6244">
      <w:pPr>
        <w:pStyle w:val="164"/>
        <w:numPr>
          <w:ilvl w:val="0"/>
          <w:numId w:val="96"/>
        </w:numPr>
        <w:spacing w:line="330" w:lineRule="exact"/>
        <w:ind w:left="0" w:firstLine="420"/>
        <w:rPr>
          <w:rFonts w:eastAsiaTheme="minorEastAsia"/>
        </w:rPr>
      </w:pPr>
      <w:r>
        <w:rPr>
          <w:rFonts w:eastAsiaTheme="minorEastAsia"/>
        </w:rPr>
        <w:t>卫星接收天线安装位置宜选择在无遮挡的地面。</w:t>
      </w:r>
    </w:p>
    <w:p w14:paraId="71498538">
      <w:pPr>
        <w:pStyle w:val="164"/>
        <w:numPr>
          <w:ilvl w:val="0"/>
          <w:numId w:val="96"/>
        </w:numPr>
        <w:spacing w:line="330" w:lineRule="exact"/>
        <w:ind w:left="0" w:firstLine="420"/>
        <w:rPr>
          <w:rFonts w:eastAsiaTheme="minorEastAsia"/>
        </w:rPr>
      </w:pPr>
      <w:r>
        <w:rPr>
          <w:rFonts w:eastAsiaTheme="minorEastAsia"/>
        </w:rPr>
        <w:t>站址的位置要适中，宜选择在整个系统的中心位置，且前端机房与天线接收站的距离应＜50 m。</w:t>
      </w:r>
    </w:p>
    <w:p w14:paraId="2C88B03A">
      <w:pPr>
        <w:pStyle w:val="164"/>
        <w:numPr>
          <w:ilvl w:val="0"/>
          <w:numId w:val="96"/>
        </w:numPr>
        <w:spacing w:line="330" w:lineRule="exact"/>
        <w:ind w:left="0" w:firstLine="420"/>
        <w:rPr>
          <w:rFonts w:eastAsiaTheme="minorEastAsia"/>
        </w:rPr>
      </w:pPr>
      <w:r>
        <w:rPr>
          <w:rFonts w:eastAsiaTheme="minorEastAsia"/>
        </w:rPr>
        <w:t>在安装天线前，应采用测试天线和场强仪对现场进行勘测，选择接收图像品质最佳的位置及安装高度。</w:t>
      </w:r>
    </w:p>
    <w:p w14:paraId="12DD76B7">
      <w:pPr>
        <w:pStyle w:val="164"/>
        <w:numPr>
          <w:ilvl w:val="255"/>
          <w:numId w:val="0"/>
        </w:numPr>
        <w:spacing w:line="330" w:lineRule="exact"/>
        <w:rPr>
          <w:rFonts w:eastAsiaTheme="minorEastAsia"/>
          <w:szCs w:val="21"/>
        </w:rPr>
      </w:pPr>
      <w:r>
        <w:rPr>
          <w:szCs w:val="21"/>
        </w:rPr>
        <w:t xml:space="preserve">11.3.3 </w:t>
      </w:r>
      <w:r>
        <w:rPr>
          <w:rFonts w:eastAsiaTheme="minorEastAsia"/>
          <w:szCs w:val="21"/>
        </w:rPr>
        <w:t>天线安装应符合以下规定：</w:t>
      </w:r>
    </w:p>
    <w:p w14:paraId="5520158F">
      <w:pPr>
        <w:pStyle w:val="164"/>
        <w:numPr>
          <w:ilvl w:val="0"/>
          <w:numId w:val="97"/>
        </w:numPr>
        <w:spacing w:line="330" w:lineRule="exact"/>
        <w:ind w:left="0" w:firstLine="420"/>
        <w:rPr>
          <w:rFonts w:eastAsiaTheme="minorEastAsia"/>
        </w:rPr>
      </w:pPr>
      <w:r>
        <w:rPr>
          <w:rFonts w:eastAsiaTheme="minorEastAsia"/>
          <w:szCs w:val="21"/>
        </w:rPr>
        <w:t>天线安装应包括基础、可拆式底座、立柱、方位转动机构、俯仰调整机构、反射面馈源及支撑系统等。</w:t>
      </w:r>
    </w:p>
    <w:p w14:paraId="4AE7E8F0">
      <w:pPr>
        <w:pStyle w:val="164"/>
        <w:numPr>
          <w:ilvl w:val="0"/>
          <w:numId w:val="97"/>
        </w:numPr>
        <w:spacing w:line="330" w:lineRule="exact"/>
        <w:ind w:left="0" w:firstLine="420"/>
        <w:rPr>
          <w:rFonts w:eastAsiaTheme="minorEastAsia"/>
        </w:rPr>
      </w:pPr>
      <w:r>
        <w:rPr>
          <w:rFonts w:eastAsiaTheme="minorEastAsia"/>
        </w:rPr>
        <w:t>卫星接收天线安装</w:t>
      </w:r>
      <w:r>
        <w:rPr>
          <w:szCs w:val="21"/>
        </w:rPr>
        <w:t>应符合下列规定：</w:t>
      </w:r>
    </w:p>
    <w:p w14:paraId="3DE01ECC">
      <w:pPr>
        <w:pStyle w:val="164"/>
        <w:numPr>
          <w:ilvl w:val="0"/>
          <w:numId w:val="98"/>
        </w:numPr>
        <w:tabs>
          <w:tab w:val="left" w:pos="210"/>
          <w:tab w:val="left" w:pos="567"/>
        </w:tabs>
        <w:spacing w:line="330" w:lineRule="exact"/>
        <w:ind w:firstLine="630" w:firstLineChars="300"/>
        <w:rPr>
          <w:rFonts w:eastAsiaTheme="minorEastAsia"/>
          <w:szCs w:val="21"/>
        </w:rPr>
      </w:pPr>
      <w:r>
        <w:rPr>
          <w:rFonts w:eastAsiaTheme="minorEastAsia"/>
          <w:szCs w:val="21"/>
        </w:rPr>
        <w:t>若天线位于建筑物避雷针保护范围之内，则天线无需再设避雷针（见图11.3.3 -1）；若位于保护范围之外，</w:t>
      </w:r>
      <w:r>
        <w:rPr>
          <w:rFonts w:hint="eastAsia" w:eastAsiaTheme="minorEastAsia"/>
          <w:szCs w:val="21"/>
        </w:rPr>
        <w:t>应</w:t>
      </w:r>
      <w:r>
        <w:rPr>
          <w:rFonts w:eastAsiaTheme="minorEastAsia"/>
          <w:szCs w:val="21"/>
        </w:rPr>
        <w:t>在主反射面上沿和副反射面顶端各安装一避雷针，其高度应覆盖整个主反射面（见图11.3.3-2）；或单独安装避雷针，其安装高度应确保天线置于其保护范围之内（见图11.3.3-3）。避雷针接地应有独立走线，严禁避雷针接地与室内接收设备接地线共用。</w:t>
      </w:r>
    </w:p>
    <w:p w14:paraId="5A0A4941">
      <w:pPr>
        <w:pStyle w:val="164"/>
        <w:ind w:left="735" w:firstLine="0" w:firstLineChars="0"/>
        <w:jc w:val="center"/>
        <w:rPr>
          <w:kern w:val="0"/>
        </w:rPr>
      </w:pPr>
      <w:r>
        <w:rPr>
          <w:kern w:val="0"/>
        </w:rPr>
        <w:drawing>
          <wp:inline distT="0" distB="0" distL="0" distR="0">
            <wp:extent cx="3368675" cy="2505075"/>
            <wp:effectExtent l="0" t="0" r="3175" b="9525"/>
            <wp:docPr id="101" name="图片 101" descr="ANT-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ANT-set"/>
                    <pic:cNvPicPr>
                      <a:picLocks noChangeAspect="1" noChangeArrowheads="1"/>
                    </pic:cNvPicPr>
                  </pic:nvPicPr>
                  <pic:blipFill>
                    <a:blip r:embed="rId36">
                      <a:extLst>
                        <a:ext uri="{28A0092B-C50C-407E-A947-70E740481C1C}">
                          <a14:useLocalDpi xmlns:a14="http://schemas.microsoft.com/office/drawing/2010/main" val="0"/>
                        </a:ext>
                      </a:extLst>
                    </a:blip>
                    <a:srcRect l="6451" r="6451"/>
                    <a:stretch>
                      <a:fillRect/>
                    </a:stretch>
                  </pic:blipFill>
                  <pic:spPr>
                    <a:xfrm>
                      <a:off x="0" y="0"/>
                      <a:ext cx="3368675" cy="2505075"/>
                    </a:xfrm>
                    <a:prstGeom prst="rect">
                      <a:avLst/>
                    </a:prstGeom>
                    <a:noFill/>
                    <a:ln>
                      <a:noFill/>
                    </a:ln>
                  </pic:spPr>
                </pic:pic>
              </a:graphicData>
            </a:graphic>
          </wp:inline>
        </w:drawing>
      </w:r>
    </w:p>
    <w:p w14:paraId="57A937F3">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图11.3.3-1   1.2</w:t>
      </w:r>
      <w:r>
        <w:rPr>
          <w:rFonts w:hint="eastAsia" w:ascii="Times New Roman" w:hAnsi="Times New Roman" w:eastAsiaTheme="minorEastAsia"/>
          <w:sz w:val="20"/>
          <w:szCs w:val="21"/>
        </w:rPr>
        <w:t>m</w:t>
      </w:r>
      <w:r>
        <w:rPr>
          <w:rFonts w:ascii="Times New Roman" w:hAnsi="Times New Roman" w:eastAsiaTheme="minorEastAsia"/>
          <w:sz w:val="20"/>
          <w:szCs w:val="21"/>
        </w:rPr>
        <w:t xml:space="preserve"> Ku天线结构示意图</w:t>
      </w:r>
    </w:p>
    <w:p w14:paraId="11D4505A">
      <w:pPr>
        <w:autoSpaceDE w:val="0"/>
        <w:autoSpaceDN w:val="0"/>
        <w:adjustRightInd w:val="0"/>
        <w:ind w:left="105" w:right="-334" w:hanging="105"/>
        <w:jc w:val="center"/>
        <w:rPr>
          <w:rFonts w:ascii="Times New Roman" w:hAnsi="Times New Roman"/>
          <w:kern w:val="0"/>
        </w:rPr>
      </w:pPr>
      <w:r>
        <w:rPr>
          <w:rFonts w:ascii="Times New Roman" w:hAnsi="Times New Roman"/>
          <w:kern w:val="0"/>
        </w:rPr>
        <w:drawing>
          <wp:inline distT="0" distB="0" distL="0" distR="0">
            <wp:extent cx="5015230" cy="2416810"/>
            <wp:effectExtent l="0" t="0" r="13970" b="2540"/>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15230" cy="2416810"/>
                    </a:xfrm>
                    <a:prstGeom prst="rect">
                      <a:avLst/>
                    </a:prstGeom>
                    <a:noFill/>
                    <a:ln>
                      <a:noFill/>
                    </a:ln>
                  </pic:spPr>
                </pic:pic>
              </a:graphicData>
            </a:graphic>
          </wp:inline>
        </w:drawing>
      </w:r>
    </w:p>
    <w:p w14:paraId="191B55D4">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图11.3.3-2   卫星接收天线避雷针安装图      图11.3.3-3   卫星接收天线避雷针安装</w:t>
      </w:r>
    </w:p>
    <w:p w14:paraId="48B86448">
      <w:pPr>
        <w:pStyle w:val="164"/>
        <w:numPr>
          <w:ilvl w:val="0"/>
          <w:numId w:val="98"/>
        </w:numPr>
        <w:tabs>
          <w:tab w:val="left" w:pos="210"/>
          <w:tab w:val="left" w:pos="567"/>
        </w:tabs>
        <w:spacing w:line="330" w:lineRule="exact"/>
        <w:ind w:firstLine="630" w:firstLineChars="300"/>
        <w:rPr>
          <w:rFonts w:eastAsiaTheme="minorEastAsia"/>
          <w:szCs w:val="21"/>
        </w:rPr>
      </w:pPr>
      <w:r>
        <w:rPr>
          <w:rFonts w:eastAsiaTheme="minorEastAsia"/>
          <w:szCs w:val="21"/>
        </w:rPr>
        <w:t>应根据天线厂家提供的产品资料，并根据天线的自重和风荷载等指标，预埋基础螺栓件和基础钢板，并应保证各基础墩的平面高度保持一致并水平。</w:t>
      </w:r>
    </w:p>
    <w:p w14:paraId="64EBF5D2">
      <w:pPr>
        <w:pStyle w:val="164"/>
        <w:numPr>
          <w:ilvl w:val="0"/>
          <w:numId w:val="98"/>
        </w:numPr>
        <w:tabs>
          <w:tab w:val="left" w:pos="210"/>
          <w:tab w:val="left" w:pos="567"/>
        </w:tabs>
        <w:spacing w:line="330" w:lineRule="exact"/>
        <w:ind w:firstLine="630" w:firstLineChars="300"/>
        <w:rPr>
          <w:rFonts w:eastAsiaTheme="minorEastAsia"/>
          <w:szCs w:val="21"/>
        </w:rPr>
      </w:pPr>
      <w:r>
        <w:rPr>
          <w:rFonts w:eastAsiaTheme="minorEastAsia"/>
          <w:szCs w:val="21"/>
        </w:rPr>
        <w:t>应校准预埋螺栓的尺寸和位置后，先将天线立柱吊装，固定在预埋螺栓上，并采用平垫圈、弹簧垫圈及双母进行紧固，螺栓暴露部分应均匀涂抹黄油，防止金属件生锈。</w:t>
      </w:r>
    </w:p>
    <w:p w14:paraId="4B42670F">
      <w:pPr>
        <w:pStyle w:val="164"/>
        <w:numPr>
          <w:ilvl w:val="0"/>
          <w:numId w:val="98"/>
        </w:numPr>
        <w:tabs>
          <w:tab w:val="left" w:pos="210"/>
          <w:tab w:val="left" w:pos="567"/>
        </w:tabs>
        <w:spacing w:line="330" w:lineRule="exact"/>
        <w:ind w:firstLine="630" w:firstLineChars="300"/>
        <w:rPr>
          <w:rFonts w:eastAsiaTheme="minorEastAsia"/>
          <w:szCs w:val="21"/>
        </w:rPr>
      </w:pPr>
      <w:r>
        <w:rPr>
          <w:rFonts w:eastAsiaTheme="minorEastAsia"/>
          <w:szCs w:val="21"/>
        </w:rPr>
        <w:t>应根据出厂编号顺序进行拼装，拼装过程中螺丝不应一次紧固，待天线面全部拼装完毕后，统一进行紧固，以防安装过程中对天线面的损坏，影响精度。</w:t>
      </w:r>
    </w:p>
    <w:p w14:paraId="4D788842">
      <w:pPr>
        <w:pStyle w:val="164"/>
        <w:numPr>
          <w:ilvl w:val="0"/>
          <w:numId w:val="98"/>
        </w:numPr>
        <w:tabs>
          <w:tab w:val="left" w:pos="210"/>
          <w:tab w:val="left" w:pos="567"/>
        </w:tabs>
        <w:spacing w:line="330" w:lineRule="exact"/>
        <w:ind w:firstLine="630" w:firstLineChars="300"/>
        <w:rPr>
          <w:rFonts w:eastAsiaTheme="minorEastAsia"/>
          <w:szCs w:val="21"/>
        </w:rPr>
      </w:pPr>
      <w:r>
        <w:rPr>
          <w:rFonts w:eastAsiaTheme="minorEastAsia"/>
          <w:szCs w:val="21"/>
        </w:rPr>
        <w:t>应将拼装好的天线面整体吊装在已安装好的天线主柱，并用螺栓连接。若天线直径大于（含）4 m，应编制天线吊装方案，按方案进行施工。</w:t>
      </w:r>
    </w:p>
    <w:p w14:paraId="241035B4">
      <w:pPr>
        <w:pStyle w:val="164"/>
        <w:numPr>
          <w:ilvl w:val="0"/>
          <w:numId w:val="98"/>
        </w:numPr>
        <w:tabs>
          <w:tab w:val="left" w:pos="210"/>
          <w:tab w:val="left" w:pos="567"/>
        </w:tabs>
        <w:spacing w:line="330" w:lineRule="exact"/>
        <w:ind w:firstLine="630" w:firstLineChars="300"/>
        <w:rPr>
          <w:rFonts w:eastAsiaTheme="minorEastAsia"/>
          <w:szCs w:val="21"/>
        </w:rPr>
      </w:pPr>
      <w:r>
        <w:rPr>
          <w:rFonts w:eastAsiaTheme="minorEastAsia"/>
          <w:szCs w:val="21"/>
        </w:rPr>
        <w:t>卫星天线的最大接收方向应为达到监视图像噪点为最少（或没有）后的角度。</w:t>
      </w:r>
    </w:p>
    <w:p w14:paraId="1CE8F92F">
      <w:pPr>
        <w:pStyle w:val="164"/>
        <w:numPr>
          <w:ilvl w:val="0"/>
          <w:numId w:val="97"/>
        </w:numPr>
        <w:autoSpaceDE w:val="0"/>
        <w:autoSpaceDN w:val="0"/>
        <w:adjustRightInd w:val="0"/>
        <w:spacing w:line="330" w:lineRule="exact"/>
        <w:ind w:left="0" w:firstLine="420"/>
        <w:jc w:val="left"/>
        <w:rPr>
          <w:color w:val="000000"/>
          <w:kern w:val="0"/>
        </w:rPr>
      </w:pPr>
      <w:r>
        <w:rPr>
          <w:rFonts w:eastAsiaTheme="minorEastAsia"/>
        </w:rPr>
        <w:t>开路天线安装</w:t>
      </w:r>
      <w:r>
        <w:rPr>
          <w:szCs w:val="21"/>
        </w:rPr>
        <w:t>应</w:t>
      </w:r>
      <w:r>
        <w:rPr>
          <w:rFonts w:eastAsiaTheme="minorEastAsia"/>
          <w:szCs w:val="21"/>
        </w:rPr>
        <w:t>符合下列规定</w:t>
      </w:r>
      <w:r>
        <w:rPr>
          <w:rFonts w:eastAsiaTheme="minorEastAsia"/>
        </w:rPr>
        <w:t>：</w:t>
      </w:r>
    </w:p>
    <w:p w14:paraId="30AC3BCB">
      <w:pPr>
        <w:pStyle w:val="164"/>
        <w:numPr>
          <w:ilvl w:val="0"/>
          <w:numId w:val="99"/>
        </w:numPr>
        <w:tabs>
          <w:tab w:val="left" w:pos="210"/>
          <w:tab w:val="left" w:pos="567"/>
        </w:tabs>
        <w:spacing w:line="330" w:lineRule="exact"/>
        <w:ind w:firstLine="630" w:firstLineChars="300"/>
        <w:rPr>
          <w:rFonts w:eastAsiaTheme="minorEastAsia"/>
          <w:szCs w:val="21"/>
        </w:rPr>
      </w:pPr>
      <w:r>
        <w:rPr>
          <w:rFonts w:hint="eastAsia" w:eastAsiaTheme="minorEastAsia"/>
          <w:szCs w:val="21"/>
        </w:rPr>
        <w:t>多</w:t>
      </w:r>
      <w:r>
        <w:rPr>
          <w:rFonts w:eastAsiaTheme="minorEastAsia"/>
          <w:szCs w:val="21"/>
        </w:rPr>
        <w:t>副开路天线可共杆架设，也可单独分开架设。天线间应保持一定的距离，立杆间水平间距≥5 m；同一方向的立杆前后距离≥15m。一般不采用前后架设天线，同一根立杆两层天线间距不应小于较长波长天线工作波的0.5</w:t>
      </w:r>
      <w:r>
        <w:rPr>
          <w:rFonts w:hint="eastAsia" w:eastAsiaTheme="minorEastAsia"/>
          <w:szCs w:val="21"/>
        </w:rPr>
        <w:t>倍</w:t>
      </w:r>
      <w:r>
        <w:rPr>
          <w:rFonts w:eastAsiaTheme="minorEastAsia"/>
          <w:szCs w:val="21"/>
        </w:rPr>
        <w:t>且最小间距≥1 m，天线的左右间距要大于较长波长天线工作波的</w:t>
      </w:r>
      <w:r>
        <w:rPr>
          <w:rFonts w:hint="eastAsia" w:eastAsiaTheme="minorEastAsia"/>
          <w:szCs w:val="21"/>
        </w:rPr>
        <w:t>波长</w:t>
      </w:r>
      <w:r>
        <w:rPr>
          <w:rFonts w:eastAsiaTheme="minorEastAsia"/>
          <w:szCs w:val="21"/>
        </w:rPr>
        <w:t>。</w:t>
      </w:r>
    </w:p>
    <w:p w14:paraId="5A7EABAB">
      <w:pPr>
        <w:pStyle w:val="164"/>
        <w:numPr>
          <w:ilvl w:val="0"/>
          <w:numId w:val="99"/>
        </w:numPr>
        <w:tabs>
          <w:tab w:val="left" w:pos="210"/>
          <w:tab w:val="left" w:pos="567"/>
        </w:tabs>
        <w:spacing w:line="330" w:lineRule="exact"/>
        <w:ind w:firstLine="630" w:firstLineChars="300"/>
        <w:rPr>
          <w:rFonts w:eastAsiaTheme="minorEastAsia"/>
          <w:szCs w:val="21"/>
        </w:rPr>
      </w:pPr>
      <w:r>
        <w:rPr>
          <w:rFonts w:eastAsiaTheme="minorEastAsia"/>
          <w:szCs w:val="21"/>
        </w:rPr>
        <w:t>天线距离地面或屋顶的高度不应小于一个波长。</w:t>
      </w:r>
    </w:p>
    <w:p w14:paraId="488C9F8E">
      <w:pPr>
        <w:pStyle w:val="164"/>
        <w:numPr>
          <w:ilvl w:val="0"/>
          <w:numId w:val="99"/>
        </w:numPr>
        <w:tabs>
          <w:tab w:val="left" w:pos="210"/>
          <w:tab w:val="left" w:pos="567"/>
        </w:tabs>
        <w:spacing w:line="330" w:lineRule="exact"/>
        <w:ind w:firstLine="630" w:firstLineChars="300"/>
        <w:rPr>
          <w:rFonts w:eastAsiaTheme="minorEastAsia"/>
          <w:szCs w:val="21"/>
        </w:rPr>
      </w:pPr>
      <w:r>
        <w:rPr>
          <w:rFonts w:eastAsiaTheme="minorEastAsia"/>
          <w:szCs w:val="21"/>
        </w:rPr>
        <w:t>天线方向应选择电平最强的天线方向。</w:t>
      </w:r>
    </w:p>
    <w:p w14:paraId="55D1DBA8">
      <w:pPr>
        <w:pStyle w:val="164"/>
        <w:numPr>
          <w:ilvl w:val="0"/>
          <w:numId w:val="99"/>
        </w:numPr>
        <w:tabs>
          <w:tab w:val="left" w:pos="210"/>
          <w:tab w:val="left" w:pos="567"/>
        </w:tabs>
        <w:spacing w:line="330" w:lineRule="exact"/>
        <w:ind w:firstLine="630" w:firstLineChars="300"/>
        <w:rPr>
          <w:rFonts w:eastAsiaTheme="minorEastAsia"/>
          <w:szCs w:val="21"/>
        </w:rPr>
      </w:pPr>
      <w:r>
        <w:rPr>
          <w:rFonts w:eastAsiaTheme="minorEastAsia"/>
          <w:szCs w:val="21"/>
        </w:rPr>
        <w:t>天线基座应预埋螺栓或底板预埋螺栓。预埋螺栓不应＜φ25mm×250 mm，明装接地引下线圆钢直径不应＜φ8mm；暗敷设圆钢直径不应＜φ12mm；连接用基座钢板厚度不应＜6mm；基座高度不应低于200mm；地锚拉环应采用直径φ8mm以上镀锌圆钢制成，底部应与结构钢筋焊接，焊接长度应为圆钢直径的6倍。</w:t>
      </w:r>
    </w:p>
    <w:p w14:paraId="6EE4AA66">
      <w:pPr>
        <w:pStyle w:val="164"/>
        <w:numPr>
          <w:ilvl w:val="0"/>
          <w:numId w:val="97"/>
        </w:numPr>
        <w:spacing w:line="330" w:lineRule="exact"/>
        <w:ind w:left="0" w:firstLine="420"/>
        <w:rPr>
          <w:rFonts w:eastAsiaTheme="minorEastAsia"/>
        </w:rPr>
      </w:pPr>
      <w:r>
        <w:rPr>
          <w:rFonts w:eastAsiaTheme="minorEastAsia"/>
        </w:rPr>
        <w:t>天线竖杆与拉线的安装</w:t>
      </w:r>
      <w:r>
        <w:rPr>
          <w:szCs w:val="21"/>
        </w:rPr>
        <w:t>应符合下列规定</w:t>
      </w:r>
      <w:r>
        <w:rPr>
          <w:rFonts w:eastAsiaTheme="minorEastAsia"/>
        </w:rPr>
        <w:t>：</w:t>
      </w:r>
    </w:p>
    <w:p w14:paraId="5569FA3F">
      <w:pPr>
        <w:pStyle w:val="164"/>
        <w:numPr>
          <w:ilvl w:val="0"/>
          <w:numId w:val="100"/>
        </w:numPr>
        <w:tabs>
          <w:tab w:val="left" w:pos="210"/>
          <w:tab w:val="left" w:pos="567"/>
        </w:tabs>
        <w:spacing w:line="330" w:lineRule="exact"/>
        <w:ind w:firstLine="630" w:firstLineChars="300"/>
        <w:rPr>
          <w:rFonts w:eastAsiaTheme="minorEastAsia"/>
          <w:szCs w:val="21"/>
        </w:rPr>
      </w:pPr>
      <w:r>
        <w:rPr>
          <w:rFonts w:eastAsiaTheme="minorEastAsia"/>
          <w:szCs w:val="21"/>
        </w:rPr>
        <w:t>多节杆组接的竖杆应从下至上逐段变细变短，各段焊接牢固，如图</w:t>
      </w:r>
      <w:r>
        <w:rPr>
          <w:rFonts w:eastAsiaTheme="minorEastAsia"/>
          <w:sz w:val="20"/>
          <w:szCs w:val="21"/>
        </w:rPr>
        <w:t>11.3.3-4</w:t>
      </w:r>
      <w:r>
        <w:rPr>
          <w:rFonts w:eastAsiaTheme="minorEastAsia"/>
          <w:szCs w:val="21"/>
        </w:rPr>
        <w:t>所示，DC两段长度之和不</w:t>
      </w:r>
      <w:r>
        <w:rPr>
          <w:rFonts w:hint="eastAsia" w:eastAsiaTheme="minorEastAsia"/>
          <w:szCs w:val="21"/>
        </w:rPr>
        <w:t>应</w:t>
      </w:r>
      <w:r>
        <w:rPr>
          <w:rFonts w:eastAsiaTheme="minorEastAsia"/>
          <w:szCs w:val="21"/>
        </w:rPr>
        <w:t>小于一个波长</w:t>
      </w:r>
      <w:r>
        <w:rPr>
          <w:rFonts w:hint="eastAsia" w:eastAsiaTheme="minorEastAsia"/>
          <w:szCs w:val="21"/>
        </w:rPr>
        <w:t>，宜</w:t>
      </w:r>
      <w:r>
        <w:rPr>
          <w:rFonts w:eastAsiaTheme="minorEastAsia"/>
          <w:szCs w:val="21"/>
        </w:rPr>
        <w:t>为2.5m~6m</w:t>
      </w:r>
      <w:r>
        <w:rPr>
          <w:rFonts w:hint="eastAsia" w:eastAsiaTheme="minorEastAsia"/>
          <w:szCs w:val="21"/>
        </w:rPr>
        <w:t>。</w:t>
      </w:r>
      <w:r>
        <w:rPr>
          <w:rFonts w:eastAsiaTheme="minorEastAsia"/>
          <w:szCs w:val="21"/>
        </w:rPr>
        <w:t>B段为固定天线部分，其长度与固定天线的数量有关，</w:t>
      </w:r>
      <w:r>
        <w:rPr>
          <w:rFonts w:hint="eastAsia" w:eastAsiaTheme="minorEastAsia"/>
          <w:szCs w:val="21"/>
        </w:rPr>
        <w:t>宜</w:t>
      </w:r>
      <w:r>
        <w:rPr>
          <w:rFonts w:eastAsiaTheme="minorEastAsia"/>
          <w:szCs w:val="21"/>
        </w:rPr>
        <w:t>为3m左右。A段为避雷针，</w:t>
      </w:r>
      <w:r>
        <w:rPr>
          <w:rFonts w:hint="eastAsia" w:eastAsiaTheme="minorEastAsia"/>
          <w:szCs w:val="21"/>
        </w:rPr>
        <w:t>宜</w:t>
      </w:r>
      <w:r>
        <w:rPr>
          <w:rFonts w:eastAsiaTheme="minorEastAsia"/>
          <w:szCs w:val="21"/>
        </w:rPr>
        <w:t>采用φ20mm圆钢，长度大于2.5m以上。</w:t>
      </w:r>
    </w:p>
    <w:p w14:paraId="5DB23201">
      <w:pPr>
        <w:pStyle w:val="164"/>
        <w:ind w:left="735" w:firstLine="0" w:firstLineChars="0"/>
        <w:jc w:val="center"/>
        <w:rPr>
          <w:kern w:val="0"/>
        </w:rPr>
      </w:pPr>
      <w:r>
        <w:drawing>
          <wp:inline distT="0" distB="0" distL="0" distR="0">
            <wp:extent cx="1391285" cy="2019300"/>
            <wp:effectExtent l="0" t="0" r="18415" b="0"/>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34234" cy="2081689"/>
                    </a:xfrm>
                    <a:prstGeom prst="rect">
                      <a:avLst/>
                    </a:prstGeom>
                    <a:noFill/>
                    <a:ln>
                      <a:noFill/>
                    </a:ln>
                  </pic:spPr>
                </pic:pic>
              </a:graphicData>
            </a:graphic>
          </wp:inline>
        </w:drawing>
      </w:r>
    </w:p>
    <w:p w14:paraId="18353884">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 11.3.3-4   天线杆制作图</w:t>
      </w:r>
    </w:p>
    <w:p w14:paraId="4CC5E5DC">
      <w:pPr>
        <w:pStyle w:val="164"/>
        <w:numPr>
          <w:ilvl w:val="0"/>
          <w:numId w:val="100"/>
        </w:numPr>
        <w:tabs>
          <w:tab w:val="left" w:pos="210"/>
          <w:tab w:val="left" w:pos="567"/>
        </w:tabs>
        <w:spacing w:line="330" w:lineRule="exact"/>
        <w:ind w:firstLine="630" w:firstLineChars="300"/>
        <w:rPr>
          <w:rFonts w:eastAsiaTheme="minorEastAsia"/>
          <w:szCs w:val="21"/>
        </w:rPr>
      </w:pPr>
      <w:r>
        <w:rPr>
          <w:rFonts w:eastAsiaTheme="minorEastAsia"/>
          <w:szCs w:val="21"/>
        </w:rPr>
        <w:t>天线与照明线及高压线应保持一定的距离，如表11.3.3-1所示：</w:t>
      </w:r>
    </w:p>
    <w:p w14:paraId="5F1014D1">
      <w:pPr>
        <w:autoSpaceDE w:val="0"/>
        <w:autoSpaceDN w:val="0"/>
        <w:adjustRightInd w:val="0"/>
        <w:snapToGrid w:val="0"/>
        <w:spacing w:line="330" w:lineRule="exact"/>
        <w:ind w:left="105" w:hanging="105" w:firstLineChars="0"/>
        <w:jc w:val="center"/>
        <w:rPr>
          <w:rFonts w:ascii="Times New Roman" w:hAnsi="Times New Roman"/>
          <w:b/>
          <w:bCs/>
          <w:kern w:val="0"/>
          <w:sz w:val="18"/>
          <w:szCs w:val="18"/>
        </w:rPr>
      </w:pPr>
      <w:r>
        <w:rPr>
          <w:rFonts w:ascii="Times New Roman" w:hAnsi="Times New Roman"/>
          <w:b/>
          <w:bCs/>
          <w:kern w:val="0"/>
          <w:sz w:val="18"/>
          <w:szCs w:val="18"/>
        </w:rPr>
        <w:t>表11.3.3-1  光纤链路的光回波损耗值表</w:t>
      </w:r>
    </w:p>
    <w:tbl>
      <w:tblPr>
        <w:tblStyle w:val="42"/>
        <w:tblW w:w="8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2729"/>
        <w:gridCol w:w="2734"/>
      </w:tblGrid>
      <w:tr w14:paraId="6CCD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06FB8559">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电压</w:t>
            </w:r>
          </w:p>
        </w:tc>
        <w:tc>
          <w:tcPr>
            <w:tcW w:w="2729" w:type="dxa"/>
            <w:vAlign w:val="center"/>
          </w:tcPr>
          <w:p w14:paraId="7A375EA0">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架空电缆种类</w:t>
            </w:r>
          </w:p>
        </w:tc>
        <w:tc>
          <w:tcPr>
            <w:tcW w:w="2734" w:type="dxa"/>
            <w:vAlign w:val="center"/>
          </w:tcPr>
          <w:p w14:paraId="39362247">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与电视天线的距离（m）</w:t>
            </w:r>
          </w:p>
        </w:tc>
      </w:tr>
      <w:tr w14:paraId="4251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restart"/>
            <w:vAlign w:val="center"/>
          </w:tcPr>
          <w:p w14:paraId="2D0793DB">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低压架空线</w:t>
            </w:r>
          </w:p>
        </w:tc>
        <w:tc>
          <w:tcPr>
            <w:tcW w:w="2729" w:type="dxa"/>
            <w:vAlign w:val="center"/>
          </w:tcPr>
          <w:p w14:paraId="16C00C68">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裸线</w:t>
            </w:r>
          </w:p>
        </w:tc>
        <w:tc>
          <w:tcPr>
            <w:tcW w:w="2734" w:type="dxa"/>
            <w:vAlign w:val="center"/>
          </w:tcPr>
          <w:p w14:paraId="60A8AF12">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＞1</w:t>
            </w:r>
          </w:p>
        </w:tc>
      </w:tr>
      <w:tr w14:paraId="5409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vAlign w:val="center"/>
          </w:tcPr>
          <w:p w14:paraId="4086375F">
            <w:pPr>
              <w:autoSpaceDE w:val="0"/>
              <w:autoSpaceDN w:val="0"/>
              <w:adjustRightInd w:val="0"/>
              <w:snapToGrid w:val="0"/>
              <w:spacing w:line="330" w:lineRule="exact"/>
              <w:ind w:left="0" w:firstLine="0" w:firstLineChars="0"/>
              <w:jc w:val="center"/>
              <w:rPr>
                <w:rFonts w:ascii="Times New Roman" w:hAnsi="Times New Roman"/>
                <w:kern w:val="0"/>
                <w:sz w:val="18"/>
                <w:szCs w:val="18"/>
              </w:rPr>
            </w:pPr>
          </w:p>
        </w:tc>
        <w:tc>
          <w:tcPr>
            <w:tcW w:w="2729" w:type="dxa"/>
            <w:vAlign w:val="center"/>
          </w:tcPr>
          <w:p w14:paraId="78071073">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低压绝缘电线和多芯电缆</w:t>
            </w:r>
          </w:p>
        </w:tc>
        <w:tc>
          <w:tcPr>
            <w:tcW w:w="2734" w:type="dxa"/>
            <w:vAlign w:val="center"/>
          </w:tcPr>
          <w:p w14:paraId="420EFCEB">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＞0.6</w:t>
            </w:r>
          </w:p>
        </w:tc>
      </w:tr>
      <w:tr w14:paraId="26A7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vAlign w:val="center"/>
          </w:tcPr>
          <w:p w14:paraId="117EDFAB">
            <w:pPr>
              <w:autoSpaceDE w:val="0"/>
              <w:autoSpaceDN w:val="0"/>
              <w:adjustRightInd w:val="0"/>
              <w:snapToGrid w:val="0"/>
              <w:spacing w:line="330" w:lineRule="exact"/>
              <w:ind w:left="0" w:firstLine="0" w:firstLineChars="0"/>
              <w:jc w:val="center"/>
              <w:rPr>
                <w:rFonts w:ascii="Times New Roman" w:hAnsi="Times New Roman"/>
                <w:kern w:val="0"/>
                <w:sz w:val="18"/>
                <w:szCs w:val="18"/>
              </w:rPr>
            </w:pPr>
          </w:p>
        </w:tc>
        <w:tc>
          <w:tcPr>
            <w:tcW w:w="2729" w:type="dxa"/>
            <w:vAlign w:val="center"/>
          </w:tcPr>
          <w:p w14:paraId="4B576A87">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高压绝缘电线或低压电源</w:t>
            </w:r>
          </w:p>
        </w:tc>
        <w:tc>
          <w:tcPr>
            <w:tcW w:w="2734" w:type="dxa"/>
            <w:vAlign w:val="center"/>
          </w:tcPr>
          <w:p w14:paraId="739E9ADA">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＞0.3</w:t>
            </w:r>
          </w:p>
        </w:tc>
      </w:tr>
      <w:tr w14:paraId="4E0F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restart"/>
            <w:vAlign w:val="center"/>
          </w:tcPr>
          <w:p w14:paraId="03EFCA9A">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高压架空线</w:t>
            </w:r>
          </w:p>
        </w:tc>
        <w:tc>
          <w:tcPr>
            <w:tcW w:w="2729" w:type="dxa"/>
            <w:vAlign w:val="center"/>
          </w:tcPr>
          <w:p w14:paraId="213C38A2">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裸线</w:t>
            </w:r>
          </w:p>
        </w:tc>
        <w:tc>
          <w:tcPr>
            <w:tcW w:w="2734" w:type="dxa"/>
            <w:vAlign w:val="center"/>
          </w:tcPr>
          <w:p w14:paraId="1E556BA8">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＞1.2</w:t>
            </w:r>
          </w:p>
        </w:tc>
      </w:tr>
      <w:tr w14:paraId="7AEB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vAlign w:val="center"/>
          </w:tcPr>
          <w:p w14:paraId="4E3E03DF">
            <w:pPr>
              <w:autoSpaceDE w:val="0"/>
              <w:autoSpaceDN w:val="0"/>
              <w:adjustRightInd w:val="0"/>
              <w:snapToGrid w:val="0"/>
              <w:spacing w:line="330" w:lineRule="exact"/>
              <w:ind w:left="0" w:firstLine="0" w:firstLineChars="0"/>
              <w:jc w:val="center"/>
              <w:rPr>
                <w:rFonts w:ascii="Times New Roman" w:hAnsi="Times New Roman"/>
                <w:kern w:val="0"/>
                <w:sz w:val="18"/>
                <w:szCs w:val="18"/>
              </w:rPr>
            </w:pPr>
          </w:p>
        </w:tc>
        <w:tc>
          <w:tcPr>
            <w:tcW w:w="2729" w:type="dxa"/>
            <w:vAlign w:val="center"/>
          </w:tcPr>
          <w:p w14:paraId="3C275BC7">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高压绝缘电线</w:t>
            </w:r>
          </w:p>
        </w:tc>
        <w:tc>
          <w:tcPr>
            <w:tcW w:w="2734" w:type="dxa"/>
            <w:vAlign w:val="center"/>
          </w:tcPr>
          <w:p w14:paraId="4CF8ABFF">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＞0.8</w:t>
            </w:r>
          </w:p>
        </w:tc>
      </w:tr>
      <w:tr w14:paraId="69BF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vAlign w:val="center"/>
          </w:tcPr>
          <w:p w14:paraId="2C1606A8">
            <w:pPr>
              <w:autoSpaceDE w:val="0"/>
              <w:autoSpaceDN w:val="0"/>
              <w:adjustRightInd w:val="0"/>
              <w:snapToGrid w:val="0"/>
              <w:spacing w:line="330" w:lineRule="exact"/>
              <w:ind w:left="0" w:firstLine="0" w:firstLineChars="0"/>
              <w:jc w:val="center"/>
              <w:rPr>
                <w:rFonts w:ascii="Times New Roman" w:hAnsi="Times New Roman"/>
                <w:kern w:val="0"/>
                <w:sz w:val="18"/>
                <w:szCs w:val="18"/>
              </w:rPr>
            </w:pPr>
          </w:p>
        </w:tc>
        <w:tc>
          <w:tcPr>
            <w:tcW w:w="2729" w:type="dxa"/>
            <w:vAlign w:val="center"/>
          </w:tcPr>
          <w:p w14:paraId="640A2A61">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高压电源</w:t>
            </w:r>
          </w:p>
        </w:tc>
        <w:tc>
          <w:tcPr>
            <w:tcW w:w="2734" w:type="dxa"/>
            <w:vAlign w:val="center"/>
          </w:tcPr>
          <w:p w14:paraId="7508B2C9">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＞0.4</w:t>
            </w:r>
          </w:p>
        </w:tc>
      </w:tr>
    </w:tbl>
    <w:p w14:paraId="7DBF9FA4">
      <w:pPr>
        <w:pStyle w:val="164"/>
        <w:numPr>
          <w:ilvl w:val="0"/>
          <w:numId w:val="100"/>
        </w:numPr>
        <w:tabs>
          <w:tab w:val="left" w:pos="210"/>
          <w:tab w:val="left" w:pos="567"/>
        </w:tabs>
        <w:spacing w:line="330" w:lineRule="exact"/>
        <w:ind w:firstLine="630" w:firstLineChars="300"/>
        <w:rPr>
          <w:rFonts w:eastAsiaTheme="minorEastAsia"/>
          <w:szCs w:val="21"/>
        </w:rPr>
      </w:pPr>
      <w:r>
        <w:rPr>
          <w:rFonts w:eastAsiaTheme="minorEastAsia"/>
          <w:szCs w:val="21"/>
        </w:rPr>
        <w:t>现场应干净整齐，与竖杆无关的构件应放到不妨碍竖杆以外的地方</w:t>
      </w:r>
      <w:r>
        <w:rPr>
          <w:rFonts w:hint="eastAsia" w:eastAsiaTheme="minorEastAsia"/>
          <w:szCs w:val="21"/>
        </w:rPr>
        <w:t>，</w:t>
      </w:r>
      <w:r>
        <w:rPr>
          <w:rFonts w:eastAsiaTheme="minorEastAsia"/>
          <w:szCs w:val="21"/>
        </w:rPr>
        <w:t>拉线与竖杆的角度应为30°～45°；如果天线杆过高，可采用双层拉线</w:t>
      </w:r>
      <w:r>
        <w:rPr>
          <w:rFonts w:hint="eastAsia" w:eastAsiaTheme="minorEastAsia"/>
          <w:szCs w:val="21"/>
        </w:rPr>
        <w:t>，</w:t>
      </w:r>
      <w:r>
        <w:rPr>
          <w:rFonts w:eastAsiaTheme="minorEastAsia"/>
          <w:szCs w:val="21"/>
        </w:rPr>
        <w:t>拉线位置应避开天线接收电磁波的方向。</w:t>
      </w:r>
    </w:p>
    <w:p w14:paraId="3B5C49F8">
      <w:pPr>
        <w:pStyle w:val="164"/>
        <w:numPr>
          <w:ilvl w:val="0"/>
          <w:numId w:val="100"/>
        </w:numPr>
        <w:tabs>
          <w:tab w:val="left" w:pos="210"/>
          <w:tab w:val="left" w:pos="567"/>
        </w:tabs>
        <w:spacing w:line="330" w:lineRule="exact"/>
        <w:ind w:firstLine="630" w:firstLineChars="300"/>
        <w:rPr>
          <w:rFonts w:eastAsiaTheme="minorEastAsia"/>
          <w:szCs w:val="21"/>
        </w:rPr>
      </w:pPr>
      <w:r>
        <w:rPr>
          <w:rFonts w:eastAsiaTheme="minorEastAsia"/>
          <w:szCs w:val="21"/>
        </w:rPr>
        <w:t>拉线地锚应与建筑物应连接牢靠，不得将拉线固定在屋顶透气管、水管等构件上。</w:t>
      </w:r>
    </w:p>
    <w:p w14:paraId="5E8E7E71">
      <w:pPr>
        <w:pStyle w:val="164"/>
        <w:numPr>
          <w:ilvl w:val="0"/>
          <w:numId w:val="97"/>
        </w:numPr>
        <w:spacing w:line="330" w:lineRule="exact"/>
        <w:ind w:left="0" w:firstLine="420"/>
        <w:rPr>
          <w:rFonts w:eastAsiaTheme="minorEastAsia"/>
        </w:rPr>
      </w:pPr>
      <w:r>
        <w:rPr>
          <w:rFonts w:eastAsiaTheme="minorEastAsia"/>
        </w:rPr>
        <w:t>天线的安装</w:t>
      </w:r>
      <w:r>
        <w:rPr>
          <w:szCs w:val="21"/>
        </w:rPr>
        <w:t>应符合下列规定：</w:t>
      </w:r>
    </w:p>
    <w:p w14:paraId="1B959C9B">
      <w:pPr>
        <w:pStyle w:val="164"/>
        <w:numPr>
          <w:ilvl w:val="0"/>
          <w:numId w:val="101"/>
        </w:numPr>
        <w:tabs>
          <w:tab w:val="left" w:pos="210"/>
          <w:tab w:val="left" w:pos="567"/>
        </w:tabs>
        <w:spacing w:line="330" w:lineRule="exact"/>
        <w:ind w:firstLine="630" w:firstLineChars="300"/>
        <w:rPr>
          <w:rFonts w:eastAsiaTheme="minorEastAsia"/>
          <w:szCs w:val="21"/>
        </w:rPr>
      </w:pPr>
      <w:r>
        <w:rPr>
          <w:rFonts w:eastAsiaTheme="minorEastAsia"/>
          <w:szCs w:val="21"/>
        </w:rPr>
        <w:t>架设天线前，应对天线本身进行检查和测试。天线的振子应水平放置，相邻振子间应平行，振子的固定件应采用弹簧垫和平垫，牢靠紧固。馈线应固定好，以免随风摆动，并在接头处留出防水弯。</w:t>
      </w:r>
    </w:p>
    <w:p w14:paraId="55A59AD5">
      <w:pPr>
        <w:pStyle w:val="164"/>
        <w:numPr>
          <w:ilvl w:val="0"/>
          <w:numId w:val="101"/>
        </w:numPr>
        <w:tabs>
          <w:tab w:val="left" w:pos="210"/>
          <w:tab w:val="left" w:pos="567"/>
        </w:tabs>
        <w:spacing w:line="330" w:lineRule="exact"/>
        <w:ind w:firstLine="630" w:firstLineChars="300"/>
        <w:rPr>
          <w:rFonts w:eastAsiaTheme="minorEastAsia"/>
          <w:szCs w:val="21"/>
        </w:rPr>
      </w:pPr>
      <w:r>
        <w:rPr>
          <w:rFonts w:eastAsiaTheme="minorEastAsia"/>
          <w:szCs w:val="21"/>
        </w:rPr>
        <w:t>各频道天线原则高频道天线在上边，低频道天线在下边，层与层间的距离大于</w:t>
      </w:r>
      <w:r>
        <w:rPr>
          <w:rFonts w:hint="eastAsia" w:eastAsiaTheme="minorEastAsia"/>
          <w:szCs w:val="21"/>
        </w:rPr>
        <w:t>波长的0.</w:t>
      </w:r>
      <w:r>
        <w:rPr>
          <w:rFonts w:eastAsiaTheme="minorEastAsia"/>
          <w:szCs w:val="21"/>
        </w:rPr>
        <w:t>5</w:t>
      </w:r>
      <w:r>
        <w:rPr>
          <w:rFonts w:hint="eastAsia" w:eastAsiaTheme="minorEastAsia"/>
          <w:szCs w:val="21"/>
        </w:rPr>
        <w:t>倍</w:t>
      </w:r>
      <w:r>
        <w:rPr>
          <w:rFonts w:eastAsiaTheme="minorEastAsia"/>
          <w:szCs w:val="21"/>
        </w:rPr>
        <w:t>。</w:t>
      </w:r>
    </w:p>
    <w:p w14:paraId="4D31C3E1">
      <w:pPr>
        <w:pStyle w:val="164"/>
        <w:numPr>
          <w:ilvl w:val="0"/>
          <w:numId w:val="101"/>
        </w:numPr>
        <w:tabs>
          <w:tab w:val="left" w:pos="210"/>
          <w:tab w:val="left" w:pos="567"/>
        </w:tabs>
        <w:spacing w:line="330" w:lineRule="exact"/>
        <w:ind w:firstLine="630" w:firstLineChars="300"/>
        <w:rPr>
          <w:rFonts w:eastAsiaTheme="minorEastAsia"/>
          <w:szCs w:val="21"/>
        </w:rPr>
      </w:pPr>
      <w:r>
        <w:rPr>
          <w:rFonts w:eastAsiaTheme="minorEastAsia"/>
          <w:szCs w:val="21"/>
        </w:rPr>
        <w:t>应通过观测监视器的接收图像和读取场强仪测量值，确定天线的最佳接收方位并将天线固定。</w:t>
      </w:r>
    </w:p>
    <w:p w14:paraId="09347B2A">
      <w:pPr>
        <w:pStyle w:val="164"/>
        <w:numPr>
          <w:ilvl w:val="0"/>
          <w:numId w:val="97"/>
        </w:numPr>
        <w:spacing w:line="330" w:lineRule="exact"/>
        <w:ind w:left="0" w:firstLine="420"/>
        <w:rPr>
          <w:rFonts w:eastAsiaTheme="minorEastAsia"/>
        </w:rPr>
      </w:pPr>
      <w:r>
        <w:rPr>
          <w:rFonts w:eastAsiaTheme="minorEastAsia"/>
        </w:rPr>
        <w:t>建筑物有避雷网时，应用4mm×25mm的扁钢或≥10mm的圆钢将天线主杆、基座与建筑物避雷网连接为一体，接地电阻值应＜1Ω。天线应在避雷针保护角范围之内。避雷针保护范围如图11.3.3-5所示：</w:t>
      </w:r>
    </w:p>
    <w:p w14:paraId="3D65A75D">
      <w:pPr>
        <w:autoSpaceDE w:val="0"/>
        <w:autoSpaceDN w:val="0"/>
        <w:adjustRightInd w:val="0"/>
        <w:ind w:left="0" w:firstLine="420" w:firstLineChars="200"/>
        <w:jc w:val="center"/>
        <w:rPr>
          <w:rFonts w:ascii="Times New Roman" w:hAnsi="Times New Roman"/>
        </w:rPr>
      </w:pPr>
      <w:r>
        <w:rPr>
          <w:rFonts w:ascii="Times New Roman" w:hAnsi="Times New Roman"/>
          <w:kern w:val="0"/>
        </w:rPr>
        <w:drawing>
          <wp:inline distT="0" distB="0" distL="0" distR="0">
            <wp:extent cx="3053080" cy="3268980"/>
            <wp:effectExtent l="0" t="0" r="13970" b="7620"/>
            <wp:docPr id="104" name="图片 104" descr="单根避雷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单根避雷针"/>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053080" cy="3268980"/>
                    </a:xfrm>
                    <a:prstGeom prst="rect">
                      <a:avLst/>
                    </a:prstGeom>
                    <a:noFill/>
                    <a:ln>
                      <a:noFill/>
                    </a:ln>
                  </pic:spPr>
                </pic:pic>
              </a:graphicData>
            </a:graphic>
          </wp:inline>
        </w:drawing>
      </w:r>
    </w:p>
    <w:p w14:paraId="7FD281F5">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图11.3.3-5   单根避雷针保护范围</w:t>
      </w:r>
      <w:r>
        <w:rPr>
          <w:rFonts w:hint="eastAsia" w:ascii="Times New Roman" w:hAnsi="Times New Roman" w:eastAsiaTheme="minorEastAsia"/>
          <w:sz w:val="20"/>
          <w:szCs w:val="21"/>
        </w:rPr>
        <w:t>像</w:t>
      </w:r>
      <w:r>
        <w:rPr>
          <w:rFonts w:ascii="Times New Roman" w:hAnsi="Times New Roman" w:eastAsiaTheme="minorEastAsia"/>
          <w:sz w:val="20"/>
          <w:szCs w:val="21"/>
        </w:rPr>
        <w:t>帐篷状</w:t>
      </w:r>
    </w:p>
    <w:p w14:paraId="49D098C7">
      <w:pPr>
        <w:pStyle w:val="164"/>
        <w:numPr>
          <w:ilvl w:val="255"/>
          <w:numId w:val="0"/>
        </w:numPr>
        <w:spacing w:line="330" w:lineRule="exact"/>
        <w:ind w:left="420" w:leftChars="200"/>
        <w:jc w:val="left"/>
        <w:rPr>
          <w:rFonts w:eastAsiaTheme="minorEastAsia"/>
          <w:sz w:val="20"/>
          <w:szCs w:val="21"/>
        </w:rPr>
      </w:pPr>
      <w:r>
        <w:rPr>
          <w:rFonts w:eastAsiaTheme="minorEastAsia"/>
          <w:b/>
          <w:bCs/>
          <w:sz w:val="20"/>
          <w:szCs w:val="21"/>
        </w:rPr>
        <w:t>7</w:t>
      </w:r>
      <w:r>
        <w:rPr>
          <w:rFonts w:eastAsiaTheme="minorEastAsia"/>
        </w:rPr>
        <w:t xml:space="preserve"> 避</w:t>
      </w:r>
      <w:r>
        <w:rPr>
          <w:rFonts w:eastAsiaTheme="minorEastAsia"/>
          <w:sz w:val="20"/>
          <w:szCs w:val="21"/>
        </w:rPr>
        <w:t>雷针接地应符合</w:t>
      </w:r>
      <w:r>
        <w:rPr>
          <w:szCs w:val="21"/>
        </w:rPr>
        <w:t>下列规定</w:t>
      </w:r>
      <w:r>
        <w:rPr>
          <w:rFonts w:eastAsiaTheme="minorEastAsia"/>
          <w:sz w:val="20"/>
          <w:szCs w:val="21"/>
        </w:rPr>
        <w:t>：</w:t>
      </w:r>
    </w:p>
    <w:p w14:paraId="6281DF09">
      <w:pPr>
        <w:pStyle w:val="164"/>
        <w:numPr>
          <w:ilvl w:val="0"/>
          <w:numId w:val="102"/>
        </w:numPr>
        <w:tabs>
          <w:tab w:val="left" w:pos="210"/>
          <w:tab w:val="left" w:pos="567"/>
        </w:tabs>
        <w:spacing w:line="330" w:lineRule="exact"/>
        <w:ind w:firstLine="630" w:firstLineChars="300"/>
        <w:rPr>
          <w:rFonts w:eastAsiaTheme="minorEastAsia"/>
          <w:szCs w:val="21"/>
        </w:rPr>
      </w:pPr>
      <w:r>
        <w:rPr>
          <w:rFonts w:eastAsiaTheme="minorEastAsia"/>
          <w:szCs w:val="21"/>
        </w:rPr>
        <w:t>防雷接地线的电阻值应＜4</w:t>
      </w:r>
      <w:r>
        <w:rPr>
          <w:rFonts w:hint="eastAsia" w:eastAsiaTheme="minorEastAsia"/>
          <w:szCs w:val="21"/>
        </w:rPr>
        <w:t>Ω</w:t>
      </w:r>
      <w:r>
        <w:rPr>
          <w:rFonts w:eastAsiaTheme="minorEastAsia"/>
          <w:szCs w:val="21"/>
        </w:rPr>
        <w:t>，每根接地体的间距应为2.5m。</w:t>
      </w:r>
    </w:p>
    <w:p w14:paraId="2B5646D2">
      <w:pPr>
        <w:pStyle w:val="164"/>
        <w:numPr>
          <w:ilvl w:val="0"/>
          <w:numId w:val="102"/>
        </w:numPr>
        <w:tabs>
          <w:tab w:val="left" w:pos="210"/>
          <w:tab w:val="left" w:pos="567"/>
        </w:tabs>
        <w:spacing w:line="330" w:lineRule="exact"/>
        <w:ind w:firstLine="630" w:firstLineChars="300"/>
        <w:rPr>
          <w:rFonts w:eastAsiaTheme="minorEastAsia"/>
          <w:szCs w:val="21"/>
        </w:rPr>
      </w:pPr>
      <w:r>
        <w:rPr>
          <w:rFonts w:eastAsiaTheme="minorEastAsia"/>
          <w:szCs w:val="21"/>
        </w:rPr>
        <w:t>应在接地体的坑内伴入降阻剂。接地体不可埋入垃圾层和灰渣层。</w:t>
      </w:r>
    </w:p>
    <w:p w14:paraId="27E7A501">
      <w:pPr>
        <w:pStyle w:val="164"/>
        <w:numPr>
          <w:ilvl w:val="0"/>
          <w:numId w:val="102"/>
        </w:numPr>
        <w:tabs>
          <w:tab w:val="left" w:pos="210"/>
          <w:tab w:val="left" w:pos="567"/>
        </w:tabs>
        <w:spacing w:line="330" w:lineRule="exact"/>
        <w:ind w:firstLine="630" w:firstLineChars="300"/>
        <w:rPr>
          <w:rFonts w:eastAsiaTheme="minorEastAsia"/>
          <w:szCs w:val="21"/>
        </w:rPr>
      </w:pPr>
      <w:r>
        <w:rPr>
          <w:rFonts w:eastAsiaTheme="minorEastAsia"/>
          <w:szCs w:val="21"/>
        </w:rPr>
        <w:t>避雷针引下线应采用直径为10</w:t>
      </w:r>
      <w:r>
        <w:rPr>
          <w:rFonts w:hint="eastAsia" w:eastAsiaTheme="minorEastAsia"/>
          <w:szCs w:val="21"/>
        </w:rPr>
        <w:t>mm</w:t>
      </w:r>
      <w:r>
        <w:rPr>
          <w:rFonts w:eastAsiaTheme="minorEastAsia"/>
          <w:szCs w:val="21"/>
        </w:rPr>
        <w:t>－12</w:t>
      </w:r>
      <w:r>
        <w:rPr>
          <w:rFonts w:hint="eastAsia" w:eastAsiaTheme="minorEastAsia"/>
          <w:szCs w:val="21"/>
        </w:rPr>
        <w:t>mm</w:t>
      </w:r>
      <w:r>
        <w:rPr>
          <w:rFonts w:eastAsiaTheme="minorEastAsia"/>
          <w:szCs w:val="21"/>
        </w:rPr>
        <w:t>的圆钢或扁钢制作，焊接点应采用搭焊的方法，搭焊长度应为圆钢直径的6倍，扁钢断面长边的3倍。不可采用对接焊或点焊的方法。</w:t>
      </w:r>
    </w:p>
    <w:p w14:paraId="7CB1F279">
      <w:pPr>
        <w:pStyle w:val="164"/>
        <w:spacing w:before="100" w:after="100" w:line="330" w:lineRule="exact"/>
        <w:ind w:firstLine="0" w:firstLineChars="0"/>
        <w:rPr>
          <w:szCs w:val="21"/>
        </w:rPr>
      </w:pPr>
      <w:r>
        <w:rPr>
          <w:szCs w:val="21"/>
        </w:rPr>
        <w:t>11.3.4 前端机房设备安装应符合下列规定：</w:t>
      </w:r>
    </w:p>
    <w:p w14:paraId="51B0075D">
      <w:pPr>
        <w:pStyle w:val="164"/>
        <w:numPr>
          <w:ilvl w:val="0"/>
          <w:numId w:val="103"/>
        </w:numPr>
        <w:spacing w:line="330" w:lineRule="exact"/>
        <w:ind w:left="0" w:firstLine="420"/>
        <w:rPr>
          <w:szCs w:val="21"/>
          <w:shd w:val="clear" w:color="auto" w:fill="FFFFFF"/>
        </w:rPr>
      </w:pPr>
      <w:r>
        <w:rPr>
          <w:rFonts w:eastAsiaTheme="minorEastAsia"/>
        </w:rPr>
        <w:t>机柜安装</w:t>
      </w:r>
      <w:r>
        <w:rPr>
          <w:szCs w:val="21"/>
        </w:rPr>
        <w:t>应</w:t>
      </w:r>
      <w:r>
        <w:rPr>
          <w:szCs w:val="21"/>
          <w:shd w:val="clear" w:color="auto" w:fill="FFFFFF"/>
        </w:rPr>
        <w:t>按机房平面布置图进行设备机柜的定位。机柜并排摆放时，两台机柜间的缝隙</w:t>
      </w:r>
      <w:r>
        <w:rPr>
          <w:rFonts w:hint="eastAsia"/>
          <w:szCs w:val="21"/>
          <w:shd w:val="clear" w:color="auto" w:fill="FFFFFF"/>
        </w:rPr>
        <w:t>应≤</w:t>
      </w:r>
      <w:r>
        <w:rPr>
          <w:szCs w:val="21"/>
          <w:shd w:val="clear" w:color="auto" w:fill="FFFFFF"/>
        </w:rPr>
        <w:t>2mm；机柜面板应在同一平面上，并与基准线平行，前后偏差</w:t>
      </w:r>
      <w:r>
        <w:rPr>
          <w:rFonts w:hint="eastAsia"/>
          <w:szCs w:val="21"/>
          <w:shd w:val="clear" w:color="auto" w:fill="FFFFFF"/>
        </w:rPr>
        <w:t>应≤</w:t>
      </w:r>
      <w:r>
        <w:rPr>
          <w:szCs w:val="21"/>
          <w:shd w:val="clear" w:color="auto" w:fill="FFFFFF"/>
        </w:rPr>
        <w:t>2mm。</w:t>
      </w:r>
    </w:p>
    <w:p w14:paraId="69175AEA">
      <w:pPr>
        <w:pStyle w:val="164"/>
        <w:numPr>
          <w:ilvl w:val="0"/>
          <w:numId w:val="103"/>
        </w:numPr>
        <w:spacing w:line="330" w:lineRule="exact"/>
        <w:ind w:left="0" w:firstLine="420"/>
        <w:rPr>
          <w:szCs w:val="21"/>
          <w:shd w:val="clear" w:color="auto" w:fill="FFFFFF"/>
        </w:rPr>
      </w:pPr>
      <w:r>
        <w:rPr>
          <w:szCs w:val="21"/>
          <w:shd w:val="clear" w:color="auto" w:fill="FFFFFF"/>
        </w:rPr>
        <w:t>在机柜上安装的设备应根据使用功能进行有机的组合排列（参</w:t>
      </w:r>
      <w:r>
        <w:rPr>
          <w:rFonts w:hint="eastAsia"/>
          <w:szCs w:val="21"/>
          <w:shd w:val="clear" w:color="auto" w:fill="FFFFFF"/>
        </w:rPr>
        <w:t>考</w:t>
      </w:r>
      <w:r>
        <w:rPr>
          <w:szCs w:val="21"/>
          <w:shd w:val="clear" w:color="auto" w:fill="FFFFFF"/>
        </w:rPr>
        <w:t>图11.3.4）。每个设备的上下空间应留有</w:t>
      </w:r>
      <w:r>
        <w:rPr>
          <w:rFonts w:hint="eastAsia"/>
          <w:szCs w:val="21"/>
          <w:shd w:val="clear" w:color="auto" w:fill="FFFFFF"/>
        </w:rPr>
        <w:t>＞</w:t>
      </w:r>
      <w:r>
        <w:rPr>
          <w:szCs w:val="21"/>
          <w:shd w:val="clear" w:color="auto" w:fill="FFFFFF"/>
        </w:rPr>
        <w:t>50mm的空隙，空隙处应采用专用空白面板封装。对于非19</w:t>
      </w:r>
      <w:r>
        <w:rPr>
          <w:rFonts w:hint="eastAsia"/>
          <w:szCs w:val="21"/>
          <w:shd w:val="clear" w:color="auto" w:fill="FFFFFF"/>
        </w:rPr>
        <w:t>寸</w:t>
      </w:r>
      <w:r>
        <w:rPr>
          <w:szCs w:val="21"/>
          <w:shd w:val="clear" w:color="auto" w:fill="FFFFFF"/>
        </w:rPr>
        <w:t>标准机柜安装的设备，可采用标准托盘安装；彩色监视器，应采用专用的电视机专用托盘和面板安装。</w:t>
      </w:r>
      <w:r>
        <w:rPr>
          <w:rFonts w:hint="eastAsia"/>
          <w:szCs w:val="21"/>
          <w:shd w:val="clear" w:color="auto" w:fill="FFFFFF"/>
        </w:rPr>
        <w:t>计量单位是否跟国标一致</w:t>
      </w:r>
    </w:p>
    <w:p w14:paraId="4007C4EF">
      <w:pPr>
        <w:autoSpaceDE w:val="0"/>
        <w:autoSpaceDN w:val="0"/>
        <w:adjustRightInd w:val="0"/>
        <w:ind w:left="105" w:hanging="105" w:firstLineChars="0"/>
        <w:jc w:val="center"/>
        <w:rPr>
          <w:rFonts w:ascii="Times New Roman" w:hAnsi="Times New Roman"/>
          <w:kern w:val="0"/>
        </w:rPr>
      </w:pPr>
      <w:r>
        <w:rPr>
          <w:rFonts w:ascii="Times New Roman" w:hAnsi="Times New Roman"/>
          <w:kern w:val="0"/>
        </w:rPr>
        <w:drawing>
          <wp:inline distT="0" distB="0" distL="0" distR="0">
            <wp:extent cx="4796155" cy="2075815"/>
            <wp:effectExtent l="0" t="0" r="0" b="0"/>
            <wp:docPr id="105" name="图片 2"/>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796155" cy="2075815"/>
                    </a:xfrm>
                    <a:prstGeom prst="rect">
                      <a:avLst/>
                    </a:prstGeom>
                    <a:noFill/>
                    <a:ln>
                      <a:noFill/>
                    </a:ln>
                  </pic:spPr>
                </pic:pic>
              </a:graphicData>
            </a:graphic>
          </wp:inline>
        </w:drawing>
      </w:r>
    </w:p>
    <w:p w14:paraId="051ADD52">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图11.3.4   机柜设备布置示意图</w:t>
      </w:r>
    </w:p>
    <w:p w14:paraId="72A933C1">
      <w:pPr>
        <w:pStyle w:val="164"/>
        <w:numPr>
          <w:ilvl w:val="0"/>
          <w:numId w:val="103"/>
        </w:numPr>
        <w:spacing w:line="330" w:lineRule="exact"/>
        <w:ind w:left="0" w:firstLine="420"/>
        <w:rPr>
          <w:szCs w:val="21"/>
          <w:shd w:val="clear" w:color="auto" w:fill="FFFFFF"/>
        </w:rPr>
      </w:pPr>
      <w:r>
        <w:rPr>
          <w:szCs w:val="21"/>
          <w:shd w:val="clear" w:color="auto" w:fill="FFFFFF"/>
        </w:rPr>
        <w:t>室外架空电缆引下/入线应先经过避雷器后再引入机房设备。机房内的避雷器、机柜/箱、设备金属外壳、电缆金属护套（或屏蔽层）均应汇接在机房总接地母排上。前端机房的总接地装置接地电阻不应大于1Ω。</w:t>
      </w:r>
    </w:p>
    <w:p w14:paraId="60337051">
      <w:pPr>
        <w:pStyle w:val="164"/>
        <w:spacing w:before="100" w:after="100" w:line="330" w:lineRule="exact"/>
        <w:ind w:firstLine="0" w:firstLineChars="0"/>
        <w:rPr>
          <w:szCs w:val="21"/>
        </w:rPr>
      </w:pPr>
      <w:r>
        <w:rPr>
          <w:szCs w:val="21"/>
        </w:rPr>
        <w:t>11.3.5 传输部分安装应符合下列规定：</w:t>
      </w:r>
    </w:p>
    <w:p w14:paraId="3068C159">
      <w:pPr>
        <w:pStyle w:val="164"/>
        <w:numPr>
          <w:ilvl w:val="0"/>
          <w:numId w:val="104"/>
        </w:numPr>
        <w:spacing w:line="330" w:lineRule="exact"/>
        <w:ind w:left="0" w:firstLine="420"/>
        <w:rPr>
          <w:rFonts w:eastAsiaTheme="minorEastAsia"/>
        </w:rPr>
      </w:pPr>
      <w:r>
        <w:rPr>
          <w:rFonts w:eastAsiaTheme="minorEastAsia"/>
        </w:rPr>
        <w:t>有源设备的安装</w:t>
      </w:r>
      <w:r>
        <w:rPr>
          <w:szCs w:val="21"/>
        </w:rPr>
        <w:t>应符合下列规定</w:t>
      </w:r>
      <w:r>
        <w:rPr>
          <w:rFonts w:eastAsiaTheme="minorEastAsia"/>
        </w:rPr>
        <w:t>：</w:t>
      </w:r>
    </w:p>
    <w:p w14:paraId="3DCE38B7">
      <w:pPr>
        <w:pStyle w:val="164"/>
        <w:numPr>
          <w:ilvl w:val="0"/>
          <w:numId w:val="105"/>
        </w:numPr>
        <w:tabs>
          <w:tab w:val="left" w:pos="210"/>
          <w:tab w:val="left" w:pos="567"/>
        </w:tabs>
        <w:spacing w:line="330" w:lineRule="exact"/>
        <w:ind w:firstLine="630" w:firstLineChars="300"/>
        <w:rPr>
          <w:rFonts w:eastAsiaTheme="minorEastAsia"/>
          <w:szCs w:val="21"/>
        </w:rPr>
      </w:pPr>
      <w:r>
        <w:rPr>
          <w:rFonts w:eastAsiaTheme="minorEastAsia"/>
          <w:szCs w:val="21"/>
        </w:rPr>
        <w:t>电视电缆应通过电线杆架空。野外型放大器应吊装在电线杆上，或左右1m以内的地方，且应固定在</w:t>
      </w:r>
      <w:r>
        <w:rPr>
          <w:rFonts w:hint="eastAsia" w:eastAsiaTheme="minorEastAsia"/>
          <w:szCs w:val="21"/>
        </w:rPr>
        <w:t>电缆吊线</w:t>
      </w:r>
      <w:r>
        <w:rPr>
          <w:rFonts w:eastAsiaTheme="minorEastAsia"/>
          <w:szCs w:val="21"/>
        </w:rPr>
        <w:t>上。</w:t>
      </w:r>
      <w:r>
        <w:rPr>
          <w:rFonts w:hint="eastAsia" w:eastAsiaTheme="minorEastAsia"/>
          <w:szCs w:val="21"/>
        </w:rPr>
        <w:t>户外</w:t>
      </w:r>
      <w:r>
        <w:rPr>
          <w:rFonts w:eastAsiaTheme="minorEastAsia"/>
          <w:szCs w:val="21"/>
        </w:rPr>
        <w:t>放大器应采用密封橡皮垫圈防水密封，并采用散热良好的铸铝外壳，外壳的连接面宜采用网状金属高频屏蔽圈，保证良好与地接触，接插件要有良好的防水抗腐蚀性能，最外面采用橡皮套防水。不具备防水条件的放大器及其他器件</w:t>
      </w:r>
      <w:r>
        <w:rPr>
          <w:rFonts w:hint="eastAsia" w:eastAsiaTheme="minorEastAsia"/>
          <w:szCs w:val="21"/>
        </w:rPr>
        <w:t>应</w:t>
      </w:r>
      <w:r>
        <w:rPr>
          <w:rFonts w:eastAsiaTheme="minorEastAsia"/>
          <w:szCs w:val="21"/>
        </w:rPr>
        <w:t>安装在防水金属箱内。</w:t>
      </w:r>
    </w:p>
    <w:p w14:paraId="2B62A5F7">
      <w:pPr>
        <w:pStyle w:val="164"/>
        <w:numPr>
          <w:ilvl w:val="0"/>
          <w:numId w:val="105"/>
        </w:numPr>
        <w:tabs>
          <w:tab w:val="left" w:pos="210"/>
          <w:tab w:val="left" w:pos="567"/>
        </w:tabs>
        <w:spacing w:line="330" w:lineRule="exact"/>
        <w:ind w:firstLine="630" w:firstLineChars="300"/>
        <w:rPr>
          <w:rFonts w:eastAsiaTheme="minorEastAsia"/>
          <w:szCs w:val="21"/>
        </w:rPr>
      </w:pPr>
      <w:r>
        <w:rPr>
          <w:rFonts w:eastAsiaTheme="minorEastAsia"/>
          <w:szCs w:val="21"/>
        </w:rPr>
        <w:t>放大器箱内应留有检修电源。</w:t>
      </w:r>
    </w:p>
    <w:p w14:paraId="0285B446">
      <w:pPr>
        <w:pStyle w:val="164"/>
        <w:numPr>
          <w:ilvl w:val="0"/>
          <w:numId w:val="104"/>
        </w:numPr>
        <w:spacing w:line="330" w:lineRule="exact"/>
        <w:ind w:left="0" w:firstLine="420"/>
        <w:rPr>
          <w:rFonts w:eastAsiaTheme="minorEastAsia"/>
        </w:rPr>
      </w:pPr>
      <w:r>
        <w:rPr>
          <w:rFonts w:eastAsiaTheme="minorEastAsia"/>
        </w:rPr>
        <w:t>分支分配器的安装</w:t>
      </w:r>
      <w:r>
        <w:rPr>
          <w:szCs w:val="21"/>
        </w:rPr>
        <w:t>应符合下列规定</w:t>
      </w:r>
      <w:r>
        <w:rPr>
          <w:rFonts w:eastAsiaTheme="minorEastAsia"/>
        </w:rPr>
        <w:t>：</w:t>
      </w:r>
    </w:p>
    <w:p w14:paraId="5E61961A">
      <w:pPr>
        <w:pStyle w:val="164"/>
        <w:numPr>
          <w:ilvl w:val="0"/>
          <w:numId w:val="106"/>
        </w:numPr>
        <w:tabs>
          <w:tab w:val="left" w:pos="210"/>
          <w:tab w:val="left" w:pos="567"/>
        </w:tabs>
        <w:spacing w:line="330" w:lineRule="exact"/>
        <w:ind w:firstLine="630" w:firstLineChars="300"/>
        <w:rPr>
          <w:rFonts w:eastAsiaTheme="minorEastAsia"/>
          <w:szCs w:val="21"/>
        </w:rPr>
      </w:pPr>
      <w:r>
        <w:rPr>
          <w:rFonts w:eastAsiaTheme="minorEastAsia"/>
          <w:szCs w:val="21"/>
        </w:rPr>
        <w:t>分支分配器应安装在分支分配器箱内或放大器箱内，并用机螺丝固定在箱内配电板上；箱体尺寸应根据箱内设备的数量而定，箱体采用铁制，可装有单扇或双扇箱门，箱体内预留接地螺栓，箱内装有配电板。</w:t>
      </w:r>
    </w:p>
    <w:p w14:paraId="60C857E2">
      <w:pPr>
        <w:pStyle w:val="164"/>
        <w:numPr>
          <w:ilvl w:val="0"/>
          <w:numId w:val="106"/>
        </w:numPr>
        <w:tabs>
          <w:tab w:val="left" w:pos="210"/>
          <w:tab w:val="left" w:pos="567"/>
        </w:tabs>
        <w:spacing w:line="330" w:lineRule="exact"/>
        <w:ind w:firstLine="630" w:firstLineChars="300"/>
        <w:rPr>
          <w:rFonts w:eastAsiaTheme="minorEastAsia"/>
          <w:szCs w:val="21"/>
        </w:rPr>
      </w:pPr>
      <w:r>
        <w:rPr>
          <w:rFonts w:eastAsiaTheme="minorEastAsia"/>
          <w:szCs w:val="21"/>
        </w:rPr>
        <w:t>当需要安装在室外时，应采用防雨型设备，距地面不应＜2m；连接电缆的输入/输出口处，电缆应有滴水弯(即U型圈)。</w:t>
      </w:r>
    </w:p>
    <w:p w14:paraId="00E0744A">
      <w:pPr>
        <w:pStyle w:val="164"/>
        <w:numPr>
          <w:ilvl w:val="0"/>
          <w:numId w:val="106"/>
        </w:numPr>
        <w:tabs>
          <w:tab w:val="left" w:pos="210"/>
          <w:tab w:val="left" w:pos="567"/>
        </w:tabs>
        <w:spacing w:line="330" w:lineRule="exact"/>
        <w:ind w:firstLine="630" w:firstLineChars="300"/>
        <w:rPr>
          <w:rFonts w:eastAsiaTheme="minorEastAsia"/>
          <w:szCs w:val="21"/>
        </w:rPr>
      </w:pPr>
      <w:r>
        <w:rPr>
          <w:rFonts w:eastAsiaTheme="minorEastAsia"/>
          <w:szCs w:val="21"/>
        </w:rPr>
        <w:t>有线电视线及其专用F头连接插头应按如下方法</w:t>
      </w:r>
      <w:r>
        <w:rPr>
          <w:rFonts w:hint="eastAsia" w:eastAsiaTheme="minorEastAsia"/>
          <w:szCs w:val="21"/>
        </w:rPr>
        <w:t>连接</w:t>
      </w:r>
      <w:r>
        <w:rPr>
          <w:rFonts w:eastAsiaTheme="minorEastAsia"/>
          <w:szCs w:val="21"/>
        </w:rPr>
        <w:t>：将有线电视同轴电缆的铜芯剥出10mm～15mm。将固定环套入同轴电缆头内。将F头尾头插入同轴电缆的金属屏蔽网与内芯绝缘层间。用固定环在F头尾头处，用钳子压紧，将同轴电缆固定于F头上。将多余的铜芯线头剪掉（与F头螺母平面齐平）。如图11.3.5所示：</w:t>
      </w:r>
    </w:p>
    <w:p w14:paraId="3DD9DFAC">
      <w:pPr>
        <w:autoSpaceDE w:val="0"/>
        <w:autoSpaceDN w:val="0"/>
        <w:adjustRightInd w:val="0"/>
        <w:ind w:left="0" w:firstLine="420" w:firstLineChars="200"/>
        <w:jc w:val="center"/>
        <w:rPr>
          <w:rFonts w:ascii="Times New Roman" w:hAnsi="Times New Roman"/>
        </w:rPr>
      </w:pPr>
      <w:r>
        <w:rPr>
          <w:rFonts w:ascii="Times New Roman" w:hAnsi="Times New Roman"/>
        </w:rPr>
        <w:drawing>
          <wp:inline distT="0" distB="0" distL="0" distR="0">
            <wp:extent cx="2192020" cy="1673225"/>
            <wp:effectExtent l="0" t="0" r="17780" b="3175"/>
            <wp:docPr id="106" name="图片 106" descr="http://www.cnsmart.net/shome/hongyan/fl10.gif"/>
            <wp:cNvGraphicFramePr/>
            <a:graphic xmlns:a="http://schemas.openxmlformats.org/drawingml/2006/main">
              <a:graphicData uri="http://schemas.openxmlformats.org/drawingml/2006/picture">
                <pic:pic xmlns:pic="http://schemas.openxmlformats.org/drawingml/2006/picture">
                  <pic:nvPicPr>
                    <pic:cNvPr id="106" name="图片 106" descr="http://www.cnsmart.net/shome/hongyan/fl10.gif"/>
                    <pic:cNvPicPr>
                      <a:picLocks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2192020" cy="1673225"/>
                    </a:xfrm>
                    <a:prstGeom prst="rect">
                      <a:avLst/>
                    </a:prstGeom>
                    <a:noFill/>
                    <a:ln>
                      <a:noFill/>
                    </a:ln>
                  </pic:spPr>
                </pic:pic>
              </a:graphicData>
            </a:graphic>
          </wp:inline>
        </w:drawing>
      </w:r>
    </w:p>
    <w:p w14:paraId="6A66AA71">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图11.3.5   有线电视F头接法</w:t>
      </w:r>
    </w:p>
    <w:p w14:paraId="7FA59800">
      <w:pPr>
        <w:pStyle w:val="164"/>
        <w:spacing w:before="100" w:after="100" w:line="330" w:lineRule="exact"/>
        <w:ind w:firstLine="0" w:firstLineChars="0"/>
        <w:rPr>
          <w:szCs w:val="21"/>
        </w:rPr>
      </w:pPr>
      <w:r>
        <w:rPr>
          <w:szCs w:val="21"/>
        </w:rPr>
        <w:t>11.3.6 用户终端的安装应符合下列规定</w:t>
      </w:r>
      <w:r>
        <w:rPr>
          <w:rFonts w:eastAsiaTheme="minorEastAsia"/>
        </w:rPr>
        <w:t>：</w:t>
      </w:r>
    </w:p>
    <w:p w14:paraId="0EC527DF">
      <w:pPr>
        <w:pStyle w:val="164"/>
        <w:numPr>
          <w:ilvl w:val="0"/>
          <w:numId w:val="107"/>
        </w:numPr>
        <w:tabs>
          <w:tab w:val="left" w:pos="210"/>
          <w:tab w:val="left" w:pos="567"/>
        </w:tabs>
        <w:spacing w:line="330" w:lineRule="exact"/>
        <w:ind w:firstLine="630" w:firstLineChars="300"/>
        <w:rPr>
          <w:rFonts w:eastAsiaTheme="minorEastAsia"/>
          <w:szCs w:val="21"/>
        </w:rPr>
      </w:pPr>
      <w:r>
        <w:rPr>
          <w:rFonts w:eastAsiaTheme="minorEastAsia"/>
          <w:szCs w:val="21"/>
        </w:rPr>
        <w:t>应检查盒子口是否平整，暗盒的外口应与墙面齐平；盒子标高应</w:t>
      </w:r>
      <w:r>
        <w:rPr>
          <w:rFonts w:hint="eastAsia" w:eastAsiaTheme="minorEastAsia"/>
          <w:szCs w:val="21"/>
        </w:rPr>
        <w:t>满足设计要求</w:t>
      </w:r>
      <w:r>
        <w:rPr>
          <w:rFonts w:eastAsiaTheme="minorEastAsia"/>
          <w:szCs w:val="21"/>
        </w:rPr>
        <w:t>，电视用户终端插座</w:t>
      </w:r>
      <w:r>
        <w:rPr>
          <w:rFonts w:hint="eastAsia" w:eastAsiaTheme="minorEastAsia"/>
          <w:szCs w:val="21"/>
        </w:rPr>
        <w:t>应</w:t>
      </w:r>
      <w:r>
        <w:rPr>
          <w:rFonts w:eastAsiaTheme="minorEastAsia"/>
          <w:szCs w:val="21"/>
        </w:rPr>
        <w:t>距地面300mm，</w:t>
      </w:r>
      <w:r>
        <w:rPr>
          <w:rFonts w:hint="eastAsia" w:eastAsiaTheme="minorEastAsia"/>
          <w:szCs w:val="21"/>
        </w:rPr>
        <w:t>应</w:t>
      </w:r>
      <w:r>
        <w:rPr>
          <w:rFonts w:eastAsiaTheme="minorEastAsia"/>
          <w:szCs w:val="21"/>
        </w:rPr>
        <w:t>距强电插座水平距离500mm</w:t>
      </w:r>
      <w:r>
        <w:rPr>
          <w:rFonts w:hint="eastAsia" w:eastAsiaTheme="minorEastAsia"/>
          <w:szCs w:val="21"/>
        </w:rPr>
        <w:t>，</w:t>
      </w:r>
      <w:r>
        <w:rPr>
          <w:rFonts w:eastAsiaTheme="minorEastAsia"/>
          <w:szCs w:val="21"/>
        </w:rPr>
        <w:t>明装盒应牢固。</w:t>
      </w:r>
    </w:p>
    <w:p w14:paraId="3C9750D5">
      <w:pPr>
        <w:pStyle w:val="164"/>
        <w:numPr>
          <w:ilvl w:val="0"/>
          <w:numId w:val="107"/>
        </w:numPr>
        <w:tabs>
          <w:tab w:val="left" w:pos="210"/>
          <w:tab w:val="left" w:pos="567"/>
        </w:tabs>
        <w:spacing w:line="330" w:lineRule="exact"/>
        <w:ind w:firstLine="630" w:firstLineChars="300"/>
        <w:rPr>
          <w:rFonts w:eastAsiaTheme="minorEastAsia"/>
          <w:szCs w:val="21"/>
        </w:rPr>
      </w:pPr>
      <w:r>
        <w:rPr>
          <w:rFonts w:eastAsiaTheme="minorEastAsia"/>
          <w:szCs w:val="21"/>
        </w:rPr>
        <w:t>结线压接应先将盒内电缆接头剪成100</w:t>
      </w:r>
      <w:r>
        <w:rPr>
          <w:rFonts w:hint="eastAsia" w:eastAsiaTheme="minorEastAsia"/>
          <w:szCs w:val="21"/>
        </w:rPr>
        <w:t>mm</w:t>
      </w:r>
      <w:r>
        <w:rPr>
          <w:rFonts w:eastAsiaTheme="minorEastAsia"/>
          <w:szCs w:val="21"/>
        </w:rPr>
        <w:t>~150mm的长度，</w:t>
      </w:r>
      <w:r>
        <w:rPr>
          <w:rFonts w:hint="eastAsia" w:eastAsiaTheme="minorEastAsia"/>
          <w:szCs w:val="21"/>
        </w:rPr>
        <w:t>并将</w:t>
      </w:r>
      <w:r>
        <w:rPr>
          <w:rFonts w:eastAsiaTheme="minorEastAsia"/>
          <w:szCs w:val="21"/>
        </w:rPr>
        <w:t>25mm的电缆外绝缘护套剥去，再把外导线铜网打散，编成束，留出3mm的绝缘台和12mm芯线，将芯线压在端子，用Ω卡压牢铜网处。如图11.3.6所示：</w:t>
      </w:r>
    </w:p>
    <w:p w14:paraId="1404C569">
      <w:pPr>
        <w:pStyle w:val="164"/>
        <w:autoSpaceDE w:val="0"/>
        <w:autoSpaceDN w:val="0"/>
        <w:adjustRightInd w:val="0"/>
        <w:ind w:firstLine="0" w:firstLineChars="0"/>
        <w:jc w:val="center"/>
        <w:rPr>
          <w:kern w:val="0"/>
        </w:rPr>
      </w:pPr>
      <w:r>
        <w:drawing>
          <wp:inline distT="0" distB="0" distL="114300" distR="114300">
            <wp:extent cx="4174490" cy="2030095"/>
            <wp:effectExtent l="0" t="0" r="16510" b="8255"/>
            <wp:docPr id="107" name="图片 107" descr="ebec0532aeabc18bc168a931cdda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ebec0532aeabc18bc168a931cddadeb"/>
                    <pic:cNvPicPr>
                      <a:picLocks noChangeAspect="1"/>
                    </pic:cNvPicPr>
                  </pic:nvPicPr>
                  <pic:blipFill>
                    <a:blip r:embed="rId43"/>
                    <a:srcRect t="11882" b="5635"/>
                    <a:stretch>
                      <a:fillRect/>
                    </a:stretch>
                  </pic:blipFill>
                  <pic:spPr>
                    <a:xfrm>
                      <a:off x="0" y="0"/>
                      <a:ext cx="4174490" cy="2030095"/>
                    </a:xfrm>
                    <a:prstGeom prst="rect">
                      <a:avLst/>
                    </a:prstGeom>
                  </pic:spPr>
                </pic:pic>
              </a:graphicData>
            </a:graphic>
          </wp:inline>
        </w:drawing>
      </w:r>
    </w:p>
    <w:p w14:paraId="1616124E">
      <w:pPr>
        <w:spacing w:line="330" w:lineRule="exact"/>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 xml:space="preserve">图11.3.6  </w:t>
      </w:r>
      <w:r>
        <w:rPr>
          <w:rFonts w:ascii="Times New Roman" w:hAnsi="Times New Roman" w:eastAsiaTheme="minorEastAsia"/>
          <w:szCs w:val="21"/>
        </w:rPr>
        <w:t xml:space="preserve"> 用户终端压接图</w:t>
      </w:r>
    </w:p>
    <w:p w14:paraId="67C906E9">
      <w:pPr>
        <w:pStyle w:val="164"/>
        <w:numPr>
          <w:ilvl w:val="0"/>
          <w:numId w:val="107"/>
        </w:numPr>
        <w:tabs>
          <w:tab w:val="left" w:pos="210"/>
          <w:tab w:val="left" w:pos="567"/>
        </w:tabs>
        <w:spacing w:line="330" w:lineRule="exact"/>
        <w:ind w:firstLine="630" w:firstLineChars="300"/>
        <w:rPr>
          <w:rFonts w:eastAsiaTheme="minorEastAsia"/>
          <w:szCs w:val="21"/>
        </w:rPr>
      </w:pPr>
      <w:r>
        <w:rPr>
          <w:rFonts w:eastAsiaTheme="minorEastAsia"/>
          <w:szCs w:val="21"/>
        </w:rPr>
        <w:t>固定盒盖用户插座的阻抗应为75Ω，应用螺丝将面板固定。接收机至用户盒的连接线应采用阻抗为75Ω，屏蔽系数高的同轴电缆其长度不宜超过3m。</w:t>
      </w:r>
    </w:p>
    <w:p w14:paraId="261B0AE9">
      <w:pPr>
        <w:pStyle w:val="164"/>
        <w:spacing w:before="100" w:after="100" w:line="330" w:lineRule="exact"/>
        <w:ind w:firstLine="0" w:firstLineChars="0"/>
        <w:rPr>
          <w:szCs w:val="21"/>
        </w:rPr>
      </w:pPr>
      <w:r>
        <w:rPr>
          <w:szCs w:val="21"/>
        </w:rPr>
        <w:t>11.3.7 系统调试应符合下列规定：</w:t>
      </w:r>
    </w:p>
    <w:p w14:paraId="767E668E">
      <w:pPr>
        <w:pStyle w:val="164"/>
        <w:numPr>
          <w:ilvl w:val="0"/>
          <w:numId w:val="108"/>
        </w:numPr>
        <w:spacing w:line="330" w:lineRule="exact"/>
        <w:ind w:left="0" w:firstLine="420"/>
        <w:rPr>
          <w:rFonts w:eastAsiaTheme="minorEastAsia"/>
        </w:rPr>
      </w:pPr>
      <w:r>
        <w:rPr>
          <w:rFonts w:eastAsiaTheme="minorEastAsia"/>
        </w:rPr>
        <w:t>天线调试</w:t>
      </w:r>
      <w:r>
        <w:rPr>
          <w:szCs w:val="21"/>
        </w:rPr>
        <w:t>应符合下列规定：</w:t>
      </w:r>
    </w:p>
    <w:p w14:paraId="6A315496">
      <w:pPr>
        <w:pStyle w:val="164"/>
        <w:numPr>
          <w:ilvl w:val="0"/>
          <w:numId w:val="109"/>
        </w:numPr>
        <w:tabs>
          <w:tab w:val="left" w:pos="210"/>
          <w:tab w:val="left" w:pos="567"/>
        </w:tabs>
        <w:spacing w:line="330" w:lineRule="exact"/>
        <w:ind w:firstLine="630" w:firstLineChars="300"/>
        <w:rPr>
          <w:rFonts w:eastAsiaTheme="minorEastAsia"/>
          <w:szCs w:val="21"/>
        </w:rPr>
      </w:pPr>
      <w:r>
        <w:rPr>
          <w:rFonts w:eastAsiaTheme="minorEastAsia"/>
          <w:szCs w:val="21"/>
        </w:rPr>
        <w:t>开路天线架设完毕，应检查各接收频道的安装位置是否正常；卫星电视天线的俯仰和方位角的位置是否正常。</w:t>
      </w:r>
    </w:p>
    <w:p w14:paraId="0186FA34">
      <w:pPr>
        <w:pStyle w:val="164"/>
        <w:numPr>
          <w:ilvl w:val="0"/>
          <w:numId w:val="109"/>
        </w:numPr>
        <w:tabs>
          <w:tab w:val="left" w:pos="210"/>
          <w:tab w:val="left" w:pos="567"/>
        </w:tabs>
        <w:spacing w:line="330" w:lineRule="exact"/>
        <w:ind w:firstLine="630" w:firstLineChars="300"/>
        <w:rPr>
          <w:rFonts w:eastAsiaTheme="minorEastAsia"/>
          <w:szCs w:val="21"/>
        </w:rPr>
      </w:pPr>
      <w:r>
        <w:rPr>
          <w:rFonts w:eastAsiaTheme="minorEastAsia"/>
          <w:szCs w:val="21"/>
        </w:rPr>
        <w:t>应用场强仪测量天线接收信号的电平值，微调天线的方向，使场强仪的电平指示达到最大。电视图像品质和伴音应无重影、无雪花、无噪点。</w:t>
      </w:r>
    </w:p>
    <w:p w14:paraId="32394C19">
      <w:pPr>
        <w:pStyle w:val="164"/>
        <w:numPr>
          <w:ilvl w:val="0"/>
          <w:numId w:val="108"/>
        </w:numPr>
        <w:spacing w:line="330" w:lineRule="exact"/>
        <w:ind w:left="0" w:firstLine="420" w:firstLineChars="0"/>
        <w:rPr>
          <w:rFonts w:eastAsiaTheme="minorEastAsia"/>
          <w:szCs w:val="21"/>
        </w:rPr>
      </w:pPr>
      <w:r>
        <w:rPr>
          <w:rFonts w:eastAsiaTheme="minorEastAsia"/>
        </w:rPr>
        <w:t>前端设备</w:t>
      </w:r>
      <w:r>
        <w:rPr>
          <w:rFonts w:eastAsiaTheme="minorEastAsia"/>
          <w:szCs w:val="21"/>
        </w:rPr>
        <w:t>各频道的输出电平差在2dB以内，混合器的输出电平差应在±1dB，机房前置放大器（或干线放大器）的输出电平不宜大于100dB，相邻频道的电平差应保持±0.75dB以内，各频道间的电平差应保持±2dB以内。</w:t>
      </w:r>
    </w:p>
    <w:p w14:paraId="5B291F31">
      <w:pPr>
        <w:pStyle w:val="164"/>
        <w:spacing w:before="100" w:after="100" w:line="330" w:lineRule="exact"/>
        <w:ind w:firstLine="0" w:firstLineChars="0"/>
        <w:rPr>
          <w:szCs w:val="21"/>
        </w:rPr>
      </w:pPr>
      <w:r>
        <w:rPr>
          <w:szCs w:val="21"/>
        </w:rPr>
        <w:t>11.3.8 系统</w:t>
      </w:r>
      <w:r>
        <w:rPr>
          <w:rFonts w:hint="eastAsia"/>
          <w:szCs w:val="21"/>
        </w:rPr>
        <w:t>测试</w:t>
      </w:r>
      <w:r>
        <w:rPr>
          <w:szCs w:val="21"/>
        </w:rPr>
        <w:t>前应现场测试应符合下列规定：</w:t>
      </w:r>
    </w:p>
    <w:p w14:paraId="539E8469">
      <w:pPr>
        <w:pStyle w:val="164"/>
        <w:numPr>
          <w:ilvl w:val="0"/>
          <w:numId w:val="110"/>
        </w:numPr>
        <w:spacing w:line="330" w:lineRule="exact"/>
        <w:ind w:left="0" w:firstLine="420"/>
        <w:rPr>
          <w:szCs w:val="21"/>
          <w:shd w:val="clear" w:color="auto" w:fill="FFFFFF"/>
        </w:rPr>
      </w:pPr>
      <w:r>
        <w:rPr>
          <w:szCs w:val="21"/>
          <w:shd w:val="clear" w:color="auto" w:fill="FFFFFF"/>
        </w:rPr>
        <w:t>客观测试应测试卫星接收电视系统的接收频段、视频系统指标及音频系统指标，还应测量有线电视系统的终端输出电平。测试结果应满足设计要求。</w:t>
      </w:r>
    </w:p>
    <w:p w14:paraId="034A9DFE">
      <w:pPr>
        <w:pStyle w:val="164"/>
        <w:numPr>
          <w:ilvl w:val="0"/>
          <w:numId w:val="110"/>
        </w:numPr>
        <w:spacing w:line="330" w:lineRule="exact"/>
        <w:ind w:left="0" w:firstLine="420"/>
        <w:rPr>
          <w:rFonts w:eastAsiaTheme="minorEastAsia"/>
        </w:rPr>
      </w:pPr>
      <w:r>
        <w:rPr>
          <w:rFonts w:eastAsiaTheme="minorEastAsia"/>
        </w:rPr>
        <w:t>主观评价</w:t>
      </w:r>
      <w:r>
        <w:rPr>
          <w:szCs w:val="21"/>
        </w:rPr>
        <w:t>应符合下列规定：</w:t>
      </w:r>
    </w:p>
    <w:p w14:paraId="609BD7B0">
      <w:pPr>
        <w:pStyle w:val="164"/>
        <w:numPr>
          <w:ilvl w:val="0"/>
          <w:numId w:val="111"/>
        </w:numPr>
        <w:tabs>
          <w:tab w:val="left" w:pos="210"/>
          <w:tab w:val="left" w:pos="567"/>
        </w:tabs>
        <w:spacing w:line="330" w:lineRule="exact"/>
        <w:ind w:firstLine="630" w:firstLineChars="300"/>
        <w:rPr>
          <w:rFonts w:eastAsiaTheme="minorEastAsia"/>
          <w:szCs w:val="21"/>
        </w:rPr>
      </w:pPr>
      <w:r>
        <w:rPr>
          <w:rFonts w:eastAsiaTheme="minorEastAsia"/>
          <w:szCs w:val="21"/>
        </w:rPr>
        <w:t>模拟信号的有线电视系统主观评价应符合表11.3.8-1的规定</w:t>
      </w:r>
    </w:p>
    <w:p w14:paraId="55AE608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表11.3.8-1   模拟电视主要技术指标表</w:t>
      </w:r>
    </w:p>
    <w:tbl>
      <w:tblPr>
        <w:tblStyle w:val="42"/>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3817"/>
        <w:gridCol w:w="2075"/>
      </w:tblGrid>
      <w:tr w14:paraId="35DD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DBA8AA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序号</w:t>
            </w:r>
          </w:p>
        </w:tc>
        <w:tc>
          <w:tcPr>
            <w:tcW w:w="1701" w:type="dxa"/>
            <w:vAlign w:val="center"/>
          </w:tcPr>
          <w:p w14:paraId="1866714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项目名称</w:t>
            </w:r>
          </w:p>
        </w:tc>
        <w:tc>
          <w:tcPr>
            <w:tcW w:w="3817" w:type="dxa"/>
            <w:vAlign w:val="center"/>
          </w:tcPr>
          <w:p w14:paraId="2D1387C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测试频道</w:t>
            </w:r>
          </w:p>
        </w:tc>
        <w:tc>
          <w:tcPr>
            <w:tcW w:w="2075" w:type="dxa"/>
            <w:vAlign w:val="center"/>
          </w:tcPr>
          <w:p w14:paraId="614BD95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主观评测标准</w:t>
            </w:r>
          </w:p>
        </w:tc>
      </w:tr>
      <w:tr w14:paraId="1DD8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C7A143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w:t>
            </w:r>
          </w:p>
        </w:tc>
        <w:tc>
          <w:tcPr>
            <w:tcW w:w="1701" w:type="dxa"/>
            <w:vAlign w:val="center"/>
          </w:tcPr>
          <w:p w14:paraId="1266071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系统载噪比</w:t>
            </w:r>
          </w:p>
        </w:tc>
        <w:tc>
          <w:tcPr>
            <w:tcW w:w="3817" w:type="dxa"/>
            <w:vAlign w:val="center"/>
          </w:tcPr>
          <w:p w14:paraId="6F2A4B3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4494DC6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无噪波， 即无“雪花干扰”</w:t>
            </w:r>
          </w:p>
        </w:tc>
      </w:tr>
      <w:tr w14:paraId="2646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F85048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w:t>
            </w:r>
          </w:p>
        </w:tc>
        <w:tc>
          <w:tcPr>
            <w:tcW w:w="1701" w:type="dxa"/>
            <w:vAlign w:val="center"/>
          </w:tcPr>
          <w:p w14:paraId="4D0C6B0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载波互调比</w:t>
            </w:r>
          </w:p>
        </w:tc>
        <w:tc>
          <w:tcPr>
            <w:tcW w:w="3817" w:type="dxa"/>
            <w:vAlign w:val="center"/>
          </w:tcPr>
          <w:p w14:paraId="7072517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6CAC3A5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图像中无垂直、倾斜或水平条纹</w:t>
            </w:r>
          </w:p>
        </w:tc>
      </w:tr>
      <w:tr w14:paraId="1890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C3FDCC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w:t>
            </w:r>
          </w:p>
        </w:tc>
        <w:tc>
          <w:tcPr>
            <w:tcW w:w="1701" w:type="dxa"/>
            <w:vAlign w:val="center"/>
          </w:tcPr>
          <w:p w14:paraId="0905B3A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交扰调制比</w:t>
            </w:r>
          </w:p>
        </w:tc>
        <w:tc>
          <w:tcPr>
            <w:tcW w:w="3817" w:type="dxa"/>
            <w:vAlign w:val="center"/>
          </w:tcPr>
          <w:p w14:paraId="3AC9129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4ED9E77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图像中无移动、垂直或斜图案，即无“窜台”</w:t>
            </w:r>
          </w:p>
        </w:tc>
      </w:tr>
      <w:tr w14:paraId="41EB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3EFF0E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4</w:t>
            </w:r>
          </w:p>
        </w:tc>
        <w:tc>
          <w:tcPr>
            <w:tcW w:w="1701" w:type="dxa"/>
            <w:vAlign w:val="center"/>
          </w:tcPr>
          <w:p w14:paraId="26F8AF2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回波值</w:t>
            </w:r>
          </w:p>
        </w:tc>
        <w:tc>
          <w:tcPr>
            <w:tcW w:w="3817" w:type="dxa"/>
            <w:vAlign w:val="center"/>
          </w:tcPr>
          <w:p w14:paraId="2D63FC4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6FD10CF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图像中无沿水平方向分布在右边一条或多条轮廓线，即无“重影”</w:t>
            </w:r>
          </w:p>
        </w:tc>
      </w:tr>
      <w:tr w14:paraId="3042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53DEFE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w:t>
            </w:r>
          </w:p>
        </w:tc>
        <w:tc>
          <w:tcPr>
            <w:tcW w:w="1701" w:type="dxa"/>
            <w:vAlign w:val="center"/>
          </w:tcPr>
          <w:p w14:paraId="34294FC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色/亮度时延差</w:t>
            </w:r>
          </w:p>
        </w:tc>
        <w:tc>
          <w:tcPr>
            <w:tcW w:w="3817" w:type="dxa"/>
            <w:vAlign w:val="center"/>
          </w:tcPr>
          <w:p w14:paraId="2FE65D7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339D2FD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图像中色、 亮信息对齐，即无“彩色鬼影”</w:t>
            </w:r>
          </w:p>
        </w:tc>
      </w:tr>
      <w:tr w14:paraId="5D21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876C2C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6</w:t>
            </w:r>
          </w:p>
        </w:tc>
        <w:tc>
          <w:tcPr>
            <w:tcW w:w="1701" w:type="dxa"/>
            <w:vAlign w:val="center"/>
          </w:tcPr>
          <w:p w14:paraId="7F1C2556">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载波交流声</w:t>
            </w:r>
          </w:p>
        </w:tc>
        <w:tc>
          <w:tcPr>
            <w:tcW w:w="3817" w:type="dxa"/>
            <w:vAlign w:val="center"/>
          </w:tcPr>
          <w:p w14:paraId="75D13F9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77824F1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图像中无上下移动的水平条纹，即无“滚道”现象</w:t>
            </w:r>
          </w:p>
        </w:tc>
      </w:tr>
      <w:tr w14:paraId="5F41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89D234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7</w:t>
            </w:r>
          </w:p>
        </w:tc>
        <w:tc>
          <w:tcPr>
            <w:tcW w:w="1701" w:type="dxa"/>
            <w:vAlign w:val="center"/>
          </w:tcPr>
          <w:p w14:paraId="3F5FD72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伴音和调频广播的声音</w:t>
            </w:r>
          </w:p>
        </w:tc>
        <w:tc>
          <w:tcPr>
            <w:tcW w:w="3817" w:type="dxa"/>
            <w:vAlign w:val="center"/>
          </w:tcPr>
          <w:p w14:paraId="5ACDC40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系统总频道的10%且不少于5个，不足5个全检， 且分布于整个工作频段的高、中、低段</w:t>
            </w:r>
          </w:p>
        </w:tc>
        <w:tc>
          <w:tcPr>
            <w:tcW w:w="2075" w:type="dxa"/>
            <w:vAlign w:val="center"/>
          </w:tcPr>
          <w:p w14:paraId="22E5A6E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无背景噪声，如咝咝声、哼声、蜂鸣声和串音等</w:t>
            </w:r>
          </w:p>
        </w:tc>
      </w:tr>
    </w:tbl>
    <w:p w14:paraId="693C344E">
      <w:pPr>
        <w:pStyle w:val="164"/>
        <w:numPr>
          <w:ilvl w:val="0"/>
          <w:numId w:val="111"/>
        </w:numPr>
        <w:tabs>
          <w:tab w:val="left" w:pos="210"/>
          <w:tab w:val="left" w:pos="567"/>
        </w:tabs>
        <w:spacing w:line="330" w:lineRule="exact"/>
        <w:ind w:firstLine="630" w:firstLineChars="300"/>
        <w:rPr>
          <w:rFonts w:eastAsiaTheme="minorEastAsia"/>
          <w:szCs w:val="21"/>
        </w:rPr>
      </w:pPr>
      <w:r>
        <w:rPr>
          <w:rFonts w:eastAsiaTheme="minorEastAsia"/>
          <w:szCs w:val="21"/>
        </w:rPr>
        <w:t>图像质量的主观评价应符合表11.3.8-2的规定</w:t>
      </w:r>
    </w:p>
    <w:p w14:paraId="45AF870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表11.3.8-2   图像质量主观评价评分表</w:t>
      </w:r>
    </w:p>
    <w:tbl>
      <w:tblPr>
        <w:tblStyle w:val="42"/>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9"/>
      </w:tblGrid>
      <w:tr w14:paraId="72BC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79DCDB1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评分值(等级)</w:t>
            </w:r>
          </w:p>
        </w:tc>
        <w:tc>
          <w:tcPr>
            <w:tcW w:w="4149" w:type="dxa"/>
            <w:vAlign w:val="center"/>
          </w:tcPr>
          <w:p w14:paraId="28CD9AE8">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图像质量主观评价</w:t>
            </w:r>
          </w:p>
        </w:tc>
      </w:tr>
      <w:tr w14:paraId="3F0F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469B8AD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5分(优)</w:t>
            </w:r>
          </w:p>
        </w:tc>
        <w:tc>
          <w:tcPr>
            <w:tcW w:w="4149" w:type="dxa"/>
            <w:vAlign w:val="center"/>
          </w:tcPr>
          <w:p w14:paraId="58292F7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图像质量极佳，十分满意</w:t>
            </w:r>
          </w:p>
        </w:tc>
      </w:tr>
      <w:tr w14:paraId="3D02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5EC933E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4分(良)</w:t>
            </w:r>
          </w:p>
        </w:tc>
        <w:tc>
          <w:tcPr>
            <w:tcW w:w="4149" w:type="dxa"/>
            <w:vAlign w:val="center"/>
          </w:tcPr>
          <w:p w14:paraId="67DA4E8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图像质量好，比较满意</w:t>
            </w:r>
          </w:p>
        </w:tc>
      </w:tr>
      <w:tr w14:paraId="2596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2E8B4D4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3分(中)</w:t>
            </w:r>
          </w:p>
        </w:tc>
        <w:tc>
          <w:tcPr>
            <w:tcW w:w="4149" w:type="dxa"/>
            <w:vAlign w:val="center"/>
          </w:tcPr>
          <w:p w14:paraId="311FA1F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图像质量一般，尚可接受</w:t>
            </w:r>
          </w:p>
        </w:tc>
      </w:tr>
      <w:tr w14:paraId="25BC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0C2B665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2分(差)</w:t>
            </w:r>
          </w:p>
        </w:tc>
        <w:tc>
          <w:tcPr>
            <w:tcW w:w="4149" w:type="dxa"/>
            <w:vAlign w:val="center"/>
          </w:tcPr>
          <w:p w14:paraId="7802FD4F">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图像质量差，勉强能看</w:t>
            </w:r>
          </w:p>
        </w:tc>
      </w:tr>
      <w:tr w14:paraId="77B5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55FB089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1分(劣)</w:t>
            </w:r>
          </w:p>
        </w:tc>
        <w:tc>
          <w:tcPr>
            <w:tcW w:w="4149" w:type="dxa"/>
            <w:vAlign w:val="center"/>
          </w:tcPr>
          <w:p w14:paraId="1A84E797">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图像质量低劣，无法看清</w:t>
            </w:r>
          </w:p>
        </w:tc>
      </w:tr>
    </w:tbl>
    <w:p w14:paraId="15D27C16">
      <w:pPr>
        <w:pStyle w:val="164"/>
        <w:numPr>
          <w:ilvl w:val="0"/>
          <w:numId w:val="111"/>
        </w:numPr>
        <w:tabs>
          <w:tab w:val="left" w:pos="210"/>
          <w:tab w:val="left" w:pos="567"/>
        </w:tabs>
        <w:spacing w:line="330" w:lineRule="exact"/>
        <w:ind w:firstLine="630" w:firstLineChars="300"/>
        <w:rPr>
          <w:rFonts w:eastAsiaTheme="minorEastAsia"/>
          <w:szCs w:val="21"/>
        </w:rPr>
      </w:pPr>
      <w:r>
        <w:rPr>
          <w:rFonts w:eastAsiaTheme="minorEastAsia"/>
        </w:rPr>
        <w:t>数字信号的有线电视系统</w:t>
      </w:r>
      <w:r>
        <w:rPr>
          <w:rFonts w:hint="eastAsia" w:eastAsiaTheme="minorEastAsia"/>
        </w:rPr>
        <w:t>的</w:t>
      </w:r>
      <w:r>
        <w:rPr>
          <w:rFonts w:eastAsiaTheme="minorEastAsia"/>
        </w:rPr>
        <w:t>主观评价应符合表11.3.8-3的规定</w:t>
      </w:r>
    </w:p>
    <w:p w14:paraId="5BA8EA7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 xml:space="preserve">表11.3.8-3   数字信号的有线电视系统主观评价的项目和要求 </w:t>
      </w:r>
    </w:p>
    <w:tbl>
      <w:tblPr>
        <w:tblStyle w:val="41"/>
        <w:tblW w:w="8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6459"/>
      </w:tblGrid>
      <w:tr w14:paraId="4696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7A37003C">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项目</w:t>
            </w:r>
          </w:p>
        </w:tc>
        <w:tc>
          <w:tcPr>
            <w:tcW w:w="6459" w:type="dxa"/>
            <w:vAlign w:val="center"/>
          </w:tcPr>
          <w:p w14:paraId="2B11026C">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技术要求</w:t>
            </w:r>
          </w:p>
        </w:tc>
      </w:tr>
      <w:tr w14:paraId="6D0F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1DF2222B">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图像质量</w:t>
            </w:r>
          </w:p>
        </w:tc>
        <w:tc>
          <w:tcPr>
            <w:tcW w:w="6459" w:type="dxa"/>
            <w:vAlign w:val="center"/>
          </w:tcPr>
          <w:p w14:paraId="6D158158">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图像清晰，色彩鲜艳，无马赛克或图像停顿</w:t>
            </w:r>
          </w:p>
        </w:tc>
      </w:tr>
      <w:tr w14:paraId="6380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1772353A">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声音质量</w:t>
            </w:r>
          </w:p>
        </w:tc>
        <w:tc>
          <w:tcPr>
            <w:tcW w:w="6459" w:type="dxa"/>
            <w:vAlign w:val="center"/>
          </w:tcPr>
          <w:p w14:paraId="1370A540">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对白清晰，音质无明显失真，不应出现明显的噪声和杂音</w:t>
            </w:r>
          </w:p>
        </w:tc>
      </w:tr>
      <w:tr w14:paraId="4EE3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49D93C3C">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唇音同步</w:t>
            </w:r>
          </w:p>
        </w:tc>
        <w:tc>
          <w:tcPr>
            <w:tcW w:w="6459" w:type="dxa"/>
            <w:vAlign w:val="center"/>
          </w:tcPr>
          <w:p w14:paraId="2DE89686">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无明显的图像滞后或超前于声音的现象</w:t>
            </w:r>
          </w:p>
        </w:tc>
      </w:tr>
      <w:tr w14:paraId="3B05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05C6FBFE">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节目频道切换</w:t>
            </w:r>
          </w:p>
        </w:tc>
        <w:tc>
          <w:tcPr>
            <w:tcW w:w="6459" w:type="dxa"/>
            <w:vAlign w:val="center"/>
          </w:tcPr>
          <w:p w14:paraId="3DBDF24D">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节目频道切换时不能出现严重的马赛克或长时间黑屏现象;节目切换平均等待时间应＜2. 5s,最大不应超过3. 5s</w:t>
            </w:r>
          </w:p>
        </w:tc>
      </w:tr>
      <w:tr w14:paraId="054D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53C96A47">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字幕</w:t>
            </w:r>
          </w:p>
        </w:tc>
        <w:tc>
          <w:tcPr>
            <w:tcW w:w="6459" w:type="dxa"/>
            <w:vAlign w:val="center"/>
          </w:tcPr>
          <w:p w14:paraId="70FF1822">
            <w:pPr>
              <w:autoSpaceDE w:val="0"/>
              <w:autoSpaceDN w:val="0"/>
              <w:adjustRightInd w:val="0"/>
              <w:snapToGrid w:val="0"/>
              <w:spacing w:line="330" w:lineRule="exact"/>
              <w:ind w:left="0" w:firstLine="0" w:firstLineChars="0"/>
              <w:jc w:val="center"/>
              <w:rPr>
                <w:rFonts w:ascii="Times New Roman" w:hAnsi="Times New Roman"/>
                <w:kern w:val="0"/>
                <w:sz w:val="18"/>
                <w:szCs w:val="18"/>
              </w:rPr>
            </w:pPr>
            <w:r>
              <w:rPr>
                <w:rFonts w:ascii="Times New Roman" w:hAnsi="Times New Roman"/>
                <w:kern w:val="0"/>
                <w:sz w:val="18"/>
                <w:szCs w:val="18"/>
              </w:rPr>
              <w:t>清晰，可识别</w:t>
            </w:r>
          </w:p>
        </w:tc>
      </w:tr>
    </w:tbl>
    <w:p w14:paraId="10951F65">
      <w:pPr>
        <w:pStyle w:val="3"/>
        <w:spacing w:before="240" w:after="120" w:afterLines="50" w:line="330" w:lineRule="exact"/>
        <w:rPr>
          <w:rFonts w:eastAsia="黑体"/>
          <w:b w:val="0"/>
          <w:bCs w:val="0"/>
          <w:sz w:val="21"/>
          <w:szCs w:val="21"/>
          <w:lang w:val="en-US"/>
        </w:rPr>
      </w:pPr>
      <w:bookmarkStart w:id="81" w:name="_Toc182487959"/>
      <w:r>
        <w:rPr>
          <w:rFonts w:eastAsia="黑体"/>
          <w:b w:val="0"/>
          <w:bCs w:val="0"/>
          <w:sz w:val="21"/>
          <w:szCs w:val="21"/>
          <w:lang w:val="en-US"/>
        </w:rPr>
        <w:t>11.4 质量记录</w:t>
      </w:r>
      <w:bookmarkEnd w:id="81"/>
    </w:p>
    <w:p w14:paraId="43E21BF1">
      <w:pPr>
        <w:ind w:left="105" w:hanging="105"/>
        <w:rPr>
          <w:rFonts w:ascii="Times New Roman" w:hAnsi="Times New Roman"/>
        </w:rPr>
      </w:pPr>
      <w:r>
        <w:rPr>
          <w:rFonts w:ascii="Times New Roman" w:hAnsi="Times New Roman"/>
        </w:rPr>
        <w:t>11.4.1 质量记录应包含下列内容：</w:t>
      </w:r>
    </w:p>
    <w:p w14:paraId="5456B382">
      <w:pPr>
        <w:spacing w:before="100" w:after="100" w:line="330" w:lineRule="exact"/>
        <w:ind w:left="0"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 xml:space="preserve"> 设备的合格证、质量检验报告、3C认证证书、产品技术说明书和技术资料。</w:t>
      </w:r>
    </w:p>
    <w:p w14:paraId="1D315C98">
      <w:pPr>
        <w:pStyle w:val="164"/>
        <w:spacing w:before="100" w:after="100" w:line="330" w:lineRule="exact"/>
        <w:ind w:firstLine="422"/>
        <w:rPr>
          <w:szCs w:val="21"/>
        </w:rPr>
      </w:pPr>
      <w:r>
        <w:rPr>
          <w:b/>
          <w:bCs/>
          <w:szCs w:val="21"/>
        </w:rPr>
        <w:t>2</w:t>
      </w:r>
      <w:r>
        <w:rPr>
          <w:szCs w:val="21"/>
        </w:rPr>
        <w:t xml:space="preserve"> 材料、构配件进场检验记录。</w:t>
      </w:r>
    </w:p>
    <w:p w14:paraId="09B9E8F2">
      <w:pPr>
        <w:pStyle w:val="164"/>
        <w:spacing w:before="100" w:after="100" w:line="330" w:lineRule="exact"/>
        <w:ind w:firstLine="422"/>
        <w:rPr>
          <w:szCs w:val="21"/>
        </w:rPr>
      </w:pPr>
      <w:r>
        <w:rPr>
          <w:b/>
          <w:bCs/>
          <w:szCs w:val="21"/>
        </w:rPr>
        <w:t>3</w:t>
      </w:r>
      <w:r>
        <w:rPr>
          <w:szCs w:val="21"/>
        </w:rPr>
        <w:t xml:space="preserve"> 隐蔽工程检验记录。</w:t>
      </w:r>
    </w:p>
    <w:p w14:paraId="3C2A4875">
      <w:pPr>
        <w:pStyle w:val="164"/>
        <w:spacing w:before="100" w:after="100" w:line="330" w:lineRule="exact"/>
        <w:ind w:firstLine="422"/>
        <w:rPr>
          <w:szCs w:val="21"/>
        </w:rPr>
      </w:pPr>
      <w:r>
        <w:rPr>
          <w:b/>
          <w:bCs/>
          <w:szCs w:val="21"/>
        </w:rPr>
        <w:t>4</w:t>
      </w:r>
      <w:r>
        <w:rPr>
          <w:szCs w:val="21"/>
        </w:rPr>
        <w:t xml:space="preserve"> 工程安装质量及观感质量检查记录。</w:t>
      </w:r>
    </w:p>
    <w:p w14:paraId="3D2A815A">
      <w:pPr>
        <w:pStyle w:val="164"/>
        <w:spacing w:before="100" w:after="100" w:line="330" w:lineRule="exact"/>
        <w:ind w:firstLine="422"/>
        <w:rPr>
          <w:szCs w:val="21"/>
        </w:rPr>
      </w:pPr>
      <w:r>
        <w:rPr>
          <w:b/>
          <w:bCs/>
          <w:szCs w:val="21"/>
        </w:rPr>
        <w:t>5</w:t>
      </w:r>
      <w:r>
        <w:rPr>
          <w:szCs w:val="21"/>
        </w:rPr>
        <w:t xml:space="preserve"> 系统调试及试运行记录。</w:t>
      </w:r>
    </w:p>
    <w:p w14:paraId="22B13329">
      <w:pPr>
        <w:ind w:left="105" w:hanging="105"/>
        <w:rPr>
          <w:rFonts w:ascii="Times New Roman" w:hAnsi="Times New Roman"/>
        </w:rPr>
      </w:pPr>
    </w:p>
    <w:p w14:paraId="03048118">
      <w:pPr>
        <w:ind w:left="105" w:hanging="105"/>
        <w:rPr>
          <w:rFonts w:ascii="Times New Roman" w:hAnsi="Times New Roman"/>
        </w:rPr>
      </w:pPr>
    </w:p>
    <w:p w14:paraId="5ED916FC">
      <w:pPr>
        <w:ind w:left="105" w:hanging="105"/>
        <w:rPr>
          <w:rFonts w:ascii="Times New Roman" w:hAnsi="Times New Roman"/>
        </w:rPr>
      </w:pPr>
    </w:p>
    <w:p w14:paraId="4953B444">
      <w:pPr>
        <w:ind w:left="0" w:firstLine="0" w:firstLineChars="0"/>
        <w:rPr>
          <w:rFonts w:ascii="Times New Roman" w:hAnsi="Times New Roman"/>
        </w:rPr>
      </w:pPr>
    </w:p>
    <w:p w14:paraId="2B3762B4">
      <w:pPr>
        <w:ind w:left="0" w:firstLine="0" w:firstLineChars="0"/>
        <w:rPr>
          <w:rFonts w:ascii="Times New Roman" w:hAnsi="Times New Roman"/>
        </w:rPr>
      </w:pPr>
    </w:p>
    <w:p w14:paraId="06D2709B">
      <w:pPr>
        <w:ind w:left="0" w:firstLine="0" w:firstLineChars="0"/>
        <w:rPr>
          <w:rFonts w:ascii="Times New Roman" w:hAnsi="Times New Roman"/>
        </w:rPr>
      </w:pPr>
    </w:p>
    <w:p w14:paraId="6A1D96CB">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0DD4E0C1">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82" w:name="_Toc182487960"/>
      <w:r>
        <w:rPr>
          <w:rFonts w:ascii="Times New Roman" w:hAnsi="Times New Roman" w:eastAsia="黑体"/>
          <w:bCs/>
          <w:sz w:val="28"/>
          <w:szCs w:val="28"/>
        </w:rPr>
        <w:t>12 广播系统</w:t>
      </w:r>
      <w:bookmarkEnd w:id="82"/>
    </w:p>
    <w:p w14:paraId="3ABF013D">
      <w:pPr>
        <w:pStyle w:val="3"/>
        <w:spacing w:before="240" w:after="120" w:afterLines="50" w:line="330" w:lineRule="exact"/>
        <w:rPr>
          <w:rFonts w:eastAsia="黑体"/>
          <w:b w:val="0"/>
          <w:bCs w:val="0"/>
          <w:sz w:val="21"/>
          <w:szCs w:val="21"/>
        </w:rPr>
      </w:pPr>
      <w:bookmarkStart w:id="83" w:name="_Toc182487961"/>
      <w:r>
        <w:rPr>
          <w:rFonts w:eastAsia="黑体"/>
          <w:b w:val="0"/>
          <w:bCs w:val="0"/>
          <w:sz w:val="21"/>
          <w:szCs w:val="21"/>
          <w:lang w:val="en-US"/>
        </w:rPr>
        <w:t xml:space="preserve">12.1 </w:t>
      </w:r>
      <w:r>
        <w:rPr>
          <w:rFonts w:eastAsia="黑体"/>
          <w:b w:val="0"/>
          <w:bCs w:val="0"/>
          <w:sz w:val="21"/>
          <w:szCs w:val="21"/>
        </w:rPr>
        <w:t>一般规定</w:t>
      </w:r>
      <w:bookmarkEnd w:id="83"/>
    </w:p>
    <w:p w14:paraId="4C9F52AF">
      <w:pPr>
        <w:pStyle w:val="164"/>
        <w:numPr>
          <w:ilvl w:val="0"/>
          <w:numId w:val="1"/>
        </w:numPr>
        <w:spacing w:line="330" w:lineRule="exact"/>
        <w:ind w:firstLineChars="0"/>
        <w:rPr>
          <w:rFonts w:eastAsiaTheme="minorEastAsia"/>
          <w:vanish/>
          <w:szCs w:val="21"/>
        </w:rPr>
      </w:pPr>
    </w:p>
    <w:p w14:paraId="1733CF08">
      <w:pPr>
        <w:pStyle w:val="164"/>
        <w:numPr>
          <w:ilvl w:val="1"/>
          <w:numId w:val="1"/>
        </w:numPr>
        <w:spacing w:line="330" w:lineRule="exact"/>
        <w:ind w:firstLineChars="0"/>
        <w:rPr>
          <w:rFonts w:eastAsiaTheme="minorEastAsia"/>
          <w:vanish/>
          <w:szCs w:val="21"/>
        </w:rPr>
      </w:pPr>
    </w:p>
    <w:p w14:paraId="399A1603">
      <w:pPr>
        <w:pStyle w:val="164"/>
        <w:numPr>
          <w:ilvl w:val="1"/>
          <w:numId w:val="1"/>
        </w:numPr>
        <w:spacing w:line="330" w:lineRule="exact"/>
        <w:ind w:firstLineChars="0"/>
        <w:rPr>
          <w:rFonts w:eastAsiaTheme="minorEastAsia"/>
          <w:vanish/>
          <w:szCs w:val="21"/>
        </w:rPr>
      </w:pPr>
    </w:p>
    <w:p w14:paraId="674B3C17">
      <w:pPr>
        <w:pStyle w:val="164"/>
        <w:spacing w:before="100" w:after="100" w:line="330" w:lineRule="exact"/>
        <w:ind w:firstLine="0" w:firstLineChars="0"/>
        <w:rPr>
          <w:szCs w:val="21"/>
        </w:rPr>
      </w:pPr>
      <w:r>
        <w:rPr>
          <w:szCs w:val="21"/>
        </w:rPr>
        <w:t>12.1.1 本章适用于广播系统的工程实施、质量控制及系统检测。</w:t>
      </w:r>
    </w:p>
    <w:p w14:paraId="4C4D37BD">
      <w:pPr>
        <w:pStyle w:val="164"/>
        <w:spacing w:before="100" w:after="100" w:line="330" w:lineRule="exact"/>
        <w:ind w:firstLine="0" w:firstLineChars="0"/>
        <w:rPr>
          <w:szCs w:val="21"/>
        </w:rPr>
      </w:pPr>
      <w:r>
        <w:rPr>
          <w:szCs w:val="21"/>
        </w:rPr>
        <w:t>12.1.2在条件许可时，可与其它系统协商共用杆路、线缆、管道。</w:t>
      </w:r>
    </w:p>
    <w:p w14:paraId="49603164">
      <w:pPr>
        <w:pStyle w:val="3"/>
        <w:spacing w:before="240" w:after="120" w:afterLines="50" w:line="330" w:lineRule="exact"/>
        <w:rPr>
          <w:rFonts w:eastAsia="黑体"/>
          <w:b w:val="0"/>
          <w:bCs w:val="0"/>
          <w:sz w:val="21"/>
          <w:szCs w:val="21"/>
          <w:lang w:val="en-US"/>
        </w:rPr>
      </w:pPr>
      <w:bookmarkStart w:id="84" w:name="_Toc182487962"/>
      <w:r>
        <w:rPr>
          <w:rFonts w:eastAsia="黑体"/>
          <w:b w:val="0"/>
          <w:bCs w:val="0"/>
          <w:sz w:val="21"/>
          <w:szCs w:val="21"/>
          <w:lang w:val="en-US"/>
        </w:rPr>
        <w:t>12.2 施工准备</w:t>
      </w:r>
      <w:bookmarkEnd w:id="84"/>
    </w:p>
    <w:p w14:paraId="0A539A1B">
      <w:pPr>
        <w:pStyle w:val="164"/>
        <w:numPr>
          <w:ilvl w:val="1"/>
          <w:numId w:val="1"/>
        </w:numPr>
        <w:spacing w:line="330" w:lineRule="exact"/>
        <w:ind w:firstLineChars="0"/>
        <w:rPr>
          <w:rFonts w:eastAsiaTheme="minorEastAsia"/>
          <w:vanish/>
          <w:szCs w:val="21"/>
        </w:rPr>
      </w:pPr>
    </w:p>
    <w:p w14:paraId="444BA9F1">
      <w:pPr>
        <w:pStyle w:val="164"/>
        <w:spacing w:before="10" w:after="10" w:line="330" w:lineRule="exact"/>
        <w:ind w:firstLine="0" w:firstLineChars="0"/>
        <w:rPr>
          <w:szCs w:val="21"/>
        </w:rPr>
      </w:pPr>
      <w:r>
        <w:rPr>
          <w:szCs w:val="21"/>
        </w:rPr>
        <w:t>12.2.1 主要材料</w:t>
      </w:r>
      <w:r>
        <w:rPr>
          <w:rFonts w:hint="eastAsia"/>
          <w:szCs w:val="21"/>
        </w:rPr>
        <w:t>有服务器、扩音器、麦克风等，并</w:t>
      </w:r>
      <w:r>
        <w:rPr>
          <w:szCs w:val="21"/>
        </w:rPr>
        <w:t>应符合下列规定：</w:t>
      </w:r>
    </w:p>
    <w:p w14:paraId="25C35BDE">
      <w:pPr>
        <w:pStyle w:val="164"/>
        <w:numPr>
          <w:ilvl w:val="0"/>
          <w:numId w:val="112"/>
        </w:numPr>
        <w:spacing w:before="10" w:after="10" w:line="330" w:lineRule="exact"/>
        <w:ind w:left="0" w:firstLine="420"/>
        <w:rPr>
          <w:rFonts w:eastAsiaTheme="minorEastAsia"/>
        </w:rPr>
      </w:pPr>
      <w:r>
        <w:rPr>
          <w:rFonts w:eastAsiaTheme="minorEastAsia"/>
        </w:rPr>
        <w:t xml:space="preserve">公共广播所使用的设备应通过3C认证。 </w:t>
      </w:r>
    </w:p>
    <w:p w14:paraId="52A81AE8">
      <w:pPr>
        <w:pStyle w:val="164"/>
        <w:numPr>
          <w:ilvl w:val="0"/>
          <w:numId w:val="112"/>
        </w:numPr>
        <w:spacing w:before="10" w:after="10" w:line="330" w:lineRule="exact"/>
        <w:ind w:left="0" w:firstLine="420"/>
        <w:rPr>
          <w:rFonts w:eastAsiaTheme="minorEastAsia"/>
        </w:rPr>
      </w:pPr>
      <w:r>
        <w:rPr>
          <w:rFonts w:eastAsiaTheme="minorEastAsia"/>
        </w:rPr>
        <w:t xml:space="preserve">施工所用产品及耗材应有产品合格证和检测报告。 </w:t>
      </w:r>
    </w:p>
    <w:p w14:paraId="161D0628">
      <w:pPr>
        <w:pStyle w:val="164"/>
        <w:numPr>
          <w:ilvl w:val="0"/>
          <w:numId w:val="112"/>
        </w:numPr>
        <w:spacing w:before="10" w:after="10" w:line="330" w:lineRule="exact"/>
        <w:ind w:left="0" w:firstLine="420"/>
        <w:rPr>
          <w:rFonts w:eastAsiaTheme="minorEastAsia"/>
        </w:rPr>
      </w:pPr>
      <w:r>
        <w:rPr>
          <w:rFonts w:eastAsiaTheme="minorEastAsia"/>
        </w:rPr>
        <w:t>电缆应根据设计要求选用:客房服务性广播线路宜采用铜芯多芯电缆或铜芯塑料绞合线。其它广播线路宜采用铜芯塑料绞合线。各种节目信号线应采用屏蔽线。火灾事故广播线路应采用阻燃型铜芯电缆或耐火型铜芯电线电缆。</w:t>
      </w:r>
    </w:p>
    <w:p w14:paraId="7281F822">
      <w:pPr>
        <w:pStyle w:val="164"/>
        <w:numPr>
          <w:ilvl w:val="255"/>
          <w:numId w:val="0"/>
        </w:numPr>
        <w:spacing w:before="10" w:after="10" w:line="330" w:lineRule="exact"/>
        <w:rPr>
          <w:rFonts w:eastAsiaTheme="minorEastAsia"/>
        </w:rPr>
      </w:pPr>
      <w:r>
        <w:rPr>
          <w:szCs w:val="21"/>
        </w:rPr>
        <w:t>12.2.2 主要机具</w:t>
      </w:r>
      <w:r>
        <w:rPr>
          <w:rFonts w:hint="eastAsia"/>
          <w:szCs w:val="21"/>
        </w:rPr>
        <w:t>有</w:t>
      </w:r>
      <w:r>
        <w:rPr>
          <w:rFonts w:eastAsiaTheme="minorEastAsia"/>
        </w:rPr>
        <w:t>手电钻、冲击钻、克丝钳子、剥线钳、电工刀、电烙铁、一字改锥、十字改锥、尖嘴钳、偏口钳、万用表、工具袋、梯子、水平尺、拉线、500V摇表、线坠。</w:t>
      </w:r>
    </w:p>
    <w:p w14:paraId="7F1914C0">
      <w:pPr>
        <w:pStyle w:val="164"/>
        <w:spacing w:before="10" w:after="10" w:line="330" w:lineRule="exact"/>
        <w:ind w:firstLine="0" w:firstLineChars="0"/>
        <w:rPr>
          <w:szCs w:val="21"/>
        </w:rPr>
      </w:pPr>
      <w:r>
        <w:rPr>
          <w:szCs w:val="21"/>
        </w:rPr>
        <w:t>12.2.3 作业条件应符合下列规定：</w:t>
      </w:r>
    </w:p>
    <w:p w14:paraId="003E193E">
      <w:pPr>
        <w:pStyle w:val="164"/>
        <w:numPr>
          <w:ilvl w:val="0"/>
          <w:numId w:val="113"/>
        </w:numPr>
        <w:spacing w:before="10" w:after="10" w:line="330" w:lineRule="exact"/>
        <w:ind w:left="0" w:firstLine="420"/>
        <w:rPr>
          <w:rFonts w:eastAsiaTheme="minorEastAsia"/>
        </w:rPr>
      </w:pPr>
      <w:r>
        <w:rPr>
          <w:rFonts w:eastAsiaTheme="minorEastAsia"/>
        </w:rPr>
        <w:t>机房内土建工程应内装修完毕，门、窗、门锁装配齐全完整。</w:t>
      </w:r>
    </w:p>
    <w:p w14:paraId="695B0D01">
      <w:pPr>
        <w:pStyle w:val="164"/>
        <w:numPr>
          <w:ilvl w:val="0"/>
          <w:numId w:val="113"/>
        </w:numPr>
        <w:spacing w:before="10" w:after="10" w:line="330" w:lineRule="exact"/>
        <w:ind w:left="0" w:firstLine="420"/>
        <w:rPr>
          <w:rFonts w:eastAsiaTheme="minorEastAsia"/>
        </w:rPr>
      </w:pPr>
      <w:r>
        <w:rPr>
          <w:rFonts w:eastAsiaTheme="minorEastAsia"/>
        </w:rPr>
        <w:t>机房内及外围的布线线缆沟、槽、管、盒、箱应施工完毕。</w:t>
      </w:r>
    </w:p>
    <w:p w14:paraId="650EC304">
      <w:pPr>
        <w:pStyle w:val="164"/>
        <w:numPr>
          <w:ilvl w:val="0"/>
          <w:numId w:val="113"/>
        </w:numPr>
        <w:spacing w:before="10" w:after="10" w:line="330" w:lineRule="exact"/>
        <w:ind w:left="0" w:firstLine="420"/>
        <w:rPr>
          <w:rFonts w:eastAsiaTheme="minorEastAsia"/>
        </w:rPr>
      </w:pPr>
      <w:r>
        <w:rPr>
          <w:rFonts w:eastAsiaTheme="minorEastAsia"/>
        </w:rPr>
        <w:t>大型机柜的基础槽钢应设置完成。</w:t>
      </w:r>
    </w:p>
    <w:p w14:paraId="025C6F03">
      <w:pPr>
        <w:pStyle w:val="164"/>
        <w:numPr>
          <w:ilvl w:val="0"/>
          <w:numId w:val="113"/>
        </w:numPr>
        <w:spacing w:before="10" w:after="10" w:line="330" w:lineRule="exact"/>
        <w:ind w:left="0" w:firstLine="420"/>
        <w:rPr>
          <w:rFonts w:eastAsiaTheme="minorEastAsia"/>
        </w:rPr>
      </w:pPr>
      <w:r>
        <w:rPr>
          <w:rFonts w:eastAsiaTheme="minorEastAsia"/>
        </w:rPr>
        <w:t>吊顶的扬声器预留孔应按实际尺寸预留，音箱吊架应安装预留。</w:t>
      </w:r>
    </w:p>
    <w:p w14:paraId="2F1B718D">
      <w:pPr>
        <w:pStyle w:val="164"/>
        <w:numPr>
          <w:ilvl w:val="0"/>
          <w:numId w:val="113"/>
        </w:numPr>
        <w:spacing w:before="10" w:after="10" w:line="330" w:lineRule="exact"/>
        <w:ind w:left="0" w:firstLine="420"/>
        <w:rPr>
          <w:rFonts w:eastAsiaTheme="minorEastAsia"/>
        </w:rPr>
      </w:pPr>
      <w:r>
        <w:rPr>
          <w:rFonts w:eastAsiaTheme="minorEastAsia"/>
        </w:rPr>
        <w:t>线缆绝缘电阻摇测值应大于0.5MΩ。</w:t>
      </w:r>
    </w:p>
    <w:p w14:paraId="59BFD608">
      <w:pPr>
        <w:pStyle w:val="3"/>
        <w:spacing w:before="240" w:after="120" w:afterLines="50" w:line="330" w:lineRule="exact"/>
        <w:rPr>
          <w:rFonts w:eastAsia="黑体"/>
          <w:b w:val="0"/>
          <w:bCs w:val="0"/>
          <w:sz w:val="21"/>
          <w:szCs w:val="21"/>
          <w:lang w:val="en-US"/>
        </w:rPr>
      </w:pPr>
      <w:bookmarkStart w:id="85" w:name="_Toc182487963"/>
      <w:r>
        <w:rPr>
          <w:rFonts w:eastAsia="黑体"/>
          <w:b w:val="0"/>
          <w:bCs w:val="0"/>
          <w:sz w:val="21"/>
          <w:szCs w:val="21"/>
          <w:lang w:val="en-US"/>
        </w:rPr>
        <w:t>12.3 施工工艺</w:t>
      </w:r>
      <w:bookmarkEnd w:id="85"/>
    </w:p>
    <w:p w14:paraId="2F82DD07">
      <w:pPr>
        <w:pStyle w:val="164"/>
        <w:numPr>
          <w:ilvl w:val="1"/>
          <w:numId w:val="1"/>
        </w:numPr>
        <w:spacing w:line="330" w:lineRule="exact"/>
        <w:ind w:firstLineChars="0"/>
        <w:rPr>
          <w:rFonts w:eastAsiaTheme="minorEastAsia"/>
          <w:vanish/>
          <w:szCs w:val="21"/>
        </w:rPr>
      </w:pPr>
    </w:p>
    <w:p w14:paraId="4A663381">
      <w:pPr>
        <w:pStyle w:val="164"/>
        <w:spacing w:before="100" w:after="100" w:line="330" w:lineRule="exact"/>
        <w:ind w:firstLine="0" w:firstLineChars="0"/>
        <w:rPr>
          <w:lang w:val="zh-CN"/>
        </w:rPr>
      </w:pPr>
      <w:r>
        <w:rPr>
          <w:szCs w:val="21"/>
        </w:rPr>
        <w:t xml:space="preserve">12.3.1 </w:t>
      </w:r>
      <w:r>
        <w:rPr>
          <w:rFonts w:eastAsiaTheme="minorEastAsia"/>
          <w:szCs w:val="21"/>
        </w:rPr>
        <w:t>广播系统施工工艺流程见图12.3.1。</w:t>
      </w:r>
    </w:p>
    <w:p w14:paraId="4DD2AD29">
      <w:pPr>
        <w:ind w:left="105" w:hanging="105"/>
        <w:rPr>
          <w:rFonts w:ascii="Times New Roman" w:hAnsi="Times New Roman"/>
          <w:lang w:val="zh-CN"/>
        </w:rPr>
      </w:pPr>
      <w:r>
        <w:rPr>
          <w:rFonts w:ascii="Times New Roman" w:hAnsi="Times New Roman"/>
        </w:rPr>
        <mc:AlternateContent>
          <mc:Choice Requires="wpg">
            <w:drawing>
              <wp:inline distT="0" distB="0" distL="0" distR="0">
                <wp:extent cx="4916805" cy="1024255"/>
                <wp:effectExtent l="0" t="0" r="36195" b="23495"/>
                <wp:docPr id="108" name="组合 108"/>
                <wp:cNvGraphicFramePr/>
                <a:graphic xmlns:a="http://schemas.openxmlformats.org/drawingml/2006/main">
                  <a:graphicData uri="http://schemas.microsoft.com/office/word/2010/wordprocessingGroup">
                    <wpg:wgp>
                      <wpg:cNvGrpSpPr/>
                      <wpg:grpSpPr>
                        <a:xfrm>
                          <a:off x="0" y="0"/>
                          <a:ext cx="4916805" cy="1024255"/>
                          <a:chOff x="0" y="0"/>
                          <a:chExt cx="7743" cy="1613"/>
                        </a:xfrm>
                      </wpg:grpSpPr>
                      <wps:wsp>
                        <wps:cNvPr id="109" name="Line 83"/>
                        <wps:cNvCnPr>
                          <a:cxnSpLocks noChangeShapeType="1"/>
                        </wps:cNvCnPr>
                        <wps:spPr bwMode="auto">
                          <a:xfrm>
                            <a:off x="1263" y="312"/>
                            <a:ext cx="540" cy="0"/>
                          </a:xfrm>
                          <a:prstGeom prst="line">
                            <a:avLst/>
                          </a:prstGeom>
                          <a:noFill/>
                          <a:ln w="9525">
                            <a:solidFill>
                              <a:srgbClr val="000000"/>
                            </a:solidFill>
                            <a:round/>
                            <a:tailEnd type="triangle" w="med" len="med"/>
                          </a:ln>
                        </wps:spPr>
                        <wps:bodyPr/>
                      </wps:wsp>
                      <wps:wsp>
                        <wps:cNvPr id="110" name="Line 84"/>
                        <wps:cNvCnPr>
                          <a:cxnSpLocks noChangeShapeType="1"/>
                        </wps:cNvCnPr>
                        <wps:spPr bwMode="auto">
                          <a:xfrm>
                            <a:off x="3243" y="312"/>
                            <a:ext cx="540" cy="0"/>
                          </a:xfrm>
                          <a:prstGeom prst="line">
                            <a:avLst/>
                          </a:prstGeom>
                          <a:noFill/>
                          <a:ln w="9525">
                            <a:solidFill>
                              <a:srgbClr val="000000"/>
                            </a:solidFill>
                            <a:round/>
                            <a:tailEnd type="triangle" w="med" len="med"/>
                          </a:ln>
                        </wps:spPr>
                        <wps:bodyPr/>
                      </wps:wsp>
                      <wps:wsp>
                        <wps:cNvPr id="111" name="Line 85"/>
                        <wps:cNvCnPr>
                          <a:cxnSpLocks noChangeShapeType="1"/>
                        </wps:cNvCnPr>
                        <wps:spPr bwMode="auto">
                          <a:xfrm>
                            <a:off x="5043" y="312"/>
                            <a:ext cx="540" cy="0"/>
                          </a:xfrm>
                          <a:prstGeom prst="line">
                            <a:avLst/>
                          </a:prstGeom>
                          <a:noFill/>
                          <a:ln w="9525">
                            <a:solidFill>
                              <a:srgbClr val="000000"/>
                            </a:solidFill>
                            <a:round/>
                            <a:tailEnd type="triangle" w="med" len="med"/>
                          </a:ln>
                        </wps:spPr>
                        <wps:bodyPr/>
                      </wps:wsp>
                      <wps:wsp>
                        <wps:cNvPr id="113" name="Line 86"/>
                        <wps:cNvCnPr>
                          <a:cxnSpLocks noChangeShapeType="1"/>
                        </wps:cNvCnPr>
                        <wps:spPr bwMode="auto">
                          <a:xfrm>
                            <a:off x="7203" y="312"/>
                            <a:ext cx="540" cy="0"/>
                          </a:xfrm>
                          <a:prstGeom prst="line">
                            <a:avLst/>
                          </a:prstGeom>
                          <a:noFill/>
                          <a:ln w="9525">
                            <a:solidFill>
                              <a:srgbClr val="000000"/>
                            </a:solidFill>
                            <a:round/>
                            <a:tailEnd type="triangle" w="med" len="med"/>
                          </a:ln>
                        </wps:spPr>
                        <wps:bodyPr/>
                      </wps:wsp>
                      <wps:wsp>
                        <wps:cNvPr id="114" name="Rectangle 87"/>
                        <wps:cNvSpPr>
                          <a:spLocks noChangeArrowheads="1"/>
                        </wps:cNvSpPr>
                        <wps:spPr bwMode="auto">
                          <a:xfrm>
                            <a:off x="1800" y="3"/>
                            <a:ext cx="1440" cy="624"/>
                          </a:xfrm>
                          <a:prstGeom prst="rect">
                            <a:avLst/>
                          </a:prstGeom>
                          <a:solidFill>
                            <a:srgbClr val="FFFFFF"/>
                          </a:solidFill>
                          <a:ln w="9525">
                            <a:solidFill>
                              <a:srgbClr val="000000"/>
                            </a:solidFill>
                            <a:miter lim="800000"/>
                          </a:ln>
                        </wps:spPr>
                        <wps:txbx>
                          <w:txbxContent>
                            <w:p w14:paraId="4FE86AAC">
                              <w:pPr>
                                <w:ind w:left="105" w:hanging="105"/>
                                <w:jc w:val="center"/>
                              </w:pPr>
                              <w:r>
                                <w:rPr>
                                  <w:rFonts w:hint="eastAsia" w:ascii="宋体" w:hAnsi="宋体"/>
                                  <w:kern w:val="0"/>
                                </w:rPr>
                                <w:t>分线箱安装</w:t>
                              </w:r>
                            </w:p>
                          </w:txbxContent>
                        </wps:txbx>
                        <wps:bodyPr rot="0" vert="horz" wrap="square" lIns="91440" tIns="82800" rIns="91440" bIns="45720" anchor="t" anchorCtr="0" upright="1">
                          <a:noAutofit/>
                        </wps:bodyPr>
                      </wps:wsp>
                      <wps:wsp>
                        <wps:cNvPr id="115" name="Rectangle 88"/>
                        <wps:cNvSpPr>
                          <a:spLocks noChangeArrowheads="1"/>
                        </wps:cNvSpPr>
                        <wps:spPr bwMode="auto">
                          <a:xfrm>
                            <a:off x="3" y="3"/>
                            <a:ext cx="1260" cy="624"/>
                          </a:xfrm>
                          <a:prstGeom prst="rect">
                            <a:avLst/>
                          </a:prstGeom>
                          <a:solidFill>
                            <a:srgbClr val="FFFFFF"/>
                          </a:solidFill>
                          <a:ln w="9525">
                            <a:solidFill>
                              <a:srgbClr val="000000"/>
                            </a:solidFill>
                            <a:miter lim="800000"/>
                          </a:ln>
                        </wps:spPr>
                        <wps:txbx>
                          <w:txbxContent>
                            <w:p w14:paraId="207E7AB8">
                              <w:pPr>
                                <w:ind w:left="105" w:hanging="105"/>
                                <w:jc w:val="center"/>
                              </w:pPr>
                              <w:r>
                                <w:rPr>
                                  <w:rFonts w:hint="eastAsia" w:ascii="宋体" w:hAnsi="宋体"/>
                                  <w:kern w:val="0"/>
                                </w:rPr>
                                <w:t>管线预埋</w:t>
                              </w:r>
                            </w:p>
                          </w:txbxContent>
                        </wps:txbx>
                        <wps:bodyPr rot="0" vert="horz" wrap="square" lIns="91440" tIns="82800" rIns="91440" bIns="45720" anchor="t" anchorCtr="0" upright="1">
                          <a:noAutofit/>
                        </wps:bodyPr>
                      </wps:wsp>
                      <wps:wsp>
                        <wps:cNvPr id="116" name="Rectangle 89"/>
                        <wps:cNvSpPr>
                          <a:spLocks noChangeArrowheads="1"/>
                        </wps:cNvSpPr>
                        <wps:spPr bwMode="auto">
                          <a:xfrm>
                            <a:off x="3783" y="0"/>
                            <a:ext cx="1260" cy="624"/>
                          </a:xfrm>
                          <a:prstGeom prst="rect">
                            <a:avLst/>
                          </a:prstGeom>
                          <a:solidFill>
                            <a:srgbClr val="FFFFFF"/>
                          </a:solidFill>
                          <a:ln w="9525">
                            <a:solidFill>
                              <a:srgbClr val="000000"/>
                            </a:solidFill>
                            <a:miter lim="800000"/>
                          </a:ln>
                        </wps:spPr>
                        <wps:txbx>
                          <w:txbxContent>
                            <w:p w14:paraId="5F4CF321">
                              <w:pPr>
                                <w:ind w:left="105" w:hanging="105"/>
                                <w:jc w:val="center"/>
                                <w:rPr>
                                  <w:rFonts w:ascii="宋体" w:hAnsi="宋体"/>
                                  <w:spacing w:val="-10"/>
                                  <w:kern w:val="0"/>
                                </w:rPr>
                              </w:pPr>
                              <w:r>
                                <w:rPr>
                                  <w:rFonts w:hint="eastAsia" w:ascii="宋体" w:hAnsi="宋体"/>
                                  <w:kern w:val="0"/>
                                </w:rPr>
                                <w:t>线路敷设</w:t>
                              </w:r>
                            </w:p>
                          </w:txbxContent>
                        </wps:txbx>
                        <wps:bodyPr rot="0" vert="horz" wrap="square" lIns="91440" tIns="82800" rIns="91440" bIns="45720" anchor="t" anchorCtr="0" upright="1">
                          <a:noAutofit/>
                        </wps:bodyPr>
                      </wps:wsp>
                      <wps:wsp>
                        <wps:cNvPr id="117" name="Rectangle 90"/>
                        <wps:cNvSpPr>
                          <a:spLocks noChangeArrowheads="1"/>
                        </wps:cNvSpPr>
                        <wps:spPr bwMode="auto">
                          <a:xfrm>
                            <a:off x="5583" y="0"/>
                            <a:ext cx="1620" cy="624"/>
                          </a:xfrm>
                          <a:prstGeom prst="rect">
                            <a:avLst/>
                          </a:prstGeom>
                          <a:solidFill>
                            <a:srgbClr val="FFFFFF"/>
                          </a:solidFill>
                          <a:ln w="9525">
                            <a:solidFill>
                              <a:srgbClr val="000000"/>
                            </a:solidFill>
                            <a:miter lim="800000"/>
                          </a:ln>
                        </wps:spPr>
                        <wps:txbx>
                          <w:txbxContent>
                            <w:p w14:paraId="055A97E6">
                              <w:pPr>
                                <w:ind w:left="95" w:hanging="95"/>
                                <w:jc w:val="center"/>
                              </w:pPr>
                              <w:r>
                                <w:rPr>
                                  <w:rFonts w:hint="eastAsia" w:ascii="宋体" w:hAnsi="宋体"/>
                                  <w:spacing w:val="-10"/>
                                  <w:kern w:val="0"/>
                                </w:rPr>
                                <w:t>前端设备安装</w:t>
                              </w:r>
                            </w:p>
                          </w:txbxContent>
                        </wps:txbx>
                        <wps:bodyPr rot="0" vert="horz" wrap="square" lIns="91440" tIns="82800" rIns="91440" bIns="45720" anchor="t" anchorCtr="0" upright="1">
                          <a:noAutofit/>
                        </wps:bodyPr>
                      </wps:wsp>
                      <wps:wsp>
                        <wps:cNvPr id="118" name="Rectangle 91"/>
                        <wps:cNvSpPr>
                          <a:spLocks noChangeArrowheads="1"/>
                        </wps:cNvSpPr>
                        <wps:spPr bwMode="auto">
                          <a:xfrm>
                            <a:off x="0" y="989"/>
                            <a:ext cx="1800" cy="624"/>
                          </a:xfrm>
                          <a:prstGeom prst="rect">
                            <a:avLst/>
                          </a:prstGeom>
                          <a:solidFill>
                            <a:srgbClr val="FFFFFF"/>
                          </a:solidFill>
                          <a:ln w="9525">
                            <a:solidFill>
                              <a:srgbClr val="000000"/>
                            </a:solidFill>
                            <a:miter lim="800000"/>
                          </a:ln>
                        </wps:spPr>
                        <wps:txbx>
                          <w:txbxContent>
                            <w:p w14:paraId="385C8788">
                              <w:pPr>
                                <w:ind w:left="105" w:hanging="105"/>
                                <w:jc w:val="center"/>
                              </w:pPr>
                              <w:r>
                                <w:rPr>
                                  <w:rFonts w:hint="eastAsia"/>
                                </w:rPr>
                                <w:t>机房设备安装</w:t>
                              </w:r>
                            </w:p>
                          </w:txbxContent>
                        </wps:txbx>
                        <wps:bodyPr rot="0" vert="horz" wrap="square" lIns="91440" tIns="82800" rIns="91440" bIns="45720" anchor="t" anchorCtr="0" upright="1">
                          <a:noAutofit/>
                        </wps:bodyPr>
                      </wps:wsp>
                    </wpg:wgp>
                  </a:graphicData>
                </a:graphic>
              </wp:inline>
            </w:drawing>
          </mc:Choice>
          <mc:Fallback>
            <w:pict>
              <v:group id="_x0000_s1026" o:spid="_x0000_s1026" o:spt="203" style="height:80.65pt;width:387.15pt;" coordsize="7743,1613" o:gfxdata="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AaS5ON&#10;1gAAAAUBAAAPAAAAAAAAAAEAIAAAACIAAABkcnMvZG93bnJldi54bWxQSwECFAAUAAAACACHTuJA&#10;HDnPTesDAADwFwAADgAAAAAAAAABACAAAAAlAQAAZHJzL2Uyb0RvYy54bWxQSwUGAAAAAAYABgBZ&#10;AQAAggcAAAAA&#10;">
                <o:lock v:ext="edit" aspectratio="f"/>
                <v:line id="Line 83" o:spid="_x0000_s1026" o:spt="20" style="position:absolute;left:1263;top:312;height:0;width:54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4" o:spid="_x0000_s1026" o:spt="20" style="position:absolute;left:3243;top:312;height:0;width:54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85" o:spid="_x0000_s1026" o:spt="20" style="position:absolute;left:5043;top:312;height:0;width:54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6" o:spid="_x0000_s1026" o:spt="20" style="position:absolute;left:7203;top:312;height:0;width:540;"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87" o:spid="_x0000_s1026" o:spt="1" style="position:absolute;left:1800;top:3;height:624;width:1440;" fillcolor="#FFFFFF" filled="t" stroked="t" coordsize="21600,21600" o:gfxdata="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l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4FE86AAC">
                        <w:pPr>
                          <w:ind w:left="105" w:hanging="105"/>
                          <w:jc w:val="center"/>
                        </w:pPr>
                        <w:r>
                          <w:rPr>
                            <w:rFonts w:hint="eastAsia" w:ascii="宋体" w:hAnsi="宋体"/>
                            <w:kern w:val="0"/>
                          </w:rPr>
                          <w:t>分线箱安装</w:t>
                        </w:r>
                      </w:p>
                    </w:txbxContent>
                  </v:textbox>
                </v:rect>
                <v:rect id="Rectangle 88" o:spid="_x0000_s1026" o:spt="1" style="position:absolute;left:3;top:3;height:624;width:1260;" fillcolor="#FFFFFF" filled="t" stroked="t" coordsize="21600,21600" o:gfxdata="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Rvyl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207E7AB8">
                        <w:pPr>
                          <w:ind w:left="105" w:hanging="105"/>
                          <w:jc w:val="center"/>
                        </w:pPr>
                        <w:r>
                          <w:rPr>
                            <w:rFonts w:hint="eastAsia" w:ascii="宋体" w:hAnsi="宋体"/>
                            <w:kern w:val="0"/>
                          </w:rPr>
                          <w:t>管线预埋</w:t>
                        </w:r>
                      </w:p>
                    </w:txbxContent>
                  </v:textbox>
                </v:rect>
                <v:rect id="Rectangle 89" o:spid="_x0000_s1026" o:spt="1" style="position:absolute;left:3783;top:0;height:624;width:1260;" fillcolor="#FFFFFF" filled="t" stroked="t" coordsize="21600,21600" o:gfxdata="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Ri0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5F4CF321">
                        <w:pPr>
                          <w:ind w:left="105" w:hanging="105"/>
                          <w:jc w:val="center"/>
                          <w:rPr>
                            <w:rFonts w:ascii="宋体" w:hAnsi="宋体"/>
                            <w:spacing w:val="-10"/>
                            <w:kern w:val="0"/>
                          </w:rPr>
                        </w:pPr>
                        <w:r>
                          <w:rPr>
                            <w:rFonts w:hint="eastAsia" w:ascii="宋体" w:hAnsi="宋体"/>
                            <w:kern w:val="0"/>
                          </w:rPr>
                          <w:t>线路敷设</w:t>
                        </w:r>
                      </w:p>
                    </w:txbxContent>
                  </v:textbox>
                </v:rect>
                <v:rect id="Rectangle 90" o:spid="_x0000_s1026" o:spt="1" style="position:absolute;left:5583;top:0;height:624;width:1620;" fillcolor="#FFFFFF" filled="t" stroked="t" coordsize="21600,21600" o:gfxdata="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2MdJ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055A97E6">
                        <w:pPr>
                          <w:ind w:left="95" w:hanging="95"/>
                          <w:jc w:val="center"/>
                        </w:pPr>
                        <w:r>
                          <w:rPr>
                            <w:rFonts w:hint="eastAsia" w:ascii="宋体" w:hAnsi="宋体"/>
                            <w:spacing w:val="-10"/>
                            <w:kern w:val="0"/>
                          </w:rPr>
                          <w:t>前端设备安装</w:t>
                        </w:r>
                      </w:p>
                    </w:txbxContent>
                  </v:textbox>
                </v:rect>
                <v:rect id="Rectangle 91" o:spid="_x0000_s1026" o:spt="1" style="position:absolute;left:0;top:989;height:624;width:1800;" fillcolor="#FFFFFF" filled="t" stroked="t" coordsize="21600,21600" o:gfxdata="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1M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2.54mm,2.3mm,2.54mm,1.27mm">
                    <w:txbxContent>
                      <w:p w14:paraId="385C8788">
                        <w:pPr>
                          <w:ind w:left="105" w:hanging="105"/>
                          <w:jc w:val="center"/>
                        </w:pPr>
                        <w:r>
                          <w:rPr>
                            <w:rFonts w:hint="eastAsia"/>
                          </w:rPr>
                          <w:t>机房设备安装</w:t>
                        </w:r>
                      </w:p>
                    </w:txbxContent>
                  </v:textbox>
                </v:rect>
                <w10:wrap type="none"/>
                <w10:anchorlock/>
              </v:group>
            </w:pict>
          </mc:Fallback>
        </mc:AlternateContent>
      </w:r>
    </w:p>
    <w:p w14:paraId="2649DACF">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图12.3.1   广播系统施工工艺流程图</w:t>
      </w:r>
    </w:p>
    <w:p w14:paraId="7A5BF3AA">
      <w:pPr>
        <w:pStyle w:val="164"/>
        <w:spacing w:before="100" w:after="100" w:line="330" w:lineRule="exact"/>
        <w:ind w:firstLine="0" w:firstLineChars="0"/>
        <w:rPr>
          <w:szCs w:val="21"/>
        </w:rPr>
      </w:pPr>
      <w:r>
        <w:rPr>
          <w:szCs w:val="21"/>
        </w:rPr>
        <w:t>12.3.2 线管预埋工艺应</w:t>
      </w:r>
      <w:r>
        <w:rPr>
          <w:rFonts w:hint="eastAsia"/>
          <w:szCs w:val="21"/>
        </w:rPr>
        <w:t>按</w:t>
      </w:r>
      <w:r>
        <w:rPr>
          <w:szCs w:val="21"/>
        </w:rPr>
        <w:t>本规程第</w:t>
      </w:r>
      <w:r>
        <w:rPr>
          <w:rFonts w:hint="eastAsia"/>
          <w:szCs w:val="21"/>
        </w:rPr>
        <w:t>8</w:t>
      </w:r>
      <w:r>
        <w:rPr>
          <w:szCs w:val="21"/>
        </w:rPr>
        <w:t>章</w:t>
      </w:r>
      <w:r>
        <w:rPr>
          <w:rFonts w:hint="eastAsia"/>
          <w:szCs w:val="21"/>
        </w:rPr>
        <w:t>“综合布线系统”</w:t>
      </w:r>
      <w:r>
        <w:rPr>
          <w:szCs w:val="21"/>
        </w:rPr>
        <w:t>的相关</w:t>
      </w:r>
      <w:r>
        <w:rPr>
          <w:rFonts w:hint="eastAsia"/>
          <w:szCs w:val="21"/>
        </w:rPr>
        <w:t>规定</w:t>
      </w:r>
      <w:r>
        <w:rPr>
          <w:szCs w:val="21"/>
        </w:rPr>
        <w:t>进行施工。</w:t>
      </w:r>
    </w:p>
    <w:p w14:paraId="349FB100">
      <w:pPr>
        <w:pStyle w:val="164"/>
        <w:spacing w:before="100" w:after="100" w:line="330" w:lineRule="exact"/>
        <w:ind w:firstLine="0" w:firstLineChars="0"/>
        <w:rPr>
          <w:szCs w:val="21"/>
        </w:rPr>
      </w:pPr>
      <w:r>
        <w:rPr>
          <w:szCs w:val="21"/>
        </w:rPr>
        <w:t>12.3.3 分线箱安装应符合下列规定：</w:t>
      </w:r>
    </w:p>
    <w:p w14:paraId="6D562ABC">
      <w:pPr>
        <w:pStyle w:val="164"/>
        <w:numPr>
          <w:ilvl w:val="0"/>
          <w:numId w:val="114"/>
        </w:numPr>
        <w:spacing w:line="330" w:lineRule="exact"/>
        <w:ind w:left="0" w:firstLine="420"/>
        <w:rPr>
          <w:rFonts w:eastAsiaTheme="minorEastAsia"/>
        </w:rPr>
      </w:pPr>
      <w:r>
        <w:rPr>
          <w:rFonts w:eastAsiaTheme="minorEastAsia"/>
        </w:rPr>
        <w:t>暗装箱体面板应与建筑装饰面配合严密。严禁采用电焊或气焊将箱体与预埋管口焊在一起。</w:t>
      </w:r>
    </w:p>
    <w:p w14:paraId="1DB2510E">
      <w:pPr>
        <w:pStyle w:val="164"/>
        <w:numPr>
          <w:ilvl w:val="0"/>
          <w:numId w:val="114"/>
        </w:numPr>
        <w:spacing w:line="330" w:lineRule="exact"/>
        <w:ind w:left="0" w:firstLine="420"/>
        <w:rPr>
          <w:rFonts w:eastAsiaTheme="minorEastAsia"/>
        </w:rPr>
      </w:pPr>
      <w:r>
        <w:rPr>
          <w:rFonts w:eastAsiaTheme="minorEastAsia"/>
        </w:rPr>
        <w:t>明装分线箱安装高度底边应距地1.4m。</w:t>
      </w:r>
    </w:p>
    <w:p w14:paraId="5CDC4925">
      <w:pPr>
        <w:pStyle w:val="164"/>
        <w:numPr>
          <w:ilvl w:val="0"/>
          <w:numId w:val="114"/>
        </w:numPr>
        <w:spacing w:line="330" w:lineRule="exact"/>
        <w:ind w:left="0" w:firstLine="420"/>
        <w:rPr>
          <w:rFonts w:eastAsiaTheme="minorEastAsia"/>
        </w:rPr>
      </w:pPr>
      <w:r>
        <w:rPr>
          <w:rFonts w:eastAsiaTheme="minorEastAsia"/>
        </w:rPr>
        <w:t>明装壁挂式分线箱、端子箱或声柱箱时，箱底应与墙面平齐。</w:t>
      </w:r>
    </w:p>
    <w:p w14:paraId="09EF0017">
      <w:pPr>
        <w:pStyle w:val="164"/>
        <w:numPr>
          <w:ilvl w:val="0"/>
          <w:numId w:val="114"/>
        </w:numPr>
        <w:spacing w:line="330" w:lineRule="exact"/>
        <w:ind w:left="0" w:firstLine="420"/>
        <w:rPr>
          <w:rFonts w:eastAsiaTheme="minorEastAsia"/>
        </w:rPr>
      </w:pPr>
      <w:r>
        <w:rPr>
          <w:rFonts w:eastAsiaTheme="minorEastAsia"/>
        </w:rPr>
        <w:t>线管出线终端口与设备接线端子之间，线缆不</w:t>
      </w:r>
      <w:r>
        <w:rPr>
          <w:rFonts w:hint="eastAsia" w:eastAsiaTheme="minorEastAsia"/>
        </w:rPr>
        <w:t>应</w:t>
      </w:r>
      <w:r>
        <w:rPr>
          <w:rFonts w:eastAsiaTheme="minorEastAsia"/>
        </w:rPr>
        <w:t>直接裸露，连接应采用金属软管，且金属软管长度≤1m。</w:t>
      </w:r>
    </w:p>
    <w:p w14:paraId="30E31832">
      <w:pPr>
        <w:pStyle w:val="164"/>
        <w:spacing w:before="100" w:after="100" w:line="330" w:lineRule="exact"/>
        <w:ind w:firstLine="0" w:firstLineChars="0"/>
        <w:rPr>
          <w:szCs w:val="21"/>
        </w:rPr>
      </w:pPr>
      <w:r>
        <w:rPr>
          <w:szCs w:val="21"/>
        </w:rPr>
        <w:t>12.3.4 线路敷设应符合下列规定：</w:t>
      </w:r>
    </w:p>
    <w:p w14:paraId="13240597">
      <w:pPr>
        <w:pStyle w:val="164"/>
        <w:numPr>
          <w:ilvl w:val="0"/>
          <w:numId w:val="115"/>
        </w:numPr>
        <w:spacing w:line="330" w:lineRule="exact"/>
        <w:ind w:left="0" w:firstLine="420"/>
        <w:rPr>
          <w:rFonts w:eastAsiaTheme="minorEastAsia"/>
        </w:rPr>
      </w:pPr>
      <w:r>
        <w:rPr>
          <w:rFonts w:eastAsiaTheme="minorEastAsia"/>
        </w:rPr>
        <w:t>广播系统传输电压</w:t>
      </w:r>
      <w:r>
        <w:rPr>
          <w:rFonts w:hint="eastAsia" w:eastAsiaTheme="minorEastAsia"/>
        </w:rPr>
        <w:t>应≤</w:t>
      </w:r>
      <w:r>
        <w:rPr>
          <w:rFonts w:eastAsiaTheme="minorEastAsia"/>
        </w:rPr>
        <w:t>120</w:t>
      </w:r>
      <w:r>
        <w:rPr>
          <w:rFonts w:hint="eastAsia" w:eastAsiaTheme="minorEastAsia"/>
        </w:rPr>
        <w:t>V</w:t>
      </w:r>
      <w:r>
        <w:rPr>
          <w:rFonts w:eastAsiaTheme="minorEastAsia"/>
        </w:rPr>
        <w:t>，线路穿管或线槽铺设，与照明、电力线不同线槽，火灾事故广播线路防火保护。</w:t>
      </w:r>
    </w:p>
    <w:p w14:paraId="67F73A02">
      <w:pPr>
        <w:pStyle w:val="164"/>
        <w:numPr>
          <w:ilvl w:val="0"/>
          <w:numId w:val="115"/>
        </w:numPr>
        <w:spacing w:line="330" w:lineRule="exact"/>
        <w:ind w:left="0" w:firstLine="420"/>
        <w:rPr>
          <w:rFonts w:eastAsiaTheme="minorEastAsia"/>
        </w:rPr>
      </w:pPr>
      <w:r>
        <w:rPr>
          <w:rFonts w:eastAsiaTheme="minorEastAsia"/>
        </w:rPr>
        <w:t>屏蔽线和设备保护地线</w:t>
      </w:r>
      <w:r>
        <w:rPr>
          <w:rFonts w:hint="eastAsia" w:eastAsiaTheme="minorEastAsia"/>
        </w:rPr>
        <w:t>电阻应≤</w:t>
      </w:r>
      <w:r>
        <w:rPr>
          <w:rFonts w:eastAsiaTheme="minorEastAsia"/>
        </w:rPr>
        <w:t>4Ω，压接配垫且牢固可靠。</w:t>
      </w:r>
    </w:p>
    <w:p w14:paraId="12795BDC">
      <w:pPr>
        <w:pStyle w:val="164"/>
        <w:numPr>
          <w:ilvl w:val="0"/>
          <w:numId w:val="115"/>
        </w:numPr>
        <w:spacing w:line="330" w:lineRule="exact"/>
        <w:ind w:left="0" w:firstLine="420"/>
        <w:rPr>
          <w:rFonts w:eastAsiaTheme="minorEastAsia"/>
        </w:rPr>
      </w:pPr>
      <w:r>
        <w:rPr>
          <w:rFonts w:eastAsiaTheme="minorEastAsia"/>
        </w:rPr>
        <w:t>土建主体施工时配合预埋管及接线盒。</w:t>
      </w:r>
    </w:p>
    <w:p w14:paraId="54C5C76F">
      <w:pPr>
        <w:pStyle w:val="164"/>
        <w:numPr>
          <w:ilvl w:val="0"/>
          <w:numId w:val="115"/>
        </w:numPr>
        <w:spacing w:line="330" w:lineRule="exact"/>
        <w:ind w:left="0" w:firstLine="420"/>
        <w:rPr>
          <w:rFonts w:eastAsiaTheme="minorEastAsia"/>
        </w:rPr>
      </w:pPr>
      <w:r>
        <w:rPr>
          <w:rFonts w:eastAsiaTheme="minorEastAsia"/>
        </w:rPr>
        <w:t>天花板内广播线路传输信号电压</w:t>
      </w:r>
      <w:r>
        <w:rPr>
          <w:rFonts w:hint="eastAsia" w:eastAsiaTheme="minorEastAsia"/>
        </w:rPr>
        <w:t>应≤</w:t>
      </w:r>
      <w:r>
        <w:rPr>
          <w:rFonts w:eastAsiaTheme="minorEastAsia"/>
        </w:rPr>
        <w:t>100V。</w:t>
      </w:r>
    </w:p>
    <w:p w14:paraId="4280D639">
      <w:pPr>
        <w:pStyle w:val="164"/>
        <w:numPr>
          <w:ilvl w:val="0"/>
          <w:numId w:val="115"/>
        </w:numPr>
        <w:spacing w:line="330" w:lineRule="exact"/>
        <w:ind w:left="0" w:firstLine="420"/>
        <w:rPr>
          <w:rFonts w:eastAsiaTheme="minorEastAsia"/>
        </w:rPr>
      </w:pPr>
      <w:r>
        <w:rPr>
          <w:rFonts w:eastAsiaTheme="minorEastAsia"/>
        </w:rPr>
        <w:t>公共广播室内线路衰减</w:t>
      </w:r>
      <w:r>
        <w:rPr>
          <w:rFonts w:hint="eastAsia" w:eastAsiaTheme="minorEastAsia"/>
        </w:rPr>
        <w:t>应≤</w:t>
      </w:r>
      <w:r>
        <w:rPr>
          <w:rFonts w:eastAsiaTheme="minorEastAsia"/>
        </w:rPr>
        <w:t>3dB，室外</w:t>
      </w:r>
      <w:r>
        <w:rPr>
          <w:rFonts w:hint="eastAsia" w:eastAsiaTheme="minorEastAsia"/>
        </w:rPr>
        <w:t>应≤</w:t>
      </w:r>
      <w:r>
        <w:rPr>
          <w:rFonts w:eastAsiaTheme="minorEastAsia"/>
        </w:rPr>
        <w:t>6dB。</w:t>
      </w:r>
    </w:p>
    <w:p w14:paraId="63A72DEF">
      <w:pPr>
        <w:pStyle w:val="164"/>
        <w:numPr>
          <w:ilvl w:val="0"/>
          <w:numId w:val="115"/>
        </w:numPr>
        <w:spacing w:line="330" w:lineRule="exact"/>
        <w:ind w:left="0" w:firstLine="420"/>
        <w:rPr>
          <w:rFonts w:eastAsiaTheme="minorEastAsia"/>
        </w:rPr>
      </w:pPr>
      <w:r>
        <w:rPr>
          <w:rFonts w:eastAsiaTheme="minorEastAsia"/>
        </w:rPr>
        <w:t>布放线缆</w:t>
      </w:r>
      <w:r>
        <w:rPr>
          <w:rFonts w:hint="eastAsia" w:eastAsiaTheme="minorEastAsia"/>
        </w:rPr>
        <w:t>应</w:t>
      </w:r>
      <w:r>
        <w:rPr>
          <w:rFonts w:eastAsiaTheme="minorEastAsia"/>
        </w:rPr>
        <w:t>排列整齐，减少交叉，交叉处粗下细上。</w:t>
      </w:r>
    </w:p>
    <w:p w14:paraId="1F9A12E0">
      <w:pPr>
        <w:pStyle w:val="164"/>
        <w:numPr>
          <w:ilvl w:val="0"/>
          <w:numId w:val="115"/>
        </w:numPr>
        <w:spacing w:line="330" w:lineRule="exact"/>
        <w:ind w:left="0" w:firstLine="420"/>
        <w:rPr>
          <w:rFonts w:eastAsiaTheme="minorEastAsia"/>
        </w:rPr>
      </w:pPr>
      <w:r>
        <w:rPr>
          <w:rFonts w:eastAsiaTheme="minorEastAsia"/>
        </w:rPr>
        <w:t>管内穿线</w:t>
      </w:r>
      <w:r>
        <w:rPr>
          <w:rFonts w:hint="eastAsia" w:eastAsiaTheme="minorEastAsia"/>
        </w:rPr>
        <w:t>应</w:t>
      </w:r>
      <w:r>
        <w:rPr>
          <w:rFonts w:eastAsiaTheme="minorEastAsia"/>
        </w:rPr>
        <w:t>无接头，接头</w:t>
      </w:r>
      <w:r>
        <w:rPr>
          <w:rFonts w:hint="eastAsia" w:eastAsiaTheme="minorEastAsia"/>
        </w:rPr>
        <w:t>应</w:t>
      </w:r>
      <w:r>
        <w:rPr>
          <w:rFonts w:eastAsiaTheme="minorEastAsia"/>
        </w:rPr>
        <w:t>在线盒等连接处续接。</w:t>
      </w:r>
    </w:p>
    <w:p w14:paraId="74D2E82C">
      <w:pPr>
        <w:pStyle w:val="164"/>
        <w:numPr>
          <w:ilvl w:val="0"/>
          <w:numId w:val="115"/>
        </w:numPr>
        <w:spacing w:line="330" w:lineRule="exact"/>
        <w:ind w:left="0" w:firstLine="420"/>
        <w:rPr>
          <w:rFonts w:eastAsiaTheme="minorEastAsia"/>
        </w:rPr>
      </w:pPr>
      <w:r>
        <w:rPr>
          <w:rFonts w:eastAsiaTheme="minorEastAsia"/>
        </w:rPr>
        <w:t>电缆</w:t>
      </w:r>
      <w:r>
        <w:rPr>
          <w:rFonts w:hint="eastAsia" w:eastAsiaTheme="minorEastAsia"/>
        </w:rPr>
        <w:t>应</w:t>
      </w:r>
      <w:r>
        <w:rPr>
          <w:rFonts w:eastAsiaTheme="minorEastAsia"/>
        </w:rPr>
        <w:t>从底部引入机架，理直成捆，线缆两端</w:t>
      </w:r>
      <w:r>
        <w:rPr>
          <w:rFonts w:hint="eastAsia" w:eastAsiaTheme="minorEastAsia"/>
        </w:rPr>
        <w:t>应</w:t>
      </w:r>
      <w:r>
        <w:rPr>
          <w:rFonts w:eastAsiaTheme="minorEastAsia"/>
        </w:rPr>
        <w:t>做标记，输入输出平衡等</w:t>
      </w:r>
      <w:r>
        <w:rPr>
          <w:rFonts w:hint="eastAsia" w:eastAsiaTheme="minorEastAsia"/>
        </w:rPr>
        <w:t>应</w:t>
      </w:r>
      <w:r>
        <w:rPr>
          <w:rFonts w:eastAsiaTheme="minorEastAsia"/>
        </w:rPr>
        <w:t>满足设计要求。</w:t>
      </w:r>
    </w:p>
    <w:p w14:paraId="5A21E727">
      <w:pPr>
        <w:pStyle w:val="164"/>
        <w:spacing w:before="100" w:after="100" w:line="330" w:lineRule="exact"/>
        <w:ind w:firstLine="0" w:firstLineChars="0"/>
        <w:rPr>
          <w:szCs w:val="21"/>
        </w:rPr>
      </w:pPr>
      <w:r>
        <w:rPr>
          <w:szCs w:val="21"/>
        </w:rPr>
        <w:t>12.3.5 前端设备安装应符合下列规定：</w:t>
      </w:r>
    </w:p>
    <w:p w14:paraId="61ADB715">
      <w:pPr>
        <w:pStyle w:val="164"/>
        <w:numPr>
          <w:ilvl w:val="0"/>
          <w:numId w:val="116"/>
        </w:numPr>
        <w:spacing w:line="330" w:lineRule="exact"/>
        <w:ind w:left="0" w:firstLine="420"/>
        <w:rPr>
          <w:rFonts w:eastAsiaTheme="minorEastAsia"/>
        </w:rPr>
      </w:pPr>
      <w:r>
        <w:rPr>
          <w:rFonts w:eastAsiaTheme="minorEastAsia"/>
        </w:rPr>
        <w:t>扬声器的安装固定应安全可靠，水平和俯角、仰角应能在设计要求的范围内灵活调整</w:t>
      </w:r>
    </w:p>
    <w:p w14:paraId="60557A64">
      <w:pPr>
        <w:pStyle w:val="164"/>
        <w:numPr>
          <w:ilvl w:val="0"/>
          <w:numId w:val="116"/>
        </w:numPr>
        <w:spacing w:line="330" w:lineRule="exact"/>
        <w:ind w:left="0" w:firstLine="420"/>
        <w:rPr>
          <w:rFonts w:eastAsiaTheme="minorEastAsia"/>
        </w:rPr>
      </w:pPr>
      <w:r>
        <w:rPr>
          <w:rFonts w:eastAsiaTheme="minorEastAsia"/>
        </w:rPr>
        <w:t>吊顶内、夹层内利用建筑结构固定扬声器箱支架或吊杆等附件，应在结构上钻孔、电焊等，使用前应检查建筑结构的承重能力，并征得设计同意后方可施工；在灯杆等位置悬挂大型扬声器时，应满足其承重能力，并经设计同意后才可安装。</w:t>
      </w:r>
    </w:p>
    <w:p w14:paraId="4A453F65">
      <w:pPr>
        <w:pStyle w:val="164"/>
        <w:numPr>
          <w:ilvl w:val="0"/>
          <w:numId w:val="116"/>
        </w:numPr>
        <w:spacing w:line="330" w:lineRule="exact"/>
        <w:ind w:left="0" w:firstLine="420"/>
        <w:rPr>
          <w:rFonts w:eastAsiaTheme="minorEastAsia"/>
        </w:rPr>
      </w:pPr>
      <w:r>
        <w:rPr>
          <w:rFonts w:eastAsiaTheme="minorEastAsia"/>
        </w:rPr>
        <w:t>以建筑装饰为掩体安装的扬声器箱，其正面不应直接接触装饰物。</w:t>
      </w:r>
    </w:p>
    <w:p w14:paraId="5D9DE333">
      <w:pPr>
        <w:pStyle w:val="164"/>
        <w:numPr>
          <w:ilvl w:val="0"/>
          <w:numId w:val="116"/>
        </w:numPr>
        <w:spacing w:line="330" w:lineRule="exact"/>
        <w:ind w:left="0" w:firstLine="420"/>
        <w:rPr>
          <w:rFonts w:eastAsiaTheme="minorEastAsia"/>
        </w:rPr>
      </w:pPr>
      <w:r>
        <w:rPr>
          <w:rFonts w:eastAsiaTheme="minorEastAsia"/>
        </w:rPr>
        <w:t>同一室内的吸顶喇叭应排列均匀、成行、成线。所装的喇叭箱、控制器、插座等标高应一致，确保平整牢固。喇叭周围</w:t>
      </w:r>
      <w:r>
        <w:rPr>
          <w:rFonts w:hint="eastAsia" w:eastAsiaTheme="minorEastAsia"/>
        </w:rPr>
        <w:t>不应</w:t>
      </w:r>
      <w:r>
        <w:rPr>
          <w:rFonts w:eastAsiaTheme="minorEastAsia"/>
        </w:rPr>
        <w:t>有破口现象，装饰罩平整</w:t>
      </w:r>
      <w:r>
        <w:rPr>
          <w:rFonts w:hint="eastAsia" w:eastAsiaTheme="minorEastAsia"/>
        </w:rPr>
        <w:t>且</w:t>
      </w:r>
      <w:r>
        <w:rPr>
          <w:rFonts w:eastAsiaTheme="minorEastAsia"/>
        </w:rPr>
        <w:t xml:space="preserve">不应有损伤。 </w:t>
      </w:r>
    </w:p>
    <w:p w14:paraId="0D220FBF">
      <w:pPr>
        <w:pStyle w:val="164"/>
        <w:numPr>
          <w:ilvl w:val="0"/>
          <w:numId w:val="116"/>
        </w:numPr>
        <w:spacing w:line="330" w:lineRule="exact"/>
        <w:ind w:left="0" w:firstLine="420"/>
        <w:rPr>
          <w:rFonts w:eastAsiaTheme="minorEastAsia"/>
        </w:rPr>
      </w:pPr>
      <w:r>
        <w:rPr>
          <w:rFonts w:eastAsiaTheme="minorEastAsia"/>
        </w:rPr>
        <w:t>不同功率和阻抗的成套扬声器，应事先按设计要求将所需接用的线间变压器的端头焊出引线，剥去10mm～15mm绝缘外皮待用。</w:t>
      </w:r>
    </w:p>
    <w:p w14:paraId="6EC2BB4C">
      <w:pPr>
        <w:pStyle w:val="164"/>
        <w:numPr>
          <w:ilvl w:val="0"/>
          <w:numId w:val="116"/>
        </w:numPr>
        <w:spacing w:line="330" w:lineRule="exact"/>
        <w:ind w:left="0" w:firstLine="420"/>
        <w:rPr>
          <w:rFonts w:eastAsiaTheme="minorEastAsia"/>
        </w:rPr>
      </w:pPr>
      <w:r>
        <w:rPr>
          <w:rFonts w:eastAsiaTheme="minorEastAsia"/>
        </w:rPr>
        <w:t xml:space="preserve">明装声柱应根据设计要求的高度和角度位置预先设置胀管螺栓或预埋吊挂件。 </w:t>
      </w:r>
    </w:p>
    <w:p w14:paraId="3F983331">
      <w:pPr>
        <w:pStyle w:val="164"/>
        <w:numPr>
          <w:ilvl w:val="0"/>
          <w:numId w:val="116"/>
        </w:numPr>
        <w:spacing w:line="330" w:lineRule="exact"/>
        <w:ind w:left="0" w:firstLine="420"/>
        <w:rPr>
          <w:rFonts w:eastAsiaTheme="minorEastAsia"/>
        </w:rPr>
      </w:pPr>
      <w:r>
        <w:rPr>
          <w:rFonts w:eastAsiaTheme="minorEastAsia"/>
        </w:rPr>
        <w:t>外接插座面板安装前盒子应收口平齐，内部清理干净，导线接头压接牢固。面板安装平整。</w:t>
      </w:r>
    </w:p>
    <w:p w14:paraId="4CF0BDE2">
      <w:pPr>
        <w:pStyle w:val="164"/>
        <w:spacing w:before="100" w:after="100" w:line="330" w:lineRule="exact"/>
        <w:ind w:firstLine="0" w:firstLineChars="0"/>
        <w:rPr>
          <w:szCs w:val="21"/>
        </w:rPr>
      </w:pPr>
      <w:r>
        <w:rPr>
          <w:szCs w:val="21"/>
        </w:rPr>
        <w:t>12.3.6 机房设备安装应符合下列规定：</w:t>
      </w:r>
    </w:p>
    <w:p w14:paraId="4AB17432">
      <w:pPr>
        <w:pStyle w:val="164"/>
        <w:numPr>
          <w:ilvl w:val="0"/>
          <w:numId w:val="117"/>
        </w:numPr>
        <w:spacing w:line="330" w:lineRule="exact"/>
        <w:ind w:left="0" w:firstLine="420"/>
        <w:rPr>
          <w:rFonts w:eastAsiaTheme="minorEastAsia"/>
        </w:rPr>
      </w:pPr>
      <w:r>
        <w:rPr>
          <w:rFonts w:eastAsiaTheme="minorEastAsia"/>
        </w:rPr>
        <w:t>公共广播控制中心机房布置及要求</w:t>
      </w:r>
      <w:r>
        <w:rPr>
          <w:szCs w:val="21"/>
        </w:rPr>
        <w:t>应符合下列规定：</w:t>
      </w:r>
    </w:p>
    <w:p w14:paraId="14C38DFD">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机房内应设有空调及除湿装置.</w:t>
      </w:r>
    </w:p>
    <w:p w14:paraId="2D2AE500">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温度控制范围</w:t>
      </w:r>
      <w:r>
        <w:rPr>
          <w:rFonts w:eastAsiaTheme="minorEastAsia"/>
        </w:rPr>
        <w:t>应为</w:t>
      </w:r>
      <w:r>
        <w:rPr>
          <w:rFonts w:eastAsiaTheme="minorEastAsia"/>
          <w:szCs w:val="21"/>
        </w:rPr>
        <w:t>：15℃～25℃。</w:t>
      </w:r>
    </w:p>
    <w:p w14:paraId="619FEC6B">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湿度控制范围</w:t>
      </w:r>
      <w:r>
        <w:rPr>
          <w:rFonts w:eastAsiaTheme="minorEastAsia"/>
        </w:rPr>
        <w:t>应为</w:t>
      </w:r>
      <w:r>
        <w:rPr>
          <w:rFonts w:eastAsiaTheme="minorEastAsia"/>
          <w:szCs w:val="21"/>
        </w:rPr>
        <w:t>：30％～50％。</w:t>
      </w:r>
    </w:p>
    <w:p w14:paraId="4F3DA048">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机房内</w:t>
      </w:r>
      <w:r>
        <w:rPr>
          <w:rFonts w:eastAsiaTheme="minorEastAsia"/>
        </w:rPr>
        <w:t>应</w:t>
      </w:r>
      <w:r>
        <w:rPr>
          <w:rFonts w:eastAsiaTheme="minorEastAsia"/>
          <w:szCs w:val="21"/>
        </w:rPr>
        <w:t>设有防静电地板。</w:t>
      </w:r>
    </w:p>
    <w:p w14:paraId="0A3ADB14">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机房内</w:t>
      </w:r>
      <w:r>
        <w:rPr>
          <w:rFonts w:eastAsiaTheme="minorEastAsia"/>
        </w:rPr>
        <w:t>应</w:t>
      </w:r>
      <w:r>
        <w:rPr>
          <w:rFonts w:eastAsiaTheme="minorEastAsia"/>
          <w:szCs w:val="21"/>
        </w:rPr>
        <w:t>配有内外通讯联络设备。</w:t>
      </w:r>
    </w:p>
    <w:p w14:paraId="0EF3377B">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机房内配</w:t>
      </w:r>
      <w:r>
        <w:rPr>
          <w:rFonts w:eastAsiaTheme="minorEastAsia"/>
        </w:rPr>
        <w:t>应</w:t>
      </w:r>
      <w:r>
        <w:rPr>
          <w:rFonts w:eastAsiaTheme="minorEastAsia"/>
          <w:szCs w:val="21"/>
        </w:rPr>
        <w:t>有稳定电源，统一供给系统用电。</w:t>
      </w:r>
    </w:p>
    <w:p w14:paraId="23A4196A">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安装柜宜与操作台分开安装。</w:t>
      </w:r>
    </w:p>
    <w:p w14:paraId="696FC608">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机架安装</w:t>
      </w:r>
      <w:r>
        <w:rPr>
          <w:rFonts w:eastAsiaTheme="minorEastAsia"/>
        </w:rPr>
        <w:t>应</w:t>
      </w:r>
      <w:r>
        <w:rPr>
          <w:rFonts w:eastAsiaTheme="minorEastAsia"/>
          <w:szCs w:val="21"/>
        </w:rPr>
        <w:t>竖直平稳。</w:t>
      </w:r>
    </w:p>
    <w:p w14:paraId="000D0889">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机架侧面与墙、背面与墙距离</w:t>
      </w:r>
      <w:r>
        <w:rPr>
          <w:rFonts w:eastAsiaTheme="minorEastAsia"/>
        </w:rPr>
        <w:t>应</w:t>
      </w:r>
      <w:r>
        <w:rPr>
          <w:rFonts w:eastAsiaTheme="minorEastAsia"/>
          <w:szCs w:val="21"/>
        </w:rPr>
        <w:t>≥0.8ｍ。</w:t>
      </w:r>
    </w:p>
    <w:p w14:paraId="0F0D2B44">
      <w:pPr>
        <w:pStyle w:val="164"/>
        <w:numPr>
          <w:ilvl w:val="0"/>
          <w:numId w:val="118"/>
        </w:numPr>
        <w:tabs>
          <w:tab w:val="left" w:pos="210"/>
          <w:tab w:val="left" w:pos="567"/>
        </w:tabs>
        <w:spacing w:line="330" w:lineRule="exact"/>
        <w:ind w:firstLine="630" w:firstLineChars="300"/>
        <w:rPr>
          <w:rFonts w:eastAsiaTheme="minorEastAsia"/>
          <w:szCs w:val="21"/>
        </w:rPr>
      </w:pPr>
      <w:r>
        <w:rPr>
          <w:rFonts w:eastAsiaTheme="minorEastAsia"/>
          <w:szCs w:val="21"/>
        </w:rPr>
        <w:t>设备安装于机架内</w:t>
      </w:r>
      <w:r>
        <w:rPr>
          <w:rFonts w:eastAsiaTheme="minorEastAsia"/>
        </w:rPr>
        <w:t>应</w:t>
      </w:r>
      <w:r>
        <w:rPr>
          <w:rFonts w:eastAsiaTheme="minorEastAsia"/>
          <w:szCs w:val="21"/>
        </w:rPr>
        <w:t>牢固、端正。</w:t>
      </w:r>
    </w:p>
    <w:p w14:paraId="07418BBA">
      <w:pPr>
        <w:pStyle w:val="164"/>
        <w:numPr>
          <w:ilvl w:val="0"/>
          <w:numId w:val="117"/>
        </w:numPr>
        <w:spacing w:line="330" w:lineRule="exact"/>
        <w:ind w:left="0" w:firstLine="420"/>
        <w:rPr>
          <w:rFonts w:eastAsiaTheme="minorEastAsia"/>
        </w:rPr>
      </w:pPr>
      <w:r>
        <w:rPr>
          <w:rFonts w:eastAsiaTheme="minorEastAsia"/>
        </w:rPr>
        <w:t>当大型机柜采用槽钢基础时，应先检查槽钢基础是否平直，其尺寸是否满足机柜尺寸。</w:t>
      </w:r>
    </w:p>
    <w:p w14:paraId="789A0C4B">
      <w:pPr>
        <w:pStyle w:val="164"/>
        <w:numPr>
          <w:ilvl w:val="0"/>
          <w:numId w:val="117"/>
        </w:numPr>
        <w:spacing w:line="330" w:lineRule="exact"/>
        <w:ind w:left="0" w:firstLine="420"/>
        <w:rPr>
          <w:rFonts w:eastAsiaTheme="minorEastAsia"/>
        </w:rPr>
      </w:pPr>
      <w:r>
        <w:rPr>
          <w:rFonts w:eastAsiaTheme="minorEastAsia"/>
        </w:rPr>
        <w:t>机柜单个独立安装或多个并列安装应达到横平、竖直；机柜上设备安装顺序应满足设计要求，设备面板排列整齐，带轨道的设备应推拉灵活。</w:t>
      </w:r>
    </w:p>
    <w:p w14:paraId="48D689F5">
      <w:pPr>
        <w:pStyle w:val="164"/>
        <w:numPr>
          <w:ilvl w:val="0"/>
          <w:numId w:val="117"/>
        </w:numPr>
        <w:spacing w:line="330" w:lineRule="exact"/>
        <w:ind w:left="0" w:firstLine="420"/>
        <w:rPr>
          <w:rFonts w:eastAsiaTheme="minorEastAsia"/>
        </w:rPr>
      </w:pPr>
      <w:r>
        <w:rPr>
          <w:rFonts w:eastAsiaTheme="minorEastAsia"/>
        </w:rPr>
        <w:t>自立式柜如果设置在活动地板上，基础槽钢应在地面内生根。大型自立式柜或多台柜不允许浮摆在活动地板上。</w:t>
      </w:r>
    </w:p>
    <w:p w14:paraId="6977553E">
      <w:pPr>
        <w:pStyle w:val="164"/>
        <w:numPr>
          <w:ilvl w:val="0"/>
          <w:numId w:val="117"/>
        </w:numPr>
        <w:spacing w:line="330" w:lineRule="exact"/>
        <w:ind w:left="0" w:firstLine="420"/>
        <w:rPr>
          <w:rFonts w:eastAsiaTheme="minorEastAsia"/>
        </w:rPr>
      </w:pPr>
      <w:r>
        <w:rPr>
          <w:rFonts w:eastAsiaTheme="minorEastAsia"/>
        </w:rPr>
        <w:t>基础槽钢应平直，允许偏差1/1000，但全长不得超出3mm。基础槽钢应可靠地接地。稳装后，其顶部应高出地面10mm。</w:t>
      </w:r>
    </w:p>
    <w:p w14:paraId="220E122D">
      <w:pPr>
        <w:pStyle w:val="164"/>
        <w:numPr>
          <w:ilvl w:val="0"/>
          <w:numId w:val="117"/>
        </w:numPr>
        <w:spacing w:line="330" w:lineRule="exact"/>
        <w:ind w:left="0" w:firstLine="420"/>
        <w:rPr>
          <w:rFonts w:eastAsiaTheme="minorEastAsia"/>
        </w:rPr>
      </w:pPr>
      <w:r>
        <w:rPr>
          <w:rFonts w:eastAsiaTheme="minorEastAsia"/>
        </w:rPr>
        <w:t xml:space="preserve">自立式柜安装应牢固、平正，其垂直度允许偏差1.5/1000；成排柜在同一立面上的水平度允许偏差3mm；柜间连接缝不得大于2mm。 </w:t>
      </w:r>
    </w:p>
    <w:p w14:paraId="10DC1C58">
      <w:pPr>
        <w:pStyle w:val="164"/>
        <w:numPr>
          <w:ilvl w:val="255"/>
          <w:numId w:val="0"/>
        </w:numPr>
        <w:spacing w:before="100" w:after="100" w:line="330" w:lineRule="exact"/>
        <w:rPr>
          <w:rFonts w:eastAsiaTheme="minorEastAsia"/>
        </w:rPr>
      </w:pPr>
      <w:r>
        <w:rPr>
          <w:szCs w:val="21"/>
        </w:rPr>
        <w:t xml:space="preserve">12.3.7 </w:t>
      </w:r>
      <w:r>
        <w:rPr>
          <w:rFonts w:eastAsiaTheme="minorEastAsia"/>
        </w:rPr>
        <w:t>接线前，应将已布放的线缆再次进行对地与线间绝缘摇测，绝缘电阻大于0.5MΩ。机房设备应采用专用导线将各设备进行连接，设备及屏蔽线应压接好保护地线。接地电阻值不应大于1Ω 。</w:t>
      </w:r>
    </w:p>
    <w:p w14:paraId="67382732">
      <w:pPr>
        <w:pStyle w:val="3"/>
        <w:spacing w:before="240" w:after="120" w:afterLines="50" w:line="330" w:lineRule="exact"/>
        <w:rPr>
          <w:rFonts w:eastAsia="黑体"/>
          <w:b w:val="0"/>
          <w:bCs w:val="0"/>
          <w:sz w:val="21"/>
          <w:szCs w:val="21"/>
          <w:lang w:val="en-US"/>
        </w:rPr>
      </w:pPr>
      <w:bookmarkStart w:id="86" w:name="_Toc182487964"/>
      <w:r>
        <w:rPr>
          <w:rFonts w:eastAsia="黑体"/>
          <w:b w:val="0"/>
          <w:bCs w:val="0"/>
          <w:sz w:val="21"/>
          <w:szCs w:val="21"/>
          <w:lang w:val="en-US"/>
        </w:rPr>
        <w:t>12.4 质量记录</w:t>
      </w:r>
      <w:bookmarkEnd w:id="86"/>
    </w:p>
    <w:p w14:paraId="70449116">
      <w:pPr>
        <w:ind w:left="105" w:hanging="105"/>
        <w:rPr>
          <w:rFonts w:ascii="Times New Roman" w:hAnsi="Times New Roman"/>
        </w:rPr>
      </w:pPr>
      <w:r>
        <w:rPr>
          <w:rFonts w:ascii="Times New Roman" w:hAnsi="Times New Roman"/>
        </w:rPr>
        <w:t>12.4.1 质量记录应包含下列内容：</w:t>
      </w:r>
    </w:p>
    <w:p w14:paraId="117EF6BA">
      <w:pPr>
        <w:pStyle w:val="164"/>
        <w:spacing w:before="100" w:after="100" w:line="330" w:lineRule="exact"/>
        <w:ind w:firstLine="422"/>
        <w:rPr>
          <w:szCs w:val="21"/>
        </w:rPr>
      </w:pPr>
      <w:r>
        <w:rPr>
          <w:b/>
          <w:bCs/>
          <w:szCs w:val="21"/>
        </w:rPr>
        <w:t>1</w:t>
      </w:r>
      <w:r>
        <w:rPr>
          <w:szCs w:val="21"/>
        </w:rPr>
        <w:t xml:space="preserve"> 喇叭（扬声器），声箱、线间变压器，控制器、外接插座、扩音机、增音机、音频处理设备，屏蔽线、屏蔽电缆等合格证、产品技术说明书和技术资料。</w:t>
      </w:r>
    </w:p>
    <w:p w14:paraId="4ECBE941">
      <w:pPr>
        <w:pStyle w:val="164"/>
        <w:spacing w:before="100" w:after="100" w:line="330" w:lineRule="exact"/>
        <w:ind w:firstLine="422"/>
        <w:rPr>
          <w:szCs w:val="21"/>
        </w:rPr>
      </w:pPr>
      <w:r>
        <w:rPr>
          <w:b/>
          <w:bCs/>
          <w:szCs w:val="21"/>
        </w:rPr>
        <w:t>2</w:t>
      </w:r>
      <w:r>
        <w:rPr>
          <w:szCs w:val="21"/>
        </w:rPr>
        <w:t xml:space="preserve"> 广播系统安装工程预检、隐检、自检、互检记录。 </w:t>
      </w:r>
    </w:p>
    <w:p w14:paraId="7FC0387A">
      <w:pPr>
        <w:pStyle w:val="164"/>
        <w:spacing w:before="100" w:after="100" w:line="330" w:lineRule="exact"/>
        <w:ind w:firstLine="422"/>
        <w:rPr>
          <w:szCs w:val="21"/>
        </w:rPr>
      </w:pPr>
      <w:r>
        <w:rPr>
          <w:b/>
          <w:bCs/>
          <w:szCs w:val="21"/>
        </w:rPr>
        <w:t>3</w:t>
      </w:r>
      <w:r>
        <w:rPr>
          <w:szCs w:val="21"/>
        </w:rPr>
        <w:t xml:space="preserve"> 设计变更洽商记录、竣工图。 </w:t>
      </w:r>
    </w:p>
    <w:p w14:paraId="0C43A6AC">
      <w:pPr>
        <w:pStyle w:val="164"/>
        <w:spacing w:before="100" w:after="100" w:line="330" w:lineRule="exact"/>
        <w:ind w:firstLine="422"/>
        <w:rPr>
          <w:szCs w:val="21"/>
        </w:rPr>
      </w:pPr>
      <w:r>
        <w:rPr>
          <w:b/>
          <w:bCs/>
          <w:szCs w:val="21"/>
        </w:rPr>
        <w:t>4</w:t>
      </w:r>
      <w:r>
        <w:rPr>
          <w:szCs w:val="21"/>
        </w:rPr>
        <w:t xml:space="preserve"> 配管及管内穿线分项工程质量检验评定记录。 </w:t>
      </w:r>
    </w:p>
    <w:p w14:paraId="1A5DBBD3">
      <w:pPr>
        <w:pStyle w:val="164"/>
        <w:spacing w:before="100" w:after="100" w:line="330" w:lineRule="exact"/>
        <w:ind w:firstLine="422"/>
        <w:rPr>
          <w:szCs w:val="21"/>
        </w:rPr>
      </w:pPr>
      <w:r>
        <w:rPr>
          <w:b/>
          <w:bCs/>
          <w:szCs w:val="21"/>
        </w:rPr>
        <w:t xml:space="preserve">5 </w:t>
      </w:r>
      <w:r>
        <w:rPr>
          <w:szCs w:val="21"/>
        </w:rPr>
        <w:t>广播系统安装调试记录。</w:t>
      </w:r>
    </w:p>
    <w:p w14:paraId="18FB4EFE">
      <w:pPr>
        <w:pStyle w:val="164"/>
        <w:spacing w:before="100" w:after="100" w:line="330" w:lineRule="exact"/>
        <w:ind w:firstLine="0" w:firstLineChars="0"/>
        <w:rPr>
          <w:szCs w:val="21"/>
        </w:rPr>
      </w:pPr>
    </w:p>
    <w:p w14:paraId="7C1228BB">
      <w:pPr>
        <w:widowControl/>
        <w:spacing w:line="330" w:lineRule="exact"/>
        <w:ind w:left="0" w:firstLine="0" w:firstLineChars="0"/>
        <w:jc w:val="left"/>
        <w:rPr>
          <w:rFonts w:ascii="Times New Roman" w:hAnsi="Times New Roman"/>
        </w:rPr>
      </w:pPr>
    </w:p>
    <w:p w14:paraId="5FB1928E">
      <w:pPr>
        <w:ind w:left="0" w:firstLine="0" w:firstLineChars="0"/>
        <w:rPr>
          <w:rFonts w:ascii="Times New Roman" w:hAnsi="Times New Roman"/>
        </w:rPr>
      </w:pPr>
    </w:p>
    <w:p w14:paraId="3A503EE8">
      <w:pPr>
        <w:ind w:left="0" w:firstLine="0" w:firstLineChars="0"/>
        <w:rPr>
          <w:rFonts w:ascii="Times New Roman" w:hAnsi="Times New Roman"/>
        </w:rPr>
      </w:pPr>
    </w:p>
    <w:p w14:paraId="338A24A5">
      <w:pPr>
        <w:ind w:left="0" w:firstLine="0" w:firstLineChars="0"/>
        <w:rPr>
          <w:rFonts w:ascii="Times New Roman" w:hAnsi="Times New Roman"/>
        </w:rPr>
      </w:pPr>
    </w:p>
    <w:p w14:paraId="55ACAA07">
      <w:pPr>
        <w:ind w:left="0" w:firstLine="0" w:firstLineChars="0"/>
        <w:rPr>
          <w:rFonts w:ascii="Times New Roman" w:hAnsi="Times New Roman"/>
        </w:rPr>
      </w:pPr>
    </w:p>
    <w:p w14:paraId="5C03B172">
      <w:pPr>
        <w:ind w:left="0" w:firstLine="0" w:firstLineChars="0"/>
        <w:rPr>
          <w:rFonts w:ascii="Times New Roman" w:hAnsi="Times New Roman"/>
        </w:rPr>
      </w:pPr>
    </w:p>
    <w:p w14:paraId="14BB59A1">
      <w:pPr>
        <w:ind w:left="0" w:firstLine="0" w:firstLineChars="0"/>
        <w:rPr>
          <w:rFonts w:ascii="Times New Roman" w:hAnsi="Times New Roman"/>
        </w:rPr>
      </w:pPr>
    </w:p>
    <w:p w14:paraId="726A2896">
      <w:pPr>
        <w:ind w:left="0" w:firstLine="0" w:firstLineChars="0"/>
        <w:rPr>
          <w:rFonts w:ascii="Times New Roman" w:hAnsi="Times New Roman"/>
        </w:rPr>
      </w:pPr>
    </w:p>
    <w:p w14:paraId="6DA3FE0C">
      <w:pPr>
        <w:ind w:left="0" w:firstLine="0" w:firstLineChars="0"/>
        <w:rPr>
          <w:rFonts w:ascii="Times New Roman" w:hAnsi="Times New Roman"/>
        </w:rPr>
      </w:pPr>
    </w:p>
    <w:p w14:paraId="4756006E">
      <w:pPr>
        <w:ind w:left="0" w:firstLine="0" w:firstLineChars="0"/>
        <w:rPr>
          <w:rFonts w:ascii="Times New Roman" w:hAnsi="Times New Roman"/>
        </w:rPr>
      </w:pPr>
    </w:p>
    <w:p w14:paraId="495B4F5B">
      <w:pPr>
        <w:ind w:left="0" w:firstLine="0" w:firstLineChars="0"/>
        <w:rPr>
          <w:rFonts w:ascii="Times New Roman" w:hAnsi="Times New Roman"/>
        </w:rPr>
      </w:pPr>
    </w:p>
    <w:p w14:paraId="4F003644">
      <w:pPr>
        <w:ind w:left="0" w:firstLine="0" w:firstLineChars="0"/>
        <w:rPr>
          <w:rFonts w:ascii="Times New Roman" w:hAnsi="Times New Roman"/>
        </w:rPr>
      </w:pPr>
    </w:p>
    <w:p w14:paraId="562EB13C">
      <w:pPr>
        <w:ind w:left="0" w:firstLine="0" w:firstLineChars="0"/>
        <w:rPr>
          <w:rFonts w:ascii="Times New Roman" w:hAnsi="Times New Roman"/>
        </w:rPr>
      </w:pPr>
    </w:p>
    <w:p w14:paraId="58521F2A">
      <w:pPr>
        <w:ind w:left="0" w:firstLine="0" w:firstLineChars="0"/>
        <w:rPr>
          <w:rFonts w:ascii="Times New Roman" w:hAnsi="Times New Roman"/>
        </w:rPr>
      </w:pPr>
    </w:p>
    <w:p w14:paraId="469E9B9E">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21FD6BFC">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87" w:name="_Toc182487965"/>
      <w:r>
        <w:rPr>
          <w:rFonts w:ascii="Times New Roman" w:hAnsi="Times New Roman" w:eastAsia="黑体"/>
          <w:bCs/>
          <w:sz w:val="28"/>
          <w:szCs w:val="28"/>
        </w:rPr>
        <w:t>13 会议系统</w:t>
      </w:r>
      <w:bookmarkEnd w:id="87"/>
    </w:p>
    <w:p w14:paraId="122462D7">
      <w:pPr>
        <w:pStyle w:val="3"/>
        <w:spacing w:before="240" w:after="120" w:afterLines="50" w:line="330" w:lineRule="exact"/>
        <w:rPr>
          <w:rFonts w:eastAsia="黑体"/>
          <w:b w:val="0"/>
          <w:bCs w:val="0"/>
          <w:sz w:val="21"/>
          <w:szCs w:val="21"/>
        </w:rPr>
      </w:pPr>
      <w:bookmarkStart w:id="88" w:name="_Toc182487966"/>
      <w:r>
        <w:rPr>
          <w:rFonts w:eastAsia="黑体"/>
          <w:b w:val="0"/>
          <w:bCs w:val="0"/>
          <w:sz w:val="21"/>
          <w:szCs w:val="21"/>
          <w:lang w:val="en-US"/>
        </w:rPr>
        <w:t xml:space="preserve">13.1 </w:t>
      </w:r>
      <w:r>
        <w:rPr>
          <w:rFonts w:eastAsia="黑体"/>
          <w:b w:val="0"/>
          <w:bCs w:val="0"/>
          <w:sz w:val="21"/>
          <w:szCs w:val="21"/>
        </w:rPr>
        <w:t>一般规定</w:t>
      </w:r>
      <w:bookmarkEnd w:id="88"/>
    </w:p>
    <w:p w14:paraId="18F07FBD">
      <w:pPr>
        <w:pStyle w:val="164"/>
        <w:numPr>
          <w:ilvl w:val="0"/>
          <w:numId w:val="1"/>
        </w:numPr>
        <w:spacing w:line="330" w:lineRule="exact"/>
        <w:ind w:firstLineChars="0"/>
        <w:rPr>
          <w:rFonts w:eastAsiaTheme="minorEastAsia"/>
          <w:vanish/>
          <w:szCs w:val="21"/>
        </w:rPr>
      </w:pPr>
    </w:p>
    <w:p w14:paraId="5D6140E3">
      <w:pPr>
        <w:pStyle w:val="164"/>
        <w:numPr>
          <w:ilvl w:val="1"/>
          <w:numId w:val="1"/>
        </w:numPr>
        <w:spacing w:line="330" w:lineRule="exact"/>
        <w:ind w:firstLineChars="0"/>
        <w:rPr>
          <w:rFonts w:eastAsiaTheme="minorEastAsia"/>
          <w:vanish/>
          <w:szCs w:val="21"/>
        </w:rPr>
      </w:pPr>
    </w:p>
    <w:p w14:paraId="77032C63">
      <w:pPr>
        <w:pStyle w:val="164"/>
        <w:numPr>
          <w:ilvl w:val="1"/>
          <w:numId w:val="1"/>
        </w:numPr>
        <w:spacing w:line="330" w:lineRule="exact"/>
        <w:ind w:firstLineChars="0"/>
        <w:rPr>
          <w:rFonts w:eastAsiaTheme="minorEastAsia"/>
          <w:vanish/>
          <w:szCs w:val="21"/>
        </w:rPr>
      </w:pPr>
    </w:p>
    <w:p w14:paraId="4FCACFB2">
      <w:pPr>
        <w:pStyle w:val="164"/>
        <w:spacing w:before="100" w:after="100" w:line="330" w:lineRule="exact"/>
        <w:ind w:firstLine="0" w:firstLineChars="0"/>
        <w:rPr>
          <w:szCs w:val="21"/>
        </w:rPr>
      </w:pPr>
      <w:r>
        <w:rPr>
          <w:szCs w:val="21"/>
        </w:rPr>
        <w:t>13.1.1 本章适用于数字会议系统的工程实施</w:t>
      </w:r>
      <w:r>
        <w:rPr>
          <w:rFonts w:hint="eastAsia"/>
          <w:szCs w:val="21"/>
        </w:rPr>
        <w:t>、</w:t>
      </w:r>
      <w:r>
        <w:rPr>
          <w:szCs w:val="21"/>
        </w:rPr>
        <w:t>质量控制</w:t>
      </w:r>
      <w:r>
        <w:rPr>
          <w:rFonts w:hint="eastAsia"/>
          <w:szCs w:val="21"/>
        </w:rPr>
        <w:t>及</w:t>
      </w:r>
      <w:r>
        <w:rPr>
          <w:szCs w:val="21"/>
        </w:rPr>
        <w:t>系统检测。</w:t>
      </w:r>
    </w:p>
    <w:p w14:paraId="067C6B89">
      <w:pPr>
        <w:pStyle w:val="3"/>
        <w:spacing w:before="240" w:after="120" w:afterLines="50" w:line="330" w:lineRule="exact"/>
        <w:rPr>
          <w:rFonts w:eastAsia="黑体"/>
          <w:b w:val="0"/>
          <w:bCs w:val="0"/>
          <w:sz w:val="21"/>
          <w:szCs w:val="21"/>
          <w:lang w:val="en-US"/>
        </w:rPr>
      </w:pPr>
      <w:bookmarkStart w:id="89" w:name="_Toc182487967"/>
      <w:r>
        <w:rPr>
          <w:rFonts w:eastAsia="黑体"/>
          <w:b w:val="0"/>
          <w:bCs w:val="0"/>
          <w:sz w:val="21"/>
          <w:szCs w:val="21"/>
          <w:lang w:val="en-US"/>
        </w:rPr>
        <w:t>13.</w:t>
      </w:r>
      <w:r>
        <w:rPr>
          <w:rFonts w:hint="eastAsia" w:eastAsia="黑体"/>
          <w:b w:val="0"/>
          <w:bCs w:val="0"/>
          <w:sz w:val="21"/>
          <w:szCs w:val="21"/>
          <w:lang w:val="en-US"/>
        </w:rPr>
        <w:t>2</w:t>
      </w:r>
      <w:r>
        <w:rPr>
          <w:rFonts w:eastAsia="黑体"/>
          <w:b w:val="0"/>
          <w:bCs w:val="0"/>
          <w:sz w:val="21"/>
          <w:szCs w:val="21"/>
          <w:lang w:val="en-US"/>
        </w:rPr>
        <w:t>施工准备</w:t>
      </w:r>
      <w:bookmarkEnd w:id="89"/>
    </w:p>
    <w:p w14:paraId="6E360E08">
      <w:pPr>
        <w:pStyle w:val="164"/>
        <w:numPr>
          <w:ilvl w:val="1"/>
          <w:numId w:val="119"/>
        </w:numPr>
        <w:spacing w:line="330" w:lineRule="exact"/>
        <w:ind w:firstLineChars="0"/>
        <w:rPr>
          <w:rFonts w:eastAsiaTheme="minorEastAsia"/>
          <w:vanish/>
          <w:szCs w:val="21"/>
        </w:rPr>
      </w:pPr>
    </w:p>
    <w:p w14:paraId="68DB3F3C">
      <w:pPr>
        <w:pStyle w:val="164"/>
        <w:spacing w:line="330" w:lineRule="exact"/>
        <w:ind w:firstLine="0" w:firstLineChars="0"/>
        <w:rPr>
          <w:rFonts w:eastAsiaTheme="minorEastAsia"/>
        </w:rPr>
      </w:pPr>
      <w:r>
        <w:rPr>
          <w:szCs w:val="21"/>
        </w:rPr>
        <w:t>13.2.1 主要材料</w:t>
      </w:r>
      <w:r>
        <w:rPr>
          <w:rFonts w:hint="eastAsia" w:eastAsiaTheme="minorEastAsia"/>
        </w:rPr>
        <w:t>有</w:t>
      </w:r>
      <w:r>
        <w:rPr>
          <w:rFonts w:eastAsiaTheme="minorEastAsia"/>
        </w:rPr>
        <w:t>前端设备</w:t>
      </w:r>
      <w:r>
        <w:rPr>
          <w:rFonts w:hint="eastAsia" w:eastAsiaTheme="minorEastAsia"/>
        </w:rPr>
        <w:t>、</w:t>
      </w:r>
      <w:r>
        <w:rPr>
          <w:rFonts w:eastAsiaTheme="minorEastAsia"/>
        </w:rPr>
        <w:t>信号处理设备</w:t>
      </w:r>
      <w:r>
        <w:rPr>
          <w:rFonts w:hint="eastAsia" w:eastAsiaTheme="minorEastAsia"/>
        </w:rPr>
        <w:t>、</w:t>
      </w:r>
      <w:r>
        <w:rPr>
          <w:rFonts w:eastAsiaTheme="minorEastAsia"/>
        </w:rPr>
        <w:t>传输控制设备</w:t>
      </w:r>
      <w:r>
        <w:rPr>
          <w:rFonts w:hint="eastAsia" w:eastAsiaTheme="minorEastAsia"/>
        </w:rPr>
        <w:t>、</w:t>
      </w:r>
      <w:r>
        <w:rPr>
          <w:rFonts w:eastAsiaTheme="minorEastAsia"/>
        </w:rPr>
        <w:t>终端设备</w:t>
      </w:r>
      <w:r>
        <w:rPr>
          <w:rFonts w:hint="eastAsia" w:eastAsiaTheme="minorEastAsia"/>
        </w:rPr>
        <w:t>、</w:t>
      </w:r>
      <w:r>
        <w:rPr>
          <w:rFonts w:eastAsiaTheme="minorEastAsia"/>
        </w:rPr>
        <w:t>配备的线缆</w:t>
      </w:r>
      <w:r>
        <w:rPr>
          <w:rFonts w:hint="eastAsia" w:eastAsiaTheme="minorEastAsia"/>
        </w:rPr>
        <w:t>。</w:t>
      </w:r>
      <w:r>
        <w:rPr>
          <w:rFonts w:eastAsiaTheme="minorEastAsia"/>
        </w:rPr>
        <w:t>不间断电源应附有使用说明书、合格证及有关的技术文件和3C认证标识。安装前应依据出厂图纸或技术文件进行全部通电检查，并记录结果，合格后方可安装。</w:t>
      </w:r>
    </w:p>
    <w:p w14:paraId="3E15C5A7">
      <w:pPr>
        <w:pStyle w:val="164"/>
        <w:numPr>
          <w:ilvl w:val="255"/>
          <w:numId w:val="0"/>
        </w:numPr>
        <w:spacing w:line="330" w:lineRule="exact"/>
        <w:rPr>
          <w:rFonts w:eastAsiaTheme="minorEastAsia"/>
        </w:rPr>
      </w:pPr>
      <w:r>
        <w:rPr>
          <w:szCs w:val="21"/>
        </w:rPr>
        <w:t>13.2.2 主要机具</w:t>
      </w:r>
      <w:r>
        <w:rPr>
          <w:rFonts w:hint="eastAsia"/>
          <w:szCs w:val="21"/>
        </w:rPr>
        <w:t>有</w:t>
      </w:r>
      <w:r>
        <w:rPr>
          <w:rFonts w:eastAsiaTheme="minorEastAsia"/>
        </w:rPr>
        <w:t>手电钻、冲击钻、克丝钳子、剥线钳、电工刀、电烙铁、一字改锥、十字改锥、尖嘴钳、偏口钳、电锡锅、万用表、工具袋、梯子、水平尺、拉线、500V摇表、线坠。</w:t>
      </w:r>
    </w:p>
    <w:p w14:paraId="644C5DE0">
      <w:pPr>
        <w:pStyle w:val="164"/>
        <w:spacing w:line="330" w:lineRule="exact"/>
        <w:ind w:firstLine="0" w:firstLineChars="0"/>
        <w:rPr>
          <w:szCs w:val="21"/>
        </w:rPr>
      </w:pPr>
      <w:r>
        <w:rPr>
          <w:szCs w:val="21"/>
        </w:rPr>
        <w:t>13.2.3 作业条件应符合下列规定：</w:t>
      </w:r>
    </w:p>
    <w:p w14:paraId="60BA3BC8">
      <w:pPr>
        <w:pStyle w:val="164"/>
        <w:numPr>
          <w:ilvl w:val="0"/>
          <w:numId w:val="120"/>
        </w:numPr>
        <w:spacing w:line="330" w:lineRule="exact"/>
        <w:ind w:left="0" w:firstLine="420"/>
        <w:rPr>
          <w:rFonts w:eastAsiaTheme="minorEastAsia"/>
        </w:rPr>
      </w:pPr>
      <w:r>
        <w:rPr>
          <w:rFonts w:eastAsiaTheme="minorEastAsia"/>
        </w:rPr>
        <w:t>机房内土建工程应内装修完毕，门、窗及门锁装配齐全完整。</w:t>
      </w:r>
    </w:p>
    <w:p w14:paraId="63944697">
      <w:pPr>
        <w:pStyle w:val="164"/>
        <w:numPr>
          <w:ilvl w:val="0"/>
          <w:numId w:val="120"/>
        </w:numPr>
        <w:spacing w:line="330" w:lineRule="exact"/>
        <w:ind w:left="0" w:firstLine="420"/>
        <w:rPr>
          <w:rFonts w:eastAsiaTheme="minorEastAsia"/>
        </w:rPr>
      </w:pPr>
      <w:r>
        <w:rPr>
          <w:rFonts w:eastAsiaTheme="minorEastAsia"/>
        </w:rPr>
        <w:t>机房内及外围的布线线缆沟、槽、管、盒、箱应施工完毕。</w:t>
      </w:r>
    </w:p>
    <w:p w14:paraId="4A64EE04">
      <w:pPr>
        <w:pStyle w:val="164"/>
        <w:numPr>
          <w:ilvl w:val="0"/>
          <w:numId w:val="120"/>
        </w:numPr>
        <w:spacing w:line="330" w:lineRule="exact"/>
        <w:ind w:left="0" w:firstLine="420"/>
        <w:rPr>
          <w:rFonts w:eastAsiaTheme="minorEastAsia"/>
        </w:rPr>
      </w:pPr>
      <w:r>
        <w:rPr>
          <w:rFonts w:eastAsiaTheme="minorEastAsia"/>
        </w:rPr>
        <w:t>机房内、弱电竖井以及建筑内公共部分等，各预留孔洞、预埋件的位置，线管的管径、管路的配置到位及管内预留钢丝等，均应</w:t>
      </w:r>
      <w:r>
        <w:rPr>
          <w:rFonts w:hint="eastAsia" w:eastAsiaTheme="minorEastAsia"/>
        </w:rPr>
        <w:t>满足</w:t>
      </w:r>
      <w:r>
        <w:rPr>
          <w:rFonts w:eastAsiaTheme="minorEastAsia"/>
        </w:rPr>
        <w:t>设计施工要求。</w:t>
      </w:r>
    </w:p>
    <w:p w14:paraId="1D0BDD28">
      <w:pPr>
        <w:pStyle w:val="164"/>
        <w:numPr>
          <w:ilvl w:val="0"/>
          <w:numId w:val="120"/>
        </w:numPr>
        <w:spacing w:line="330" w:lineRule="exact"/>
        <w:ind w:left="0" w:firstLine="420"/>
        <w:rPr>
          <w:rFonts w:eastAsiaTheme="minorEastAsia"/>
        </w:rPr>
      </w:pPr>
      <w:r>
        <w:rPr>
          <w:rFonts w:eastAsiaTheme="minorEastAsia"/>
        </w:rPr>
        <w:t>终端位置的摄像机支架及管线，应按设计要求敷设到位。</w:t>
      </w:r>
    </w:p>
    <w:p w14:paraId="6B3008DE">
      <w:pPr>
        <w:pStyle w:val="164"/>
        <w:numPr>
          <w:ilvl w:val="0"/>
          <w:numId w:val="120"/>
        </w:numPr>
        <w:spacing w:line="330" w:lineRule="exact"/>
        <w:ind w:left="0" w:firstLine="420"/>
        <w:rPr>
          <w:rFonts w:eastAsiaTheme="minorEastAsia"/>
        </w:rPr>
      </w:pPr>
      <w:r>
        <w:rPr>
          <w:rFonts w:eastAsiaTheme="minorEastAsia"/>
        </w:rPr>
        <w:t>系统设备接线前，导线间绝缘电阻经遥测</w:t>
      </w:r>
      <w:r>
        <w:rPr>
          <w:rFonts w:hint="eastAsia" w:eastAsiaTheme="minorEastAsia"/>
        </w:rPr>
        <w:t>满足</w:t>
      </w:r>
      <w:r>
        <w:rPr>
          <w:rFonts w:eastAsiaTheme="minorEastAsia"/>
        </w:rPr>
        <w:t>国家规范要求。</w:t>
      </w:r>
    </w:p>
    <w:p w14:paraId="2CD1157A">
      <w:pPr>
        <w:pStyle w:val="3"/>
        <w:spacing w:before="240" w:after="120" w:afterLines="50" w:line="330" w:lineRule="exact"/>
        <w:rPr>
          <w:rFonts w:eastAsia="黑体"/>
          <w:b w:val="0"/>
          <w:bCs w:val="0"/>
          <w:sz w:val="21"/>
          <w:szCs w:val="21"/>
          <w:lang w:val="en-US"/>
        </w:rPr>
      </w:pPr>
      <w:bookmarkStart w:id="90" w:name="_Toc182487968"/>
      <w:r>
        <w:rPr>
          <w:rFonts w:eastAsia="黑体"/>
          <w:b w:val="0"/>
          <w:bCs w:val="0"/>
          <w:sz w:val="21"/>
          <w:szCs w:val="21"/>
          <w:lang w:val="en-US"/>
        </w:rPr>
        <w:t>13.3 施工工艺</w:t>
      </w:r>
      <w:bookmarkEnd w:id="90"/>
    </w:p>
    <w:p w14:paraId="6C31A14A">
      <w:pPr>
        <w:pStyle w:val="164"/>
        <w:numPr>
          <w:ilvl w:val="1"/>
          <w:numId w:val="119"/>
        </w:numPr>
        <w:spacing w:line="330" w:lineRule="exact"/>
        <w:ind w:firstLineChars="0"/>
        <w:rPr>
          <w:rFonts w:eastAsiaTheme="minorEastAsia"/>
          <w:vanish/>
          <w:szCs w:val="21"/>
        </w:rPr>
      </w:pPr>
    </w:p>
    <w:p w14:paraId="47058806">
      <w:pPr>
        <w:pStyle w:val="164"/>
        <w:spacing w:line="330" w:lineRule="exact"/>
        <w:ind w:firstLine="0" w:firstLineChars="0"/>
        <w:rPr>
          <w:szCs w:val="21"/>
        </w:rPr>
      </w:pPr>
      <w:r>
        <w:rPr>
          <w:szCs w:val="21"/>
        </w:rPr>
        <w:t xml:space="preserve">13.3.1 </w:t>
      </w:r>
      <w:r>
        <w:rPr>
          <w:rFonts w:eastAsiaTheme="minorEastAsia"/>
          <w:szCs w:val="21"/>
        </w:rPr>
        <w:t>会议系统施工工艺流程见图13.3.1。</w:t>
      </w:r>
    </w:p>
    <w:p w14:paraId="3A4016A3">
      <w:pPr>
        <w:pStyle w:val="172"/>
        <w:rPr>
          <w:lang w:val="zh-CN"/>
        </w:rPr>
      </w:pPr>
      <w:r>
        <mc:AlternateContent>
          <mc:Choice Requires="wpg">
            <w:drawing>
              <wp:inline distT="0" distB="0" distL="0" distR="0">
                <wp:extent cx="4759960" cy="1109980"/>
                <wp:effectExtent l="0" t="0" r="21590" b="13970"/>
                <wp:docPr id="119" name="组合 119"/>
                <wp:cNvGraphicFramePr/>
                <a:graphic xmlns:a="http://schemas.openxmlformats.org/drawingml/2006/main">
                  <a:graphicData uri="http://schemas.microsoft.com/office/word/2010/wordprocessingGroup">
                    <wpg:wgp>
                      <wpg:cNvGrpSpPr/>
                      <wpg:grpSpPr>
                        <a:xfrm>
                          <a:off x="0" y="0"/>
                          <a:ext cx="4759960" cy="1110161"/>
                          <a:chOff x="0" y="0"/>
                          <a:chExt cx="7743" cy="1605"/>
                        </a:xfrm>
                      </wpg:grpSpPr>
                      <wps:wsp>
                        <wps:cNvPr id="120" name="Line 71"/>
                        <wps:cNvCnPr>
                          <a:cxnSpLocks noChangeShapeType="1"/>
                        </wps:cNvCnPr>
                        <wps:spPr bwMode="auto">
                          <a:xfrm>
                            <a:off x="1263" y="312"/>
                            <a:ext cx="540" cy="0"/>
                          </a:xfrm>
                          <a:prstGeom prst="line">
                            <a:avLst/>
                          </a:prstGeom>
                          <a:noFill/>
                          <a:ln w="9525">
                            <a:solidFill>
                              <a:srgbClr val="000000"/>
                            </a:solidFill>
                            <a:round/>
                            <a:tailEnd type="triangle" w="med" len="med"/>
                          </a:ln>
                        </wps:spPr>
                        <wps:bodyPr/>
                      </wps:wsp>
                      <wps:wsp>
                        <wps:cNvPr id="121" name="Line 72"/>
                        <wps:cNvCnPr>
                          <a:cxnSpLocks noChangeShapeType="1"/>
                        </wps:cNvCnPr>
                        <wps:spPr bwMode="auto">
                          <a:xfrm>
                            <a:off x="3243" y="312"/>
                            <a:ext cx="540" cy="0"/>
                          </a:xfrm>
                          <a:prstGeom prst="line">
                            <a:avLst/>
                          </a:prstGeom>
                          <a:noFill/>
                          <a:ln w="9525">
                            <a:solidFill>
                              <a:srgbClr val="000000"/>
                            </a:solidFill>
                            <a:round/>
                            <a:tailEnd type="triangle" w="med" len="med"/>
                          </a:ln>
                        </wps:spPr>
                        <wps:bodyPr/>
                      </wps:wsp>
                      <wps:wsp>
                        <wps:cNvPr id="122" name="Line 73"/>
                        <wps:cNvCnPr>
                          <a:cxnSpLocks noChangeShapeType="1"/>
                        </wps:cNvCnPr>
                        <wps:spPr bwMode="auto">
                          <a:xfrm>
                            <a:off x="5043" y="312"/>
                            <a:ext cx="540" cy="0"/>
                          </a:xfrm>
                          <a:prstGeom prst="line">
                            <a:avLst/>
                          </a:prstGeom>
                          <a:noFill/>
                          <a:ln w="9525">
                            <a:solidFill>
                              <a:srgbClr val="000000"/>
                            </a:solidFill>
                            <a:round/>
                            <a:tailEnd type="triangle" w="med" len="med"/>
                          </a:ln>
                        </wps:spPr>
                        <wps:bodyPr/>
                      </wps:wsp>
                      <wps:wsp>
                        <wps:cNvPr id="123" name="Line 74"/>
                        <wps:cNvCnPr>
                          <a:cxnSpLocks noChangeShapeType="1"/>
                        </wps:cNvCnPr>
                        <wps:spPr bwMode="auto">
                          <a:xfrm>
                            <a:off x="7203" y="312"/>
                            <a:ext cx="540" cy="0"/>
                          </a:xfrm>
                          <a:prstGeom prst="line">
                            <a:avLst/>
                          </a:prstGeom>
                          <a:noFill/>
                          <a:ln w="9525">
                            <a:solidFill>
                              <a:srgbClr val="000000"/>
                            </a:solidFill>
                            <a:round/>
                            <a:tailEnd type="triangle" w="med" len="med"/>
                          </a:ln>
                        </wps:spPr>
                        <wps:bodyPr/>
                      </wps:wsp>
                      <wps:wsp>
                        <wps:cNvPr id="124" name="Rectangle 75"/>
                        <wps:cNvSpPr>
                          <a:spLocks noChangeArrowheads="1"/>
                        </wps:cNvSpPr>
                        <wps:spPr bwMode="auto">
                          <a:xfrm>
                            <a:off x="1800" y="3"/>
                            <a:ext cx="1440" cy="624"/>
                          </a:xfrm>
                          <a:prstGeom prst="rect">
                            <a:avLst/>
                          </a:prstGeom>
                          <a:solidFill>
                            <a:srgbClr val="FFFFFF"/>
                          </a:solidFill>
                          <a:ln w="9525">
                            <a:solidFill>
                              <a:srgbClr val="000000"/>
                            </a:solidFill>
                            <a:miter lim="800000"/>
                          </a:ln>
                        </wps:spPr>
                        <wps:txbx>
                          <w:txbxContent>
                            <w:p w14:paraId="2ABAD8E9">
                              <w:pPr>
                                <w:ind w:left="105" w:hanging="105"/>
                                <w:jc w:val="center"/>
                              </w:pPr>
                              <w:r>
                                <w:rPr>
                                  <w:rFonts w:hint="eastAsia" w:ascii="宋体" w:hAnsi="宋体"/>
                                  <w:kern w:val="0"/>
                                </w:rPr>
                                <w:t>分线箱安装</w:t>
                              </w:r>
                            </w:p>
                          </w:txbxContent>
                        </wps:txbx>
                        <wps:bodyPr rot="0" vert="horz" wrap="square" lIns="91440" tIns="82800" rIns="91440" bIns="45720" anchor="t" anchorCtr="0" upright="1">
                          <a:noAutofit/>
                        </wps:bodyPr>
                      </wps:wsp>
                      <wps:wsp>
                        <wps:cNvPr id="125" name="Rectangle 76"/>
                        <wps:cNvSpPr>
                          <a:spLocks noChangeArrowheads="1"/>
                        </wps:cNvSpPr>
                        <wps:spPr bwMode="auto">
                          <a:xfrm>
                            <a:off x="3" y="3"/>
                            <a:ext cx="1260" cy="624"/>
                          </a:xfrm>
                          <a:prstGeom prst="rect">
                            <a:avLst/>
                          </a:prstGeom>
                          <a:solidFill>
                            <a:srgbClr val="FFFFFF"/>
                          </a:solidFill>
                          <a:ln w="9525">
                            <a:solidFill>
                              <a:srgbClr val="000000"/>
                            </a:solidFill>
                            <a:miter lim="800000"/>
                          </a:ln>
                        </wps:spPr>
                        <wps:txbx>
                          <w:txbxContent>
                            <w:p w14:paraId="35E31392">
                              <w:pPr>
                                <w:ind w:left="105" w:hanging="105"/>
                                <w:jc w:val="center"/>
                              </w:pPr>
                              <w:r>
                                <w:rPr>
                                  <w:rFonts w:hint="eastAsia" w:ascii="宋体" w:hAnsi="宋体"/>
                                  <w:kern w:val="0"/>
                                </w:rPr>
                                <w:t>管线预埋</w:t>
                              </w:r>
                            </w:p>
                          </w:txbxContent>
                        </wps:txbx>
                        <wps:bodyPr rot="0" vert="horz" wrap="square" lIns="91440" tIns="82800" rIns="91440" bIns="45720" anchor="t" anchorCtr="0" upright="1">
                          <a:noAutofit/>
                        </wps:bodyPr>
                      </wps:wsp>
                      <wps:wsp>
                        <wps:cNvPr id="126" name="Rectangle 77"/>
                        <wps:cNvSpPr>
                          <a:spLocks noChangeArrowheads="1"/>
                        </wps:cNvSpPr>
                        <wps:spPr bwMode="auto">
                          <a:xfrm>
                            <a:off x="3783" y="0"/>
                            <a:ext cx="1260" cy="624"/>
                          </a:xfrm>
                          <a:prstGeom prst="rect">
                            <a:avLst/>
                          </a:prstGeom>
                          <a:solidFill>
                            <a:srgbClr val="FFFFFF"/>
                          </a:solidFill>
                          <a:ln w="9525">
                            <a:solidFill>
                              <a:srgbClr val="000000"/>
                            </a:solidFill>
                            <a:miter lim="800000"/>
                          </a:ln>
                        </wps:spPr>
                        <wps:txbx>
                          <w:txbxContent>
                            <w:p w14:paraId="3B8BB685">
                              <w:pPr>
                                <w:ind w:left="105" w:hanging="105"/>
                                <w:jc w:val="center"/>
                                <w:rPr>
                                  <w:rFonts w:ascii="宋体" w:hAnsi="宋体"/>
                                  <w:spacing w:val="-10"/>
                                  <w:kern w:val="0"/>
                                </w:rPr>
                              </w:pPr>
                              <w:r>
                                <w:rPr>
                                  <w:rFonts w:hint="eastAsia" w:ascii="宋体" w:hAnsi="宋体"/>
                                  <w:kern w:val="0"/>
                                </w:rPr>
                                <w:t>线路敷设</w:t>
                              </w:r>
                            </w:p>
                          </w:txbxContent>
                        </wps:txbx>
                        <wps:bodyPr rot="0" vert="horz" wrap="square" lIns="91440" tIns="82800" rIns="91440" bIns="45720" anchor="t" anchorCtr="0" upright="1">
                          <a:noAutofit/>
                        </wps:bodyPr>
                      </wps:wsp>
                      <wps:wsp>
                        <wps:cNvPr id="127" name="Rectangle 78"/>
                        <wps:cNvSpPr>
                          <a:spLocks noChangeArrowheads="1"/>
                        </wps:cNvSpPr>
                        <wps:spPr bwMode="auto">
                          <a:xfrm>
                            <a:off x="5583" y="0"/>
                            <a:ext cx="1620" cy="624"/>
                          </a:xfrm>
                          <a:prstGeom prst="rect">
                            <a:avLst/>
                          </a:prstGeom>
                          <a:solidFill>
                            <a:srgbClr val="FFFFFF"/>
                          </a:solidFill>
                          <a:ln w="9525">
                            <a:solidFill>
                              <a:srgbClr val="000000"/>
                            </a:solidFill>
                            <a:miter lim="800000"/>
                          </a:ln>
                        </wps:spPr>
                        <wps:txbx>
                          <w:txbxContent>
                            <w:p w14:paraId="0370A192">
                              <w:pPr>
                                <w:ind w:left="95" w:hanging="95"/>
                                <w:jc w:val="center"/>
                              </w:pPr>
                              <w:r>
                                <w:rPr>
                                  <w:rFonts w:hint="eastAsia" w:ascii="宋体" w:hAnsi="宋体"/>
                                  <w:spacing w:val="-10"/>
                                  <w:kern w:val="0"/>
                                </w:rPr>
                                <w:t>前端设备安装</w:t>
                              </w:r>
                            </w:p>
                          </w:txbxContent>
                        </wps:txbx>
                        <wps:bodyPr rot="0" vert="horz" wrap="square" lIns="91440" tIns="82800" rIns="91440" bIns="45720" anchor="t" anchorCtr="0" upright="1">
                          <a:noAutofit/>
                        </wps:bodyPr>
                      </wps:wsp>
                      <wps:wsp>
                        <wps:cNvPr id="128" name="Rectangle 79"/>
                        <wps:cNvSpPr>
                          <a:spLocks noChangeArrowheads="1"/>
                        </wps:cNvSpPr>
                        <wps:spPr bwMode="auto">
                          <a:xfrm>
                            <a:off x="0" y="981"/>
                            <a:ext cx="1800" cy="624"/>
                          </a:xfrm>
                          <a:prstGeom prst="rect">
                            <a:avLst/>
                          </a:prstGeom>
                          <a:solidFill>
                            <a:srgbClr val="FFFFFF"/>
                          </a:solidFill>
                          <a:ln w="9525">
                            <a:solidFill>
                              <a:srgbClr val="000000"/>
                            </a:solidFill>
                            <a:miter lim="800000"/>
                          </a:ln>
                        </wps:spPr>
                        <wps:txbx>
                          <w:txbxContent>
                            <w:p w14:paraId="10B1D51D">
                              <w:pPr>
                                <w:ind w:left="105" w:hanging="105"/>
                                <w:jc w:val="center"/>
                              </w:pPr>
                              <w:r>
                                <w:rPr>
                                  <w:rFonts w:hint="eastAsia"/>
                                </w:rPr>
                                <w:t>机房设备安装</w:t>
                              </w:r>
                            </w:p>
                          </w:txbxContent>
                        </wps:txbx>
                        <wps:bodyPr rot="0" vert="horz" wrap="square" lIns="91440" tIns="82800" rIns="91440" bIns="45720" anchor="t" anchorCtr="0" upright="1">
                          <a:noAutofit/>
                        </wps:bodyPr>
                      </wps:wsp>
                      <wps:wsp>
                        <wps:cNvPr id="129" name="Rectangle 80"/>
                        <wps:cNvSpPr>
                          <a:spLocks noChangeArrowheads="1"/>
                        </wps:cNvSpPr>
                        <wps:spPr bwMode="auto">
                          <a:xfrm>
                            <a:off x="2340" y="981"/>
                            <a:ext cx="1999" cy="624"/>
                          </a:xfrm>
                          <a:prstGeom prst="rect">
                            <a:avLst/>
                          </a:prstGeom>
                          <a:solidFill>
                            <a:srgbClr val="FFFFFF"/>
                          </a:solidFill>
                          <a:ln w="9525">
                            <a:solidFill>
                              <a:srgbClr val="000000"/>
                            </a:solidFill>
                            <a:miter lim="800000"/>
                          </a:ln>
                        </wps:spPr>
                        <wps:txbx>
                          <w:txbxContent>
                            <w:p w14:paraId="49049C78">
                              <w:pPr>
                                <w:ind w:left="105" w:hanging="105"/>
                                <w:jc w:val="center"/>
                              </w:pPr>
                              <w:r>
                                <w:rPr>
                                  <w:rFonts w:hint="eastAsia" w:ascii="宋体" w:hAnsi="宋体"/>
                                  <w:kern w:val="0"/>
                                </w:rPr>
                                <w:t>设备接线调试</w:t>
                              </w:r>
                            </w:p>
                          </w:txbxContent>
                        </wps:txbx>
                        <wps:bodyPr rot="0" vert="horz" wrap="square" lIns="91440" tIns="82800" rIns="91440" bIns="45720" anchor="t" anchorCtr="0" upright="1">
                          <a:noAutofit/>
                        </wps:bodyPr>
                      </wps:wsp>
                      <wps:wsp>
                        <wps:cNvPr id="130" name="Line 81"/>
                        <wps:cNvCnPr>
                          <a:cxnSpLocks noChangeShapeType="1"/>
                        </wps:cNvCnPr>
                        <wps:spPr bwMode="auto">
                          <a:xfrm>
                            <a:off x="1800" y="1301"/>
                            <a:ext cx="540" cy="0"/>
                          </a:xfrm>
                          <a:prstGeom prst="line">
                            <a:avLst/>
                          </a:prstGeom>
                          <a:noFill/>
                          <a:ln w="9525">
                            <a:solidFill>
                              <a:srgbClr val="000000"/>
                            </a:solidFill>
                            <a:round/>
                            <a:tailEnd type="triangle" w="med" len="med"/>
                          </a:ln>
                        </wps:spPr>
                        <wps:bodyPr/>
                      </wps:wsp>
                      <wps:wsp>
                        <wps:cNvPr id="131" name="Rectangle 80"/>
                        <wps:cNvSpPr>
                          <a:spLocks noChangeArrowheads="1"/>
                        </wps:cNvSpPr>
                        <wps:spPr bwMode="auto">
                          <a:xfrm>
                            <a:off x="4880" y="980"/>
                            <a:ext cx="1999" cy="624"/>
                          </a:xfrm>
                          <a:prstGeom prst="rect">
                            <a:avLst/>
                          </a:prstGeom>
                          <a:solidFill>
                            <a:srgbClr val="FFFFFF"/>
                          </a:solidFill>
                          <a:ln w="9525">
                            <a:solidFill>
                              <a:srgbClr val="000000"/>
                            </a:solidFill>
                            <a:miter lim="800000"/>
                          </a:ln>
                        </wps:spPr>
                        <wps:txbx>
                          <w:txbxContent>
                            <w:p w14:paraId="283AD6B0">
                              <w:pPr>
                                <w:ind w:left="105" w:hanging="105"/>
                                <w:jc w:val="center"/>
                              </w:pPr>
                              <w:r>
                                <w:rPr>
                                  <w:rFonts w:hint="eastAsia" w:ascii="宋体" w:hAnsi="宋体"/>
                                  <w:kern w:val="0"/>
                                </w:rPr>
                                <w:t>系统测试</w:t>
                              </w:r>
                            </w:p>
                          </w:txbxContent>
                        </wps:txbx>
                        <wps:bodyPr rot="0" vert="horz" wrap="square" lIns="91440" tIns="82800" rIns="91440" bIns="45720" anchor="t" anchorCtr="0" upright="1">
                          <a:noAutofit/>
                        </wps:bodyPr>
                      </wps:wsp>
                      <wps:wsp>
                        <wps:cNvPr id="132" name="Line 81"/>
                        <wps:cNvCnPr>
                          <a:cxnSpLocks noChangeShapeType="1"/>
                        </wps:cNvCnPr>
                        <wps:spPr bwMode="auto">
                          <a:xfrm>
                            <a:off x="4340" y="1284"/>
                            <a:ext cx="540"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87.4pt;width:374.8pt;" coordsize="7743,1605" o:gfxdata="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JHRQkrWAAAABQEAAA8AAAAAAAAAAQAgAAAAIgAA&#10;AGRycy9kb3ducmV2LnhtbFBLAQIUABQAAAAIAIdO4kCWw7eHRAQAABohAAAOAAAAAAAAAAEAIAAA&#10;ACUBAABkcnMvZTJvRG9jLnhtbFBLBQYAAAAABgAGAFkBAADbBwAAAAA=&#10;">
                <o:lock v:ext="edit" aspectratio="f"/>
                <v:line id="Line 71" o:spid="_x0000_s1026" o:spt="20" style="position:absolute;left:1263;top:312;height:0;width:540;"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72" o:spid="_x0000_s1026" o:spt="20" style="position:absolute;left:3243;top:312;height:0;width:540;"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3" o:spid="_x0000_s1026" o:spt="20" style="position:absolute;left:5043;top:312;height:0;width:54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4" o:spid="_x0000_s1026" o:spt="20" style="position:absolute;left:7203;top:312;height:0;width:540;"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75" o:spid="_x0000_s1026" o:spt="1" style="position:absolute;left:1800;top:3;height:624;width:1440;" fillcolor="#FFFFFF" filled="t" stroked="t" coordsize="21600,21600" o:gfxdata="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aTg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2ABAD8E9">
                        <w:pPr>
                          <w:ind w:left="105" w:hanging="105"/>
                          <w:jc w:val="center"/>
                        </w:pPr>
                        <w:r>
                          <w:rPr>
                            <w:rFonts w:hint="eastAsia" w:ascii="宋体" w:hAnsi="宋体"/>
                            <w:kern w:val="0"/>
                          </w:rPr>
                          <w:t>分线箱安装</w:t>
                        </w:r>
                      </w:p>
                    </w:txbxContent>
                  </v:textbox>
                </v:rect>
                <v:rect id="Rectangle 76" o:spid="_x0000_s1026" o:spt="1" style="position:absolute;left:3;top:3;height:624;width:1260;" fillcolor="#FFFFFF" filled="t" stroked="t" coordsize="21600,21600" o:gfxdata="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o2G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35E31392">
                        <w:pPr>
                          <w:ind w:left="105" w:hanging="105"/>
                          <w:jc w:val="center"/>
                        </w:pPr>
                        <w:r>
                          <w:rPr>
                            <w:rFonts w:hint="eastAsia" w:ascii="宋体" w:hAnsi="宋体"/>
                            <w:kern w:val="0"/>
                          </w:rPr>
                          <w:t>管线预埋</w:t>
                        </w:r>
                      </w:p>
                    </w:txbxContent>
                  </v:textbox>
                </v:rect>
                <v:rect id="Rectangle 77" o:spid="_x0000_s1026" o:spt="1" style="position:absolute;left:3783;top:0;height:624;width:1260;" fillcolor="#FFFFFF" filled="t" stroked="t" coordsize="21600,21600" o:gfxdata="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hv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3B8BB685">
                        <w:pPr>
                          <w:ind w:left="105" w:hanging="105"/>
                          <w:jc w:val="center"/>
                          <w:rPr>
                            <w:rFonts w:ascii="宋体" w:hAnsi="宋体"/>
                            <w:spacing w:val="-10"/>
                            <w:kern w:val="0"/>
                          </w:rPr>
                        </w:pPr>
                        <w:r>
                          <w:rPr>
                            <w:rFonts w:hint="eastAsia" w:ascii="宋体" w:hAnsi="宋体"/>
                            <w:kern w:val="0"/>
                          </w:rPr>
                          <w:t>线路敷设</w:t>
                        </w:r>
                      </w:p>
                    </w:txbxContent>
                  </v:textbox>
                </v:rect>
                <v:rect id="Rectangle 78" o:spid="_x0000_s1026" o:spt="1" style="position:absolute;left:5583;top:0;height:624;width:1620;" fillcolor="#FFFFFF" filled="t" stroked="t" coordsize="21600,21600" o:gfxdata="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QN9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0370A192">
                        <w:pPr>
                          <w:ind w:left="95" w:hanging="95"/>
                          <w:jc w:val="center"/>
                        </w:pPr>
                        <w:r>
                          <w:rPr>
                            <w:rFonts w:hint="eastAsia" w:ascii="宋体" w:hAnsi="宋体"/>
                            <w:spacing w:val="-10"/>
                            <w:kern w:val="0"/>
                          </w:rPr>
                          <w:t>前端设备安装</w:t>
                        </w:r>
                      </w:p>
                    </w:txbxContent>
                  </v:textbox>
                </v:rect>
                <v:rect id="Rectangle 79" o:spid="_x0000_s1026" o:spt="1" style="position:absolute;left:0;top:981;height:624;width:1800;" fillcolor="#FFFFFF" filled="t" stroked="t" coordsize="21600,21600" o:gfxdata="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uZh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54mm,2.3mm,2.54mm,1.27mm">
                    <w:txbxContent>
                      <w:p w14:paraId="10B1D51D">
                        <w:pPr>
                          <w:ind w:left="105" w:hanging="105"/>
                          <w:jc w:val="center"/>
                        </w:pPr>
                        <w:r>
                          <w:rPr>
                            <w:rFonts w:hint="eastAsia"/>
                          </w:rPr>
                          <w:t>机房设备安装</w:t>
                        </w:r>
                      </w:p>
                    </w:txbxContent>
                  </v:textbox>
                </v:rect>
                <v:rect id="Rectangle 80" o:spid="_x0000_s1026" o:spt="1" style="position:absolute;left:2340;top:981;height:624;width:1999;" fillcolor="#FFFFFF" filled="t" stroked="t" coordsize="21600,21600" o:gfxdata="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c8H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49049C78">
                        <w:pPr>
                          <w:ind w:left="105" w:hanging="105"/>
                          <w:jc w:val="center"/>
                        </w:pPr>
                        <w:r>
                          <w:rPr>
                            <w:rFonts w:hint="eastAsia" w:ascii="宋体" w:hAnsi="宋体"/>
                            <w:kern w:val="0"/>
                          </w:rPr>
                          <w:t>设备接线调试</w:t>
                        </w:r>
                      </w:p>
                    </w:txbxContent>
                  </v:textbox>
                </v:rect>
                <v:line id="Line 81" o:spid="_x0000_s1026" o:spt="20" style="position:absolute;left:1800;top:1301;height:0;width:54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80" o:spid="_x0000_s1026" o:spt="1" style="position:absolute;left:4880;top:980;height:624;width:1999;" fillcolor="#FFFFFF" filled="t" stroked="t" coordsize="21600,21600" o:gfxdata="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imx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283AD6B0">
                        <w:pPr>
                          <w:ind w:left="105" w:hanging="105"/>
                          <w:jc w:val="center"/>
                        </w:pPr>
                        <w:r>
                          <w:rPr>
                            <w:rFonts w:hint="eastAsia" w:ascii="宋体" w:hAnsi="宋体"/>
                            <w:kern w:val="0"/>
                          </w:rPr>
                          <w:t>系统测试</w:t>
                        </w:r>
                      </w:p>
                    </w:txbxContent>
                  </v:textbox>
                </v:rect>
                <v:line id="Line 81" o:spid="_x0000_s1026" o:spt="20" style="position:absolute;left:4340;top:1284;height:0;width:54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47B1377E">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图13.3.1   会议系统施工工艺流程图</w:t>
      </w:r>
    </w:p>
    <w:p w14:paraId="74AAB32A">
      <w:pPr>
        <w:pStyle w:val="164"/>
        <w:spacing w:before="100" w:after="100" w:line="330" w:lineRule="exact"/>
        <w:ind w:firstLine="0" w:firstLineChars="0"/>
        <w:rPr>
          <w:szCs w:val="21"/>
          <w:shd w:val="clear" w:color="auto" w:fill="FFFFFF"/>
        </w:rPr>
      </w:pPr>
      <w:r>
        <w:rPr>
          <w:szCs w:val="21"/>
        </w:rPr>
        <w:t xml:space="preserve">13.3.2 </w:t>
      </w:r>
      <w:r>
        <w:rPr>
          <w:szCs w:val="21"/>
          <w:shd w:val="clear" w:color="auto" w:fill="FFFFFF"/>
        </w:rPr>
        <w:t>线管预埋工艺应参照</w:t>
      </w:r>
      <w:r>
        <w:rPr>
          <w:rFonts w:hint="eastAsia"/>
          <w:szCs w:val="21"/>
          <w:shd w:val="clear" w:color="auto" w:fill="FFFFFF"/>
        </w:rPr>
        <w:t>本规程</w:t>
      </w:r>
      <w:r>
        <w:rPr>
          <w:szCs w:val="21"/>
          <w:shd w:val="clear" w:color="auto" w:fill="FFFFFF"/>
        </w:rPr>
        <w:t>第</w:t>
      </w:r>
      <w:r>
        <w:rPr>
          <w:rFonts w:hint="eastAsia"/>
          <w:szCs w:val="21"/>
          <w:shd w:val="clear" w:color="auto" w:fill="FFFFFF"/>
        </w:rPr>
        <w:t>8</w:t>
      </w:r>
      <w:r>
        <w:rPr>
          <w:szCs w:val="21"/>
          <w:shd w:val="clear" w:color="auto" w:fill="FFFFFF"/>
        </w:rPr>
        <w:t>章的</w:t>
      </w:r>
      <w:r>
        <w:rPr>
          <w:rFonts w:hint="eastAsia"/>
          <w:szCs w:val="21"/>
          <w:shd w:val="clear" w:color="auto" w:fill="FFFFFF"/>
        </w:rPr>
        <w:t>相关规定</w:t>
      </w:r>
      <w:r>
        <w:rPr>
          <w:szCs w:val="21"/>
          <w:shd w:val="clear" w:color="auto" w:fill="FFFFFF"/>
        </w:rPr>
        <w:t>进行施工。</w:t>
      </w:r>
    </w:p>
    <w:p w14:paraId="53A83CA8">
      <w:pPr>
        <w:pStyle w:val="164"/>
        <w:spacing w:before="100" w:after="100" w:line="330" w:lineRule="exact"/>
        <w:ind w:firstLine="0" w:firstLineChars="0"/>
        <w:rPr>
          <w:szCs w:val="21"/>
        </w:rPr>
      </w:pPr>
      <w:r>
        <w:rPr>
          <w:szCs w:val="21"/>
        </w:rPr>
        <w:t>13.3.3 分线箱安装应符合下列规定：</w:t>
      </w:r>
    </w:p>
    <w:p w14:paraId="782BD02B">
      <w:pPr>
        <w:pStyle w:val="164"/>
        <w:numPr>
          <w:ilvl w:val="0"/>
          <w:numId w:val="121"/>
        </w:numPr>
        <w:spacing w:line="330" w:lineRule="exact"/>
        <w:ind w:left="0" w:firstLine="420"/>
        <w:rPr>
          <w:rFonts w:eastAsiaTheme="minorEastAsia"/>
        </w:rPr>
      </w:pPr>
      <w:r>
        <w:rPr>
          <w:rFonts w:eastAsiaTheme="minorEastAsia"/>
        </w:rPr>
        <w:t>箱体板与框架应与建筑物表面配合严密。安装在地面预留洞内的箱体应能使地面盖板遮盖严密、开启方便。严禁采用电焊或气焊将箱体与预埋管口焊在一起。</w:t>
      </w:r>
    </w:p>
    <w:p w14:paraId="43DE0B57">
      <w:pPr>
        <w:pStyle w:val="164"/>
        <w:numPr>
          <w:ilvl w:val="0"/>
          <w:numId w:val="121"/>
        </w:numPr>
        <w:spacing w:line="330" w:lineRule="exact"/>
        <w:ind w:left="0" w:firstLine="420"/>
        <w:rPr>
          <w:rFonts w:eastAsiaTheme="minorEastAsia"/>
        </w:rPr>
      </w:pPr>
      <w:r>
        <w:rPr>
          <w:rFonts w:eastAsiaTheme="minorEastAsia"/>
        </w:rPr>
        <w:t>明装分线箱安装高度应为底边距地1.4m。</w:t>
      </w:r>
    </w:p>
    <w:p w14:paraId="3865DD0D">
      <w:pPr>
        <w:pStyle w:val="164"/>
        <w:numPr>
          <w:ilvl w:val="0"/>
          <w:numId w:val="121"/>
        </w:numPr>
        <w:spacing w:line="330" w:lineRule="exact"/>
        <w:ind w:left="0" w:firstLine="420"/>
        <w:rPr>
          <w:rFonts w:eastAsiaTheme="minorEastAsia"/>
        </w:rPr>
      </w:pPr>
      <w:r>
        <w:rPr>
          <w:rFonts w:eastAsiaTheme="minorEastAsia"/>
        </w:rPr>
        <w:t>明装壁挂式分线箱、端子箱时箱底应与墙面平齐。</w:t>
      </w:r>
    </w:p>
    <w:p w14:paraId="36DE0A66">
      <w:pPr>
        <w:pStyle w:val="164"/>
        <w:numPr>
          <w:ilvl w:val="0"/>
          <w:numId w:val="121"/>
        </w:numPr>
        <w:spacing w:line="330" w:lineRule="exact"/>
        <w:ind w:left="0" w:firstLine="420"/>
        <w:rPr>
          <w:rFonts w:eastAsiaTheme="minorEastAsia"/>
        </w:rPr>
      </w:pPr>
      <w:r>
        <w:rPr>
          <w:rFonts w:eastAsiaTheme="minorEastAsia"/>
        </w:rPr>
        <w:t>解码器箱通常安装在现场摄像机附近，可安装在吊顶内并预留检修口，室外安装时应具有良好的防水性。</w:t>
      </w:r>
    </w:p>
    <w:p w14:paraId="7F41BA40">
      <w:pPr>
        <w:pStyle w:val="164"/>
        <w:spacing w:before="100" w:after="100" w:line="330" w:lineRule="exact"/>
        <w:ind w:firstLine="0" w:firstLineChars="0"/>
        <w:rPr>
          <w:szCs w:val="21"/>
        </w:rPr>
      </w:pPr>
      <w:r>
        <w:rPr>
          <w:szCs w:val="21"/>
        </w:rPr>
        <w:t>13.3.4 线路敷设应符合下列规定：</w:t>
      </w:r>
    </w:p>
    <w:p w14:paraId="1793293B">
      <w:pPr>
        <w:pStyle w:val="164"/>
        <w:numPr>
          <w:ilvl w:val="0"/>
          <w:numId w:val="122"/>
        </w:numPr>
        <w:spacing w:line="330" w:lineRule="exact"/>
        <w:ind w:left="0" w:firstLine="420"/>
        <w:rPr>
          <w:rFonts w:eastAsiaTheme="minorEastAsia"/>
        </w:rPr>
      </w:pPr>
      <w:r>
        <w:rPr>
          <w:rFonts w:hint="eastAsia" w:eastAsiaTheme="minorEastAsia"/>
        </w:rPr>
        <w:t>布放线缆应排列整齐、不拧绞、减少交叉，粗线在下，不同电压应分类绑扎。</w:t>
      </w:r>
    </w:p>
    <w:p w14:paraId="03A17934">
      <w:pPr>
        <w:pStyle w:val="164"/>
        <w:numPr>
          <w:ilvl w:val="0"/>
          <w:numId w:val="122"/>
        </w:numPr>
        <w:spacing w:line="330" w:lineRule="exact"/>
        <w:ind w:left="0" w:firstLine="420"/>
        <w:rPr>
          <w:rFonts w:eastAsiaTheme="minorEastAsia"/>
        </w:rPr>
      </w:pPr>
      <w:r>
        <w:rPr>
          <w:rFonts w:hint="eastAsia" w:eastAsiaTheme="minorEastAsia"/>
        </w:rPr>
        <w:t>管内多根线缆应不拧绞，无接头，接头应在线盒（箱）连接。</w:t>
      </w:r>
    </w:p>
    <w:p w14:paraId="64B37F47">
      <w:pPr>
        <w:pStyle w:val="164"/>
        <w:numPr>
          <w:ilvl w:val="0"/>
          <w:numId w:val="122"/>
        </w:numPr>
        <w:spacing w:line="330" w:lineRule="exact"/>
        <w:ind w:left="0" w:firstLine="420"/>
        <w:rPr>
          <w:rFonts w:eastAsiaTheme="minorEastAsia"/>
        </w:rPr>
      </w:pPr>
      <w:r>
        <w:rPr>
          <w:rFonts w:hint="eastAsia" w:eastAsiaTheme="minorEastAsia"/>
        </w:rPr>
        <w:t>线管不便敷设到位时，终端口与设备接线端子应用金属软管或黄蜡管连接，线缆不应裸露。</w:t>
      </w:r>
    </w:p>
    <w:p w14:paraId="5526BA42">
      <w:pPr>
        <w:pStyle w:val="164"/>
        <w:numPr>
          <w:ilvl w:val="0"/>
          <w:numId w:val="122"/>
        </w:numPr>
        <w:spacing w:line="330" w:lineRule="exact"/>
        <w:ind w:left="0" w:firstLine="420"/>
        <w:rPr>
          <w:rFonts w:eastAsiaTheme="minorEastAsia"/>
        </w:rPr>
      </w:pPr>
      <w:r>
        <w:rPr>
          <w:rFonts w:hint="eastAsia" w:eastAsiaTheme="minorEastAsia"/>
        </w:rPr>
        <w:t>线管过线盒应加护口和锁母，铁管对口焊接外侧应加套管。</w:t>
      </w:r>
    </w:p>
    <w:p w14:paraId="49C44C4B">
      <w:pPr>
        <w:pStyle w:val="164"/>
        <w:numPr>
          <w:ilvl w:val="0"/>
          <w:numId w:val="122"/>
        </w:numPr>
        <w:spacing w:line="330" w:lineRule="exact"/>
        <w:ind w:left="0" w:firstLine="420"/>
        <w:rPr>
          <w:rFonts w:eastAsiaTheme="minorEastAsia"/>
        </w:rPr>
      </w:pPr>
      <w:r>
        <w:rPr>
          <w:rFonts w:hint="eastAsia" w:eastAsiaTheme="minorEastAsia"/>
        </w:rPr>
        <w:t>进入机柜的线缆应分别进入分线槽或绑扎固定。</w:t>
      </w:r>
    </w:p>
    <w:p w14:paraId="0AAFBCAE">
      <w:pPr>
        <w:pStyle w:val="164"/>
        <w:numPr>
          <w:ilvl w:val="0"/>
          <w:numId w:val="122"/>
        </w:numPr>
        <w:spacing w:line="330" w:lineRule="exact"/>
        <w:ind w:left="0" w:firstLine="420"/>
        <w:rPr>
          <w:rFonts w:eastAsiaTheme="minorEastAsia"/>
        </w:rPr>
      </w:pPr>
      <w:r>
        <w:rPr>
          <w:rFonts w:hint="eastAsia" w:eastAsiaTheme="minorEastAsia"/>
        </w:rPr>
        <w:t>远距离敷设光缆应预先核长度并按施工图选配。</w:t>
      </w:r>
    </w:p>
    <w:p w14:paraId="12E6141D">
      <w:pPr>
        <w:pStyle w:val="164"/>
        <w:numPr>
          <w:ilvl w:val="0"/>
          <w:numId w:val="122"/>
        </w:numPr>
        <w:spacing w:line="330" w:lineRule="exact"/>
        <w:ind w:left="0" w:firstLine="420"/>
        <w:rPr>
          <w:rFonts w:eastAsiaTheme="minorEastAsia"/>
        </w:rPr>
      </w:pPr>
      <w:r>
        <w:rPr>
          <w:rFonts w:hint="eastAsia" w:eastAsiaTheme="minorEastAsia"/>
        </w:rPr>
        <w:t>远距离敷设光缆弯曲半径应≥外径</w:t>
      </w:r>
      <w:r>
        <w:rPr>
          <w:rFonts w:eastAsiaTheme="minorEastAsia"/>
        </w:rPr>
        <w:t>20</w:t>
      </w:r>
      <w:r>
        <w:rPr>
          <w:rFonts w:hint="eastAsia" w:eastAsiaTheme="minorEastAsia"/>
        </w:rPr>
        <w:t>倍，牵引端头应技术处理，接头预留应≥</w:t>
      </w:r>
      <w:r>
        <w:rPr>
          <w:rFonts w:eastAsiaTheme="minorEastAsia"/>
        </w:rPr>
        <w:t>8m</w:t>
      </w:r>
      <w:r>
        <w:rPr>
          <w:rFonts w:hint="eastAsia" w:eastAsiaTheme="minorEastAsia"/>
        </w:rPr>
        <w:t>。</w:t>
      </w:r>
    </w:p>
    <w:p w14:paraId="1F9E5928">
      <w:pPr>
        <w:pStyle w:val="164"/>
        <w:numPr>
          <w:ilvl w:val="0"/>
          <w:numId w:val="122"/>
        </w:numPr>
        <w:spacing w:line="330" w:lineRule="exact"/>
        <w:ind w:left="0" w:firstLine="420"/>
        <w:rPr>
          <w:rFonts w:eastAsiaTheme="minorEastAsia"/>
        </w:rPr>
      </w:pPr>
      <w:r>
        <w:rPr>
          <w:rFonts w:hint="eastAsia" w:eastAsiaTheme="minorEastAsia"/>
        </w:rPr>
        <w:t>引至摄像机终端线缆应留</w:t>
      </w:r>
      <w:r>
        <w:rPr>
          <w:rFonts w:eastAsiaTheme="minorEastAsia"/>
        </w:rPr>
        <w:t>1m</w:t>
      </w:r>
      <w:r>
        <w:rPr>
          <w:rFonts w:hint="eastAsia" w:eastAsiaTheme="minorEastAsia"/>
        </w:rPr>
        <w:t>余量，同轴电缆的固定插头不应承受电缆自重，线缆两端应做标记。</w:t>
      </w:r>
    </w:p>
    <w:p w14:paraId="18CF04FD">
      <w:pPr>
        <w:pStyle w:val="164"/>
        <w:spacing w:before="100" w:after="100" w:line="330" w:lineRule="exact"/>
        <w:ind w:firstLine="0" w:firstLineChars="0"/>
        <w:rPr>
          <w:szCs w:val="21"/>
        </w:rPr>
      </w:pPr>
      <w:r>
        <w:rPr>
          <w:szCs w:val="21"/>
        </w:rPr>
        <w:t>13.3.5 前端设备安装应符合下列规定：</w:t>
      </w:r>
    </w:p>
    <w:p w14:paraId="58FF0CE4">
      <w:pPr>
        <w:pStyle w:val="164"/>
        <w:numPr>
          <w:ilvl w:val="0"/>
          <w:numId w:val="123"/>
        </w:numPr>
        <w:spacing w:line="330" w:lineRule="exact"/>
        <w:ind w:left="0" w:firstLine="420"/>
        <w:rPr>
          <w:rFonts w:eastAsiaTheme="minorEastAsia"/>
        </w:rPr>
      </w:pPr>
      <w:r>
        <w:rPr>
          <w:rFonts w:eastAsiaTheme="minorEastAsia"/>
        </w:rPr>
        <w:t>摄像机护罩及支架的安装应满足设计要求，固定要安全可靠，水平角</w:t>
      </w:r>
      <w:r>
        <w:rPr>
          <w:rFonts w:hint="eastAsia" w:eastAsiaTheme="minorEastAsia"/>
        </w:rPr>
        <w:t>、</w:t>
      </w:r>
      <w:r>
        <w:rPr>
          <w:rFonts w:eastAsiaTheme="minorEastAsia"/>
        </w:rPr>
        <w:t>俯角、仰角应能在设计要求的范围内灵活调整。</w:t>
      </w:r>
    </w:p>
    <w:p w14:paraId="4B9E5C65">
      <w:pPr>
        <w:pStyle w:val="164"/>
        <w:numPr>
          <w:ilvl w:val="0"/>
          <w:numId w:val="123"/>
        </w:numPr>
        <w:spacing w:line="330" w:lineRule="exact"/>
        <w:ind w:left="0" w:firstLine="420"/>
        <w:rPr>
          <w:rFonts w:eastAsiaTheme="minorEastAsia"/>
        </w:rPr>
      </w:pPr>
      <w:r>
        <w:rPr>
          <w:rFonts w:eastAsiaTheme="minorEastAsia"/>
        </w:rPr>
        <w:t>摄像机应安装在监视目标附近不宜受外界损伤的地方，安装位置不应影响现场设备运行和人员正常活动。安装高度，室内应距地面2.5</w:t>
      </w:r>
      <w:r>
        <w:rPr>
          <w:rFonts w:hint="eastAsia" w:eastAsiaTheme="minorEastAsia"/>
        </w:rPr>
        <w:t>m</w:t>
      </w:r>
      <w:r>
        <w:rPr>
          <w:rFonts w:eastAsiaTheme="minorEastAsia"/>
        </w:rPr>
        <w:t>~5</w:t>
      </w:r>
      <w:r>
        <w:rPr>
          <w:rFonts w:hint="eastAsia" w:eastAsiaTheme="minorEastAsia"/>
        </w:rPr>
        <w:t>m</w:t>
      </w:r>
      <w:r>
        <w:rPr>
          <w:rFonts w:eastAsiaTheme="minorEastAsia"/>
        </w:rPr>
        <w:t>或吊顶下0.2</w:t>
      </w:r>
      <w:r>
        <w:rPr>
          <w:rFonts w:hint="eastAsia" w:eastAsiaTheme="minorEastAsia"/>
        </w:rPr>
        <w:t>m</w:t>
      </w:r>
      <w:r>
        <w:rPr>
          <w:rFonts w:eastAsiaTheme="minorEastAsia"/>
        </w:rPr>
        <w:t>处，室外应距地面3.5</w:t>
      </w:r>
      <w:r>
        <w:rPr>
          <w:rFonts w:hint="eastAsia" w:eastAsiaTheme="minorEastAsia"/>
        </w:rPr>
        <w:t>m</w:t>
      </w:r>
      <w:r>
        <w:rPr>
          <w:rFonts w:eastAsiaTheme="minorEastAsia"/>
        </w:rPr>
        <w:t>~10</w:t>
      </w:r>
      <w:r>
        <w:rPr>
          <w:rFonts w:hint="eastAsia" w:eastAsiaTheme="minorEastAsia"/>
        </w:rPr>
        <w:t>m</w:t>
      </w:r>
      <w:r>
        <w:rPr>
          <w:rFonts w:eastAsiaTheme="minorEastAsia"/>
        </w:rPr>
        <w:t>，不低于3.5</w:t>
      </w:r>
      <w:r>
        <w:rPr>
          <w:rFonts w:hint="eastAsia" w:eastAsiaTheme="minorEastAsia"/>
        </w:rPr>
        <w:t>m</w:t>
      </w:r>
      <w:r>
        <w:rPr>
          <w:rFonts w:eastAsiaTheme="minorEastAsia"/>
        </w:rPr>
        <w:t>。</w:t>
      </w:r>
    </w:p>
    <w:p w14:paraId="154B792B">
      <w:pPr>
        <w:pStyle w:val="164"/>
        <w:numPr>
          <w:ilvl w:val="0"/>
          <w:numId w:val="123"/>
        </w:numPr>
        <w:spacing w:line="330" w:lineRule="exact"/>
        <w:ind w:left="0" w:firstLine="420"/>
        <w:rPr>
          <w:rFonts w:eastAsiaTheme="minorEastAsia"/>
        </w:rPr>
      </w:pPr>
      <w:r>
        <w:rPr>
          <w:rFonts w:eastAsiaTheme="minorEastAsia"/>
        </w:rPr>
        <w:t>镜头与摄像机的选择应互对应。</w:t>
      </w:r>
    </w:p>
    <w:p w14:paraId="0B741E5F">
      <w:pPr>
        <w:pStyle w:val="164"/>
        <w:numPr>
          <w:ilvl w:val="0"/>
          <w:numId w:val="123"/>
        </w:numPr>
        <w:spacing w:line="330" w:lineRule="exact"/>
        <w:ind w:left="0" w:firstLine="420"/>
        <w:rPr>
          <w:rFonts w:eastAsiaTheme="minorEastAsia"/>
        </w:rPr>
      </w:pPr>
      <w:r>
        <w:rPr>
          <w:rFonts w:eastAsiaTheme="minorEastAsia"/>
        </w:rPr>
        <w:t>在搬运和安装摄像机过程中，不应打开镜头盖。</w:t>
      </w:r>
    </w:p>
    <w:p w14:paraId="00BDDB63">
      <w:pPr>
        <w:pStyle w:val="164"/>
        <w:numPr>
          <w:ilvl w:val="0"/>
          <w:numId w:val="123"/>
        </w:numPr>
        <w:spacing w:line="330" w:lineRule="exact"/>
        <w:ind w:left="0" w:firstLine="420"/>
        <w:rPr>
          <w:rFonts w:eastAsiaTheme="minorEastAsia"/>
        </w:rPr>
      </w:pPr>
      <w:r>
        <w:rPr>
          <w:rFonts w:eastAsiaTheme="minorEastAsia"/>
        </w:rPr>
        <w:t>监视器或大屏幕背投影机的布置，应尽量使与会者处在较好的视距和视角范围之内。</w:t>
      </w:r>
    </w:p>
    <w:p w14:paraId="0E961346">
      <w:pPr>
        <w:pStyle w:val="164"/>
        <w:spacing w:before="100" w:after="100" w:line="330" w:lineRule="exact"/>
        <w:ind w:firstLine="0" w:firstLineChars="0"/>
        <w:rPr>
          <w:szCs w:val="21"/>
        </w:rPr>
      </w:pPr>
      <w:r>
        <w:rPr>
          <w:szCs w:val="21"/>
        </w:rPr>
        <w:t>13.3.6 机房设备安装应符合下列规定：</w:t>
      </w:r>
    </w:p>
    <w:p w14:paraId="2E6E21A6">
      <w:pPr>
        <w:pStyle w:val="164"/>
        <w:numPr>
          <w:ilvl w:val="0"/>
          <w:numId w:val="124"/>
        </w:numPr>
        <w:spacing w:line="330" w:lineRule="exact"/>
        <w:ind w:left="0" w:firstLine="420"/>
        <w:rPr>
          <w:rFonts w:eastAsiaTheme="minorEastAsia"/>
        </w:rPr>
      </w:pPr>
      <w:r>
        <w:rPr>
          <w:rFonts w:eastAsiaTheme="minorEastAsia"/>
        </w:rPr>
        <w:t>机房设备布置应保证适当的维护间距，机面与墙的净距不应＜1500mm；机背和机侧(需维护时)与墙的净距不应＜800mm。当设备按列布置时，列间净距不应＜1000mm；若列间有座席时，列间净距不应＜1500mm。</w:t>
      </w:r>
    </w:p>
    <w:p w14:paraId="520DABA4">
      <w:pPr>
        <w:pStyle w:val="164"/>
        <w:numPr>
          <w:ilvl w:val="0"/>
          <w:numId w:val="124"/>
        </w:numPr>
        <w:spacing w:line="330" w:lineRule="exact"/>
        <w:ind w:left="0" w:firstLine="420"/>
        <w:rPr>
          <w:rFonts w:eastAsiaTheme="minorEastAsia"/>
        </w:rPr>
      </w:pPr>
      <w:r>
        <w:rPr>
          <w:rFonts w:eastAsiaTheme="minorEastAsia"/>
        </w:rPr>
        <w:t>电视墙的底座应与地面固定，电视墙安装应竖直平稳，垂直偏差不得超过1mm</w:t>
      </w:r>
      <w:r>
        <w:rPr>
          <w:rFonts w:hint="eastAsia" w:eastAsiaTheme="minorEastAsia"/>
        </w:rPr>
        <w:t>，</w:t>
      </w:r>
      <w:r>
        <w:rPr>
          <w:rFonts w:eastAsiaTheme="minorEastAsia"/>
        </w:rPr>
        <w:t>多个电视墙并排在一起，面板应在同一平面上并与基准线平行，前后偏差≤3mm，两个机架间缝隙不得大于3mm。安装在电视墙内设备应牢固、端正；电视墙机架上的固定螺丝、垫片和弹簧垫圈均应紧固不得遗漏。</w:t>
      </w:r>
    </w:p>
    <w:p w14:paraId="717E9BF6">
      <w:pPr>
        <w:pStyle w:val="164"/>
        <w:numPr>
          <w:ilvl w:val="0"/>
          <w:numId w:val="124"/>
        </w:numPr>
        <w:spacing w:line="330" w:lineRule="exact"/>
        <w:ind w:left="0" w:firstLine="420"/>
        <w:rPr>
          <w:rFonts w:eastAsiaTheme="minorEastAsia"/>
        </w:rPr>
      </w:pPr>
      <w:r>
        <w:rPr>
          <w:rFonts w:eastAsiaTheme="minorEastAsia"/>
        </w:rPr>
        <w:t>控制台安装位置应满足设计要求。控制台安放竖直，台面水平；附件完整，无损伤，螺丝紧固，台面整洁无划痕，台内接插件和设备接触应可靠，安装应牢固，内部接线应满足设计要求，无扭曲脱落现象。</w:t>
      </w:r>
    </w:p>
    <w:p w14:paraId="21322BBF">
      <w:pPr>
        <w:pStyle w:val="164"/>
        <w:numPr>
          <w:ilvl w:val="0"/>
          <w:numId w:val="124"/>
        </w:numPr>
        <w:spacing w:line="330" w:lineRule="exact"/>
        <w:ind w:left="0" w:firstLine="420"/>
        <w:rPr>
          <w:rFonts w:eastAsiaTheme="minorEastAsia"/>
        </w:rPr>
      </w:pPr>
      <w:r>
        <w:rPr>
          <w:rFonts w:eastAsiaTheme="minorEastAsia"/>
        </w:rPr>
        <w:t>监视器应安装在电视墙或控制台上，其安装位置应使屏幕不受外来光直射；监视器或大屏幕背投影机的布置，应尽量使与会者处在较好的视距和视角范围之内。监视器、DVR等设备外部可调节部分，应暴露在控制台外便于操作的位置。</w:t>
      </w:r>
    </w:p>
    <w:p w14:paraId="1CC51023">
      <w:pPr>
        <w:pStyle w:val="164"/>
        <w:numPr>
          <w:ilvl w:val="0"/>
          <w:numId w:val="124"/>
        </w:numPr>
        <w:spacing w:line="330" w:lineRule="exact"/>
        <w:ind w:left="0" w:firstLine="420"/>
        <w:rPr>
          <w:rFonts w:eastAsiaTheme="minorEastAsia"/>
        </w:rPr>
      </w:pPr>
      <w:r>
        <w:rPr>
          <w:rFonts w:eastAsiaTheme="minorEastAsia"/>
        </w:rPr>
        <w:t>话筒和扬声器的布置应尽量使话筒置于各扬声器的辐射角之外。</w:t>
      </w:r>
    </w:p>
    <w:p w14:paraId="4F08C8B5">
      <w:pPr>
        <w:pStyle w:val="164"/>
        <w:numPr>
          <w:ilvl w:val="0"/>
          <w:numId w:val="124"/>
        </w:numPr>
        <w:spacing w:line="330" w:lineRule="exact"/>
        <w:ind w:left="0" w:firstLine="420"/>
        <w:rPr>
          <w:rFonts w:eastAsiaTheme="minorEastAsia"/>
        </w:rPr>
      </w:pPr>
      <w:r>
        <w:rPr>
          <w:rFonts w:eastAsiaTheme="minorEastAsia"/>
        </w:rPr>
        <w:t>会议室桌椅布置应保证每个与会者有适当的空间，不应＜1500mm×700mm，主席台不应＜1500mm×900mm。</w:t>
      </w:r>
    </w:p>
    <w:p w14:paraId="1F08B839">
      <w:pPr>
        <w:pStyle w:val="164"/>
        <w:numPr>
          <w:ilvl w:val="0"/>
          <w:numId w:val="124"/>
        </w:numPr>
        <w:spacing w:line="330" w:lineRule="exact"/>
        <w:ind w:left="0" w:firstLine="420"/>
        <w:rPr>
          <w:rFonts w:eastAsiaTheme="minorEastAsia"/>
        </w:rPr>
      </w:pPr>
      <w:r>
        <w:rPr>
          <w:rFonts w:eastAsiaTheme="minorEastAsia"/>
        </w:rPr>
        <w:t>机架应平直，其垂直偏差度不应大于2mm。</w:t>
      </w:r>
    </w:p>
    <w:p w14:paraId="2C902ED6">
      <w:pPr>
        <w:pStyle w:val="164"/>
        <w:numPr>
          <w:ilvl w:val="0"/>
          <w:numId w:val="124"/>
        </w:numPr>
        <w:spacing w:line="330" w:lineRule="exact"/>
        <w:ind w:left="0" w:firstLine="420"/>
        <w:rPr>
          <w:rFonts w:eastAsiaTheme="minorEastAsia"/>
        </w:rPr>
      </w:pPr>
      <w:r>
        <w:rPr>
          <w:rFonts w:eastAsiaTheme="minorEastAsia"/>
        </w:rPr>
        <w:t>机架应排列整齐，有利于通风散热，相邻机架的架面和主走道机架侧面均应成直线，误差不应大于2mm。</w:t>
      </w:r>
    </w:p>
    <w:p w14:paraId="32619033">
      <w:pPr>
        <w:pStyle w:val="164"/>
        <w:numPr>
          <w:ilvl w:val="0"/>
          <w:numId w:val="124"/>
        </w:numPr>
        <w:spacing w:line="330" w:lineRule="exact"/>
        <w:ind w:left="0" w:firstLine="420"/>
        <w:rPr>
          <w:rFonts w:eastAsiaTheme="minorEastAsia"/>
        </w:rPr>
      </w:pPr>
      <w:r>
        <w:rPr>
          <w:rFonts w:eastAsiaTheme="minorEastAsia"/>
        </w:rPr>
        <w:t>采用多点控制设备(MCU)组网时，全网应统一在较高等级的时钟上进行并网同步，并应符合下列规定：</w:t>
      </w:r>
    </w:p>
    <w:p w14:paraId="63E5C0CD">
      <w:pPr>
        <w:pStyle w:val="164"/>
        <w:numPr>
          <w:ilvl w:val="0"/>
          <w:numId w:val="125"/>
        </w:numPr>
        <w:tabs>
          <w:tab w:val="left" w:pos="210"/>
          <w:tab w:val="left" w:pos="567"/>
        </w:tabs>
        <w:spacing w:line="330" w:lineRule="exact"/>
        <w:ind w:firstLine="630" w:firstLineChars="300"/>
        <w:rPr>
          <w:rFonts w:eastAsiaTheme="minorEastAsia"/>
          <w:szCs w:val="21"/>
        </w:rPr>
      </w:pPr>
      <w:r>
        <w:rPr>
          <w:rFonts w:eastAsiaTheme="minorEastAsia"/>
          <w:szCs w:val="21"/>
        </w:rPr>
        <w:t>主MCU应外接高等级时钟源,时钟稳定度不低于10-12量级,最大时间间隔误差≤1000ns。</w:t>
      </w:r>
    </w:p>
    <w:p w14:paraId="0022753C">
      <w:pPr>
        <w:pStyle w:val="164"/>
        <w:numPr>
          <w:ilvl w:val="0"/>
          <w:numId w:val="125"/>
        </w:numPr>
        <w:tabs>
          <w:tab w:val="left" w:pos="210"/>
          <w:tab w:val="left" w:pos="567"/>
        </w:tabs>
        <w:spacing w:line="330" w:lineRule="exact"/>
        <w:ind w:firstLine="630" w:firstLineChars="300"/>
        <w:rPr>
          <w:rFonts w:eastAsiaTheme="minorEastAsia"/>
          <w:szCs w:val="21"/>
        </w:rPr>
      </w:pPr>
      <w:r>
        <w:rPr>
          <w:rFonts w:eastAsiaTheme="minorEastAsia"/>
          <w:szCs w:val="21"/>
        </w:rPr>
        <w:t>时钟接口可采用2048kHz模拟口或2048kbit</w:t>
      </w:r>
      <w:r>
        <w:rPr>
          <w:rFonts w:hint="eastAsia" w:eastAsiaTheme="minorEastAsia"/>
          <w:szCs w:val="21"/>
        </w:rPr>
        <w:t>/</w:t>
      </w:r>
      <w:r>
        <w:rPr>
          <w:rFonts w:eastAsiaTheme="minorEastAsia"/>
          <w:szCs w:val="21"/>
        </w:rPr>
        <w:t>s数字口。</w:t>
      </w:r>
    </w:p>
    <w:p w14:paraId="44F81C78">
      <w:pPr>
        <w:pStyle w:val="164"/>
        <w:numPr>
          <w:ilvl w:val="0"/>
          <w:numId w:val="125"/>
        </w:numPr>
        <w:tabs>
          <w:tab w:val="left" w:pos="210"/>
          <w:tab w:val="left" w:pos="567"/>
        </w:tabs>
        <w:spacing w:line="330" w:lineRule="exact"/>
        <w:ind w:firstLine="630" w:firstLineChars="300"/>
        <w:rPr>
          <w:rFonts w:eastAsiaTheme="minorEastAsia"/>
          <w:szCs w:val="21"/>
        </w:rPr>
      </w:pPr>
      <w:r>
        <w:rPr>
          <w:rFonts w:eastAsiaTheme="minorEastAsia"/>
          <w:szCs w:val="21"/>
        </w:rPr>
        <w:t>全网采用主从同步方式，以主MCU为基准，全部从MCU和编码解码器均与主MCU同步。</w:t>
      </w:r>
    </w:p>
    <w:p w14:paraId="7D68FEBC">
      <w:pPr>
        <w:pStyle w:val="164"/>
        <w:numPr>
          <w:ilvl w:val="0"/>
          <w:numId w:val="124"/>
        </w:numPr>
        <w:spacing w:line="330" w:lineRule="exact"/>
        <w:ind w:left="0" w:firstLine="420"/>
        <w:rPr>
          <w:rFonts w:eastAsiaTheme="minorEastAsia"/>
        </w:rPr>
      </w:pPr>
      <w:r>
        <w:rPr>
          <w:rFonts w:hint="eastAsia" w:eastAsiaTheme="minorEastAsia"/>
        </w:rPr>
        <w:t xml:space="preserve"> </w:t>
      </w:r>
      <w:r>
        <w:rPr>
          <w:rFonts w:eastAsiaTheme="minorEastAsia"/>
        </w:rPr>
        <w:t>电视会议室不应采用自然光，室内的照明应符合下列规定：</w:t>
      </w:r>
    </w:p>
    <w:p w14:paraId="4001640A">
      <w:pPr>
        <w:pStyle w:val="164"/>
        <w:numPr>
          <w:ilvl w:val="0"/>
          <w:numId w:val="126"/>
        </w:numPr>
        <w:tabs>
          <w:tab w:val="left" w:pos="210"/>
          <w:tab w:val="left" w:pos="567"/>
        </w:tabs>
        <w:spacing w:line="330" w:lineRule="exact"/>
        <w:ind w:firstLine="630" w:firstLineChars="300"/>
        <w:rPr>
          <w:rFonts w:eastAsiaTheme="minorEastAsia"/>
          <w:szCs w:val="21"/>
        </w:rPr>
      </w:pPr>
      <w:r>
        <w:rPr>
          <w:rFonts w:eastAsiaTheme="minorEastAsia"/>
          <w:szCs w:val="21"/>
        </w:rPr>
        <w:t>主席区的平均照度不应低于8001勒克斯(Lx)；一般区的平均照度不应低于5001 Lx。水平工作面计算距地高度为0.8m。投影电视屏幕区照度不应高于801 Lx。</w:t>
      </w:r>
    </w:p>
    <w:p w14:paraId="1067A349">
      <w:pPr>
        <w:pStyle w:val="164"/>
        <w:numPr>
          <w:ilvl w:val="0"/>
          <w:numId w:val="126"/>
        </w:numPr>
        <w:tabs>
          <w:tab w:val="left" w:pos="210"/>
          <w:tab w:val="left" w:pos="567"/>
        </w:tabs>
        <w:spacing w:line="330" w:lineRule="exact"/>
        <w:ind w:firstLine="630" w:firstLineChars="300"/>
        <w:rPr>
          <w:rFonts w:eastAsiaTheme="minorEastAsia"/>
          <w:szCs w:val="21"/>
        </w:rPr>
      </w:pPr>
      <w:r>
        <w:rPr>
          <w:rFonts w:eastAsiaTheme="minorEastAsia"/>
          <w:szCs w:val="21"/>
        </w:rPr>
        <w:t>各种照度应均匀可调，保证会议室按各种功能要求调节灯光。</w:t>
      </w:r>
    </w:p>
    <w:p w14:paraId="72EFDE37">
      <w:pPr>
        <w:pStyle w:val="164"/>
        <w:numPr>
          <w:ilvl w:val="0"/>
          <w:numId w:val="124"/>
        </w:numPr>
        <w:spacing w:line="330" w:lineRule="exact"/>
        <w:ind w:left="0" w:firstLine="420"/>
        <w:rPr>
          <w:rFonts w:eastAsiaTheme="minorEastAsia"/>
        </w:rPr>
      </w:pPr>
      <w:r>
        <w:rPr>
          <w:rFonts w:hint="eastAsia" w:eastAsiaTheme="minorEastAsia"/>
        </w:rPr>
        <w:t xml:space="preserve"> </w:t>
      </w:r>
      <w:r>
        <w:rPr>
          <w:rFonts w:eastAsiaTheme="minorEastAsia"/>
        </w:rPr>
        <w:t>控制室、传输室的照明应符合下列规定：</w:t>
      </w:r>
    </w:p>
    <w:p w14:paraId="772CD4BF">
      <w:pPr>
        <w:pStyle w:val="164"/>
        <w:numPr>
          <w:ilvl w:val="0"/>
          <w:numId w:val="127"/>
        </w:numPr>
        <w:tabs>
          <w:tab w:val="left" w:pos="210"/>
          <w:tab w:val="left" w:pos="567"/>
        </w:tabs>
        <w:spacing w:line="330" w:lineRule="exact"/>
        <w:ind w:firstLine="630" w:firstLineChars="300"/>
        <w:rPr>
          <w:rFonts w:eastAsiaTheme="minorEastAsia"/>
          <w:szCs w:val="21"/>
        </w:rPr>
      </w:pPr>
      <w:r>
        <w:rPr>
          <w:rFonts w:eastAsiaTheme="minorEastAsia"/>
          <w:szCs w:val="21"/>
        </w:rPr>
        <w:t>光源宜采用日光灯。</w:t>
      </w:r>
    </w:p>
    <w:p w14:paraId="0DEA8B77">
      <w:pPr>
        <w:pStyle w:val="164"/>
        <w:numPr>
          <w:ilvl w:val="0"/>
          <w:numId w:val="127"/>
        </w:numPr>
        <w:tabs>
          <w:tab w:val="left" w:pos="210"/>
          <w:tab w:val="left" w:pos="567"/>
        </w:tabs>
        <w:spacing w:line="330" w:lineRule="exact"/>
        <w:ind w:firstLine="630" w:firstLineChars="300"/>
        <w:rPr>
          <w:rFonts w:eastAsiaTheme="minorEastAsia"/>
          <w:szCs w:val="21"/>
        </w:rPr>
      </w:pPr>
      <w:r>
        <w:rPr>
          <w:rFonts w:eastAsiaTheme="minorEastAsia"/>
          <w:szCs w:val="21"/>
        </w:rPr>
        <w:t>机架设备区的平均照度不应低于1001 Lx。</w:t>
      </w:r>
      <w:r>
        <w:rPr>
          <w:rFonts w:hint="eastAsia" w:eastAsiaTheme="minorEastAsia"/>
          <w:szCs w:val="21"/>
        </w:rPr>
        <w:t>垂直</w:t>
      </w:r>
      <w:r>
        <w:rPr>
          <w:rFonts w:eastAsiaTheme="minorEastAsia"/>
          <w:szCs w:val="21"/>
        </w:rPr>
        <w:t>工作面计算距地高度</w:t>
      </w:r>
      <w:r>
        <w:rPr>
          <w:rFonts w:hint="eastAsia" w:eastAsiaTheme="minorEastAsia"/>
          <w:szCs w:val="21"/>
        </w:rPr>
        <w:t>应</w:t>
      </w:r>
      <w:r>
        <w:rPr>
          <w:rFonts w:eastAsiaTheme="minorEastAsia"/>
          <w:szCs w:val="21"/>
        </w:rPr>
        <w:t>为1.2m。</w:t>
      </w:r>
    </w:p>
    <w:p w14:paraId="79F5133E">
      <w:pPr>
        <w:pStyle w:val="164"/>
        <w:numPr>
          <w:ilvl w:val="0"/>
          <w:numId w:val="127"/>
        </w:numPr>
        <w:tabs>
          <w:tab w:val="left" w:pos="210"/>
          <w:tab w:val="left" w:pos="567"/>
        </w:tabs>
        <w:spacing w:line="330" w:lineRule="exact"/>
        <w:ind w:firstLine="630" w:firstLineChars="300"/>
        <w:rPr>
          <w:rFonts w:eastAsiaTheme="minorEastAsia"/>
          <w:szCs w:val="21"/>
        </w:rPr>
      </w:pPr>
      <w:r>
        <w:rPr>
          <w:rFonts w:eastAsiaTheme="minorEastAsia"/>
          <w:szCs w:val="21"/>
        </w:rPr>
        <w:t>座席设备区的平均照度不应低于1001 Lx。</w:t>
      </w:r>
      <w:r>
        <w:rPr>
          <w:rFonts w:hint="eastAsia" w:eastAsiaTheme="minorEastAsia"/>
          <w:szCs w:val="21"/>
        </w:rPr>
        <w:t>水平</w:t>
      </w:r>
      <w:r>
        <w:rPr>
          <w:rFonts w:eastAsiaTheme="minorEastAsia"/>
          <w:szCs w:val="21"/>
        </w:rPr>
        <w:t>工作面计算距地高度</w:t>
      </w:r>
      <w:r>
        <w:rPr>
          <w:rFonts w:hint="eastAsia" w:eastAsiaTheme="minorEastAsia"/>
          <w:szCs w:val="21"/>
        </w:rPr>
        <w:t>应</w:t>
      </w:r>
      <w:r>
        <w:rPr>
          <w:rFonts w:eastAsiaTheme="minorEastAsia"/>
          <w:szCs w:val="21"/>
        </w:rPr>
        <w:t>为0.8m。</w:t>
      </w:r>
    </w:p>
    <w:p w14:paraId="49F02882">
      <w:pPr>
        <w:pStyle w:val="164"/>
        <w:numPr>
          <w:ilvl w:val="0"/>
          <w:numId w:val="124"/>
        </w:numPr>
        <w:spacing w:line="330" w:lineRule="exact"/>
        <w:ind w:left="0" w:firstLine="420"/>
        <w:rPr>
          <w:rFonts w:eastAsiaTheme="minorEastAsia"/>
        </w:rPr>
      </w:pPr>
      <w:r>
        <w:rPr>
          <w:rFonts w:hint="eastAsia" w:eastAsiaTheme="minorEastAsia"/>
        </w:rPr>
        <w:t xml:space="preserve"> </w:t>
      </w:r>
      <w:r>
        <w:rPr>
          <w:rFonts w:eastAsiaTheme="minorEastAsia"/>
        </w:rPr>
        <w:t>电视会议室、控制室、传输室等房间的周围墙上或地面上应每隔3m～5m安装一个220V三芯电源插座。</w:t>
      </w:r>
    </w:p>
    <w:p w14:paraId="1D4EEE27">
      <w:pPr>
        <w:pStyle w:val="164"/>
        <w:spacing w:before="120" w:beforeLines="50" w:after="120" w:afterLines="50" w:line="330" w:lineRule="exact"/>
        <w:ind w:firstLine="0" w:firstLineChars="0"/>
        <w:rPr>
          <w:szCs w:val="21"/>
        </w:rPr>
      </w:pPr>
      <w:r>
        <w:rPr>
          <w:szCs w:val="21"/>
        </w:rPr>
        <w:t>13.3.7 设备接线调试应符合下列规定：</w:t>
      </w:r>
    </w:p>
    <w:p w14:paraId="7813095C">
      <w:pPr>
        <w:pStyle w:val="164"/>
        <w:numPr>
          <w:ilvl w:val="0"/>
          <w:numId w:val="128"/>
        </w:numPr>
        <w:spacing w:before="120" w:beforeLines="50" w:after="120" w:afterLines="50" w:line="330" w:lineRule="exact"/>
        <w:ind w:left="0" w:firstLine="420"/>
        <w:rPr>
          <w:rFonts w:eastAsiaTheme="minorEastAsia"/>
        </w:rPr>
      </w:pPr>
      <w:r>
        <w:rPr>
          <w:rFonts w:eastAsiaTheme="minorEastAsia"/>
        </w:rPr>
        <w:t>接线前，将已布放的线缆再次进行对地与线间绝缘摇测，然后涮锡或加上线鼻子。</w:t>
      </w:r>
    </w:p>
    <w:p w14:paraId="0D5AFB4C">
      <w:pPr>
        <w:pStyle w:val="164"/>
        <w:numPr>
          <w:ilvl w:val="0"/>
          <w:numId w:val="128"/>
        </w:numPr>
        <w:spacing w:before="120" w:beforeLines="50" w:after="120" w:afterLines="50" w:line="330" w:lineRule="exact"/>
        <w:ind w:left="0" w:firstLine="420"/>
        <w:rPr>
          <w:rFonts w:eastAsiaTheme="minorEastAsia"/>
        </w:rPr>
      </w:pPr>
      <w:r>
        <w:rPr>
          <w:rFonts w:eastAsiaTheme="minorEastAsia"/>
        </w:rPr>
        <w:t>机房设备采用专用导线将各设备进行连接，各支路导线线头压接好，设备及屏蔽线应压接好保护地线。接地电阻值不应大于4Ω；采用联合接地时，接地电阻值不应大于1Ω。</w:t>
      </w:r>
    </w:p>
    <w:p w14:paraId="7667433C">
      <w:pPr>
        <w:pStyle w:val="164"/>
        <w:numPr>
          <w:ilvl w:val="0"/>
          <w:numId w:val="128"/>
        </w:numPr>
        <w:spacing w:before="120" w:beforeLines="50" w:after="120" w:afterLines="50" w:line="330" w:lineRule="exact"/>
        <w:ind w:left="0" w:firstLine="420"/>
        <w:rPr>
          <w:rFonts w:eastAsiaTheme="minorEastAsia"/>
        </w:rPr>
      </w:pPr>
      <w:r>
        <w:rPr>
          <w:rFonts w:eastAsiaTheme="minorEastAsia"/>
        </w:rPr>
        <w:t>摄像机安装前，应先调节好光圈、镜头，再对摄像机进行初装，经通电试看、细调，检查各项功能，观察监视区的覆盖范围和图像质量，</w:t>
      </w:r>
      <w:r>
        <w:rPr>
          <w:rFonts w:hint="eastAsia" w:eastAsiaTheme="minorEastAsia"/>
        </w:rPr>
        <w:t>满足</w:t>
      </w:r>
      <w:r>
        <w:rPr>
          <w:rFonts w:eastAsiaTheme="minorEastAsia"/>
        </w:rPr>
        <w:t>要求后方可固定。</w:t>
      </w:r>
    </w:p>
    <w:p w14:paraId="728B5093">
      <w:pPr>
        <w:pStyle w:val="164"/>
        <w:numPr>
          <w:ilvl w:val="0"/>
          <w:numId w:val="128"/>
        </w:numPr>
        <w:spacing w:before="120" w:beforeLines="50" w:after="120" w:afterLines="50" w:line="330" w:lineRule="exact"/>
        <w:ind w:left="0" w:firstLine="420"/>
        <w:rPr>
          <w:rFonts w:eastAsiaTheme="minorEastAsia"/>
        </w:rPr>
      </w:pPr>
      <w:r>
        <w:rPr>
          <w:rFonts w:eastAsiaTheme="minorEastAsia"/>
        </w:rPr>
        <w:t>安装完后，对所有设备进行通电联调，检测各设备功能及摄像效果，完全达到功能和视觉效果要求后，方可投入使用。</w:t>
      </w:r>
    </w:p>
    <w:p w14:paraId="659F1A4D">
      <w:pPr>
        <w:pStyle w:val="164"/>
        <w:numPr>
          <w:ilvl w:val="0"/>
          <w:numId w:val="128"/>
        </w:numPr>
        <w:spacing w:before="120" w:beforeLines="50" w:after="120" w:afterLines="50" w:line="330" w:lineRule="exact"/>
        <w:ind w:left="0" w:firstLine="420"/>
        <w:rPr>
          <w:rFonts w:eastAsiaTheme="minorEastAsia"/>
        </w:rPr>
      </w:pPr>
      <w:r>
        <w:rPr>
          <w:rFonts w:eastAsiaTheme="minorEastAsia"/>
        </w:rPr>
        <w:t>音频部分设备安装完后，各设备采取单独调试，然后系统统调。调试由机房内监听各路广播的音质效果并调整各路功放的输出，以保证各路音源的音量一致，并要进行现场监听。</w:t>
      </w:r>
    </w:p>
    <w:p w14:paraId="23C0E267">
      <w:pPr>
        <w:pStyle w:val="164"/>
        <w:spacing w:before="120" w:beforeLines="50" w:after="120" w:afterLines="50" w:line="330" w:lineRule="exact"/>
        <w:ind w:firstLine="0" w:firstLineChars="0"/>
        <w:rPr>
          <w:szCs w:val="21"/>
        </w:rPr>
      </w:pPr>
      <w:r>
        <w:rPr>
          <w:szCs w:val="21"/>
        </w:rPr>
        <w:t>13.3.8 系统测试应达到要求：</w:t>
      </w:r>
    </w:p>
    <w:p w14:paraId="39BA4882">
      <w:pPr>
        <w:pStyle w:val="164"/>
        <w:numPr>
          <w:ilvl w:val="0"/>
          <w:numId w:val="129"/>
        </w:numPr>
        <w:spacing w:after="240" w:afterLines="100" w:line="330" w:lineRule="exact"/>
        <w:ind w:left="0" w:firstLine="420"/>
        <w:rPr>
          <w:rFonts w:eastAsiaTheme="minorEastAsia"/>
        </w:rPr>
      </w:pPr>
      <w:r>
        <w:rPr>
          <w:rFonts w:eastAsiaTheme="minorEastAsia"/>
        </w:rPr>
        <w:t>会议声音质量按照表</w:t>
      </w:r>
      <w:r>
        <w:rPr>
          <w:rFonts w:eastAsiaTheme="minorEastAsia"/>
          <w:sz w:val="20"/>
          <w:szCs w:val="21"/>
        </w:rPr>
        <w:t>13</w:t>
      </w:r>
      <w:r>
        <w:rPr>
          <w:rFonts w:eastAsiaTheme="minorEastAsia"/>
        </w:rPr>
        <w:t>.3.8-1声音质量主观评价五级评分制进行综合主观评价，得分值不应低于4分。评价内容应包括声音响度，语言清晰度，声音方向感，声反馈，系统噪声，声干扰以及混响时间等内容。</w:t>
      </w:r>
    </w:p>
    <w:p w14:paraId="3A7C7AD2">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w:t>
      </w:r>
      <w:r>
        <w:rPr>
          <w:rFonts w:ascii="Times New Roman" w:hAnsi="Times New Roman" w:eastAsiaTheme="minorEastAsia"/>
          <w:b/>
          <w:bCs/>
          <w:sz w:val="18"/>
          <w:szCs w:val="18"/>
        </w:rPr>
        <w:t>13</w:t>
      </w:r>
      <w:r>
        <w:rPr>
          <w:rFonts w:ascii="Times New Roman" w:hAnsi="Times New Roman"/>
          <w:b/>
          <w:bCs/>
          <w:kern w:val="0"/>
          <w:sz w:val="18"/>
          <w:szCs w:val="18"/>
        </w:rPr>
        <w:t xml:space="preserve">.3.8-1   </w:t>
      </w:r>
      <w:r>
        <w:rPr>
          <w:rFonts w:hint="eastAsia" w:ascii="Times New Roman" w:hAnsi="Times New Roman"/>
          <w:b/>
          <w:bCs/>
          <w:kern w:val="0"/>
          <w:sz w:val="18"/>
          <w:szCs w:val="18"/>
        </w:rPr>
        <w:t>声音质量主观评价五级评分制</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9"/>
      </w:tblGrid>
      <w:tr w14:paraId="3A62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4808AB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声音质量主观评价</w:t>
            </w:r>
          </w:p>
        </w:tc>
        <w:tc>
          <w:tcPr>
            <w:tcW w:w="4149" w:type="dxa"/>
            <w:vAlign w:val="center"/>
          </w:tcPr>
          <w:p w14:paraId="6256E38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评分等级</w:t>
            </w:r>
          </w:p>
        </w:tc>
      </w:tr>
      <w:tr w14:paraId="20FF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20F038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声音质量极佳，十分满意</w:t>
            </w:r>
          </w:p>
        </w:tc>
        <w:tc>
          <w:tcPr>
            <w:tcW w:w="4149" w:type="dxa"/>
            <w:vAlign w:val="center"/>
          </w:tcPr>
          <w:p w14:paraId="4506628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5分(优)</w:t>
            </w:r>
          </w:p>
        </w:tc>
      </w:tr>
      <w:tr w14:paraId="68E2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06686B1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声音质量好，比较满意</w:t>
            </w:r>
          </w:p>
        </w:tc>
        <w:tc>
          <w:tcPr>
            <w:tcW w:w="4149" w:type="dxa"/>
            <w:vAlign w:val="center"/>
          </w:tcPr>
          <w:p w14:paraId="6EE1D62E">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4分(良)</w:t>
            </w:r>
          </w:p>
        </w:tc>
      </w:tr>
      <w:tr w14:paraId="0389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57D4BA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声音质量一般，尚可接受</w:t>
            </w:r>
          </w:p>
        </w:tc>
        <w:tc>
          <w:tcPr>
            <w:tcW w:w="4149" w:type="dxa"/>
            <w:vAlign w:val="center"/>
          </w:tcPr>
          <w:p w14:paraId="42CB124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3分(中)</w:t>
            </w:r>
          </w:p>
        </w:tc>
      </w:tr>
      <w:tr w14:paraId="2378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4D1612CA">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声音质量差，勉强能听</w:t>
            </w:r>
          </w:p>
        </w:tc>
        <w:tc>
          <w:tcPr>
            <w:tcW w:w="4149" w:type="dxa"/>
            <w:vAlign w:val="center"/>
          </w:tcPr>
          <w:p w14:paraId="62DBC09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2分(差)</w:t>
            </w:r>
          </w:p>
        </w:tc>
      </w:tr>
      <w:tr w14:paraId="6665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64938D83">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声音质量低劣，无法忍受</w:t>
            </w:r>
          </w:p>
        </w:tc>
        <w:tc>
          <w:tcPr>
            <w:tcW w:w="4149" w:type="dxa"/>
            <w:vAlign w:val="center"/>
          </w:tcPr>
          <w:p w14:paraId="0BA8D0F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1分(劣)</w:t>
            </w:r>
          </w:p>
        </w:tc>
      </w:tr>
    </w:tbl>
    <w:p w14:paraId="6D5D0595">
      <w:pPr>
        <w:pStyle w:val="164"/>
        <w:numPr>
          <w:ilvl w:val="0"/>
          <w:numId w:val="129"/>
        </w:numPr>
        <w:spacing w:line="330" w:lineRule="exact"/>
        <w:ind w:left="0" w:firstLine="420"/>
        <w:rPr>
          <w:rFonts w:eastAsiaTheme="minorEastAsia"/>
        </w:rPr>
      </w:pPr>
      <w:r>
        <w:rPr>
          <w:rFonts w:eastAsiaTheme="minorEastAsia"/>
        </w:rPr>
        <w:t>会议图像显示效果质量按照表</w:t>
      </w:r>
      <w:r>
        <w:rPr>
          <w:rFonts w:eastAsiaTheme="minorEastAsia"/>
          <w:sz w:val="20"/>
          <w:szCs w:val="21"/>
        </w:rPr>
        <w:t>13</w:t>
      </w:r>
      <w:r>
        <w:rPr>
          <w:rFonts w:eastAsiaTheme="minorEastAsia"/>
        </w:rPr>
        <w:t>.3.8-2图像质量主观评价五级评分制进行综合主观评价，得分值不应低于4分。评价内容应包括图像清晰度、亮度、对比度、色彩还原性、图像色彩及色饱和度等内容。</w:t>
      </w:r>
    </w:p>
    <w:p w14:paraId="24AC0F0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b/>
          <w:bCs/>
          <w:kern w:val="0"/>
          <w:sz w:val="18"/>
          <w:szCs w:val="18"/>
        </w:rPr>
        <w:t>表</w:t>
      </w:r>
      <w:r>
        <w:rPr>
          <w:rFonts w:ascii="Times New Roman" w:hAnsi="Times New Roman" w:eastAsiaTheme="minorEastAsia"/>
          <w:sz w:val="18"/>
          <w:szCs w:val="18"/>
        </w:rPr>
        <w:t>13</w:t>
      </w:r>
      <w:r>
        <w:rPr>
          <w:rFonts w:ascii="Times New Roman" w:hAnsi="Times New Roman"/>
          <w:b/>
          <w:bCs/>
          <w:kern w:val="0"/>
          <w:sz w:val="18"/>
          <w:szCs w:val="18"/>
        </w:rPr>
        <w:t>.3.8-2   图像质量主观评价五级评分制</w:t>
      </w:r>
    </w:p>
    <w:tbl>
      <w:tblPr>
        <w:tblStyle w:val="4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9"/>
      </w:tblGrid>
      <w:tr w14:paraId="6334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7C8662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图像质量主观评价</w:t>
            </w:r>
          </w:p>
        </w:tc>
        <w:tc>
          <w:tcPr>
            <w:tcW w:w="4149" w:type="dxa"/>
            <w:vAlign w:val="center"/>
          </w:tcPr>
          <w:p w14:paraId="5E043A1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评分值(等级)</w:t>
            </w:r>
          </w:p>
        </w:tc>
      </w:tr>
      <w:tr w14:paraId="425F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6D159855">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图像质量极佳，十分满意</w:t>
            </w:r>
          </w:p>
        </w:tc>
        <w:tc>
          <w:tcPr>
            <w:tcW w:w="4149" w:type="dxa"/>
            <w:vAlign w:val="center"/>
          </w:tcPr>
          <w:p w14:paraId="7081E5F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5分(优)</w:t>
            </w:r>
          </w:p>
        </w:tc>
      </w:tr>
      <w:tr w14:paraId="1FD1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DECCD64">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图像质量好，比较满意</w:t>
            </w:r>
          </w:p>
        </w:tc>
        <w:tc>
          <w:tcPr>
            <w:tcW w:w="4149" w:type="dxa"/>
            <w:vAlign w:val="center"/>
          </w:tcPr>
          <w:p w14:paraId="60906DD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4分(良)</w:t>
            </w:r>
          </w:p>
        </w:tc>
      </w:tr>
      <w:tr w14:paraId="1FD7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4829A1EB">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图像质量一般，尚可接受</w:t>
            </w:r>
          </w:p>
        </w:tc>
        <w:tc>
          <w:tcPr>
            <w:tcW w:w="4149" w:type="dxa"/>
            <w:vAlign w:val="center"/>
          </w:tcPr>
          <w:p w14:paraId="00358260">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3分(中)</w:t>
            </w:r>
          </w:p>
        </w:tc>
      </w:tr>
      <w:tr w14:paraId="34E8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22B3B88D">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图像质量差，勉强能看</w:t>
            </w:r>
          </w:p>
        </w:tc>
        <w:tc>
          <w:tcPr>
            <w:tcW w:w="4149" w:type="dxa"/>
            <w:vAlign w:val="center"/>
          </w:tcPr>
          <w:p w14:paraId="63BBC101">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2分(差)</w:t>
            </w:r>
          </w:p>
        </w:tc>
      </w:tr>
      <w:tr w14:paraId="4B2C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47C664C9">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图像质量低劣，无法看清</w:t>
            </w:r>
          </w:p>
        </w:tc>
        <w:tc>
          <w:tcPr>
            <w:tcW w:w="4149" w:type="dxa"/>
            <w:vAlign w:val="center"/>
          </w:tcPr>
          <w:p w14:paraId="21155A0C">
            <w:pPr>
              <w:autoSpaceDE w:val="0"/>
              <w:autoSpaceDN w:val="0"/>
              <w:adjustRightInd w:val="0"/>
              <w:snapToGrid w:val="0"/>
              <w:spacing w:line="330" w:lineRule="exact"/>
              <w:ind w:left="0" w:firstLine="0" w:firstLineChars="0"/>
              <w:jc w:val="center"/>
              <w:rPr>
                <w:rFonts w:ascii="Times New Roman" w:hAnsi="Times New Roman"/>
                <w:b/>
                <w:bCs/>
                <w:kern w:val="0"/>
                <w:sz w:val="18"/>
                <w:szCs w:val="18"/>
              </w:rPr>
            </w:pPr>
            <w:r>
              <w:rPr>
                <w:rFonts w:ascii="Times New Roman" w:hAnsi="Times New Roman"/>
                <w:kern w:val="0"/>
                <w:sz w:val="18"/>
                <w:szCs w:val="18"/>
              </w:rPr>
              <w:t>1分(劣)</w:t>
            </w:r>
          </w:p>
        </w:tc>
      </w:tr>
    </w:tbl>
    <w:p w14:paraId="0D6EBF96">
      <w:pPr>
        <w:pStyle w:val="3"/>
        <w:spacing w:before="240" w:after="120" w:afterLines="50" w:line="330" w:lineRule="exact"/>
        <w:rPr>
          <w:rFonts w:eastAsia="黑体"/>
          <w:b w:val="0"/>
          <w:bCs w:val="0"/>
          <w:sz w:val="21"/>
          <w:szCs w:val="21"/>
          <w:lang w:val="en-US"/>
        </w:rPr>
      </w:pPr>
      <w:bookmarkStart w:id="91" w:name="_Toc182487969"/>
      <w:r>
        <w:rPr>
          <w:rFonts w:eastAsia="黑体"/>
          <w:b w:val="0"/>
          <w:bCs w:val="0"/>
          <w:sz w:val="21"/>
          <w:szCs w:val="21"/>
          <w:lang w:val="en-US"/>
        </w:rPr>
        <w:t>13.4 质量记录</w:t>
      </w:r>
      <w:bookmarkEnd w:id="91"/>
    </w:p>
    <w:p w14:paraId="6CB8A33F">
      <w:pPr>
        <w:ind w:left="105" w:hanging="105"/>
        <w:rPr>
          <w:rFonts w:ascii="Times New Roman" w:hAnsi="Times New Roman"/>
        </w:rPr>
      </w:pPr>
      <w:r>
        <w:rPr>
          <w:rFonts w:ascii="Times New Roman" w:hAnsi="Times New Roman"/>
        </w:rPr>
        <w:t>13.4.1 质量记录应包含下列内容：</w:t>
      </w:r>
    </w:p>
    <w:p w14:paraId="025BAC37">
      <w:pPr>
        <w:pStyle w:val="164"/>
        <w:spacing w:before="100" w:after="100" w:line="330" w:lineRule="exact"/>
        <w:ind w:firstLine="422"/>
        <w:rPr>
          <w:szCs w:val="21"/>
        </w:rPr>
      </w:pPr>
      <w:r>
        <w:rPr>
          <w:b/>
          <w:bCs/>
          <w:szCs w:val="21"/>
        </w:rPr>
        <w:t>1</w:t>
      </w:r>
      <w:r>
        <w:rPr>
          <w:szCs w:val="21"/>
        </w:rPr>
        <w:t xml:space="preserve"> 材料及设备的出厂合格证、生产许可证、安装技术文件、质量检验报。</w:t>
      </w:r>
    </w:p>
    <w:p w14:paraId="11EA6511">
      <w:pPr>
        <w:pStyle w:val="164"/>
        <w:spacing w:before="100" w:after="100" w:line="330" w:lineRule="exact"/>
        <w:ind w:firstLine="422"/>
        <w:rPr>
          <w:szCs w:val="21"/>
        </w:rPr>
      </w:pPr>
      <w:r>
        <w:rPr>
          <w:b/>
          <w:bCs/>
          <w:szCs w:val="21"/>
        </w:rPr>
        <w:t>2</w:t>
      </w:r>
      <w:r>
        <w:rPr>
          <w:szCs w:val="21"/>
        </w:rPr>
        <w:t xml:space="preserve"> 材料、构配件进场检验记录。</w:t>
      </w:r>
    </w:p>
    <w:p w14:paraId="683401A9">
      <w:pPr>
        <w:pStyle w:val="164"/>
        <w:spacing w:before="100" w:after="100" w:line="330" w:lineRule="exact"/>
        <w:ind w:firstLine="422"/>
        <w:rPr>
          <w:szCs w:val="21"/>
        </w:rPr>
      </w:pPr>
      <w:r>
        <w:rPr>
          <w:b/>
          <w:bCs/>
          <w:szCs w:val="21"/>
        </w:rPr>
        <w:t>3</w:t>
      </w:r>
      <w:r>
        <w:rPr>
          <w:szCs w:val="21"/>
        </w:rPr>
        <w:t xml:space="preserve"> 数字会议系统安装工程预检、隐检、自检、互检记录。 </w:t>
      </w:r>
    </w:p>
    <w:p w14:paraId="2E30A1FD">
      <w:pPr>
        <w:pStyle w:val="164"/>
        <w:spacing w:before="100" w:after="100" w:line="330" w:lineRule="exact"/>
        <w:ind w:firstLine="422"/>
        <w:rPr>
          <w:szCs w:val="21"/>
        </w:rPr>
      </w:pPr>
      <w:r>
        <w:rPr>
          <w:b/>
          <w:bCs/>
          <w:szCs w:val="21"/>
        </w:rPr>
        <w:t>4</w:t>
      </w:r>
      <w:r>
        <w:rPr>
          <w:szCs w:val="21"/>
        </w:rPr>
        <w:t xml:space="preserve"> 设计变更洽商记录、竣工图。 </w:t>
      </w:r>
    </w:p>
    <w:p w14:paraId="1AC3287A">
      <w:pPr>
        <w:pStyle w:val="164"/>
        <w:spacing w:before="100" w:after="100" w:line="330" w:lineRule="exact"/>
        <w:ind w:firstLine="422"/>
        <w:rPr>
          <w:szCs w:val="21"/>
        </w:rPr>
      </w:pPr>
      <w:r>
        <w:rPr>
          <w:b/>
          <w:bCs/>
          <w:szCs w:val="21"/>
        </w:rPr>
        <w:t>5</w:t>
      </w:r>
      <w:r>
        <w:rPr>
          <w:szCs w:val="21"/>
        </w:rPr>
        <w:t xml:space="preserve"> 配管及管内穿线分项工程质量检验评定记录。 </w:t>
      </w:r>
    </w:p>
    <w:p w14:paraId="4BF48153">
      <w:pPr>
        <w:pStyle w:val="164"/>
        <w:spacing w:before="100" w:after="100" w:line="330" w:lineRule="exact"/>
        <w:ind w:firstLine="422"/>
        <w:rPr>
          <w:szCs w:val="21"/>
        </w:rPr>
      </w:pPr>
      <w:r>
        <w:rPr>
          <w:b/>
          <w:bCs/>
          <w:szCs w:val="21"/>
        </w:rPr>
        <w:t>6</w:t>
      </w:r>
      <w:r>
        <w:rPr>
          <w:szCs w:val="21"/>
        </w:rPr>
        <w:t xml:space="preserve"> 数字会议系统安装调试记录。 </w:t>
      </w:r>
    </w:p>
    <w:p w14:paraId="7E121F0C">
      <w:pPr>
        <w:ind w:left="0" w:firstLine="0" w:firstLineChars="0"/>
        <w:rPr>
          <w:rFonts w:ascii="Times New Roman" w:hAnsi="Times New Roman"/>
        </w:rPr>
      </w:pPr>
    </w:p>
    <w:p w14:paraId="183DFDA8">
      <w:pPr>
        <w:ind w:left="0" w:firstLine="0" w:firstLineChars="0"/>
        <w:rPr>
          <w:rFonts w:ascii="Times New Roman" w:hAnsi="Times New Roman"/>
        </w:rPr>
      </w:pPr>
    </w:p>
    <w:p w14:paraId="1D38D7E5">
      <w:pPr>
        <w:ind w:left="0" w:firstLine="0" w:firstLineChars="0"/>
        <w:rPr>
          <w:rFonts w:ascii="Times New Roman" w:hAnsi="Times New Roman"/>
        </w:rPr>
      </w:pPr>
    </w:p>
    <w:p w14:paraId="28BF3912">
      <w:pPr>
        <w:ind w:left="0" w:firstLine="0" w:firstLineChars="0"/>
        <w:rPr>
          <w:rFonts w:ascii="Times New Roman" w:hAnsi="Times New Roman"/>
        </w:rPr>
      </w:pPr>
    </w:p>
    <w:p w14:paraId="4AFD28F3">
      <w:pPr>
        <w:ind w:left="0" w:firstLine="0" w:firstLineChars="0"/>
        <w:rPr>
          <w:rFonts w:ascii="Times New Roman" w:hAnsi="Times New Roman"/>
        </w:rPr>
      </w:pPr>
    </w:p>
    <w:p w14:paraId="6D18E211">
      <w:pPr>
        <w:ind w:left="0" w:firstLine="0" w:firstLineChars="0"/>
        <w:rPr>
          <w:rFonts w:ascii="Times New Roman" w:hAnsi="Times New Roman"/>
        </w:rPr>
      </w:pPr>
    </w:p>
    <w:p w14:paraId="6EA5A6AD">
      <w:pPr>
        <w:ind w:left="0" w:firstLine="0" w:firstLineChars="0"/>
        <w:rPr>
          <w:rFonts w:ascii="Times New Roman" w:hAnsi="Times New Roman"/>
        </w:rPr>
      </w:pPr>
    </w:p>
    <w:p w14:paraId="63F82877">
      <w:pPr>
        <w:ind w:left="0" w:firstLine="0" w:firstLineChars="0"/>
        <w:rPr>
          <w:rFonts w:ascii="Times New Roman" w:hAnsi="Times New Roman"/>
        </w:rPr>
      </w:pPr>
    </w:p>
    <w:p w14:paraId="4235538B">
      <w:pPr>
        <w:ind w:left="0" w:firstLine="0" w:firstLineChars="0"/>
        <w:rPr>
          <w:rFonts w:ascii="Times New Roman" w:hAnsi="Times New Roman"/>
        </w:rPr>
      </w:pPr>
    </w:p>
    <w:p w14:paraId="12D2CE12">
      <w:pPr>
        <w:ind w:left="0" w:firstLine="0" w:firstLineChars="0"/>
        <w:rPr>
          <w:rFonts w:ascii="Times New Roman" w:hAnsi="Times New Roman"/>
        </w:rPr>
      </w:pPr>
    </w:p>
    <w:p w14:paraId="3C384276">
      <w:pPr>
        <w:ind w:left="0" w:firstLine="0" w:firstLineChars="0"/>
        <w:rPr>
          <w:rFonts w:ascii="Times New Roman" w:hAnsi="Times New Roman"/>
        </w:rPr>
      </w:pPr>
    </w:p>
    <w:p w14:paraId="555A6C01">
      <w:pPr>
        <w:ind w:left="0" w:firstLine="0" w:firstLineChars="0"/>
        <w:rPr>
          <w:rFonts w:ascii="Times New Roman" w:hAnsi="Times New Roman"/>
        </w:rPr>
      </w:pPr>
    </w:p>
    <w:p w14:paraId="08EE329D">
      <w:pPr>
        <w:ind w:left="0" w:firstLine="0" w:firstLineChars="0"/>
        <w:rPr>
          <w:rFonts w:ascii="Times New Roman" w:hAnsi="Times New Roman"/>
        </w:rPr>
      </w:pPr>
    </w:p>
    <w:p w14:paraId="3518791E">
      <w:pPr>
        <w:ind w:left="0" w:firstLine="0" w:firstLineChars="0"/>
        <w:rPr>
          <w:rFonts w:ascii="Times New Roman" w:hAnsi="Times New Roman"/>
        </w:rPr>
      </w:pPr>
    </w:p>
    <w:p w14:paraId="06EB43B3">
      <w:pPr>
        <w:ind w:left="0" w:firstLine="0" w:firstLineChars="0"/>
        <w:rPr>
          <w:rFonts w:ascii="Times New Roman" w:hAnsi="Times New Roman"/>
        </w:rPr>
      </w:pPr>
    </w:p>
    <w:p w14:paraId="0A90EEAA">
      <w:pPr>
        <w:ind w:left="0" w:firstLine="0" w:firstLineChars="0"/>
        <w:rPr>
          <w:rFonts w:ascii="Times New Roman" w:hAnsi="Times New Roman"/>
        </w:rPr>
      </w:pPr>
    </w:p>
    <w:p w14:paraId="7520B1EB">
      <w:pPr>
        <w:ind w:left="0" w:firstLine="0" w:firstLineChars="0"/>
        <w:rPr>
          <w:rFonts w:ascii="Times New Roman" w:hAnsi="Times New Roman"/>
        </w:rPr>
      </w:pPr>
    </w:p>
    <w:p w14:paraId="02566D20">
      <w:pPr>
        <w:ind w:left="0" w:firstLine="0" w:firstLineChars="0"/>
        <w:rPr>
          <w:rFonts w:ascii="Times New Roman" w:hAnsi="Times New Roman"/>
        </w:rPr>
      </w:pPr>
    </w:p>
    <w:p w14:paraId="48A515B4">
      <w:pPr>
        <w:ind w:left="0" w:firstLine="0" w:firstLineChars="0"/>
        <w:rPr>
          <w:rFonts w:ascii="Times New Roman" w:hAnsi="Times New Roman"/>
        </w:rPr>
      </w:pPr>
    </w:p>
    <w:p w14:paraId="003E7343">
      <w:pPr>
        <w:ind w:left="0" w:firstLine="0" w:firstLineChars="0"/>
        <w:rPr>
          <w:rFonts w:ascii="Times New Roman" w:hAnsi="Times New Roman"/>
        </w:rPr>
      </w:pPr>
    </w:p>
    <w:p w14:paraId="76D885C9">
      <w:pPr>
        <w:ind w:left="0" w:firstLine="0" w:firstLineChars="0"/>
        <w:rPr>
          <w:rFonts w:ascii="Times New Roman" w:hAnsi="Times New Roman"/>
        </w:rPr>
      </w:pPr>
    </w:p>
    <w:p w14:paraId="6B9175EA">
      <w:pPr>
        <w:ind w:left="0" w:firstLine="0" w:firstLineChars="0"/>
        <w:rPr>
          <w:rFonts w:ascii="Times New Roman" w:hAnsi="Times New Roman"/>
        </w:rPr>
      </w:pPr>
    </w:p>
    <w:p w14:paraId="46659103">
      <w:pPr>
        <w:ind w:left="0" w:firstLine="0" w:firstLineChars="0"/>
        <w:rPr>
          <w:rFonts w:ascii="Times New Roman" w:hAnsi="Times New Roman"/>
        </w:rPr>
      </w:pPr>
    </w:p>
    <w:p w14:paraId="4178F56F">
      <w:pPr>
        <w:ind w:left="0" w:firstLine="0" w:firstLineChars="0"/>
        <w:rPr>
          <w:rFonts w:ascii="Times New Roman" w:hAnsi="Times New Roman"/>
        </w:rPr>
      </w:pPr>
    </w:p>
    <w:p w14:paraId="586C78E4">
      <w:pPr>
        <w:ind w:left="0" w:firstLine="0" w:firstLineChars="0"/>
        <w:rPr>
          <w:rFonts w:ascii="Times New Roman" w:hAnsi="Times New Roman"/>
        </w:rPr>
      </w:pPr>
    </w:p>
    <w:p w14:paraId="5466AD4D">
      <w:pPr>
        <w:ind w:left="0" w:firstLine="0" w:firstLineChars="0"/>
        <w:rPr>
          <w:rFonts w:ascii="Times New Roman" w:hAnsi="Times New Roman"/>
        </w:rPr>
      </w:pPr>
    </w:p>
    <w:p w14:paraId="02134116">
      <w:pPr>
        <w:ind w:left="0" w:firstLine="0" w:firstLineChars="0"/>
        <w:rPr>
          <w:rFonts w:ascii="Times New Roman" w:hAnsi="Times New Roman"/>
        </w:rPr>
      </w:pPr>
    </w:p>
    <w:p w14:paraId="37B4A1DD">
      <w:pPr>
        <w:ind w:left="0" w:firstLine="0" w:firstLineChars="0"/>
        <w:rPr>
          <w:rFonts w:ascii="Times New Roman" w:hAnsi="Times New Roman"/>
        </w:rPr>
      </w:pPr>
    </w:p>
    <w:p w14:paraId="27B26FF5">
      <w:pPr>
        <w:ind w:left="0" w:firstLine="0" w:firstLineChars="0"/>
        <w:rPr>
          <w:rFonts w:ascii="Times New Roman" w:hAnsi="Times New Roman"/>
        </w:rPr>
      </w:pPr>
    </w:p>
    <w:p w14:paraId="60E657B8">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354FEF9D">
      <w:pPr>
        <w:pStyle w:val="16"/>
        <w:tabs>
          <w:tab w:val="left" w:pos="425"/>
        </w:tabs>
        <w:spacing w:before="240" w:beforeLines="100" w:afterLines="50" w:line="330" w:lineRule="exact"/>
        <w:jc w:val="center"/>
        <w:outlineLvl w:val="0"/>
        <w:rPr>
          <w:rFonts w:ascii="Times New Roman" w:hAnsi="Times New Roman" w:eastAsia="黑体"/>
          <w:sz w:val="28"/>
          <w:szCs w:val="28"/>
        </w:rPr>
      </w:pPr>
      <w:bookmarkStart w:id="92" w:name="_Toc182487970"/>
      <w:r>
        <w:rPr>
          <w:rFonts w:ascii="Times New Roman" w:hAnsi="Times New Roman" w:eastAsia="黑体"/>
          <w:sz w:val="28"/>
          <w:szCs w:val="28"/>
        </w:rPr>
        <w:t>14 信息导引及发布系统</w:t>
      </w:r>
      <w:bookmarkEnd w:id="92"/>
    </w:p>
    <w:p w14:paraId="56A82171">
      <w:pPr>
        <w:pStyle w:val="3"/>
        <w:spacing w:before="240" w:after="120" w:afterLines="50" w:line="330" w:lineRule="exact"/>
        <w:rPr>
          <w:rFonts w:eastAsia="黑体"/>
          <w:b w:val="0"/>
          <w:sz w:val="21"/>
          <w:szCs w:val="21"/>
        </w:rPr>
      </w:pPr>
      <w:bookmarkStart w:id="93" w:name="_Toc182487971"/>
      <w:r>
        <w:rPr>
          <w:rFonts w:eastAsia="黑体"/>
          <w:b w:val="0"/>
          <w:sz w:val="21"/>
          <w:szCs w:val="21"/>
          <w:lang w:val="en-US"/>
        </w:rPr>
        <w:t xml:space="preserve">14.1 </w:t>
      </w:r>
      <w:r>
        <w:rPr>
          <w:rFonts w:eastAsia="黑体"/>
          <w:b w:val="0"/>
          <w:sz w:val="21"/>
          <w:szCs w:val="21"/>
        </w:rPr>
        <w:t>一般规定</w:t>
      </w:r>
      <w:bookmarkEnd w:id="93"/>
    </w:p>
    <w:p w14:paraId="0B17C9DD">
      <w:pPr>
        <w:pStyle w:val="164"/>
        <w:numPr>
          <w:ilvl w:val="0"/>
          <w:numId w:val="119"/>
        </w:numPr>
        <w:spacing w:line="330" w:lineRule="exact"/>
        <w:ind w:firstLineChars="0"/>
        <w:rPr>
          <w:vanish/>
          <w:szCs w:val="21"/>
        </w:rPr>
      </w:pPr>
    </w:p>
    <w:p w14:paraId="2AA7E6A6">
      <w:pPr>
        <w:pStyle w:val="164"/>
        <w:numPr>
          <w:ilvl w:val="1"/>
          <w:numId w:val="119"/>
        </w:numPr>
        <w:spacing w:line="330" w:lineRule="exact"/>
        <w:ind w:firstLineChars="0"/>
        <w:rPr>
          <w:vanish/>
          <w:szCs w:val="21"/>
        </w:rPr>
      </w:pPr>
    </w:p>
    <w:p w14:paraId="06482D19">
      <w:pPr>
        <w:pStyle w:val="164"/>
        <w:numPr>
          <w:ilvl w:val="1"/>
          <w:numId w:val="119"/>
        </w:numPr>
        <w:spacing w:line="330" w:lineRule="exact"/>
        <w:ind w:firstLineChars="0"/>
        <w:rPr>
          <w:vanish/>
          <w:szCs w:val="21"/>
        </w:rPr>
      </w:pPr>
    </w:p>
    <w:p w14:paraId="19F6D3CD">
      <w:pPr>
        <w:pStyle w:val="164"/>
        <w:spacing w:before="100" w:after="100" w:line="330" w:lineRule="exact"/>
        <w:ind w:firstLine="0" w:firstLineChars="0"/>
        <w:rPr>
          <w:szCs w:val="21"/>
        </w:rPr>
      </w:pPr>
      <w:r>
        <w:rPr>
          <w:szCs w:val="21"/>
        </w:rPr>
        <w:t>14.1.1 本章内容适用于信息导引及发布系统的工程实施及质量控制、系统检测。</w:t>
      </w:r>
    </w:p>
    <w:p w14:paraId="2D283066">
      <w:pPr>
        <w:pStyle w:val="164"/>
        <w:spacing w:before="100" w:after="100" w:line="330" w:lineRule="exact"/>
        <w:ind w:firstLine="0" w:firstLineChars="0"/>
        <w:rPr>
          <w:szCs w:val="21"/>
        </w:rPr>
      </w:pPr>
      <w:r>
        <w:rPr>
          <w:szCs w:val="21"/>
        </w:rPr>
        <w:t>14.1.2 信息导引及发布系统应能对住宅建筑内的居民或来访者提供告知、信息发布及查询等功能。</w:t>
      </w:r>
    </w:p>
    <w:p w14:paraId="79D5731F">
      <w:pPr>
        <w:pStyle w:val="164"/>
        <w:spacing w:before="100" w:after="100" w:line="330" w:lineRule="exact"/>
        <w:ind w:firstLine="0" w:firstLineChars="0"/>
        <w:rPr>
          <w:szCs w:val="21"/>
        </w:rPr>
      </w:pPr>
      <w:r>
        <w:rPr>
          <w:szCs w:val="21"/>
        </w:rPr>
        <w:t>14.1.3信息导引及发布系统应采用集中控制和管理的方式将音视频信号、图片和滚动字幕等多媒体信息传输到显示终端。</w:t>
      </w:r>
    </w:p>
    <w:p w14:paraId="0CAE63B3">
      <w:pPr>
        <w:pStyle w:val="3"/>
        <w:spacing w:before="240" w:after="120" w:afterLines="50" w:line="330" w:lineRule="exact"/>
        <w:rPr>
          <w:rFonts w:eastAsia="黑体"/>
          <w:b w:val="0"/>
          <w:sz w:val="21"/>
          <w:szCs w:val="21"/>
        </w:rPr>
      </w:pPr>
      <w:bookmarkStart w:id="94" w:name="_Toc182487972"/>
      <w:r>
        <w:rPr>
          <w:rFonts w:eastAsia="黑体"/>
          <w:b w:val="0"/>
          <w:sz w:val="21"/>
          <w:szCs w:val="21"/>
          <w:lang w:val="en-US"/>
        </w:rPr>
        <w:t xml:space="preserve">14.2 </w:t>
      </w:r>
      <w:r>
        <w:rPr>
          <w:rFonts w:eastAsia="黑体"/>
          <w:b w:val="0"/>
          <w:sz w:val="21"/>
          <w:szCs w:val="21"/>
        </w:rPr>
        <w:t>施工准备</w:t>
      </w:r>
      <w:bookmarkEnd w:id="94"/>
    </w:p>
    <w:p w14:paraId="19339230">
      <w:pPr>
        <w:pStyle w:val="164"/>
        <w:numPr>
          <w:ilvl w:val="1"/>
          <w:numId w:val="119"/>
        </w:numPr>
        <w:spacing w:line="330" w:lineRule="exact"/>
        <w:ind w:firstLineChars="0"/>
        <w:rPr>
          <w:vanish/>
          <w:szCs w:val="21"/>
        </w:rPr>
      </w:pPr>
    </w:p>
    <w:p w14:paraId="6A7BEBD7">
      <w:pPr>
        <w:pStyle w:val="164"/>
        <w:spacing w:before="100" w:after="100" w:line="330" w:lineRule="exact"/>
        <w:ind w:firstLine="0" w:firstLineChars="0"/>
        <w:rPr>
          <w:b/>
        </w:rPr>
      </w:pPr>
      <w:r>
        <w:rPr>
          <w:szCs w:val="21"/>
        </w:rPr>
        <w:t xml:space="preserve">14.2.1 </w:t>
      </w:r>
      <w:r>
        <w:rPr>
          <w:rFonts w:hint="eastAsia"/>
        </w:rPr>
        <w:t>主要材料有</w:t>
      </w:r>
      <w:r>
        <w:t>播控服务器、信息管理工作站、流媒体服务器、LCD显示终端、多媒体触摸查询终端、广告机、LED显示大屏幕、多媒体播放器、信号延长器以及相关</w:t>
      </w:r>
      <w:r>
        <w:rPr>
          <w:rFonts w:hint="eastAsia"/>
        </w:rPr>
        <w:t>播放控制</w:t>
      </w:r>
      <w:r>
        <w:t>软件等。</w:t>
      </w:r>
    </w:p>
    <w:p w14:paraId="2F137DFC">
      <w:pPr>
        <w:pStyle w:val="164"/>
        <w:spacing w:before="100" w:after="100" w:line="330" w:lineRule="exact"/>
        <w:ind w:firstLine="0" w:firstLineChars="0"/>
        <w:rPr>
          <w:szCs w:val="21"/>
        </w:rPr>
      </w:pPr>
      <w:r>
        <w:rPr>
          <w:szCs w:val="21"/>
        </w:rPr>
        <w:t>14.2.2 主要机具</w:t>
      </w:r>
      <w:r>
        <w:rPr>
          <w:rFonts w:hint="eastAsia"/>
          <w:szCs w:val="21"/>
        </w:rPr>
        <w:t>有</w:t>
      </w:r>
      <w:r>
        <w:t>电焊机、切割机、电钻、砂轮机、专用工具等施工机具</w:t>
      </w:r>
      <w:r>
        <w:rPr>
          <w:rFonts w:hint="eastAsia"/>
        </w:rPr>
        <w:t>；</w:t>
      </w:r>
      <w:r>
        <w:t>调试用笔记本电脑、数字万用表、对讲机、频谱析仪、场强仪等测试仪器</w:t>
      </w:r>
      <w:r>
        <w:rPr>
          <w:rFonts w:hint="eastAsia"/>
        </w:rPr>
        <w:t>。</w:t>
      </w:r>
    </w:p>
    <w:p w14:paraId="1F20039C">
      <w:pPr>
        <w:pStyle w:val="164"/>
        <w:spacing w:before="100" w:after="100" w:line="330" w:lineRule="exact"/>
        <w:ind w:firstLine="0" w:firstLineChars="0"/>
        <w:rPr>
          <w:szCs w:val="21"/>
        </w:rPr>
      </w:pPr>
      <w:r>
        <w:rPr>
          <w:szCs w:val="21"/>
        </w:rPr>
        <w:t>14.2.3 作业条件应符合下列规定：</w:t>
      </w:r>
    </w:p>
    <w:p w14:paraId="2A37447A">
      <w:pPr>
        <w:pStyle w:val="164"/>
        <w:numPr>
          <w:ilvl w:val="0"/>
          <w:numId w:val="130"/>
        </w:numPr>
        <w:spacing w:line="330" w:lineRule="exact"/>
        <w:ind w:left="0" w:firstLine="420"/>
      </w:pPr>
      <w:r>
        <w:t>机房地线和电源线的布放应</w:t>
      </w:r>
      <w:r>
        <w:rPr>
          <w:rFonts w:hint="eastAsia"/>
        </w:rPr>
        <w:t>满足设计</w:t>
      </w:r>
      <w:r>
        <w:t>要求。</w:t>
      </w:r>
    </w:p>
    <w:p w14:paraId="254AB6C4">
      <w:pPr>
        <w:pStyle w:val="164"/>
        <w:numPr>
          <w:ilvl w:val="0"/>
          <w:numId w:val="130"/>
        </w:numPr>
        <w:spacing w:line="330" w:lineRule="exact"/>
        <w:ind w:left="0" w:firstLine="420"/>
      </w:pPr>
      <w:r>
        <w:t>前端设备、传输设备、电源设备等</w:t>
      </w:r>
      <w:r>
        <w:rPr>
          <w:rFonts w:hint="eastAsia"/>
        </w:rPr>
        <w:t>应</w:t>
      </w:r>
      <w:r>
        <w:t>全部到齐，其他设备</w:t>
      </w:r>
      <w:r>
        <w:rPr>
          <w:rFonts w:hint="eastAsia"/>
        </w:rPr>
        <w:t>材</w:t>
      </w:r>
      <w:r>
        <w:t>料数量应满足连续施工的要求。</w:t>
      </w:r>
    </w:p>
    <w:p w14:paraId="3E524AC1">
      <w:pPr>
        <w:pStyle w:val="164"/>
        <w:numPr>
          <w:ilvl w:val="0"/>
          <w:numId w:val="130"/>
        </w:numPr>
        <w:spacing w:line="330" w:lineRule="exact"/>
        <w:ind w:left="0" w:firstLine="420"/>
      </w:pPr>
      <w:r>
        <w:t>型材、管材和铁件</w:t>
      </w:r>
      <w:r>
        <w:rPr>
          <w:rFonts w:hint="eastAsia"/>
        </w:rPr>
        <w:t>的规格</w:t>
      </w:r>
      <w:r>
        <w:t>应</w:t>
      </w:r>
      <w:r>
        <w:rPr>
          <w:rFonts w:hint="eastAsia"/>
        </w:rPr>
        <w:t>满足</w:t>
      </w:r>
      <w:r>
        <w:t>施工要求。</w:t>
      </w:r>
    </w:p>
    <w:p w14:paraId="760AA7E0">
      <w:pPr>
        <w:pStyle w:val="164"/>
        <w:numPr>
          <w:ilvl w:val="0"/>
          <w:numId w:val="130"/>
        </w:numPr>
        <w:spacing w:line="330" w:lineRule="exact"/>
        <w:ind w:left="0" w:firstLine="420"/>
      </w:pPr>
      <w:r>
        <w:t>工程中使用的数据信号电缆和电源线规格、形式应</w:t>
      </w:r>
      <w:r>
        <w:rPr>
          <w:rFonts w:hint="eastAsia"/>
        </w:rPr>
        <w:t>满足设计</w:t>
      </w:r>
      <w:r>
        <w:t>要求。</w:t>
      </w:r>
    </w:p>
    <w:p w14:paraId="11D72D72">
      <w:pPr>
        <w:pStyle w:val="164"/>
        <w:numPr>
          <w:ilvl w:val="0"/>
          <w:numId w:val="130"/>
        </w:numPr>
        <w:spacing w:line="330" w:lineRule="exact"/>
        <w:ind w:left="0" w:firstLine="420"/>
      </w:pPr>
      <w:r>
        <w:t>工程施工中严禁使用未经验证合格的器材、设备、材料</w:t>
      </w:r>
      <w:r>
        <w:rPr>
          <w:rFonts w:hint="eastAsia"/>
        </w:rPr>
        <w:t>，</w:t>
      </w:r>
      <w:r>
        <w:t>关键设备应有强制性产品认证证书。</w:t>
      </w:r>
    </w:p>
    <w:p w14:paraId="06F725A4">
      <w:pPr>
        <w:pStyle w:val="3"/>
        <w:spacing w:before="240" w:after="120" w:afterLines="50" w:line="330" w:lineRule="exact"/>
        <w:rPr>
          <w:rFonts w:eastAsia="黑体"/>
          <w:b w:val="0"/>
          <w:sz w:val="21"/>
          <w:szCs w:val="21"/>
        </w:rPr>
      </w:pPr>
      <w:bookmarkStart w:id="95" w:name="_Toc182487973"/>
      <w:r>
        <w:rPr>
          <w:rFonts w:eastAsia="黑体"/>
          <w:b w:val="0"/>
          <w:sz w:val="21"/>
          <w:szCs w:val="21"/>
          <w:lang w:val="en-US"/>
        </w:rPr>
        <w:t xml:space="preserve">14.3 </w:t>
      </w:r>
      <w:r>
        <w:rPr>
          <w:rFonts w:eastAsia="黑体"/>
          <w:b w:val="0"/>
          <w:sz w:val="21"/>
          <w:szCs w:val="21"/>
        </w:rPr>
        <w:t>施工工艺</w:t>
      </w:r>
      <w:bookmarkEnd w:id="95"/>
    </w:p>
    <w:p w14:paraId="526BB308">
      <w:pPr>
        <w:pStyle w:val="164"/>
        <w:numPr>
          <w:ilvl w:val="1"/>
          <w:numId w:val="119"/>
        </w:numPr>
        <w:spacing w:line="330" w:lineRule="exact"/>
        <w:ind w:firstLineChars="0"/>
        <w:rPr>
          <w:vanish/>
          <w:szCs w:val="21"/>
        </w:rPr>
      </w:pPr>
    </w:p>
    <w:p w14:paraId="08C02B6D">
      <w:pPr>
        <w:spacing w:line="330" w:lineRule="exact"/>
        <w:ind w:left="0" w:firstLine="0" w:firstLineChars="0"/>
        <w:jc w:val="left"/>
        <w:rPr>
          <w:rFonts w:ascii="Times New Roman" w:hAnsi="Times New Roman"/>
          <w:sz w:val="20"/>
          <w:szCs w:val="21"/>
        </w:rPr>
      </w:pPr>
      <w:r>
        <w:rPr>
          <w:rFonts w:ascii="Times New Roman" w:hAnsi="Times New Roman"/>
          <w:szCs w:val="21"/>
        </w:rPr>
        <w:t xml:space="preserve">14.3.1 </w:t>
      </w:r>
      <w:r>
        <w:rPr>
          <w:rFonts w:ascii="Times New Roman" w:hAnsi="Times New Roman" w:eastAsiaTheme="minorEastAsia"/>
          <w:szCs w:val="21"/>
        </w:rPr>
        <w:t>信息导引及发布系统施工工艺流程见图14.3.1。</w:t>
      </w:r>
    </w:p>
    <w:p w14:paraId="4F4EAF31">
      <w:pPr>
        <w:ind w:left="105" w:hanging="105"/>
        <w:rPr>
          <w:rFonts w:ascii="Times New Roman" w:hAnsi="Times New Roman"/>
          <w:lang w:val="zh-CN"/>
        </w:rPr>
      </w:pPr>
      <w:r>
        <w:rPr>
          <w:rFonts w:ascii="Times New Roman" w:hAnsi="Times New Roman"/>
        </w:rPr>
        <mc:AlternateContent>
          <mc:Choice Requires="wpg">
            <w:drawing>
              <wp:inline distT="0" distB="0" distL="0" distR="0">
                <wp:extent cx="4916805" cy="1024255"/>
                <wp:effectExtent l="0" t="0" r="36195" b="23495"/>
                <wp:docPr id="133" name="组合 133"/>
                <wp:cNvGraphicFramePr/>
                <a:graphic xmlns:a="http://schemas.openxmlformats.org/drawingml/2006/main">
                  <a:graphicData uri="http://schemas.microsoft.com/office/word/2010/wordprocessingGroup">
                    <wpg:wgp>
                      <wpg:cNvGrpSpPr/>
                      <wpg:grpSpPr>
                        <a:xfrm>
                          <a:off x="0" y="0"/>
                          <a:ext cx="4916805" cy="1024255"/>
                          <a:chOff x="0" y="0"/>
                          <a:chExt cx="7743" cy="1613"/>
                        </a:xfrm>
                      </wpg:grpSpPr>
                      <wps:wsp>
                        <wps:cNvPr id="134" name="Line 83"/>
                        <wps:cNvCnPr>
                          <a:cxnSpLocks noChangeShapeType="1"/>
                        </wps:cNvCnPr>
                        <wps:spPr bwMode="auto">
                          <a:xfrm>
                            <a:off x="1263" y="312"/>
                            <a:ext cx="540" cy="0"/>
                          </a:xfrm>
                          <a:prstGeom prst="line">
                            <a:avLst/>
                          </a:prstGeom>
                          <a:noFill/>
                          <a:ln w="9525">
                            <a:solidFill>
                              <a:srgbClr val="000000"/>
                            </a:solidFill>
                            <a:round/>
                            <a:tailEnd type="triangle" w="med" len="med"/>
                          </a:ln>
                        </wps:spPr>
                        <wps:bodyPr/>
                      </wps:wsp>
                      <wps:wsp>
                        <wps:cNvPr id="136" name="Line 84"/>
                        <wps:cNvCnPr>
                          <a:cxnSpLocks noChangeShapeType="1"/>
                        </wps:cNvCnPr>
                        <wps:spPr bwMode="auto">
                          <a:xfrm>
                            <a:off x="3243" y="312"/>
                            <a:ext cx="540" cy="0"/>
                          </a:xfrm>
                          <a:prstGeom prst="line">
                            <a:avLst/>
                          </a:prstGeom>
                          <a:noFill/>
                          <a:ln w="9525">
                            <a:solidFill>
                              <a:srgbClr val="000000"/>
                            </a:solidFill>
                            <a:round/>
                            <a:tailEnd type="triangle" w="med" len="med"/>
                          </a:ln>
                        </wps:spPr>
                        <wps:bodyPr/>
                      </wps:wsp>
                      <wps:wsp>
                        <wps:cNvPr id="137" name="Line 85"/>
                        <wps:cNvCnPr>
                          <a:cxnSpLocks noChangeShapeType="1"/>
                        </wps:cNvCnPr>
                        <wps:spPr bwMode="auto">
                          <a:xfrm>
                            <a:off x="5043" y="312"/>
                            <a:ext cx="540" cy="0"/>
                          </a:xfrm>
                          <a:prstGeom prst="line">
                            <a:avLst/>
                          </a:prstGeom>
                          <a:noFill/>
                          <a:ln w="9525">
                            <a:solidFill>
                              <a:srgbClr val="000000"/>
                            </a:solidFill>
                            <a:round/>
                            <a:tailEnd type="triangle" w="med" len="med"/>
                          </a:ln>
                        </wps:spPr>
                        <wps:bodyPr/>
                      </wps:wsp>
                      <wps:wsp>
                        <wps:cNvPr id="138" name="Line 86"/>
                        <wps:cNvCnPr>
                          <a:cxnSpLocks noChangeShapeType="1"/>
                        </wps:cNvCnPr>
                        <wps:spPr bwMode="auto">
                          <a:xfrm>
                            <a:off x="7203" y="312"/>
                            <a:ext cx="540" cy="0"/>
                          </a:xfrm>
                          <a:prstGeom prst="line">
                            <a:avLst/>
                          </a:prstGeom>
                          <a:noFill/>
                          <a:ln w="9525">
                            <a:solidFill>
                              <a:srgbClr val="000000"/>
                            </a:solidFill>
                            <a:round/>
                            <a:tailEnd type="triangle" w="med" len="med"/>
                          </a:ln>
                        </wps:spPr>
                        <wps:bodyPr/>
                      </wps:wsp>
                      <wps:wsp>
                        <wps:cNvPr id="139" name="Rectangle 87"/>
                        <wps:cNvSpPr>
                          <a:spLocks noChangeArrowheads="1"/>
                        </wps:cNvSpPr>
                        <wps:spPr bwMode="auto">
                          <a:xfrm>
                            <a:off x="1800" y="3"/>
                            <a:ext cx="1440" cy="761"/>
                          </a:xfrm>
                          <a:prstGeom prst="rect">
                            <a:avLst/>
                          </a:prstGeom>
                          <a:solidFill>
                            <a:srgbClr val="FFFFFF"/>
                          </a:solidFill>
                          <a:ln w="9525">
                            <a:solidFill>
                              <a:srgbClr val="000000"/>
                            </a:solidFill>
                            <a:miter lim="800000"/>
                          </a:ln>
                        </wps:spPr>
                        <wps:txbx>
                          <w:txbxContent>
                            <w:p w14:paraId="796CB1D8">
                              <w:pPr>
                                <w:ind w:left="105" w:hanging="105"/>
                                <w:jc w:val="center"/>
                              </w:pPr>
                              <w:r>
                                <w:rPr>
                                  <w:rFonts w:hint="eastAsia" w:ascii="宋体" w:hAnsi="宋体"/>
                                  <w:kern w:val="0"/>
                                </w:rPr>
                                <w:t>控制系统施工</w:t>
                              </w:r>
                            </w:p>
                          </w:txbxContent>
                        </wps:txbx>
                        <wps:bodyPr rot="0" vert="horz" wrap="square" lIns="91440" tIns="82800" rIns="91440" bIns="45720" anchor="t" anchorCtr="0" upright="1">
                          <a:noAutofit/>
                        </wps:bodyPr>
                      </wps:wsp>
                      <wps:wsp>
                        <wps:cNvPr id="140" name="Rectangle 88"/>
                        <wps:cNvSpPr>
                          <a:spLocks noChangeArrowheads="1"/>
                        </wps:cNvSpPr>
                        <wps:spPr bwMode="auto">
                          <a:xfrm>
                            <a:off x="3" y="3"/>
                            <a:ext cx="1260" cy="761"/>
                          </a:xfrm>
                          <a:prstGeom prst="rect">
                            <a:avLst/>
                          </a:prstGeom>
                          <a:solidFill>
                            <a:srgbClr val="FFFFFF"/>
                          </a:solidFill>
                          <a:ln w="9525">
                            <a:solidFill>
                              <a:srgbClr val="000000"/>
                            </a:solidFill>
                            <a:miter lim="800000"/>
                          </a:ln>
                        </wps:spPr>
                        <wps:txbx>
                          <w:txbxContent>
                            <w:p w14:paraId="58B6CCF5">
                              <w:pPr>
                                <w:ind w:left="105" w:hanging="105"/>
                                <w:jc w:val="center"/>
                              </w:pPr>
                              <w:r>
                                <w:rPr>
                                  <w:rFonts w:hint="eastAsia" w:ascii="宋体" w:hAnsi="宋体"/>
                                  <w:kern w:val="0"/>
                                </w:rPr>
                                <w:t>构架及屏体施工</w:t>
                              </w:r>
                            </w:p>
                          </w:txbxContent>
                        </wps:txbx>
                        <wps:bodyPr rot="0" vert="horz" wrap="square" lIns="91440" tIns="82800" rIns="91440" bIns="45720" anchor="t" anchorCtr="0" upright="1">
                          <a:noAutofit/>
                        </wps:bodyPr>
                      </wps:wsp>
                      <wps:wsp>
                        <wps:cNvPr id="141" name="Rectangle 89"/>
                        <wps:cNvSpPr>
                          <a:spLocks noChangeArrowheads="1"/>
                        </wps:cNvSpPr>
                        <wps:spPr bwMode="auto">
                          <a:xfrm>
                            <a:off x="3783" y="0"/>
                            <a:ext cx="1260" cy="764"/>
                          </a:xfrm>
                          <a:prstGeom prst="rect">
                            <a:avLst/>
                          </a:prstGeom>
                          <a:solidFill>
                            <a:srgbClr val="FFFFFF"/>
                          </a:solidFill>
                          <a:ln w="9525">
                            <a:solidFill>
                              <a:srgbClr val="000000"/>
                            </a:solidFill>
                            <a:miter lim="800000"/>
                          </a:ln>
                        </wps:spPr>
                        <wps:txbx>
                          <w:txbxContent>
                            <w:p w14:paraId="28EFBDCA">
                              <w:pPr>
                                <w:ind w:left="105" w:hanging="105"/>
                                <w:jc w:val="center"/>
                                <w:rPr>
                                  <w:rFonts w:ascii="宋体" w:hAnsi="宋体"/>
                                  <w:spacing w:val="-10"/>
                                  <w:kern w:val="0"/>
                                </w:rPr>
                              </w:pPr>
                              <w:r>
                                <w:rPr>
                                  <w:rFonts w:hint="eastAsia" w:ascii="宋体" w:hAnsi="宋体"/>
                                  <w:kern w:val="0"/>
                                </w:rPr>
                                <w:t>二次接线安装</w:t>
                              </w:r>
                            </w:p>
                          </w:txbxContent>
                        </wps:txbx>
                        <wps:bodyPr rot="0" vert="horz" wrap="square" lIns="91440" tIns="82800" rIns="91440" bIns="45720" anchor="t" anchorCtr="0" upright="1">
                          <a:noAutofit/>
                        </wps:bodyPr>
                      </wps:wsp>
                      <wps:wsp>
                        <wps:cNvPr id="142" name="Rectangle 90"/>
                        <wps:cNvSpPr>
                          <a:spLocks noChangeArrowheads="1"/>
                        </wps:cNvSpPr>
                        <wps:spPr bwMode="auto">
                          <a:xfrm>
                            <a:off x="5583" y="0"/>
                            <a:ext cx="1620" cy="624"/>
                          </a:xfrm>
                          <a:prstGeom prst="rect">
                            <a:avLst/>
                          </a:prstGeom>
                          <a:solidFill>
                            <a:srgbClr val="FFFFFF"/>
                          </a:solidFill>
                          <a:ln w="9525">
                            <a:solidFill>
                              <a:srgbClr val="000000"/>
                            </a:solidFill>
                            <a:miter lim="800000"/>
                          </a:ln>
                        </wps:spPr>
                        <wps:txbx>
                          <w:txbxContent>
                            <w:p w14:paraId="00C00233">
                              <w:pPr>
                                <w:ind w:left="95" w:hanging="95"/>
                                <w:jc w:val="center"/>
                              </w:pPr>
                              <w:r>
                                <w:rPr>
                                  <w:rFonts w:hint="eastAsia" w:ascii="宋体" w:hAnsi="宋体"/>
                                  <w:spacing w:val="-10"/>
                                  <w:kern w:val="0"/>
                                </w:rPr>
                                <w:t>系统设备安装</w:t>
                              </w:r>
                            </w:p>
                          </w:txbxContent>
                        </wps:txbx>
                        <wps:bodyPr rot="0" vert="horz" wrap="square" lIns="91440" tIns="82800" rIns="91440" bIns="45720" anchor="t" anchorCtr="0" upright="1">
                          <a:noAutofit/>
                        </wps:bodyPr>
                      </wps:wsp>
                      <wps:wsp>
                        <wps:cNvPr id="143" name="Rectangle 91"/>
                        <wps:cNvSpPr>
                          <a:spLocks noChangeArrowheads="1"/>
                        </wps:cNvSpPr>
                        <wps:spPr bwMode="auto">
                          <a:xfrm>
                            <a:off x="0" y="989"/>
                            <a:ext cx="1800" cy="624"/>
                          </a:xfrm>
                          <a:prstGeom prst="rect">
                            <a:avLst/>
                          </a:prstGeom>
                          <a:solidFill>
                            <a:srgbClr val="FFFFFF"/>
                          </a:solidFill>
                          <a:ln w="9525">
                            <a:solidFill>
                              <a:srgbClr val="000000"/>
                            </a:solidFill>
                            <a:miter lim="800000"/>
                          </a:ln>
                        </wps:spPr>
                        <wps:txbx>
                          <w:txbxContent>
                            <w:p w14:paraId="4EAAEBCB">
                              <w:pPr>
                                <w:ind w:left="105" w:hanging="105"/>
                                <w:jc w:val="center"/>
                              </w:pPr>
                              <w:r>
                                <w:rPr>
                                  <w:rFonts w:hint="eastAsia"/>
                                </w:rPr>
                                <w:t>系统软件安装</w:t>
                              </w:r>
                            </w:p>
                          </w:txbxContent>
                        </wps:txbx>
                        <wps:bodyPr rot="0" vert="horz" wrap="square" lIns="91440" tIns="82800" rIns="91440" bIns="45720" anchor="t" anchorCtr="0" upright="1">
                          <a:noAutofit/>
                        </wps:bodyPr>
                      </wps:wsp>
                      <wps:wsp>
                        <wps:cNvPr id="144" name="Rectangle 92"/>
                        <wps:cNvSpPr>
                          <a:spLocks noChangeArrowheads="1"/>
                        </wps:cNvSpPr>
                        <wps:spPr bwMode="auto">
                          <a:xfrm>
                            <a:off x="2340" y="989"/>
                            <a:ext cx="1800" cy="624"/>
                          </a:xfrm>
                          <a:prstGeom prst="rect">
                            <a:avLst/>
                          </a:prstGeom>
                          <a:solidFill>
                            <a:srgbClr val="FFFFFF"/>
                          </a:solidFill>
                          <a:ln w="9525">
                            <a:solidFill>
                              <a:srgbClr val="000000"/>
                            </a:solidFill>
                            <a:miter lim="800000"/>
                          </a:ln>
                        </wps:spPr>
                        <wps:txbx>
                          <w:txbxContent>
                            <w:p w14:paraId="2DB40CB6">
                              <w:pPr>
                                <w:ind w:left="105" w:hanging="105"/>
                                <w:jc w:val="center"/>
                              </w:pPr>
                              <w:r>
                                <w:rPr>
                                  <w:rFonts w:hint="eastAsia" w:ascii="宋体" w:hAnsi="宋体"/>
                                  <w:kern w:val="0"/>
                                </w:rPr>
                                <w:t>系统调试</w:t>
                              </w:r>
                            </w:p>
                          </w:txbxContent>
                        </wps:txbx>
                        <wps:bodyPr rot="0" vert="horz" wrap="square" lIns="91440" tIns="82800" rIns="91440" bIns="45720" anchor="t" anchorCtr="0" upright="1">
                          <a:noAutofit/>
                        </wps:bodyPr>
                      </wps:wsp>
                      <wps:wsp>
                        <wps:cNvPr id="145" name="Line 93"/>
                        <wps:cNvCnPr>
                          <a:cxnSpLocks noChangeShapeType="1"/>
                        </wps:cNvCnPr>
                        <wps:spPr bwMode="auto">
                          <a:xfrm>
                            <a:off x="1800" y="1301"/>
                            <a:ext cx="540"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80.65pt;width:387.15pt;" coordsize="7743,1613" o:gfxdata="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BpLk43WAAAABQEA&#10;AA8AAAAAAAAAAQAgAAAAIgAAAGRycy9kb3ducmV2LnhtbFBLAQIUABQAAAAIAIdO4kCluwTWHQQA&#10;AIUcAAAOAAAAAAAAAAEAIAAAACUBAABkcnMvZTJvRG9jLnhtbFBLBQYAAAAABgAGAFkBAAC0BwAA&#10;AAA=&#10;">
                <o:lock v:ext="edit" aspectratio="f"/>
                <v:line id="Line 83" o:spid="_x0000_s1026" o:spt="20" style="position:absolute;left:1263;top:312;height:0;width:54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4" o:spid="_x0000_s1026" o:spt="20" style="position:absolute;left:3243;top:312;height:0;width:540;"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5" o:spid="_x0000_s1026" o:spt="20" style="position:absolute;left:5043;top:312;height:0;width:54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6" o:spid="_x0000_s1026" o:spt="20" style="position:absolute;left:7203;top:312;height:0;width:54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87" o:spid="_x0000_s1026" o:spt="1" style="position:absolute;left:1800;top:3;height:761;width:1440;" fillcolor="#FFFFFF" filled="t" stroked="t" coordsize="21600,21600" o:gfxdata="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qr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796CB1D8">
                        <w:pPr>
                          <w:ind w:left="105" w:hanging="105"/>
                          <w:jc w:val="center"/>
                        </w:pPr>
                        <w:r>
                          <w:rPr>
                            <w:rFonts w:hint="eastAsia" w:ascii="宋体" w:hAnsi="宋体"/>
                            <w:kern w:val="0"/>
                          </w:rPr>
                          <w:t>控制系统施工</w:t>
                        </w:r>
                      </w:p>
                    </w:txbxContent>
                  </v:textbox>
                </v:rect>
                <v:rect id="Rectangle 88" o:spid="_x0000_s1026" o:spt="1" style="position:absolute;left:3;top:3;height:761;width:1260;" fillcolor="#FFFFFF" filled="t" stroked="t" coordsize="21600,21600" o:gfxdata="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JwI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54mm,2.3mm,2.54mm,1.27mm">
                    <w:txbxContent>
                      <w:p w14:paraId="58B6CCF5">
                        <w:pPr>
                          <w:ind w:left="105" w:hanging="105"/>
                          <w:jc w:val="center"/>
                        </w:pPr>
                        <w:r>
                          <w:rPr>
                            <w:rFonts w:hint="eastAsia" w:ascii="宋体" w:hAnsi="宋体"/>
                            <w:kern w:val="0"/>
                          </w:rPr>
                          <w:t>构架及屏体施工</w:t>
                        </w:r>
                      </w:p>
                    </w:txbxContent>
                  </v:textbox>
                </v:rect>
                <v:rect id="Rectangle 89" o:spid="_x0000_s1026" o:spt="1" style="position:absolute;left:3783;top:0;height:764;width:1260;" fillcolor="#FFFFFF" filled="t" stroked="t" coordsize="21600,21600" o:gfxdata="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ztW7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28EFBDCA">
                        <w:pPr>
                          <w:ind w:left="105" w:hanging="105"/>
                          <w:jc w:val="center"/>
                          <w:rPr>
                            <w:rFonts w:ascii="宋体" w:hAnsi="宋体"/>
                            <w:spacing w:val="-10"/>
                            <w:kern w:val="0"/>
                          </w:rPr>
                        </w:pPr>
                        <w:r>
                          <w:rPr>
                            <w:rFonts w:hint="eastAsia" w:ascii="宋体" w:hAnsi="宋体"/>
                            <w:kern w:val="0"/>
                          </w:rPr>
                          <w:t>二次接线安装</w:t>
                        </w:r>
                      </w:p>
                    </w:txbxContent>
                  </v:textbox>
                </v:rect>
                <v:rect id="Rectangle 90" o:spid="_x0000_s1026" o:spt="1" style="position:absolute;left:5583;top:0;height:624;width:1620;" fillcolor="#FFFFFF" filled="t" stroked="t" coordsize="21600,21600" o:gfxdata="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xLz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00C00233">
                        <w:pPr>
                          <w:ind w:left="95" w:hanging="95"/>
                          <w:jc w:val="center"/>
                        </w:pPr>
                        <w:r>
                          <w:rPr>
                            <w:rFonts w:hint="eastAsia" w:ascii="宋体" w:hAnsi="宋体"/>
                            <w:spacing w:val="-10"/>
                            <w:kern w:val="0"/>
                          </w:rPr>
                          <w:t>系统设备安装</w:t>
                        </w:r>
                      </w:p>
                    </w:txbxContent>
                  </v:textbox>
                </v:rect>
                <v:rect id="Rectangle 91" o:spid="_x0000_s1026" o:spt="1" style="position:absolute;left:0;top:989;height:624;width:1800;" fillcolor="#FFFFFF" filled="t" stroked="t" coordsize="21600,21600" o:gfxdata="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UO5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4EAAEBCB">
                        <w:pPr>
                          <w:ind w:left="105" w:hanging="105"/>
                          <w:jc w:val="center"/>
                        </w:pPr>
                        <w:r>
                          <w:rPr>
                            <w:rFonts w:hint="eastAsia"/>
                          </w:rPr>
                          <w:t>系统软件安装</w:t>
                        </w:r>
                      </w:p>
                    </w:txbxContent>
                  </v:textbox>
                </v:rect>
                <v:rect id="Rectangle 92" o:spid="_x0000_s1026" o:spt="1" style="position:absolute;left:2340;top:989;height:624;width:1800;" fillcolor="#FFFFFF" filled="t" stroked="t" coordsize="21600,21600" o:gfxdata="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uXYj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2DB40CB6">
                        <w:pPr>
                          <w:ind w:left="105" w:hanging="105"/>
                          <w:jc w:val="center"/>
                        </w:pPr>
                        <w:r>
                          <w:rPr>
                            <w:rFonts w:hint="eastAsia" w:ascii="宋体" w:hAnsi="宋体"/>
                            <w:kern w:val="0"/>
                          </w:rPr>
                          <w:t>系统调试</w:t>
                        </w:r>
                      </w:p>
                    </w:txbxContent>
                  </v:textbox>
                </v:rect>
                <v:line id="Line 93" o:spid="_x0000_s1026" o:spt="20" style="position:absolute;left:1800;top:1301;height:0;width:540;" filled="f" stroked="t" coordsize="21600,21600"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18A3C64A">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图14.3.1   信息导引及发布系统施工工艺流程图</w:t>
      </w:r>
    </w:p>
    <w:p w14:paraId="5DFAD667">
      <w:pPr>
        <w:pStyle w:val="164"/>
        <w:spacing w:before="100" w:after="100" w:line="330" w:lineRule="exact"/>
        <w:ind w:firstLine="0" w:firstLineChars="0"/>
        <w:rPr>
          <w:szCs w:val="21"/>
        </w:rPr>
      </w:pPr>
      <w:r>
        <w:rPr>
          <w:szCs w:val="21"/>
        </w:rPr>
        <w:t>14.3.2 构架及屏体施工制作应符合下列规定：</w:t>
      </w:r>
    </w:p>
    <w:p w14:paraId="4EBB1743">
      <w:pPr>
        <w:pStyle w:val="164"/>
        <w:numPr>
          <w:ilvl w:val="0"/>
          <w:numId w:val="131"/>
        </w:numPr>
        <w:spacing w:line="330" w:lineRule="exact"/>
        <w:ind w:left="0" w:firstLine="420"/>
      </w:pPr>
      <w:r>
        <w:t>LED显示屏构架制作</w:t>
      </w:r>
      <w:r>
        <w:rPr>
          <w:rFonts w:hint="eastAsia"/>
        </w:rPr>
        <w:t>的</w:t>
      </w:r>
      <w:r>
        <w:t>钢材应无扭曲现象，下料误差在5mm之内</w:t>
      </w:r>
      <w:r>
        <w:rPr>
          <w:rFonts w:hint="eastAsia"/>
        </w:rPr>
        <w:t>，</w:t>
      </w:r>
      <w:r>
        <w:t>切口</w:t>
      </w:r>
      <w:r>
        <w:rPr>
          <w:rFonts w:hint="eastAsia"/>
        </w:rPr>
        <w:t>应</w:t>
      </w:r>
      <w:r>
        <w:t>光滑、无卷边、毛刺等。构架钻孔时应采用台钻航，使用电气焊割孔。构架焊接应牢固</w:t>
      </w:r>
      <w:r>
        <w:rPr>
          <w:rFonts w:hint="eastAsia"/>
        </w:rPr>
        <w:t>、光滑</w:t>
      </w:r>
      <w:r>
        <w:t>、无焊渣。构架制作完后，应先刷两层中性底漆,再</w:t>
      </w:r>
      <w:r>
        <w:rPr>
          <w:rFonts w:hint="eastAsia"/>
        </w:rPr>
        <w:t>刷两层优质</w:t>
      </w:r>
      <w:r>
        <w:t>磁漆，并在油漆完全晾干后方可安装。</w:t>
      </w:r>
    </w:p>
    <w:p w14:paraId="7A7856DA">
      <w:pPr>
        <w:pStyle w:val="164"/>
        <w:numPr>
          <w:ilvl w:val="0"/>
          <w:numId w:val="131"/>
        </w:numPr>
        <w:spacing w:line="330" w:lineRule="exact"/>
        <w:ind w:left="0" w:firstLine="420"/>
      </w:pPr>
      <w:r>
        <w:t>LED显示屏构架安装应测量、放线确定构架各柱、梁型钢的准确位置，用电焊或螺栓固定安装好各柱、梁型钢构架。构架应找正、找平，同层横档在同一个水平面上，高低偏差应＜5mm。构架的接地焊完以后应进行第二次补充刷漆。</w:t>
      </w:r>
    </w:p>
    <w:p w14:paraId="75A8F083">
      <w:pPr>
        <w:pStyle w:val="164"/>
        <w:spacing w:before="100" w:after="100" w:line="330" w:lineRule="exact"/>
        <w:ind w:firstLine="0" w:firstLineChars="0"/>
        <w:rPr>
          <w:szCs w:val="21"/>
        </w:rPr>
      </w:pPr>
      <w:r>
        <w:rPr>
          <w:szCs w:val="21"/>
        </w:rPr>
        <w:t>14.3.3 控制系统施工应符合下列规定：</w:t>
      </w:r>
    </w:p>
    <w:p w14:paraId="6D1FD397">
      <w:pPr>
        <w:pStyle w:val="164"/>
        <w:numPr>
          <w:ilvl w:val="0"/>
          <w:numId w:val="132"/>
        </w:numPr>
        <w:spacing w:line="330" w:lineRule="exact"/>
        <w:ind w:left="0" w:firstLine="420"/>
      </w:pPr>
      <w:r>
        <w:t>LED显示系统安装</w:t>
      </w:r>
      <w:r>
        <w:rPr>
          <w:szCs w:val="21"/>
        </w:rPr>
        <w:t>应按照下列顺序施工</w:t>
      </w:r>
      <w:r>
        <w:t>：</w:t>
      </w:r>
    </w:p>
    <w:p w14:paraId="79052763">
      <w:pPr>
        <w:pStyle w:val="164"/>
        <w:numPr>
          <w:ilvl w:val="0"/>
          <w:numId w:val="133"/>
        </w:numPr>
        <w:tabs>
          <w:tab w:val="left" w:pos="210"/>
          <w:tab w:val="left" w:pos="567"/>
        </w:tabs>
        <w:spacing w:line="330" w:lineRule="exact"/>
        <w:ind w:firstLine="630" w:firstLineChars="300"/>
        <w:rPr>
          <w:szCs w:val="21"/>
        </w:rPr>
      </w:pPr>
      <w:r>
        <w:rPr>
          <w:szCs w:val="21"/>
        </w:rPr>
        <w:t>显示单元安装。</w:t>
      </w:r>
    </w:p>
    <w:p w14:paraId="55C4F195">
      <w:pPr>
        <w:pStyle w:val="164"/>
        <w:numPr>
          <w:ilvl w:val="0"/>
          <w:numId w:val="133"/>
        </w:numPr>
        <w:tabs>
          <w:tab w:val="left" w:pos="210"/>
          <w:tab w:val="left" w:pos="567"/>
        </w:tabs>
        <w:spacing w:line="330" w:lineRule="exact"/>
        <w:ind w:firstLine="630" w:firstLineChars="300"/>
        <w:rPr>
          <w:szCs w:val="21"/>
        </w:rPr>
      </w:pPr>
      <w:r>
        <w:rPr>
          <w:szCs w:val="21"/>
        </w:rPr>
        <w:t>结构单元安装。</w:t>
      </w:r>
    </w:p>
    <w:p w14:paraId="7F74BB44">
      <w:pPr>
        <w:pStyle w:val="164"/>
        <w:numPr>
          <w:ilvl w:val="0"/>
          <w:numId w:val="133"/>
        </w:numPr>
        <w:tabs>
          <w:tab w:val="left" w:pos="210"/>
          <w:tab w:val="left" w:pos="567"/>
        </w:tabs>
        <w:spacing w:line="330" w:lineRule="exact"/>
        <w:ind w:firstLine="630" w:firstLineChars="300"/>
        <w:rPr>
          <w:szCs w:val="21"/>
        </w:rPr>
      </w:pPr>
      <w:r>
        <w:rPr>
          <w:szCs w:val="21"/>
        </w:rPr>
        <w:t>低压电源安装。</w:t>
      </w:r>
    </w:p>
    <w:p w14:paraId="3C410D40">
      <w:pPr>
        <w:pStyle w:val="164"/>
        <w:numPr>
          <w:ilvl w:val="0"/>
          <w:numId w:val="133"/>
        </w:numPr>
        <w:tabs>
          <w:tab w:val="left" w:pos="210"/>
          <w:tab w:val="left" w:pos="567"/>
        </w:tabs>
        <w:spacing w:line="330" w:lineRule="exact"/>
        <w:ind w:firstLine="630" w:firstLineChars="300"/>
        <w:rPr>
          <w:szCs w:val="21"/>
        </w:rPr>
      </w:pPr>
      <w:r>
        <w:rPr>
          <w:szCs w:val="21"/>
        </w:rPr>
        <w:t>钢结构与屏体的外装饰施工。</w:t>
      </w:r>
    </w:p>
    <w:p w14:paraId="26A6194F">
      <w:pPr>
        <w:pStyle w:val="164"/>
        <w:numPr>
          <w:ilvl w:val="0"/>
          <w:numId w:val="133"/>
        </w:numPr>
        <w:tabs>
          <w:tab w:val="left" w:pos="210"/>
          <w:tab w:val="left" w:pos="567"/>
        </w:tabs>
        <w:spacing w:line="330" w:lineRule="exact"/>
        <w:ind w:firstLine="630" w:firstLineChars="300"/>
        <w:rPr>
          <w:szCs w:val="21"/>
        </w:rPr>
      </w:pPr>
      <w:r>
        <w:rPr>
          <w:szCs w:val="21"/>
        </w:rPr>
        <w:t>信号电缆等其他必备的配套设备安装。</w:t>
      </w:r>
    </w:p>
    <w:p w14:paraId="4D25A2FF">
      <w:pPr>
        <w:pStyle w:val="164"/>
        <w:numPr>
          <w:ilvl w:val="0"/>
          <w:numId w:val="132"/>
        </w:numPr>
        <w:spacing w:line="330" w:lineRule="exact"/>
        <w:ind w:left="0" w:firstLine="420"/>
      </w:pPr>
      <w:r>
        <w:t>控制系统设备安装</w:t>
      </w:r>
      <w:r>
        <w:rPr>
          <w:szCs w:val="21"/>
        </w:rPr>
        <w:t>应按照下列顺序施工：</w:t>
      </w:r>
    </w:p>
    <w:p w14:paraId="37EAEC6D">
      <w:pPr>
        <w:pStyle w:val="164"/>
        <w:numPr>
          <w:ilvl w:val="0"/>
          <w:numId w:val="134"/>
        </w:numPr>
        <w:tabs>
          <w:tab w:val="left" w:pos="210"/>
          <w:tab w:val="left" w:pos="567"/>
        </w:tabs>
        <w:spacing w:line="330" w:lineRule="exact"/>
        <w:ind w:firstLine="630" w:firstLineChars="300"/>
        <w:rPr>
          <w:szCs w:val="21"/>
        </w:rPr>
      </w:pPr>
      <w:r>
        <w:rPr>
          <w:szCs w:val="21"/>
        </w:rPr>
        <w:t>服务器安装。</w:t>
      </w:r>
    </w:p>
    <w:p w14:paraId="4A7CD8A1">
      <w:pPr>
        <w:pStyle w:val="164"/>
        <w:numPr>
          <w:ilvl w:val="0"/>
          <w:numId w:val="134"/>
        </w:numPr>
        <w:tabs>
          <w:tab w:val="left" w:pos="210"/>
          <w:tab w:val="left" w:pos="567"/>
        </w:tabs>
        <w:spacing w:line="330" w:lineRule="exact"/>
        <w:ind w:firstLine="630" w:firstLineChars="300"/>
        <w:rPr>
          <w:szCs w:val="21"/>
        </w:rPr>
      </w:pPr>
      <w:r>
        <w:rPr>
          <w:szCs w:val="21"/>
        </w:rPr>
        <w:t>视频处理器安装。</w:t>
      </w:r>
    </w:p>
    <w:p w14:paraId="328F79D2">
      <w:pPr>
        <w:pStyle w:val="164"/>
        <w:numPr>
          <w:ilvl w:val="0"/>
          <w:numId w:val="134"/>
        </w:numPr>
        <w:tabs>
          <w:tab w:val="left" w:pos="210"/>
          <w:tab w:val="left" w:pos="567"/>
        </w:tabs>
        <w:spacing w:line="330" w:lineRule="exact"/>
        <w:ind w:firstLine="630" w:firstLineChars="300"/>
        <w:rPr>
          <w:szCs w:val="21"/>
        </w:rPr>
      </w:pPr>
      <w:r>
        <w:rPr>
          <w:szCs w:val="21"/>
        </w:rPr>
        <w:t>网卡安装。</w:t>
      </w:r>
    </w:p>
    <w:p w14:paraId="45414541">
      <w:pPr>
        <w:pStyle w:val="164"/>
        <w:numPr>
          <w:ilvl w:val="0"/>
          <w:numId w:val="134"/>
        </w:numPr>
        <w:tabs>
          <w:tab w:val="left" w:pos="210"/>
          <w:tab w:val="left" w:pos="567"/>
        </w:tabs>
        <w:spacing w:line="330" w:lineRule="exact"/>
        <w:ind w:firstLine="630" w:firstLineChars="300"/>
        <w:rPr>
          <w:szCs w:val="21"/>
        </w:rPr>
      </w:pPr>
      <w:r>
        <w:rPr>
          <w:szCs w:val="21"/>
        </w:rPr>
        <w:t>通信电缆安装。</w:t>
      </w:r>
    </w:p>
    <w:p w14:paraId="740AB1E4">
      <w:pPr>
        <w:pStyle w:val="164"/>
        <w:numPr>
          <w:ilvl w:val="0"/>
          <w:numId w:val="132"/>
        </w:numPr>
        <w:spacing w:line="330" w:lineRule="exact"/>
        <w:ind w:left="0" w:firstLine="420"/>
      </w:pPr>
      <w:r>
        <w:t>视频设备</w:t>
      </w:r>
      <w:r>
        <w:rPr>
          <w:szCs w:val="21"/>
        </w:rPr>
        <w:t>应按照下列顺序施工：</w:t>
      </w:r>
    </w:p>
    <w:p w14:paraId="59576B84">
      <w:pPr>
        <w:pStyle w:val="164"/>
        <w:numPr>
          <w:ilvl w:val="0"/>
          <w:numId w:val="135"/>
        </w:numPr>
        <w:tabs>
          <w:tab w:val="left" w:pos="210"/>
          <w:tab w:val="left" w:pos="567"/>
        </w:tabs>
        <w:spacing w:line="330" w:lineRule="exact"/>
        <w:ind w:firstLine="630" w:firstLineChars="300"/>
        <w:rPr>
          <w:szCs w:val="21"/>
        </w:rPr>
      </w:pPr>
      <w:r>
        <w:rPr>
          <w:szCs w:val="21"/>
        </w:rPr>
        <w:t>节目制作非线性编辑器安装。</w:t>
      </w:r>
    </w:p>
    <w:p w14:paraId="09C4922E">
      <w:pPr>
        <w:pStyle w:val="164"/>
        <w:numPr>
          <w:ilvl w:val="0"/>
          <w:numId w:val="135"/>
        </w:numPr>
        <w:tabs>
          <w:tab w:val="left" w:pos="210"/>
          <w:tab w:val="left" w:pos="567"/>
        </w:tabs>
        <w:spacing w:line="330" w:lineRule="exact"/>
        <w:ind w:firstLine="630" w:firstLineChars="300"/>
        <w:rPr>
          <w:szCs w:val="21"/>
        </w:rPr>
      </w:pPr>
      <w:r>
        <w:rPr>
          <w:szCs w:val="21"/>
        </w:rPr>
        <w:t>8路视音频切换矩阵(广播级)安装。</w:t>
      </w:r>
    </w:p>
    <w:p w14:paraId="55289F6A">
      <w:pPr>
        <w:pStyle w:val="164"/>
        <w:numPr>
          <w:ilvl w:val="0"/>
          <w:numId w:val="135"/>
        </w:numPr>
        <w:tabs>
          <w:tab w:val="left" w:pos="210"/>
          <w:tab w:val="left" w:pos="567"/>
        </w:tabs>
        <w:spacing w:line="330" w:lineRule="exact"/>
        <w:ind w:firstLine="630" w:firstLineChars="300"/>
        <w:rPr>
          <w:szCs w:val="21"/>
        </w:rPr>
      </w:pPr>
      <w:r>
        <w:rPr>
          <w:szCs w:val="21"/>
        </w:rPr>
        <w:t>视频前端设备等安装。</w:t>
      </w:r>
    </w:p>
    <w:p w14:paraId="127881E6">
      <w:pPr>
        <w:pStyle w:val="164"/>
        <w:spacing w:before="100" w:after="100" w:line="330" w:lineRule="exact"/>
        <w:ind w:firstLine="0" w:firstLineChars="0"/>
        <w:rPr>
          <w:szCs w:val="21"/>
        </w:rPr>
      </w:pPr>
      <w:r>
        <w:rPr>
          <w:szCs w:val="21"/>
        </w:rPr>
        <w:t>14.3.4 二次接线安装应符合下列规定：</w:t>
      </w:r>
    </w:p>
    <w:p w14:paraId="341C069C">
      <w:pPr>
        <w:pStyle w:val="164"/>
        <w:numPr>
          <w:ilvl w:val="0"/>
          <w:numId w:val="136"/>
        </w:numPr>
        <w:spacing w:line="330" w:lineRule="exact"/>
        <w:ind w:left="0" w:firstLine="420"/>
      </w:pPr>
      <w:r>
        <w:t>二次接线安装主要技术要求</w:t>
      </w:r>
      <w:r>
        <w:rPr>
          <w:szCs w:val="21"/>
        </w:rPr>
        <w:t>应符合下列规定：</w:t>
      </w:r>
    </w:p>
    <w:p w14:paraId="32364F09">
      <w:pPr>
        <w:pStyle w:val="164"/>
        <w:numPr>
          <w:ilvl w:val="0"/>
          <w:numId w:val="137"/>
        </w:numPr>
        <w:tabs>
          <w:tab w:val="left" w:pos="210"/>
          <w:tab w:val="left" w:pos="567"/>
        </w:tabs>
        <w:spacing w:line="330" w:lineRule="exact"/>
        <w:ind w:firstLine="630" w:firstLineChars="300"/>
        <w:rPr>
          <w:szCs w:val="21"/>
        </w:rPr>
      </w:pPr>
      <w:r>
        <w:rPr>
          <w:rFonts w:hint="eastAsia"/>
          <w:szCs w:val="21"/>
        </w:rPr>
        <w:t>应</w:t>
      </w:r>
      <w:r>
        <w:rPr>
          <w:szCs w:val="21"/>
        </w:rPr>
        <w:t>按图施工，接线正确。</w:t>
      </w:r>
    </w:p>
    <w:p w14:paraId="6882E73B">
      <w:pPr>
        <w:pStyle w:val="164"/>
        <w:numPr>
          <w:ilvl w:val="0"/>
          <w:numId w:val="137"/>
        </w:numPr>
        <w:tabs>
          <w:tab w:val="left" w:pos="210"/>
          <w:tab w:val="left" w:pos="567"/>
        </w:tabs>
        <w:spacing w:line="330" w:lineRule="exact"/>
        <w:ind w:firstLine="630" w:firstLineChars="300"/>
        <w:rPr>
          <w:szCs w:val="21"/>
        </w:rPr>
      </w:pPr>
      <w:r>
        <w:rPr>
          <w:szCs w:val="21"/>
        </w:rPr>
        <w:t>电气回路的连接应牢固可靠。</w:t>
      </w:r>
    </w:p>
    <w:p w14:paraId="00EDAFE8">
      <w:pPr>
        <w:pStyle w:val="164"/>
        <w:numPr>
          <w:ilvl w:val="0"/>
          <w:numId w:val="137"/>
        </w:numPr>
        <w:tabs>
          <w:tab w:val="left" w:pos="210"/>
          <w:tab w:val="left" w:pos="567"/>
        </w:tabs>
        <w:spacing w:line="330" w:lineRule="exact"/>
        <w:ind w:firstLine="630" w:firstLineChars="300"/>
        <w:rPr>
          <w:szCs w:val="21"/>
        </w:rPr>
      </w:pPr>
      <w:r>
        <w:rPr>
          <w:szCs w:val="21"/>
        </w:rPr>
        <w:t>电缆芯线和所配导线的端部均应标明其回路编号；编号应正确，字迹清晰且不易脱色。</w:t>
      </w:r>
    </w:p>
    <w:p w14:paraId="39821938">
      <w:pPr>
        <w:pStyle w:val="164"/>
        <w:numPr>
          <w:ilvl w:val="0"/>
          <w:numId w:val="137"/>
        </w:numPr>
        <w:tabs>
          <w:tab w:val="left" w:pos="210"/>
          <w:tab w:val="left" w:pos="567"/>
        </w:tabs>
        <w:spacing w:line="330" w:lineRule="exact"/>
        <w:ind w:firstLine="630" w:firstLineChars="300"/>
        <w:rPr>
          <w:szCs w:val="21"/>
        </w:rPr>
      </w:pPr>
      <w:r>
        <w:rPr>
          <w:szCs w:val="21"/>
        </w:rPr>
        <w:t>配线整齐、清晰、美观；导线绝缘良好，无损伤。</w:t>
      </w:r>
    </w:p>
    <w:p w14:paraId="4F0E4D30">
      <w:pPr>
        <w:pStyle w:val="164"/>
        <w:numPr>
          <w:ilvl w:val="0"/>
          <w:numId w:val="137"/>
        </w:numPr>
        <w:tabs>
          <w:tab w:val="left" w:pos="210"/>
          <w:tab w:val="left" w:pos="567"/>
        </w:tabs>
        <w:spacing w:line="330" w:lineRule="exact"/>
        <w:ind w:firstLine="630" w:firstLineChars="300"/>
        <w:rPr>
          <w:szCs w:val="21"/>
        </w:rPr>
      </w:pPr>
      <w:r>
        <w:rPr>
          <w:szCs w:val="21"/>
        </w:rPr>
        <w:t>柜、盘内的导线不应有接头。</w:t>
      </w:r>
    </w:p>
    <w:p w14:paraId="72B4198E">
      <w:pPr>
        <w:pStyle w:val="164"/>
        <w:numPr>
          <w:ilvl w:val="0"/>
          <w:numId w:val="137"/>
        </w:numPr>
        <w:tabs>
          <w:tab w:val="left" w:pos="210"/>
          <w:tab w:val="left" w:pos="567"/>
        </w:tabs>
        <w:spacing w:line="330" w:lineRule="exact"/>
        <w:ind w:firstLine="630" w:firstLineChars="300"/>
        <w:rPr>
          <w:szCs w:val="21"/>
        </w:rPr>
      </w:pPr>
      <w:r>
        <w:rPr>
          <w:szCs w:val="21"/>
        </w:rPr>
        <w:t>每个端子板的每侧接线一般为1根，不得超过两根。</w:t>
      </w:r>
    </w:p>
    <w:p w14:paraId="024544BE">
      <w:pPr>
        <w:pStyle w:val="164"/>
        <w:numPr>
          <w:ilvl w:val="0"/>
          <w:numId w:val="137"/>
        </w:numPr>
        <w:tabs>
          <w:tab w:val="left" w:pos="210"/>
          <w:tab w:val="left" w:pos="567"/>
        </w:tabs>
        <w:spacing w:line="330" w:lineRule="exact"/>
        <w:ind w:firstLine="630" w:firstLineChars="300"/>
        <w:rPr>
          <w:szCs w:val="21"/>
        </w:rPr>
      </w:pPr>
      <w:r>
        <w:rPr>
          <w:szCs w:val="21"/>
        </w:rPr>
        <w:t>盘、柜内的配线应采用截面≥1. 5</w:t>
      </w:r>
      <w:r>
        <w:t>mm</w:t>
      </w:r>
      <w:r>
        <w:rPr>
          <w:vertAlign w:val="superscript"/>
        </w:rPr>
        <w:t>2</w:t>
      </w:r>
      <w:r>
        <w:rPr>
          <w:szCs w:val="21"/>
        </w:rPr>
        <w:t>。</w:t>
      </w:r>
    </w:p>
    <w:p w14:paraId="366ACCB8">
      <w:pPr>
        <w:pStyle w:val="164"/>
        <w:numPr>
          <w:ilvl w:val="0"/>
          <w:numId w:val="136"/>
        </w:numPr>
        <w:spacing w:line="330" w:lineRule="exact"/>
        <w:ind w:left="0" w:firstLine="420"/>
      </w:pPr>
      <w:r>
        <w:t>柜内配线</w:t>
      </w:r>
      <w:r>
        <w:rPr>
          <w:szCs w:val="21"/>
        </w:rPr>
        <w:t>应符合下列规定：</w:t>
      </w:r>
    </w:p>
    <w:p w14:paraId="3A3C8251">
      <w:pPr>
        <w:pStyle w:val="164"/>
        <w:numPr>
          <w:ilvl w:val="0"/>
          <w:numId w:val="138"/>
        </w:numPr>
        <w:tabs>
          <w:tab w:val="left" w:pos="210"/>
          <w:tab w:val="left" w:pos="567"/>
        </w:tabs>
        <w:spacing w:line="330" w:lineRule="exact"/>
        <w:ind w:firstLine="630" w:firstLineChars="300"/>
        <w:rPr>
          <w:szCs w:val="21"/>
        </w:rPr>
      </w:pPr>
      <w:r>
        <w:rPr>
          <w:szCs w:val="21"/>
        </w:rPr>
        <w:t>设备、线缆标识应清晰、明确;</w:t>
      </w:r>
    </w:p>
    <w:p w14:paraId="3E60353E">
      <w:pPr>
        <w:pStyle w:val="164"/>
        <w:numPr>
          <w:ilvl w:val="0"/>
          <w:numId w:val="138"/>
        </w:numPr>
        <w:tabs>
          <w:tab w:val="left" w:pos="210"/>
          <w:tab w:val="left" w:pos="567"/>
        </w:tabs>
        <w:spacing w:line="330" w:lineRule="exact"/>
        <w:ind w:firstLine="630" w:firstLineChars="300"/>
        <w:rPr>
          <w:szCs w:val="21"/>
        </w:rPr>
      </w:pPr>
      <w:r>
        <w:rPr>
          <w:szCs w:val="21"/>
        </w:rPr>
        <w:t>各设备、器件、盒、箱、线缆等的安装应满足设计要求，并应做到布局合理、排列整齐、牢固可靠、线缆连接正确、压接牢固;</w:t>
      </w:r>
    </w:p>
    <w:p w14:paraId="0BE760DF">
      <w:pPr>
        <w:pStyle w:val="164"/>
        <w:numPr>
          <w:ilvl w:val="0"/>
          <w:numId w:val="138"/>
        </w:numPr>
        <w:tabs>
          <w:tab w:val="left" w:pos="210"/>
          <w:tab w:val="left" w:pos="567"/>
        </w:tabs>
        <w:spacing w:line="330" w:lineRule="exact"/>
        <w:ind w:firstLine="630" w:firstLineChars="300"/>
        <w:rPr>
          <w:szCs w:val="21"/>
        </w:rPr>
      </w:pPr>
      <w:r>
        <w:rPr>
          <w:szCs w:val="21"/>
        </w:rPr>
        <w:t>馈线连接头应牢固安装，接触应良好，并做好防雨、防腐措施。</w:t>
      </w:r>
    </w:p>
    <w:p w14:paraId="467BFA37">
      <w:pPr>
        <w:pStyle w:val="164"/>
        <w:numPr>
          <w:ilvl w:val="0"/>
          <w:numId w:val="138"/>
        </w:numPr>
        <w:tabs>
          <w:tab w:val="left" w:pos="210"/>
          <w:tab w:val="left" w:pos="567"/>
        </w:tabs>
        <w:spacing w:line="330" w:lineRule="exact"/>
        <w:ind w:firstLine="630" w:firstLineChars="300"/>
        <w:rPr>
          <w:szCs w:val="21"/>
        </w:rPr>
      </w:pPr>
      <w:r>
        <w:rPr>
          <w:szCs w:val="21"/>
        </w:rPr>
        <w:t>柜内配线应在柜上的仪表、继电器和其他电器安装好后进行。</w:t>
      </w:r>
    </w:p>
    <w:p w14:paraId="1D3AFA75">
      <w:pPr>
        <w:pStyle w:val="164"/>
        <w:numPr>
          <w:ilvl w:val="0"/>
          <w:numId w:val="138"/>
        </w:numPr>
        <w:tabs>
          <w:tab w:val="left" w:pos="210"/>
          <w:tab w:val="left" w:pos="567"/>
        </w:tabs>
        <w:spacing w:line="330" w:lineRule="exact"/>
        <w:ind w:firstLine="630" w:firstLineChars="300"/>
        <w:rPr>
          <w:szCs w:val="21"/>
        </w:rPr>
      </w:pPr>
      <w:r>
        <w:rPr>
          <w:szCs w:val="21"/>
        </w:rPr>
        <w:t>配线宜采取集中布线方式，柜、盘上同一排电器的走接线应汇集到同一水平线束中，各排水平线束再汇集成一垂直总线束，总线束走至端子排时，再逐步分散接到端子排上。</w:t>
      </w:r>
    </w:p>
    <w:p w14:paraId="7AA7123F">
      <w:pPr>
        <w:pStyle w:val="164"/>
        <w:numPr>
          <w:ilvl w:val="0"/>
          <w:numId w:val="138"/>
        </w:numPr>
        <w:tabs>
          <w:tab w:val="left" w:pos="210"/>
          <w:tab w:val="left" w:pos="567"/>
        </w:tabs>
        <w:spacing w:line="330" w:lineRule="exact"/>
        <w:ind w:firstLine="630" w:firstLineChars="300"/>
        <w:rPr>
          <w:szCs w:val="21"/>
        </w:rPr>
      </w:pPr>
      <w:r>
        <w:rPr>
          <w:szCs w:val="21"/>
        </w:rPr>
        <w:t>柜内设备</w:t>
      </w:r>
      <w:r>
        <w:rPr>
          <w:rFonts w:hint="eastAsia"/>
          <w:szCs w:val="21"/>
        </w:rPr>
        <w:t>应</w:t>
      </w:r>
      <w:r>
        <w:rPr>
          <w:szCs w:val="21"/>
        </w:rPr>
        <w:t>直接连接，柜内至柜外设备连接应通过端子排。</w:t>
      </w:r>
    </w:p>
    <w:p w14:paraId="7674007B">
      <w:pPr>
        <w:pStyle w:val="164"/>
        <w:numPr>
          <w:ilvl w:val="0"/>
          <w:numId w:val="138"/>
        </w:numPr>
        <w:tabs>
          <w:tab w:val="left" w:pos="210"/>
          <w:tab w:val="left" w:pos="567"/>
        </w:tabs>
        <w:spacing w:line="330" w:lineRule="exact"/>
        <w:ind w:firstLine="630" w:firstLineChars="300"/>
        <w:rPr>
          <w:szCs w:val="21"/>
        </w:rPr>
      </w:pPr>
      <w:r>
        <w:rPr>
          <w:szCs w:val="21"/>
        </w:rPr>
        <w:t>从线束分列出的导线，接到接线柱端子上时应剪去多余导线，用剥线钳或电工刀去掉绝缘层，清除线上的氧化层，套上标号，将线芯端弯成一小圆环</w:t>
      </w:r>
      <w:r>
        <w:rPr>
          <w:rFonts w:hint="eastAsia"/>
          <w:szCs w:val="21"/>
        </w:rPr>
        <w:t>，</w:t>
      </w:r>
      <w:r>
        <w:rPr>
          <w:szCs w:val="21"/>
        </w:rPr>
        <w:t>弯曲方向应和螺钉旋紧方向相同</w:t>
      </w:r>
      <w:r>
        <w:rPr>
          <w:rFonts w:hint="eastAsia"/>
          <w:szCs w:val="21"/>
        </w:rPr>
        <w:t>,</w:t>
      </w:r>
      <w:r>
        <w:rPr>
          <w:szCs w:val="21"/>
        </w:rPr>
        <w:t>，套入螺钉将其固定。多股软导线接入端子时，导线末端应装设线端子。备用导线</w:t>
      </w:r>
      <w:r>
        <w:rPr>
          <w:rFonts w:hint="eastAsia"/>
          <w:szCs w:val="21"/>
        </w:rPr>
        <w:t>应</w:t>
      </w:r>
      <w:r>
        <w:rPr>
          <w:szCs w:val="21"/>
        </w:rPr>
        <w:t>卷成螺旋形放</w:t>
      </w:r>
      <w:r>
        <w:rPr>
          <w:rFonts w:hint="eastAsia"/>
          <w:szCs w:val="21"/>
        </w:rPr>
        <w:t>置</w:t>
      </w:r>
      <w:r>
        <w:rPr>
          <w:szCs w:val="21"/>
        </w:rPr>
        <w:t>，</w:t>
      </w:r>
      <w:r>
        <w:rPr>
          <w:rFonts w:hint="eastAsia"/>
          <w:szCs w:val="21"/>
        </w:rPr>
        <w:t>且</w:t>
      </w:r>
      <w:r>
        <w:rPr>
          <w:szCs w:val="21"/>
        </w:rPr>
        <w:t>端部不与其他端子相碰。</w:t>
      </w:r>
    </w:p>
    <w:p w14:paraId="5B4369CA">
      <w:pPr>
        <w:pStyle w:val="164"/>
        <w:numPr>
          <w:ilvl w:val="0"/>
          <w:numId w:val="136"/>
        </w:numPr>
        <w:spacing w:line="330" w:lineRule="exact"/>
        <w:ind w:left="0" w:firstLine="420"/>
      </w:pPr>
      <w:r>
        <w:t>二次接线的检验</w:t>
      </w:r>
      <w:r>
        <w:rPr>
          <w:szCs w:val="21"/>
        </w:rPr>
        <w:t>应符合下列规定：</w:t>
      </w:r>
    </w:p>
    <w:p w14:paraId="443E5501">
      <w:pPr>
        <w:pStyle w:val="164"/>
        <w:numPr>
          <w:ilvl w:val="0"/>
          <w:numId w:val="139"/>
        </w:numPr>
        <w:tabs>
          <w:tab w:val="left" w:pos="210"/>
          <w:tab w:val="left" w:pos="567"/>
        </w:tabs>
        <w:spacing w:line="330" w:lineRule="exact"/>
        <w:ind w:firstLine="630" w:firstLineChars="300"/>
        <w:rPr>
          <w:szCs w:val="21"/>
        </w:rPr>
      </w:pPr>
      <w:r>
        <w:rPr>
          <w:szCs w:val="21"/>
        </w:rPr>
        <w:t>二次接线施工安装结束后应严格进行检查和试验,全部正确合格后才能投入运行。检查试验项目应包括柜内检查，柜间联络电缆检查，操作装置检查，二次电流回路和电压回路检查，</w:t>
      </w:r>
    </w:p>
    <w:p w14:paraId="264FF369">
      <w:pPr>
        <w:pStyle w:val="164"/>
        <w:numPr>
          <w:ilvl w:val="255"/>
          <w:numId w:val="0"/>
        </w:numPr>
        <w:spacing w:line="330" w:lineRule="exact"/>
        <w:rPr>
          <w:szCs w:val="21"/>
        </w:rPr>
      </w:pPr>
      <w:r>
        <w:rPr>
          <w:szCs w:val="21"/>
        </w:rPr>
        <w:t>绝缘电阻测量及交流耐压试验，操作试验。</w:t>
      </w:r>
    </w:p>
    <w:p w14:paraId="6439DA22">
      <w:pPr>
        <w:pStyle w:val="164"/>
        <w:numPr>
          <w:ilvl w:val="0"/>
          <w:numId w:val="139"/>
        </w:numPr>
        <w:tabs>
          <w:tab w:val="left" w:pos="210"/>
          <w:tab w:val="left" w:pos="567"/>
        </w:tabs>
        <w:spacing w:line="330" w:lineRule="exact"/>
        <w:ind w:firstLine="630" w:firstLineChars="300"/>
        <w:rPr>
          <w:szCs w:val="21"/>
        </w:rPr>
      </w:pPr>
      <w:r>
        <w:rPr>
          <w:szCs w:val="21"/>
        </w:rPr>
        <w:t>柜内两侧的端子排不</w:t>
      </w:r>
      <w:r>
        <w:rPr>
          <w:rFonts w:hint="eastAsia"/>
          <w:szCs w:val="21"/>
        </w:rPr>
        <w:t>应</w:t>
      </w:r>
      <w:r>
        <w:rPr>
          <w:szCs w:val="21"/>
        </w:rPr>
        <w:t>缺少，柜内装设的各种仪表、继电器和操作器件等不</w:t>
      </w:r>
      <w:r>
        <w:rPr>
          <w:rFonts w:hint="eastAsia"/>
          <w:szCs w:val="21"/>
        </w:rPr>
        <w:t>应</w:t>
      </w:r>
      <w:r>
        <w:rPr>
          <w:szCs w:val="21"/>
        </w:rPr>
        <w:t>缺少，而且规格型号</w:t>
      </w:r>
      <w:r>
        <w:rPr>
          <w:rFonts w:hint="eastAsia"/>
          <w:szCs w:val="21"/>
        </w:rPr>
        <w:t>应</w:t>
      </w:r>
      <w:r>
        <w:rPr>
          <w:szCs w:val="21"/>
        </w:rPr>
        <w:t>符合设计、安装位置</w:t>
      </w:r>
      <w:r>
        <w:rPr>
          <w:rFonts w:hint="eastAsia"/>
          <w:szCs w:val="21"/>
        </w:rPr>
        <w:t>应</w:t>
      </w:r>
      <w:r>
        <w:rPr>
          <w:szCs w:val="21"/>
        </w:rPr>
        <w:t>正确。应逐线检查柜内各设备间的连线及由柜内设备引至端子排的连线不</w:t>
      </w:r>
      <w:r>
        <w:rPr>
          <w:rFonts w:hint="eastAsia"/>
          <w:szCs w:val="21"/>
        </w:rPr>
        <w:t>应</w:t>
      </w:r>
      <w:r>
        <w:rPr>
          <w:szCs w:val="21"/>
        </w:rPr>
        <w:t>有错误，接线应正确。</w:t>
      </w:r>
    </w:p>
    <w:p w14:paraId="1A724623">
      <w:pPr>
        <w:pStyle w:val="164"/>
        <w:numPr>
          <w:ilvl w:val="0"/>
          <w:numId w:val="139"/>
        </w:numPr>
        <w:tabs>
          <w:tab w:val="left" w:pos="210"/>
          <w:tab w:val="left" w:pos="567"/>
        </w:tabs>
        <w:spacing w:line="330" w:lineRule="exact"/>
        <w:ind w:firstLine="630" w:firstLineChars="300"/>
        <w:rPr>
          <w:szCs w:val="21"/>
        </w:rPr>
      </w:pPr>
      <w:r>
        <w:rPr>
          <w:szCs w:val="21"/>
        </w:rPr>
        <w:t>各设备间联络电缆需逐一校对。低压配电系统按一级负荷给LED显示屏系统设备提供所需的供电电源，控制中心LED显示屏系统与低压配电系统的接口点为中央计算机机房电源自动切换箱出线端，电源自动切换由低压配电系统完成。</w:t>
      </w:r>
    </w:p>
    <w:p w14:paraId="2CF962E4">
      <w:pPr>
        <w:pStyle w:val="164"/>
        <w:spacing w:before="100" w:after="100" w:line="330" w:lineRule="exact"/>
        <w:ind w:firstLine="0" w:firstLineChars="0"/>
        <w:rPr>
          <w:szCs w:val="21"/>
        </w:rPr>
      </w:pPr>
      <w:r>
        <w:rPr>
          <w:szCs w:val="21"/>
        </w:rPr>
        <w:t>14.3.5 系统设备安装应符合下列规定：</w:t>
      </w:r>
    </w:p>
    <w:p w14:paraId="765384D0">
      <w:pPr>
        <w:pStyle w:val="164"/>
        <w:numPr>
          <w:ilvl w:val="0"/>
          <w:numId w:val="140"/>
        </w:numPr>
        <w:spacing w:line="330" w:lineRule="exact"/>
        <w:ind w:left="0" w:firstLine="420"/>
      </w:pPr>
      <w:r>
        <w:t>系统服务器、工作站应安装于机房的机柜内</w:t>
      </w:r>
      <w:r>
        <w:rPr>
          <w:rFonts w:hint="eastAsia"/>
        </w:rPr>
        <w:t>，</w:t>
      </w:r>
      <w:r>
        <w:t>并应符合以下</w:t>
      </w:r>
      <w:r>
        <w:rPr>
          <w:rFonts w:hint="eastAsia"/>
        </w:rPr>
        <w:t>规定</w:t>
      </w:r>
      <w:r>
        <w:t>：</w:t>
      </w:r>
    </w:p>
    <w:p w14:paraId="7D1B2468">
      <w:pPr>
        <w:pStyle w:val="164"/>
        <w:numPr>
          <w:ilvl w:val="0"/>
          <w:numId w:val="141"/>
        </w:numPr>
        <w:tabs>
          <w:tab w:val="left" w:pos="210"/>
          <w:tab w:val="left" w:pos="567"/>
        </w:tabs>
        <w:spacing w:line="330" w:lineRule="exact"/>
        <w:ind w:firstLine="630" w:firstLineChars="300"/>
        <w:rPr>
          <w:szCs w:val="21"/>
        </w:rPr>
      </w:pPr>
      <w:r>
        <w:rPr>
          <w:szCs w:val="21"/>
        </w:rPr>
        <w:t>安装位置应满足设计要求，安装应平稳牢固，并应便于操作维护。</w:t>
      </w:r>
    </w:p>
    <w:p w14:paraId="1550ABEF">
      <w:pPr>
        <w:pStyle w:val="164"/>
        <w:numPr>
          <w:ilvl w:val="0"/>
          <w:numId w:val="141"/>
        </w:numPr>
        <w:tabs>
          <w:tab w:val="left" w:pos="210"/>
          <w:tab w:val="left" w:pos="567"/>
        </w:tabs>
        <w:spacing w:line="330" w:lineRule="exact"/>
        <w:ind w:firstLine="630" w:firstLineChars="300"/>
        <w:rPr>
          <w:szCs w:val="21"/>
        </w:rPr>
      </w:pPr>
      <w:r>
        <w:rPr>
          <w:szCs w:val="21"/>
        </w:rPr>
        <w:t>机柜内安装的设备应有通风散热措施，内部接插件与设备连接应牢固。</w:t>
      </w:r>
    </w:p>
    <w:p w14:paraId="52E0B6EE">
      <w:pPr>
        <w:pStyle w:val="164"/>
        <w:numPr>
          <w:ilvl w:val="0"/>
          <w:numId w:val="141"/>
        </w:numPr>
        <w:tabs>
          <w:tab w:val="left" w:pos="210"/>
          <w:tab w:val="left" w:pos="567"/>
        </w:tabs>
        <w:spacing w:line="330" w:lineRule="exact"/>
        <w:ind w:firstLine="630" w:firstLineChars="300"/>
        <w:rPr>
          <w:szCs w:val="21"/>
        </w:rPr>
      </w:pPr>
      <w:r>
        <w:rPr>
          <w:szCs w:val="21"/>
        </w:rPr>
        <w:t>当大型的服务器等设备承重要求大于600kg/m'时，应单独制作设备基座，不应直接安装在抗静电地板上；必要时还需要考虑楼板的承重，并在设计单位的指导下，加强楼板的承重能力。对有序列号的设备应登记设备的序列号。</w:t>
      </w:r>
    </w:p>
    <w:p w14:paraId="11D6B0C4">
      <w:pPr>
        <w:pStyle w:val="164"/>
        <w:numPr>
          <w:ilvl w:val="0"/>
          <w:numId w:val="141"/>
        </w:numPr>
        <w:tabs>
          <w:tab w:val="left" w:pos="210"/>
          <w:tab w:val="left" w:pos="567"/>
        </w:tabs>
        <w:spacing w:line="330" w:lineRule="exact"/>
        <w:ind w:firstLine="630" w:firstLineChars="300"/>
        <w:rPr>
          <w:szCs w:val="21"/>
        </w:rPr>
      </w:pPr>
      <w:r>
        <w:rPr>
          <w:szCs w:val="21"/>
        </w:rPr>
        <w:t>应对有源设备进行通电检查，设备应工作正常。</w:t>
      </w:r>
    </w:p>
    <w:p w14:paraId="7447FCAF">
      <w:pPr>
        <w:pStyle w:val="164"/>
        <w:numPr>
          <w:ilvl w:val="0"/>
          <w:numId w:val="141"/>
        </w:numPr>
        <w:tabs>
          <w:tab w:val="left" w:pos="210"/>
          <w:tab w:val="left" w:pos="567"/>
        </w:tabs>
        <w:spacing w:line="330" w:lineRule="exact"/>
        <w:ind w:firstLine="630" w:firstLineChars="300"/>
        <w:rPr>
          <w:szCs w:val="21"/>
        </w:rPr>
      </w:pPr>
      <w:r>
        <w:rPr>
          <w:szCs w:val="21"/>
        </w:rPr>
        <w:t>跳线连接应规范，线缆排列应有序，线缆上应有正确牢固的标签。</w:t>
      </w:r>
    </w:p>
    <w:p w14:paraId="08B5A93C">
      <w:pPr>
        <w:pStyle w:val="164"/>
        <w:numPr>
          <w:ilvl w:val="0"/>
          <w:numId w:val="141"/>
        </w:numPr>
        <w:tabs>
          <w:tab w:val="left" w:pos="210"/>
          <w:tab w:val="left" w:pos="567"/>
        </w:tabs>
        <w:spacing w:line="330" w:lineRule="exact"/>
        <w:ind w:firstLine="630" w:firstLineChars="300"/>
        <w:rPr>
          <w:szCs w:val="21"/>
        </w:rPr>
      </w:pPr>
      <w:r>
        <w:rPr>
          <w:szCs w:val="21"/>
        </w:rPr>
        <w:t>设备安装机柜应张贴设备系统连线示意图。</w:t>
      </w:r>
    </w:p>
    <w:p w14:paraId="3343E885">
      <w:pPr>
        <w:pStyle w:val="164"/>
        <w:numPr>
          <w:ilvl w:val="0"/>
          <w:numId w:val="140"/>
        </w:numPr>
        <w:spacing w:line="330" w:lineRule="exact"/>
        <w:ind w:left="0" w:firstLine="420"/>
      </w:pPr>
      <w:r>
        <w:t>触摸屏与显示屏的安装位置应对人行通道无影响</w:t>
      </w:r>
      <w:r>
        <w:rPr>
          <w:rFonts w:hint="eastAsia"/>
        </w:rPr>
        <w:t>，</w:t>
      </w:r>
      <w:r>
        <w:t>应安装在没有强电磁辐射源及干燥的地方。</w:t>
      </w:r>
    </w:p>
    <w:p w14:paraId="4F3C0703">
      <w:pPr>
        <w:pStyle w:val="164"/>
        <w:numPr>
          <w:ilvl w:val="0"/>
          <w:numId w:val="140"/>
        </w:numPr>
        <w:spacing w:line="330" w:lineRule="exact"/>
        <w:ind w:left="0" w:firstLine="420"/>
      </w:pPr>
      <w:r>
        <w:t>与相关专业协调并在现场确定落地式显示屏安装钢架的承重能力应满足设计要求。</w:t>
      </w:r>
    </w:p>
    <w:p w14:paraId="4CE5EFFB">
      <w:pPr>
        <w:pStyle w:val="164"/>
        <w:numPr>
          <w:ilvl w:val="0"/>
          <w:numId w:val="140"/>
        </w:numPr>
        <w:spacing w:line="330" w:lineRule="exact"/>
        <w:ind w:left="0" w:firstLine="420"/>
      </w:pPr>
      <w:r>
        <w:t>室外安装的显示屏应做好防漏电、防雨措施，并应满足1P65防护等级标准。</w:t>
      </w:r>
    </w:p>
    <w:p w14:paraId="2C344D9F">
      <w:pPr>
        <w:pStyle w:val="164"/>
        <w:numPr>
          <w:ilvl w:val="0"/>
          <w:numId w:val="140"/>
        </w:numPr>
        <w:spacing w:line="330" w:lineRule="exact"/>
        <w:ind w:left="0" w:firstLine="420"/>
      </w:pPr>
      <w:r>
        <w:t>LED显示屏安装</w:t>
      </w:r>
      <w:r>
        <w:rPr>
          <w:szCs w:val="21"/>
        </w:rPr>
        <w:t>应符合下列规定：</w:t>
      </w:r>
    </w:p>
    <w:p w14:paraId="6D9293A4">
      <w:pPr>
        <w:pStyle w:val="164"/>
        <w:numPr>
          <w:ilvl w:val="0"/>
          <w:numId w:val="142"/>
        </w:numPr>
        <w:tabs>
          <w:tab w:val="left" w:pos="210"/>
          <w:tab w:val="left" w:pos="567"/>
        </w:tabs>
        <w:spacing w:line="330" w:lineRule="exact"/>
        <w:ind w:firstLine="630" w:firstLineChars="300"/>
        <w:rPr>
          <w:szCs w:val="21"/>
        </w:rPr>
      </w:pPr>
      <w:r>
        <w:rPr>
          <w:szCs w:val="21"/>
        </w:rPr>
        <w:t>LED显示屏显示部分结构</w:t>
      </w:r>
      <w:r>
        <w:rPr>
          <w:rFonts w:hint="eastAsia"/>
          <w:szCs w:val="21"/>
        </w:rPr>
        <w:t>应</w:t>
      </w:r>
      <w:r>
        <w:rPr>
          <w:szCs w:val="21"/>
        </w:rPr>
        <w:t>采用钢、铝、塑料等材料，结构</w:t>
      </w:r>
      <w:r>
        <w:rPr>
          <w:rFonts w:hint="eastAsia"/>
          <w:szCs w:val="21"/>
        </w:rPr>
        <w:t>应</w:t>
      </w:r>
      <w:r>
        <w:rPr>
          <w:szCs w:val="21"/>
        </w:rPr>
        <w:t>坚固。必要时应做抗拉拔实验并</w:t>
      </w:r>
      <w:r>
        <w:rPr>
          <w:rFonts w:hint="eastAsia"/>
          <w:szCs w:val="21"/>
        </w:rPr>
        <w:t>满足设计</w:t>
      </w:r>
      <w:r>
        <w:rPr>
          <w:szCs w:val="21"/>
        </w:rPr>
        <w:t>要求</w:t>
      </w:r>
      <w:r>
        <w:rPr>
          <w:rFonts w:hint="eastAsia"/>
          <w:szCs w:val="21"/>
        </w:rPr>
        <w:t>。</w:t>
      </w:r>
    </w:p>
    <w:p w14:paraId="2B36F457">
      <w:pPr>
        <w:pStyle w:val="164"/>
        <w:numPr>
          <w:ilvl w:val="0"/>
          <w:numId w:val="142"/>
        </w:numPr>
        <w:tabs>
          <w:tab w:val="left" w:pos="210"/>
          <w:tab w:val="left" w:pos="567"/>
        </w:tabs>
        <w:spacing w:line="330" w:lineRule="exact"/>
        <w:ind w:firstLine="630" w:firstLineChars="300"/>
        <w:rPr>
          <w:szCs w:val="21"/>
        </w:rPr>
      </w:pPr>
      <w:r>
        <w:rPr>
          <w:szCs w:val="21"/>
        </w:rPr>
        <w:t>LED显示屏无明显划痕。室外LED显示屏像素管安装应一致、无松动及管壳破裂。</w:t>
      </w:r>
    </w:p>
    <w:p w14:paraId="76486786">
      <w:pPr>
        <w:pStyle w:val="164"/>
        <w:numPr>
          <w:ilvl w:val="0"/>
          <w:numId w:val="142"/>
        </w:numPr>
        <w:tabs>
          <w:tab w:val="left" w:pos="210"/>
          <w:tab w:val="left" w:pos="567"/>
        </w:tabs>
        <w:spacing w:line="330" w:lineRule="exact"/>
        <w:ind w:firstLine="630" w:firstLineChars="300"/>
        <w:rPr>
          <w:szCs w:val="21"/>
        </w:rPr>
      </w:pPr>
      <w:r>
        <w:rPr>
          <w:szCs w:val="21"/>
        </w:rPr>
        <w:t>LED显示屏的外壳防护等级应符合现行国家标准《外壳防护等级(IP代码)》</w:t>
      </w:r>
      <w:r>
        <w:rPr>
          <w:szCs w:val="22"/>
        </w:rPr>
        <w:t>GB/T 420</w:t>
      </w:r>
      <w:r>
        <w:rPr>
          <w:szCs w:val="21"/>
        </w:rPr>
        <w:t>中的规定。室内LED显示屏屏体不低于IP20，室外LED显示屏屏体不低于</w:t>
      </w:r>
      <w:r>
        <w:rPr>
          <w:rFonts w:hint="eastAsia"/>
          <w:szCs w:val="21"/>
        </w:rPr>
        <w:t>I</w:t>
      </w:r>
      <w:r>
        <w:rPr>
          <w:szCs w:val="21"/>
        </w:rPr>
        <w:t>P65。</w:t>
      </w:r>
    </w:p>
    <w:p w14:paraId="52B8692E">
      <w:pPr>
        <w:pStyle w:val="164"/>
        <w:numPr>
          <w:ilvl w:val="0"/>
          <w:numId w:val="142"/>
        </w:numPr>
        <w:tabs>
          <w:tab w:val="left" w:pos="210"/>
          <w:tab w:val="left" w:pos="567"/>
        </w:tabs>
        <w:spacing w:line="330" w:lineRule="exact"/>
        <w:ind w:firstLine="630" w:firstLineChars="300"/>
        <w:rPr>
          <w:szCs w:val="21"/>
        </w:rPr>
      </w:pPr>
      <w:r>
        <w:rPr>
          <w:szCs w:val="21"/>
        </w:rPr>
        <w:t>LED显示屏的像素中心距精度应≤15%。</w:t>
      </w:r>
    </w:p>
    <w:p w14:paraId="07A7D9F7">
      <w:pPr>
        <w:pStyle w:val="164"/>
        <w:numPr>
          <w:ilvl w:val="0"/>
          <w:numId w:val="142"/>
        </w:numPr>
        <w:tabs>
          <w:tab w:val="left" w:pos="210"/>
          <w:tab w:val="left" w:pos="567"/>
        </w:tabs>
        <w:spacing w:line="330" w:lineRule="exact"/>
        <w:ind w:firstLine="630" w:firstLineChars="300"/>
        <w:rPr>
          <w:szCs w:val="21"/>
        </w:rPr>
      </w:pPr>
      <w:r>
        <w:rPr>
          <w:szCs w:val="21"/>
        </w:rPr>
        <w:t>LED显示屏的平整度应≤2.5mm。</w:t>
      </w:r>
    </w:p>
    <w:p w14:paraId="4D617A73">
      <w:pPr>
        <w:pStyle w:val="164"/>
        <w:numPr>
          <w:ilvl w:val="0"/>
          <w:numId w:val="142"/>
        </w:numPr>
        <w:tabs>
          <w:tab w:val="left" w:pos="210"/>
          <w:tab w:val="left" w:pos="567"/>
        </w:tabs>
        <w:spacing w:line="330" w:lineRule="exact"/>
        <w:ind w:firstLine="630" w:firstLineChars="300"/>
        <w:rPr>
          <w:szCs w:val="21"/>
        </w:rPr>
      </w:pPr>
      <w:r>
        <w:rPr>
          <w:szCs w:val="21"/>
        </w:rPr>
        <w:t>LED显示屏</w:t>
      </w:r>
      <w:r>
        <w:rPr>
          <w:rFonts w:hint="eastAsia"/>
          <w:szCs w:val="21"/>
        </w:rPr>
        <w:t>应</w:t>
      </w:r>
      <w:r>
        <w:rPr>
          <w:szCs w:val="21"/>
        </w:rPr>
        <w:t>保护接地端子并</w:t>
      </w:r>
      <w:r>
        <w:rPr>
          <w:rFonts w:hint="eastAsia"/>
          <w:szCs w:val="21"/>
        </w:rPr>
        <w:t>做</w:t>
      </w:r>
      <w:r>
        <w:rPr>
          <w:szCs w:val="21"/>
        </w:rPr>
        <w:t>标记。</w:t>
      </w:r>
    </w:p>
    <w:p w14:paraId="2FA35D94">
      <w:pPr>
        <w:pStyle w:val="164"/>
        <w:numPr>
          <w:ilvl w:val="0"/>
          <w:numId w:val="142"/>
        </w:numPr>
        <w:tabs>
          <w:tab w:val="left" w:pos="210"/>
          <w:tab w:val="left" w:pos="567"/>
        </w:tabs>
        <w:spacing w:line="330" w:lineRule="exact"/>
        <w:ind w:firstLine="630" w:firstLineChars="300"/>
        <w:rPr>
          <w:szCs w:val="21"/>
        </w:rPr>
      </w:pPr>
      <w:r>
        <w:rPr>
          <w:szCs w:val="21"/>
        </w:rPr>
        <w:t>LED显示屏的对地漏电流应</w:t>
      </w:r>
      <w:r>
        <w:rPr>
          <w:rFonts w:hint="eastAsia"/>
          <w:szCs w:val="21"/>
        </w:rPr>
        <w:t>＜</w:t>
      </w:r>
      <w:r>
        <w:rPr>
          <w:szCs w:val="21"/>
        </w:rPr>
        <w:t>3.5mA</w:t>
      </w:r>
      <w:r>
        <w:rPr>
          <w:rFonts w:hint="eastAsia"/>
          <w:szCs w:val="21"/>
        </w:rPr>
        <w:t>。</w:t>
      </w:r>
    </w:p>
    <w:p w14:paraId="2949BB67">
      <w:pPr>
        <w:pStyle w:val="164"/>
        <w:numPr>
          <w:ilvl w:val="0"/>
          <w:numId w:val="142"/>
        </w:numPr>
        <w:tabs>
          <w:tab w:val="left" w:pos="210"/>
          <w:tab w:val="left" w:pos="567"/>
        </w:tabs>
        <w:spacing w:line="330" w:lineRule="exact"/>
        <w:ind w:firstLine="630" w:firstLineChars="300"/>
        <w:rPr>
          <w:szCs w:val="21"/>
        </w:rPr>
      </w:pPr>
      <w:r>
        <w:rPr>
          <w:szCs w:val="21"/>
        </w:rPr>
        <w:t>LED显示屏在50Hz、1500V的试验电压1</w:t>
      </w:r>
      <w:r>
        <w:rPr>
          <w:rFonts w:hint="eastAsia"/>
          <w:szCs w:val="21"/>
        </w:rPr>
        <w:t>分钟内</w:t>
      </w:r>
      <w:r>
        <w:rPr>
          <w:szCs w:val="21"/>
        </w:rPr>
        <w:t>不应发生绝缘击穿。</w:t>
      </w:r>
    </w:p>
    <w:p w14:paraId="0CA72095">
      <w:pPr>
        <w:pStyle w:val="164"/>
        <w:numPr>
          <w:ilvl w:val="0"/>
          <w:numId w:val="142"/>
        </w:numPr>
        <w:tabs>
          <w:tab w:val="left" w:pos="210"/>
          <w:tab w:val="left" w:pos="567"/>
        </w:tabs>
        <w:spacing w:line="330" w:lineRule="exact"/>
        <w:ind w:firstLine="630" w:firstLineChars="300"/>
        <w:rPr>
          <w:szCs w:val="21"/>
        </w:rPr>
      </w:pPr>
      <w:r>
        <w:rPr>
          <w:szCs w:val="21"/>
        </w:rPr>
        <w:t>LED显示屏正常使用时在达到热平衡后，屏体结构的全属部分的温升不超过45K，绝缘材料的温升不超过70K。</w:t>
      </w:r>
    </w:p>
    <w:p w14:paraId="0299B685">
      <w:pPr>
        <w:pStyle w:val="164"/>
        <w:spacing w:before="100" w:after="100" w:line="330" w:lineRule="exact"/>
        <w:ind w:firstLine="0" w:firstLineChars="0"/>
        <w:rPr>
          <w:szCs w:val="21"/>
        </w:rPr>
      </w:pPr>
      <w:r>
        <w:rPr>
          <w:szCs w:val="21"/>
        </w:rPr>
        <w:t>14.3.6 系统软件安装应符合下列规定：</w:t>
      </w:r>
    </w:p>
    <w:p w14:paraId="5DFBBD3E">
      <w:pPr>
        <w:pStyle w:val="164"/>
        <w:numPr>
          <w:ilvl w:val="0"/>
          <w:numId w:val="143"/>
        </w:numPr>
        <w:spacing w:line="330" w:lineRule="exact"/>
        <w:ind w:left="0" w:firstLine="420"/>
      </w:pPr>
      <w:r>
        <w:t>应按设计文件为设备安装相应的软件系统</w:t>
      </w:r>
      <w:r>
        <w:rPr>
          <w:rFonts w:hint="eastAsia"/>
        </w:rPr>
        <w:t>、</w:t>
      </w:r>
      <w:r>
        <w:t>系统安装。</w:t>
      </w:r>
    </w:p>
    <w:p w14:paraId="1D97E4D2">
      <w:pPr>
        <w:pStyle w:val="164"/>
        <w:numPr>
          <w:ilvl w:val="0"/>
          <w:numId w:val="143"/>
        </w:numPr>
        <w:spacing w:line="330" w:lineRule="exact"/>
        <w:ind w:left="0" w:firstLine="420"/>
      </w:pPr>
      <w:r>
        <w:t>应提供正版软件技术手册。</w:t>
      </w:r>
    </w:p>
    <w:p w14:paraId="673208FB">
      <w:pPr>
        <w:pStyle w:val="164"/>
        <w:numPr>
          <w:ilvl w:val="0"/>
          <w:numId w:val="143"/>
        </w:numPr>
        <w:spacing w:line="330" w:lineRule="exact"/>
        <w:ind w:left="0" w:firstLine="420"/>
      </w:pPr>
      <w:r>
        <w:t>服务器不应安装与本系统无关的软件。</w:t>
      </w:r>
    </w:p>
    <w:p w14:paraId="058F63F9">
      <w:pPr>
        <w:pStyle w:val="164"/>
        <w:numPr>
          <w:ilvl w:val="0"/>
          <w:numId w:val="143"/>
        </w:numPr>
        <w:spacing w:line="330" w:lineRule="exact"/>
        <w:ind w:left="0" w:firstLine="420"/>
      </w:pPr>
      <w:r>
        <w:t>操作系统、防病毒软件应设置为自动更新方式。</w:t>
      </w:r>
    </w:p>
    <w:p w14:paraId="68FAF250">
      <w:pPr>
        <w:pStyle w:val="164"/>
        <w:numPr>
          <w:ilvl w:val="0"/>
          <w:numId w:val="143"/>
        </w:numPr>
        <w:spacing w:line="330" w:lineRule="exact"/>
        <w:ind w:left="0" w:firstLine="420"/>
      </w:pPr>
      <w:r>
        <w:t>软件系统安装后应能够正常启动、运行和退出。</w:t>
      </w:r>
    </w:p>
    <w:p w14:paraId="7E2EE35D">
      <w:pPr>
        <w:pStyle w:val="164"/>
        <w:numPr>
          <w:ilvl w:val="0"/>
          <w:numId w:val="143"/>
        </w:numPr>
        <w:spacing w:line="330" w:lineRule="exact"/>
        <w:ind w:left="0" w:firstLine="420"/>
      </w:pPr>
      <w:r>
        <w:t>在网络安全检验后，服务器方可以在安全系统的保护下与互联网相联，并应对操作系统、防病毒软件升级及更新脑补丁程序。</w:t>
      </w:r>
    </w:p>
    <w:p w14:paraId="67D57419">
      <w:pPr>
        <w:pStyle w:val="164"/>
        <w:spacing w:before="100" w:after="100" w:line="330" w:lineRule="exact"/>
        <w:ind w:firstLine="0" w:firstLineChars="0"/>
        <w:rPr>
          <w:szCs w:val="21"/>
        </w:rPr>
      </w:pPr>
      <w:r>
        <w:rPr>
          <w:szCs w:val="21"/>
        </w:rPr>
        <w:t>14.3.7 系统调试应符合下列规定：</w:t>
      </w:r>
    </w:p>
    <w:p w14:paraId="02D3D31B">
      <w:pPr>
        <w:pStyle w:val="164"/>
        <w:numPr>
          <w:ilvl w:val="0"/>
          <w:numId w:val="144"/>
        </w:numPr>
        <w:spacing w:line="330" w:lineRule="exact"/>
        <w:ind w:left="0" w:firstLine="420"/>
      </w:pPr>
      <w:r>
        <w:t>调试准备应符合下列规定：</w:t>
      </w:r>
    </w:p>
    <w:p w14:paraId="13565521">
      <w:pPr>
        <w:pStyle w:val="164"/>
        <w:numPr>
          <w:ilvl w:val="0"/>
          <w:numId w:val="145"/>
        </w:numPr>
        <w:tabs>
          <w:tab w:val="left" w:pos="210"/>
          <w:tab w:val="left" w:pos="567"/>
        </w:tabs>
        <w:spacing w:line="330" w:lineRule="exact"/>
        <w:ind w:firstLine="630" w:firstLineChars="300"/>
        <w:rPr>
          <w:szCs w:val="21"/>
        </w:rPr>
      </w:pPr>
      <w:r>
        <w:rPr>
          <w:szCs w:val="21"/>
        </w:rPr>
        <w:t>系统调试前,应制定调试方案、测试计划。</w:t>
      </w:r>
    </w:p>
    <w:p w14:paraId="720C8DCE">
      <w:pPr>
        <w:pStyle w:val="164"/>
        <w:numPr>
          <w:ilvl w:val="0"/>
          <w:numId w:val="145"/>
        </w:numPr>
        <w:tabs>
          <w:tab w:val="left" w:pos="210"/>
          <w:tab w:val="left" w:pos="567"/>
        </w:tabs>
        <w:spacing w:line="330" w:lineRule="exact"/>
        <w:ind w:firstLine="630" w:firstLineChars="300"/>
        <w:rPr>
          <w:szCs w:val="21"/>
        </w:rPr>
      </w:pPr>
      <w:r>
        <w:rPr>
          <w:szCs w:val="21"/>
        </w:rPr>
        <w:t>设备规格、安装应满足设计要求,安装应稳固,外壳不应损伤。</w:t>
      </w:r>
    </w:p>
    <w:p w14:paraId="66A91F3B">
      <w:pPr>
        <w:pStyle w:val="164"/>
        <w:numPr>
          <w:ilvl w:val="0"/>
          <w:numId w:val="145"/>
        </w:numPr>
        <w:tabs>
          <w:tab w:val="left" w:pos="210"/>
          <w:tab w:val="left" w:pos="567"/>
        </w:tabs>
        <w:spacing w:line="330" w:lineRule="exact"/>
        <w:ind w:firstLine="630" w:firstLineChars="300"/>
        <w:rPr>
          <w:szCs w:val="21"/>
        </w:rPr>
      </w:pPr>
      <w:r>
        <w:rPr>
          <w:szCs w:val="21"/>
        </w:rPr>
        <w:t>应采用500V兆欧表对电源电缆进行测量，其线芯间，线芯与地线间的绝缘电阻不应＜1MΩ。</w:t>
      </w:r>
    </w:p>
    <w:p w14:paraId="011FFCF8">
      <w:pPr>
        <w:pStyle w:val="164"/>
        <w:numPr>
          <w:ilvl w:val="0"/>
          <w:numId w:val="145"/>
        </w:numPr>
        <w:tabs>
          <w:tab w:val="left" w:pos="210"/>
          <w:tab w:val="left" w:pos="567"/>
        </w:tabs>
        <w:spacing w:line="330" w:lineRule="exact"/>
        <w:ind w:firstLine="630" w:firstLineChars="300"/>
        <w:rPr>
          <w:szCs w:val="21"/>
        </w:rPr>
      </w:pPr>
      <w:r>
        <w:rPr>
          <w:szCs w:val="21"/>
        </w:rPr>
        <w:t>设备及线缆应标识齐全、准确，并应满足设计要求。</w:t>
      </w:r>
    </w:p>
    <w:p w14:paraId="4338641A">
      <w:pPr>
        <w:pStyle w:val="164"/>
        <w:numPr>
          <w:ilvl w:val="0"/>
          <w:numId w:val="145"/>
        </w:numPr>
        <w:tabs>
          <w:tab w:val="left" w:pos="210"/>
          <w:tab w:val="left" w:pos="567"/>
        </w:tabs>
        <w:spacing w:line="330" w:lineRule="exact"/>
        <w:ind w:firstLine="630" w:firstLineChars="300"/>
        <w:rPr>
          <w:szCs w:val="21"/>
        </w:rPr>
      </w:pPr>
      <w:r>
        <w:rPr>
          <w:szCs w:val="21"/>
        </w:rPr>
        <w:t>机柜、控制箱、支架、设备及需要接地的屏蔽线缆和同对电缆应良好接地。</w:t>
      </w:r>
    </w:p>
    <w:p w14:paraId="65650127">
      <w:pPr>
        <w:pStyle w:val="164"/>
        <w:numPr>
          <w:ilvl w:val="0"/>
          <w:numId w:val="145"/>
        </w:numPr>
        <w:tabs>
          <w:tab w:val="left" w:pos="210"/>
          <w:tab w:val="left" w:pos="567"/>
        </w:tabs>
        <w:spacing w:line="330" w:lineRule="exact"/>
        <w:ind w:firstLine="630" w:firstLineChars="300"/>
        <w:rPr>
          <w:szCs w:val="21"/>
        </w:rPr>
      </w:pPr>
      <w:r>
        <w:rPr>
          <w:szCs w:val="21"/>
        </w:rPr>
        <w:t>各系统供配电的电压与功率应满足设计要求。</w:t>
      </w:r>
    </w:p>
    <w:p w14:paraId="6EEA13F3">
      <w:pPr>
        <w:pStyle w:val="164"/>
        <w:numPr>
          <w:ilvl w:val="0"/>
          <w:numId w:val="144"/>
        </w:numPr>
        <w:spacing w:line="330" w:lineRule="exact"/>
        <w:ind w:left="0" w:firstLine="420"/>
      </w:pPr>
      <w:r>
        <w:t>信息设施系统的调试应符合下列规定：</w:t>
      </w:r>
    </w:p>
    <w:p w14:paraId="250C48DD">
      <w:pPr>
        <w:pStyle w:val="164"/>
        <w:numPr>
          <w:ilvl w:val="0"/>
          <w:numId w:val="146"/>
        </w:numPr>
        <w:tabs>
          <w:tab w:val="left" w:pos="210"/>
          <w:tab w:val="left" w:pos="567"/>
        </w:tabs>
        <w:spacing w:line="330" w:lineRule="exact"/>
        <w:ind w:firstLine="630" w:firstLineChars="300"/>
        <w:rPr>
          <w:szCs w:val="21"/>
        </w:rPr>
      </w:pPr>
      <w:r>
        <w:rPr>
          <w:szCs w:val="21"/>
        </w:rPr>
        <w:t>各系统内的设备应能对系统软件指令作出及时响应。</w:t>
      </w:r>
    </w:p>
    <w:p w14:paraId="63541C3A">
      <w:pPr>
        <w:pStyle w:val="164"/>
        <w:numPr>
          <w:ilvl w:val="0"/>
          <w:numId w:val="146"/>
        </w:numPr>
        <w:tabs>
          <w:tab w:val="left" w:pos="210"/>
          <w:tab w:val="left" w:pos="567"/>
        </w:tabs>
        <w:spacing w:line="330" w:lineRule="exact"/>
        <w:ind w:firstLine="630" w:firstLineChars="300"/>
        <w:rPr>
          <w:szCs w:val="21"/>
        </w:rPr>
      </w:pPr>
      <w:r>
        <w:rPr>
          <w:szCs w:val="21"/>
        </w:rPr>
        <w:t>系统调试中，应及时记录并检查软件的工作状态和运行日，并应能修改错误。</w:t>
      </w:r>
    </w:p>
    <w:p w14:paraId="2CCBC406">
      <w:pPr>
        <w:pStyle w:val="164"/>
        <w:numPr>
          <w:ilvl w:val="0"/>
          <w:numId w:val="146"/>
        </w:numPr>
        <w:tabs>
          <w:tab w:val="left" w:pos="210"/>
          <w:tab w:val="left" w:pos="567"/>
        </w:tabs>
        <w:spacing w:line="330" w:lineRule="exact"/>
        <w:ind w:firstLine="630" w:firstLineChars="300"/>
        <w:rPr>
          <w:szCs w:val="21"/>
        </w:rPr>
      </w:pPr>
      <w:r>
        <w:rPr>
          <w:szCs w:val="21"/>
        </w:rPr>
        <w:t>系统调试中，应及时记录并检查系统设备对系统软件指令的响应状态，并应能修改错误。</w:t>
      </w:r>
    </w:p>
    <w:p w14:paraId="202BE3B0">
      <w:pPr>
        <w:pStyle w:val="164"/>
        <w:numPr>
          <w:ilvl w:val="0"/>
          <w:numId w:val="146"/>
        </w:numPr>
        <w:tabs>
          <w:tab w:val="left" w:pos="210"/>
          <w:tab w:val="left" w:pos="567"/>
        </w:tabs>
        <w:spacing w:line="330" w:lineRule="exact"/>
        <w:ind w:firstLine="630" w:firstLineChars="300"/>
        <w:rPr>
          <w:szCs w:val="21"/>
        </w:rPr>
      </w:pPr>
      <w:r>
        <w:rPr>
          <w:szCs w:val="21"/>
        </w:rPr>
        <w:t>应先进行功能测试，方可进行性能测试。</w:t>
      </w:r>
    </w:p>
    <w:p w14:paraId="4ECA91AE">
      <w:pPr>
        <w:pStyle w:val="164"/>
        <w:numPr>
          <w:ilvl w:val="0"/>
          <w:numId w:val="146"/>
        </w:numPr>
        <w:tabs>
          <w:tab w:val="left" w:pos="210"/>
          <w:tab w:val="left" w:pos="567"/>
        </w:tabs>
        <w:spacing w:line="330" w:lineRule="exact"/>
        <w:ind w:firstLine="630" w:firstLineChars="300"/>
        <w:rPr>
          <w:szCs w:val="21"/>
        </w:rPr>
      </w:pPr>
      <w:r>
        <w:rPr>
          <w:szCs w:val="21"/>
        </w:rPr>
        <w:t>调试过程中出现运行错误、系统功能或性能不能满足设计要求时，应填写系统调试问题报告表，并应及时进行处理、填写处理记录。</w:t>
      </w:r>
    </w:p>
    <w:p w14:paraId="4C43A9A2">
      <w:pPr>
        <w:pStyle w:val="164"/>
        <w:numPr>
          <w:ilvl w:val="0"/>
          <w:numId w:val="144"/>
        </w:numPr>
        <w:spacing w:line="330" w:lineRule="exact"/>
        <w:ind w:left="0" w:firstLine="420"/>
      </w:pPr>
      <w:r>
        <w:t>系统的调试和测试应符合下列规定：</w:t>
      </w:r>
    </w:p>
    <w:p w14:paraId="5ACF9B7E">
      <w:pPr>
        <w:pStyle w:val="164"/>
        <w:numPr>
          <w:ilvl w:val="0"/>
          <w:numId w:val="147"/>
        </w:numPr>
        <w:tabs>
          <w:tab w:val="left" w:pos="210"/>
          <w:tab w:val="left" w:pos="567"/>
        </w:tabs>
        <w:spacing w:line="330" w:lineRule="exact"/>
        <w:ind w:firstLine="630" w:firstLineChars="300"/>
        <w:rPr>
          <w:szCs w:val="21"/>
        </w:rPr>
      </w:pPr>
      <w:r>
        <w:rPr>
          <w:szCs w:val="21"/>
        </w:rPr>
        <w:t>配置服务器、监控计算机的软件系统参数、处理功能、通信功能应达到设计要求。</w:t>
      </w:r>
    </w:p>
    <w:p w14:paraId="698D2356">
      <w:pPr>
        <w:pStyle w:val="164"/>
        <w:numPr>
          <w:ilvl w:val="0"/>
          <w:numId w:val="147"/>
        </w:numPr>
        <w:tabs>
          <w:tab w:val="left" w:pos="210"/>
          <w:tab w:val="left" w:pos="567"/>
        </w:tabs>
        <w:spacing w:line="330" w:lineRule="exact"/>
        <w:ind w:firstLine="630" w:firstLineChars="300"/>
        <w:rPr>
          <w:szCs w:val="21"/>
        </w:rPr>
      </w:pPr>
      <w:r>
        <w:rPr>
          <w:szCs w:val="21"/>
        </w:rPr>
        <w:t>对系统的显示设备进行单机调试，使各显示屏应达到正的亮度、色彩显示。</w:t>
      </w:r>
    </w:p>
    <w:p w14:paraId="66919007">
      <w:pPr>
        <w:pStyle w:val="164"/>
        <w:numPr>
          <w:ilvl w:val="0"/>
          <w:numId w:val="147"/>
        </w:numPr>
        <w:tabs>
          <w:tab w:val="left" w:pos="210"/>
          <w:tab w:val="left" w:pos="567"/>
        </w:tabs>
        <w:spacing w:line="330" w:lineRule="exact"/>
        <w:ind w:firstLine="630" w:firstLineChars="300"/>
        <w:rPr>
          <w:szCs w:val="21"/>
        </w:rPr>
      </w:pPr>
      <w:r>
        <w:rPr>
          <w:szCs w:val="21"/>
        </w:rPr>
        <w:t>加载文字内容、图像内容，调试、检测各终端机应正确显发布的内容。</w:t>
      </w:r>
    </w:p>
    <w:p w14:paraId="794F4B0F">
      <w:pPr>
        <w:pStyle w:val="164"/>
        <w:numPr>
          <w:ilvl w:val="0"/>
          <w:numId w:val="147"/>
        </w:numPr>
        <w:tabs>
          <w:tab w:val="left" w:pos="210"/>
          <w:tab w:val="left" w:pos="567"/>
        </w:tabs>
        <w:spacing w:line="330" w:lineRule="exact"/>
        <w:ind w:firstLine="630" w:firstLineChars="300"/>
        <w:rPr>
          <w:szCs w:val="21"/>
        </w:rPr>
      </w:pPr>
      <w:r>
        <w:rPr>
          <w:szCs w:val="21"/>
        </w:rPr>
        <w:t>调试、检测软件系统的各功能，应达到设计要求。</w:t>
      </w:r>
    </w:p>
    <w:p w14:paraId="71FF7B94">
      <w:pPr>
        <w:pStyle w:val="164"/>
        <w:numPr>
          <w:ilvl w:val="0"/>
          <w:numId w:val="147"/>
        </w:numPr>
        <w:tabs>
          <w:tab w:val="left" w:pos="210"/>
          <w:tab w:val="left" w:pos="567"/>
        </w:tabs>
        <w:spacing w:line="330" w:lineRule="exact"/>
        <w:ind w:firstLine="630" w:firstLineChars="300"/>
        <w:rPr>
          <w:szCs w:val="21"/>
        </w:rPr>
      </w:pPr>
      <w:r>
        <w:rPr>
          <w:szCs w:val="21"/>
        </w:rPr>
        <w:t>测试终端机的音、视频播出质量，应达到全部合格。</w:t>
      </w:r>
    </w:p>
    <w:p w14:paraId="7134C3CA">
      <w:pPr>
        <w:pStyle w:val="164"/>
        <w:numPr>
          <w:ilvl w:val="0"/>
          <w:numId w:val="147"/>
        </w:numPr>
        <w:tabs>
          <w:tab w:val="left" w:pos="210"/>
          <w:tab w:val="left" w:pos="567"/>
        </w:tabs>
        <w:spacing w:line="330" w:lineRule="exact"/>
        <w:ind w:firstLine="630" w:firstLineChars="300"/>
        <w:rPr>
          <w:szCs w:val="21"/>
        </w:rPr>
      </w:pPr>
      <w:r>
        <w:rPr>
          <w:szCs w:val="21"/>
        </w:rPr>
        <w:t>系统调试后，应进行24h不同断的功能、性能连续域并应符合下列规定：</w:t>
      </w:r>
    </w:p>
    <w:p w14:paraId="1048134C">
      <w:pPr>
        <w:pStyle w:val="164"/>
        <w:numPr>
          <w:ilvl w:val="0"/>
          <w:numId w:val="148"/>
        </w:numPr>
        <w:autoSpaceDE w:val="0"/>
        <w:autoSpaceDN w:val="0"/>
        <w:adjustRightInd w:val="0"/>
        <w:snapToGrid w:val="0"/>
        <w:spacing w:line="330" w:lineRule="exact"/>
        <w:ind w:left="0" w:firstLine="840" w:firstLineChars="400"/>
      </w:pPr>
      <w:r>
        <w:t>试验期间，不得出现系统性或可靠性故障，显示屏不自出现盲点；否则，应修复或更换后重新开始24h试验。</w:t>
      </w:r>
    </w:p>
    <w:p w14:paraId="38190847">
      <w:pPr>
        <w:pStyle w:val="164"/>
        <w:numPr>
          <w:ilvl w:val="0"/>
          <w:numId w:val="148"/>
        </w:numPr>
        <w:autoSpaceDE w:val="0"/>
        <w:autoSpaceDN w:val="0"/>
        <w:adjustRightInd w:val="0"/>
        <w:snapToGrid w:val="0"/>
        <w:spacing w:line="330" w:lineRule="exact"/>
        <w:ind w:left="0" w:firstLine="840" w:firstLineChars="400"/>
      </w:pPr>
      <w:r>
        <w:t>应记录试验过程、修复措施与试验结果。</w:t>
      </w:r>
    </w:p>
    <w:p w14:paraId="335F5214">
      <w:pPr>
        <w:pStyle w:val="164"/>
        <w:numPr>
          <w:ilvl w:val="1"/>
          <w:numId w:val="119"/>
        </w:numPr>
        <w:spacing w:line="330" w:lineRule="exact"/>
        <w:ind w:firstLineChars="0"/>
        <w:rPr>
          <w:vanish/>
          <w:szCs w:val="21"/>
        </w:rPr>
      </w:pPr>
    </w:p>
    <w:p w14:paraId="6ADC8B46">
      <w:pPr>
        <w:pStyle w:val="3"/>
        <w:spacing w:before="240" w:after="120" w:afterLines="50" w:line="330" w:lineRule="exact"/>
        <w:rPr>
          <w:rFonts w:eastAsia="黑体"/>
          <w:b w:val="0"/>
          <w:sz w:val="21"/>
          <w:szCs w:val="21"/>
          <w:lang w:val="en-US"/>
        </w:rPr>
      </w:pPr>
      <w:bookmarkStart w:id="96" w:name="_Toc182487974"/>
      <w:r>
        <w:rPr>
          <w:rFonts w:eastAsia="黑体"/>
          <w:b w:val="0"/>
          <w:sz w:val="21"/>
          <w:szCs w:val="21"/>
          <w:lang w:val="en-US"/>
        </w:rPr>
        <w:t>14.4 质量记录</w:t>
      </w:r>
      <w:bookmarkEnd w:id="96"/>
    </w:p>
    <w:p w14:paraId="29D7FD9C">
      <w:pPr>
        <w:ind w:left="105" w:hanging="105"/>
        <w:rPr>
          <w:rFonts w:ascii="Times New Roman" w:hAnsi="Times New Roman"/>
        </w:rPr>
      </w:pPr>
      <w:r>
        <w:rPr>
          <w:rFonts w:ascii="Times New Roman" w:hAnsi="Times New Roman"/>
        </w:rPr>
        <w:t>14.4.1 质量记录应包含下列内容：</w:t>
      </w:r>
    </w:p>
    <w:p w14:paraId="5E2902D7">
      <w:pPr>
        <w:pStyle w:val="164"/>
        <w:spacing w:line="330" w:lineRule="exact"/>
        <w:ind w:firstLine="0" w:firstLineChars="0"/>
        <w:rPr>
          <w:b/>
          <w:bCs/>
          <w:vanish/>
          <w:szCs w:val="21"/>
        </w:rPr>
      </w:pPr>
    </w:p>
    <w:p w14:paraId="665EE2A5">
      <w:pPr>
        <w:pStyle w:val="164"/>
        <w:spacing w:before="100" w:after="100" w:line="330" w:lineRule="exact"/>
        <w:ind w:firstLine="422"/>
        <w:rPr>
          <w:szCs w:val="21"/>
        </w:rPr>
      </w:pPr>
      <w:r>
        <w:rPr>
          <w:b/>
          <w:bCs/>
          <w:szCs w:val="21"/>
        </w:rPr>
        <w:t>1</w:t>
      </w:r>
      <w:r>
        <w:rPr>
          <w:szCs w:val="21"/>
        </w:rPr>
        <w:t xml:space="preserve"> 设备的合格证、质量检验报告、3C认证证书、产品技术说明书和技术资料。</w:t>
      </w:r>
    </w:p>
    <w:p w14:paraId="6129CD66">
      <w:pPr>
        <w:pStyle w:val="164"/>
        <w:spacing w:before="100" w:after="100" w:line="330" w:lineRule="exact"/>
        <w:ind w:firstLine="422"/>
        <w:rPr>
          <w:szCs w:val="21"/>
        </w:rPr>
      </w:pPr>
      <w:r>
        <w:rPr>
          <w:b/>
          <w:bCs/>
          <w:szCs w:val="21"/>
        </w:rPr>
        <w:t>2</w:t>
      </w:r>
      <w:r>
        <w:rPr>
          <w:szCs w:val="21"/>
        </w:rPr>
        <w:t xml:space="preserve"> 材料、构配件进场检验记录。</w:t>
      </w:r>
    </w:p>
    <w:p w14:paraId="1BB9ACC1">
      <w:pPr>
        <w:pStyle w:val="164"/>
        <w:spacing w:before="100" w:after="100" w:line="330" w:lineRule="exact"/>
        <w:ind w:firstLine="422"/>
        <w:rPr>
          <w:szCs w:val="21"/>
        </w:rPr>
      </w:pPr>
      <w:r>
        <w:rPr>
          <w:b/>
          <w:bCs/>
          <w:szCs w:val="21"/>
        </w:rPr>
        <w:t>3</w:t>
      </w:r>
      <w:r>
        <w:rPr>
          <w:szCs w:val="21"/>
        </w:rPr>
        <w:t xml:space="preserve"> 隐蔽工程检验记录。</w:t>
      </w:r>
    </w:p>
    <w:p w14:paraId="3D2534C4">
      <w:pPr>
        <w:pStyle w:val="164"/>
        <w:spacing w:before="100" w:after="100" w:line="330" w:lineRule="exact"/>
        <w:ind w:firstLine="422"/>
        <w:rPr>
          <w:szCs w:val="21"/>
        </w:rPr>
      </w:pPr>
      <w:r>
        <w:rPr>
          <w:b/>
          <w:bCs/>
          <w:szCs w:val="21"/>
        </w:rPr>
        <w:t>4</w:t>
      </w:r>
      <w:r>
        <w:rPr>
          <w:szCs w:val="21"/>
        </w:rPr>
        <w:t xml:space="preserve"> 工程安装质量及观感质量检查记录。</w:t>
      </w:r>
    </w:p>
    <w:p w14:paraId="57661613">
      <w:pPr>
        <w:pStyle w:val="164"/>
        <w:spacing w:before="100" w:after="100" w:line="330" w:lineRule="exact"/>
        <w:ind w:firstLine="422"/>
        <w:rPr>
          <w:szCs w:val="21"/>
        </w:rPr>
      </w:pPr>
      <w:r>
        <w:rPr>
          <w:b/>
          <w:bCs/>
          <w:szCs w:val="21"/>
        </w:rPr>
        <w:t>5</w:t>
      </w:r>
      <w:r>
        <w:rPr>
          <w:szCs w:val="21"/>
        </w:rPr>
        <w:t xml:space="preserve"> 系统调试及试运行记录。</w:t>
      </w:r>
    </w:p>
    <w:p w14:paraId="0269ACB3">
      <w:pPr>
        <w:pStyle w:val="164"/>
        <w:spacing w:before="100" w:after="100" w:line="330" w:lineRule="exact"/>
        <w:ind w:firstLine="422"/>
        <w:rPr>
          <w:szCs w:val="21"/>
        </w:rPr>
      </w:pPr>
      <w:r>
        <w:rPr>
          <w:b/>
          <w:bCs/>
          <w:szCs w:val="21"/>
        </w:rPr>
        <w:t>6</w:t>
      </w:r>
      <w:r>
        <w:rPr>
          <w:szCs w:val="21"/>
        </w:rPr>
        <w:t xml:space="preserve"> 分项工程检验批质量</w:t>
      </w:r>
      <w:r>
        <w:rPr>
          <w:rFonts w:hint="eastAsia"/>
          <w:szCs w:val="21"/>
        </w:rPr>
        <w:t>检验</w:t>
      </w:r>
      <w:r>
        <w:rPr>
          <w:szCs w:val="21"/>
        </w:rPr>
        <w:t>记录表。</w:t>
      </w:r>
    </w:p>
    <w:p w14:paraId="2B1301AE">
      <w:pPr>
        <w:pStyle w:val="164"/>
        <w:spacing w:before="100" w:after="100" w:line="330" w:lineRule="exact"/>
        <w:ind w:firstLine="422"/>
        <w:rPr>
          <w:szCs w:val="21"/>
        </w:rPr>
      </w:pPr>
      <w:r>
        <w:rPr>
          <w:b/>
          <w:bCs/>
          <w:szCs w:val="21"/>
        </w:rPr>
        <w:t>7</w:t>
      </w:r>
      <w:r>
        <w:rPr>
          <w:szCs w:val="21"/>
        </w:rPr>
        <w:t xml:space="preserve"> 子系统检测记录。</w:t>
      </w:r>
    </w:p>
    <w:p w14:paraId="133441F7">
      <w:pPr>
        <w:widowControl/>
        <w:spacing w:line="330" w:lineRule="exact"/>
        <w:ind w:left="0" w:firstLine="0" w:firstLineChars="0"/>
        <w:jc w:val="left"/>
        <w:rPr>
          <w:rFonts w:ascii="Times New Roman" w:hAnsi="Times New Roman"/>
        </w:rPr>
      </w:pPr>
    </w:p>
    <w:p w14:paraId="56D34B5D">
      <w:pPr>
        <w:ind w:left="0" w:firstLine="0" w:firstLineChars="0"/>
        <w:rPr>
          <w:rFonts w:ascii="Times New Roman" w:hAnsi="Times New Roman"/>
        </w:rPr>
      </w:pPr>
    </w:p>
    <w:p w14:paraId="02FF1631">
      <w:pPr>
        <w:ind w:left="105" w:hanging="105"/>
        <w:rPr>
          <w:rFonts w:ascii="Times New Roman" w:hAnsi="Times New Roman"/>
        </w:rPr>
      </w:pPr>
    </w:p>
    <w:p w14:paraId="0F02FC64">
      <w:pPr>
        <w:ind w:left="105" w:hanging="105"/>
        <w:rPr>
          <w:rFonts w:ascii="Times New Roman" w:hAnsi="Times New Roman"/>
        </w:rPr>
      </w:pPr>
    </w:p>
    <w:p w14:paraId="009950B7">
      <w:pPr>
        <w:ind w:left="105" w:hanging="105"/>
        <w:rPr>
          <w:rFonts w:ascii="Times New Roman" w:hAnsi="Times New Roman"/>
        </w:rPr>
      </w:pPr>
    </w:p>
    <w:p w14:paraId="128F3E0F">
      <w:pPr>
        <w:ind w:left="105" w:hanging="105"/>
        <w:rPr>
          <w:rFonts w:ascii="Times New Roman" w:hAnsi="Times New Roman"/>
        </w:rPr>
        <w:sectPr>
          <w:pgSz w:w="11900" w:h="16840"/>
          <w:pgMar w:top="1558" w:right="1544" w:bottom="1113" w:left="1564" w:header="0" w:footer="567" w:gutter="0"/>
          <w:cols w:space="720" w:num="1"/>
          <w:docGrid w:linePitch="360" w:charSpace="0"/>
        </w:sectPr>
      </w:pPr>
    </w:p>
    <w:p w14:paraId="462D7769">
      <w:pPr>
        <w:pStyle w:val="16"/>
        <w:tabs>
          <w:tab w:val="left" w:pos="425"/>
        </w:tabs>
        <w:spacing w:before="240" w:beforeLines="100" w:afterLines="50" w:line="330" w:lineRule="exact"/>
        <w:jc w:val="center"/>
        <w:outlineLvl w:val="0"/>
        <w:rPr>
          <w:rFonts w:ascii="Times New Roman" w:hAnsi="Times New Roman" w:eastAsia="黑体"/>
          <w:sz w:val="28"/>
          <w:szCs w:val="28"/>
        </w:rPr>
      </w:pPr>
      <w:bookmarkStart w:id="97" w:name="_Toc182487975"/>
      <w:r>
        <w:rPr>
          <w:rFonts w:ascii="Times New Roman" w:hAnsi="Times New Roman" w:eastAsia="黑体"/>
          <w:sz w:val="28"/>
          <w:szCs w:val="28"/>
        </w:rPr>
        <w:t>15时钟系统</w:t>
      </w:r>
      <w:bookmarkEnd w:id="97"/>
    </w:p>
    <w:p w14:paraId="594AC721">
      <w:pPr>
        <w:pStyle w:val="3"/>
        <w:spacing w:before="240" w:after="120" w:afterLines="50" w:line="330" w:lineRule="exact"/>
        <w:rPr>
          <w:rFonts w:eastAsia="黑体"/>
          <w:b w:val="0"/>
          <w:sz w:val="21"/>
          <w:szCs w:val="21"/>
          <w:lang w:val="en-US"/>
        </w:rPr>
      </w:pPr>
      <w:bookmarkStart w:id="98" w:name="_Toc182487976"/>
      <w:r>
        <w:rPr>
          <w:rFonts w:eastAsia="黑体"/>
          <w:b w:val="0"/>
          <w:sz w:val="21"/>
          <w:szCs w:val="21"/>
          <w:lang w:val="en-US"/>
        </w:rPr>
        <w:t>15.1 一般规定</w:t>
      </w:r>
      <w:bookmarkEnd w:id="98"/>
    </w:p>
    <w:p w14:paraId="7FBFCC80">
      <w:pPr>
        <w:spacing w:line="330" w:lineRule="exact"/>
        <w:ind w:left="0" w:firstLine="0" w:firstLineChars="0"/>
        <w:rPr>
          <w:rFonts w:ascii="Times New Roman" w:hAnsi="Times New Roman"/>
        </w:rPr>
      </w:pPr>
      <w:r>
        <w:rPr>
          <w:rFonts w:ascii="Times New Roman" w:hAnsi="Times New Roman"/>
        </w:rPr>
        <w:t>15.1.1 时钟系统应包括中央管理服务器、管理客户端、中心母钟、时间服务器、GPS接收单元、天线、各类子钟、系统软件等。</w:t>
      </w:r>
    </w:p>
    <w:p w14:paraId="7C15423B">
      <w:pPr>
        <w:pStyle w:val="3"/>
        <w:spacing w:before="240" w:after="120" w:afterLines="50" w:line="330" w:lineRule="exact"/>
        <w:rPr>
          <w:rFonts w:eastAsia="黑体"/>
          <w:b w:val="0"/>
          <w:sz w:val="21"/>
          <w:szCs w:val="21"/>
          <w:lang w:val="en-US"/>
        </w:rPr>
      </w:pPr>
      <w:bookmarkStart w:id="99" w:name="_Toc182487977"/>
      <w:r>
        <w:rPr>
          <w:rFonts w:eastAsia="黑体"/>
          <w:b w:val="0"/>
          <w:sz w:val="21"/>
          <w:szCs w:val="21"/>
          <w:lang w:val="en-US"/>
        </w:rPr>
        <w:t>15.2 施工准备</w:t>
      </w:r>
      <w:bookmarkEnd w:id="99"/>
    </w:p>
    <w:p w14:paraId="0DF01A60">
      <w:pPr>
        <w:spacing w:line="330" w:lineRule="exact"/>
        <w:ind w:left="0" w:firstLine="0" w:firstLineChars="0"/>
        <w:rPr>
          <w:rFonts w:ascii="Times New Roman" w:hAnsi="Times New Roman"/>
        </w:rPr>
      </w:pPr>
      <w:r>
        <w:rPr>
          <w:rFonts w:ascii="Times New Roman" w:hAnsi="Times New Roman"/>
        </w:rPr>
        <w:t>15.2.</w:t>
      </w:r>
      <w:r>
        <w:rPr>
          <w:rFonts w:hint="eastAsia" w:ascii="Times New Roman" w:hAnsi="Times New Roman"/>
        </w:rPr>
        <w:t>1</w:t>
      </w:r>
      <w:r>
        <w:rPr>
          <w:rFonts w:ascii="Times New Roman" w:hAnsi="Times New Roman"/>
        </w:rPr>
        <w:t xml:space="preserve"> 主要</w:t>
      </w:r>
      <w:r>
        <w:rPr>
          <w:rFonts w:hint="eastAsia" w:ascii="Times New Roman" w:hAnsi="Times New Roman"/>
        </w:rPr>
        <w:t>材料有</w:t>
      </w:r>
      <w:r>
        <w:rPr>
          <w:rFonts w:ascii="Times New Roman" w:hAnsi="Times New Roman"/>
        </w:rPr>
        <w:t>数字子钟、模拟子钟、一级母钟、时码分配器、时间服务器、GPS天线接收器、GPS 天线等。</w:t>
      </w:r>
    </w:p>
    <w:p w14:paraId="4F309DDB">
      <w:pPr>
        <w:spacing w:line="330" w:lineRule="exact"/>
        <w:ind w:left="0" w:firstLine="0" w:firstLineChars="0"/>
        <w:rPr>
          <w:rFonts w:ascii="Times New Roman" w:hAnsi="Times New Roman"/>
        </w:rPr>
      </w:pPr>
      <w:r>
        <w:rPr>
          <w:rFonts w:ascii="Times New Roman" w:hAnsi="Times New Roman"/>
        </w:rPr>
        <w:t>15.2.</w:t>
      </w:r>
      <w:r>
        <w:rPr>
          <w:rFonts w:hint="eastAsia" w:ascii="Times New Roman" w:hAnsi="Times New Roman"/>
        </w:rPr>
        <w:t>2</w:t>
      </w:r>
      <w:r>
        <w:rPr>
          <w:rFonts w:ascii="Times New Roman" w:hAnsi="Times New Roman"/>
        </w:rPr>
        <w:t xml:space="preserve"> 主要机具</w:t>
      </w:r>
      <w:r>
        <w:rPr>
          <w:rFonts w:hint="eastAsia" w:ascii="Times New Roman" w:hAnsi="Times New Roman"/>
        </w:rPr>
        <w:t>有</w:t>
      </w:r>
      <w:r>
        <w:rPr>
          <w:rFonts w:ascii="Times New Roman" w:hAnsi="Times New Roman"/>
        </w:rPr>
        <w:t>电焊机、切割机、电钻、砂轮机、专用工具等施工</w:t>
      </w:r>
      <w:r>
        <w:rPr>
          <w:rFonts w:hint="eastAsia" w:ascii="Times New Roman" w:hAnsi="Times New Roman"/>
        </w:rPr>
        <w:t>机具</w:t>
      </w:r>
      <w:r>
        <w:rPr>
          <w:rFonts w:ascii="Times New Roman" w:hAnsi="Times New Roman"/>
        </w:rPr>
        <w:t>；数字万用表、对讲机、频谱分析仪、场强仪等测试仪器。</w:t>
      </w:r>
    </w:p>
    <w:p w14:paraId="1724B141">
      <w:pPr>
        <w:spacing w:line="330" w:lineRule="exact"/>
        <w:ind w:left="0" w:firstLine="0" w:firstLineChars="0"/>
        <w:rPr>
          <w:rFonts w:ascii="Times New Roman" w:hAnsi="Times New Roman"/>
        </w:rPr>
      </w:pPr>
      <w:r>
        <w:rPr>
          <w:rFonts w:ascii="Times New Roman" w:hAnsi="Times New Roman"/>
        </w:rPr>
        <w:t>15.2.</w:t>
      </w:r>
      <w:r>
        <w:rPr>
          <w:rFonts w:hint="eastAsia" w:ascii="Times New Roman" w:hAnsi="Times New Roman"/>
        </w:rPr>
        <w:t>3</w:t>
      </w:r>
      <w:r>
        <w:rPr>
          <w:rFonts w:ascii="Times New Roman" w:hAnsi="Times New Roman"/>
        </w:rPr>
        <w:t xml:space="preserve"> 作业条件</w:t>
      </w:r>
      <w:r>
        <w:rPr>
          <w:rFonts w:hint="eastAsia" w:ascii="Times New Roman" w:hAnsi="Times New Roman"/>
        </w:rPr>
        <w:t>应符合下列规定：</w:t>
      </w:r>
    </w:p>
    <w:p w14:paraId="75B0C428">
      <w:pPr>
        <w:spacing w:line="330" w:lineRule="exact"/>
        <w:ind w:left="0" w:firstLine="422" w:firstLineChars="200"/>
        <w:rPr>
          <w:rFonts w:ascii="Times New Roman" w:hAnsi="Times New Roman"/>
        </w:rPr>
      </w:pPr>
      <w:r>
        <w:rPr>
          <w:rFonts w:ascii="Times New Roman" w:hAnsi="Times New Roman"/>
          <w:b/>
          <w:bCs/>
        </w:rPr>
        <w:t>1</w:t>
      </w:r>
      <w:r>
        <w:rPr>
          <w:rFonts w:ascii="Times New Roman" w:hAnsi="Times New Roman"/>
        </w:rPr>
        <w:t xml:space="preserve"> 机房地线和电源线的布放应</w:t>
      </w:r>
      <w:r>
        <w:rPr>
          <w:rFonts w:hint="eastAsia" w:ascii="Times New Roman" w:hAnsi="Times New Roman"/>
        </w:rPr>
        <w:t>满足设计</w:t>
      </w:r>
      <w:r>
        <w:rPr>
          <w:rFonts w:ascii="Times New Roman" w:hAnsi="Times New Roman"/>
        </w:rPr>
        <w:t>要求。</w:t>
      </w:r>
    </w:p>
    <w:p w14:paraId="19621F8E">
      <w:pPr>
        <w:spacing w:line="330" w:lineRule="exact"/>
        <w:ind w:left="0" w:firstLine="422" w:firstLineChars="200"/>
        <w:rPr>
          <w:rFonts w:ascii="Times New Roman" w:hAnsi="Times New Roman"/>
        </w:rPr>
      </w:pPr>
      <w:r>
        <w:rPr>
          <w:rFonts w:ascii="Times New Roman" w:hAnsi="Times New Roman"/>
          <w:b/>
          <w:bCs/>
        </w:rPr>
        <w:t xml:space="preserve">2 </w:t>
      </w:r>
      <w:r>
        <w:rPr>
          <w:rFonts w:ascii="Times New Roman" w:hAnsi="Times New Roman"/>
        </w:rPr>
        <w:t>前端设备、传输设备、电源设备等全部到齐，其他设备和材料数量应满足连续施工的要求。</w:t>
      </w:r>
    </w:p>
    <w:p w14:paraId="64614926">
      <w:pPr>
        <w:spacing w:line="330" w:lineRule="exact"/>
        <w:ind w:left="0" w:firstLine="422" w:firstLineChars="200"/>
        <w:rPr>
          <w:rFonts w:ascii="Times New Roman" w:hAnsi="Times New Roman"/>
        </w:rPr>
      </w:pPr>
      <w:r>
        <w:rPr>
          <w:rFonts w:ascii="Times New Roman" w:hAnsi="Times New Roman"/>
          <w:b/>
          <w:bCs/>
        </w:rPr>
        <w:t>3</w:t>
      </w:r>
      <w:r>
        <w:rPr>
          <w:rFonts w:ascii="Times New Roman" w:hAnsi="Times New Roman"/>
        </w:rPr>
        <w:t xml:space="preserve"> 型材、管材和铁件应</w:t>
      </w:r>
      <w:r>
        <w:rPr>
          <w:rFonts w:hint="eastAsia" w:ascii="Times New Roman" w:hAnsi="Times New Roman"/>
        </w:rPr>
        <w:t>满足</w:t>
      </w:r>
      <w:r>
        <w:rPr>
          <w:rFonts w:ascii="Times New Roman" w:hAnsi="Times New Roman"/>
        </w:rPr>
        <w:t>施工要求。</w:t>
      </w:r>
    </w:p>
    <w:p w14:paraId="03402A59">
      <w:pPr>
        <w:spacing w:line="330" w:lineRule="exact"/>
        <w:ind w:left="0" w:firstLine="422" w:firstLineChars="200"/>
        <w:rPr>
          <w:rFonts w:ascii="Times New Roman" w:hAnsi="Times New Roman"/>
        </w:rPr>
      </w:pPr>
      <w:r>
        <w:rPr>
          <w:rFonts w:ascii="Times New Roman" w:hAnsi="Times New Roman"/>
          <w:b/>
          <w:bCs/>
        </w:rPr>
        <w:t>4</w:t>
      </w:r>
      <w:r>
        <w:rPr>
          <w:rFonts w:ascii="Times New Roman" w:hAnsi="Times New Roman"/>
        </w:rPr>
        <w:t>工程中使用的视频电缆和光缆规格、形式应</w:t>
      </w:r>
      <w:r>
        <w:rPr>
          <w:rFonts w:hint="eastAsia" w:ascii="Times New Roman" w:hAnsi="Times New Roman"/>
        </w:rPr>
        <w:t>满足设计</w:t>
      </w:r>
      <w:r>
        <w:rPr>
          <w:rFonts w:ascii="Times New Roman" w:hAnsi="Times New Roman"/>
        </w:rPr>
        <w:t>要求。</w:t>
      </w:r>
    </w:p>
    <w:p w14:paraId="4FA54F41">
      <w:pPr>
        <w:pStyle w:val="3"/>
        <w:spacing w:before="240" w:after="120" w:afterLines="50" w:line="330" w:lineRule="exact"/>
        <w:rPr>
          <w:rFonts w:eastAsia="黑体"/>
          <w:b w:val="0"/>
          <w:sz w:val="21"/>
          <w:szCs w:val="21"/>
          <w:lang w:val="en-US"/>
        </w:rPr>
      </w:pPr>
      <w:bookmarkStart w:id="100" w:name="_Toc182487978"/>
      <w:r>
        <w:rPr>
          <w:rFonts w:eastAsia="黑体"/>
          <w:b w:val="0"/>
          <w:sz w:val="21"/>
          <w:szCs w:val="21"/>
          <w:lang w:val="en-US"/>
        </w:rPr>
        <w:t>15.3 施工工艺</w:t>
      </w:r>
      <w:bookmarkEnd w:id="100"/>
    </w:p>
    <w:p w14:paraId="13DE4FED">
      <w:pPr>
        <w:spacing w:line="330" w:lineRule="exact"/>
        <w:ind w:left="0" w:firstLine="0" w:firstLineChars="0"/>
        <w:rPr>
          <w:rFonts w:ascii="Times New Roman" w:hAnsi="Times New Roman"/>
        </w:rPr>
      </w:pPr>
      <w:r>
        <w:rPr>
          <w:rFonts w:ascii="Times New Roman" w:hAnsi="Times New Roman"/>
        </w:rPr>
        <w:t xml:space="preserve">15.3.1 </w:t>
      </w:r>
      <w:r>
        <w:rPr>
          <w:rFonts w:ascii="Times New Roman" w:hAnsi="Times New Roman" w:eastAsiaTheme="minorEastAsia"/>
          <w:szCs w:val="21"/>
        </w:rPr>
        <w:t>时钟系统施工工艺流程见图15.3.1。</w:t>
      </w:r>
    </w:p>
    <w:p w14:paraId="52AD0360">
      <w:pPr>
        <w:ind w:left="105" w:hanging="105"/>
        <w:rPr>
          <w:rFonts w:ascii="Times New Roman" w:hAnsi="Times New Roman"/>
          <w:lang w:val="zh-CN"/>
        </w:rPr>
      </w:pPr>
    </w:p>
    <w:p w14:paraId="52675044">
      <w:pPr>
        <w:ind w:left="0" w:firstLine="0" w:firstLineChars="0"/>
        <w:jc w:val="center"/>
        <w:rPr>
          <w:rFonts w:ascii="Times New Roman" w:hAnsi="Times New Roman" w:eastAsiaTheme="minorEastAsia"/>
          <w:sz w:val="20"/>
          <w:szCs w:val="21"/>
        </w:rPr>
      </w:pPr>
      <w:r>
        <w:rPr>
          <w:rFonts w:ascii="Times New Roman" w:hAnsi="Times New Roman"/>
        </w:rPr>
        <mc:AlternateContent>
          <mc:Choice Requires="wpg">
            <w:drawing>
              <wp:inline distT="0" distB="0" distL="0" distR="0">
                <wp:extent cx="5041265" cy="396240"/>
                <wp:effectExtent l="0" t="0" r="26035" b="22860"/>
                <wp:docPr id="146" name="组合 146"/>
                <wp:cNvGraphicFramePr/>
                <a:graphic xmlns:a="http://schemas.openxmlformats.org/drawingml/2006/main">
                  <a:graphicData uri="http://schemas.microsoft.com/office/word/2010/wordprocessingGroup">
                    <wpg:wgp>
                      <wpg:cNvGrpSpPr/>
                      <wpg:grpSpPr>
                        <a:xfrm>
                          <a:off x="0" y="0"/>
                          <a:ext cx="5041265" cy="396240"/>
                          <a:chOff x="3" y="0"/>
                          <a:chExt cx="7939" cy="624"/>
                        </a:xfrm>
                      </wpg:grpSpPr>
                      <wps:wsp>
                        <wps:cNvPr id="147" name="Line 83"/>
                        <wps:cNvCnPr>
                          <a:cxnSpLocks noChangeShapeType="1"/>
                        </wps:cNvCnPr>
                        <wps:spPr bwMode="auto">
                          <a:xfrm>
                            <a:off x="1649" y="314"/>
                            <a:ext cx="535" cy="0"/>
                          </a:xfrm>
                          <a:prstGeom prst="line">
                            <a:avLst/>
                          </a:prstGeom>
                          <a:noFill/>
                          <a:ln w="9525">
                            <a:solidFill>
                              <a:srgbClr val="000000"/>
                            </a:solidFill>
                            <a:round/>
                            <a:tailEnd type="triangle" w="med" len="med"/>
                          </a:ln>
                        </wps:spPr>
                        <wps:bodyPr/>
                      </wps:wsp>
                      <wps:wsp>
                        <wps:cNvPr id="148" name="Line 84"/>
                        <wps:cNvCnPr>
                          <a:cxnSpLocks noChangeShapeType="1"/>
                        </wps:cNvCnPr>
                        <wps:spPr bwMode="auto">
                          <a:xfrm flipV="1">
                            <a:off x="3828" y="312"/>
                            <a:ext cx="572" cy="2"/>
                          </a:xfrm>
                          <a:prstGeom prst="line">
                            <a:avLst/>
                          </a:prstGeom>
                          <a:noFill/>
                          <a:ln w="9525">
                            <a:solidFill>
                              <a:srgbClr val="000000"/>
                            </a:solidFill>
                            <a:round/>
                            <a:tailEnd type="triangle" w="med" len="med"/>
                          </a:ln>
                        </wps:spPr>
                        <wps:bodyPr/>
                      </wps:wsp>
                      <wps:wsp>
                        <wps:cNvPr id="149" name="Line 85"/>
                        <wps:cNvCnPr>
                          <a:cxnSpLocks noChangeShapeType="1"/>
                        </wps:cNvCnPr>
                        <wps:spPr bwMode="auto">
                          <a:xfrm>
                            <a:off x="5660" y="312"/>
                            <a:ext cx="662" cy="0"/>
                          </a:xfrm>
                          <a:prstGeom prst="line">
                            <a:avLst/>
                          </a:prstGeom>
                          <a:noFill/>
                          <a:ln w="9525">
                            <a:solidFill>
                              <a:srgbClr val="000000"/>
                            </a:solidFill>
                            <a:round/>
                            <a:tailEnd type="triangle" w="med" len="med"/>
                          </a:ln>
                        </wps:spPr>
                        <wps:bodyPr/>
                      </wps:wsp>
                      <wps:wsp>
                        <wps:cNvPr id="150" name="Rectangle 87"/>
                        <wps:cNvSpPr>
                          <a:spLocks noChangeArrowheads="1"/>
                        </wps:cNvSpPr>
                        <wps:spPr bwMode="auto">
                          <a:xfrm>
                            <a:off x="2184" y="3"/>
                            <a:ext cx="1644" cy="621"/>
                          </a:xfrm>
                          <a:prstGeom prst="rect">
                            <a:avLst/>
                          </a:prstGeom>
                          <a:solidFill>
                            <a:srgbClr val="FFFFFF"/>
                          </a:solidFill>
                          <a:ln w="9525">
                            <a:solidFill>
                              <a:srgbClr val="000000"/>
                            </a:solidFill>
                            <a:miter lim="800000"/>
                          </a:ln>
                        </wps:spPr>
                        <wps:txbx>
                          <w:txbxContent>
                            <w:p w14:paraId="2D313EDD">
                              <w:pPr>
                                <w:ind w:left="105" w:hanging="105"/>
                                <w:jc w:val="center"/>
                              </w:pPr>
                              <w:r>
                                <w:rPr>
                                  <w:rFonts w:hint="eastAsia"/>
                                </w:rPr>
                                <w:t>系统软件安装</w:t>
                              </w:r>
                            </w:p>
                          </w:txbxContent>
                        </wps:txbx>
                        <wps:bodyPr rot="0" vert="horz" wrap="square" lIns="91440" tIns="82800" rIns="91440" bIns="45720" anchor="t" anchorCtr="0" upright="1">
                          <a:noAutofit/>
                        </wps:bodyPr>
                      </wps:wsp>
                      <wps:wsp>
                        <wps:cNvPr id="151" name="Rectangle 88"/>
                        <wps:cNvSpPr>
                          <a:spLocks noChangeArrowheads="1"/>
                        </wps:cNvSpPr>
                        <wps:spPr bwMode="auto">
                          <a:xfrm>
                            <a:off x="3" y="3"/>
                            <a:ext cx="1646" cy="621"/>
                          </a:xfrm>
                          <a:prstGeom prst="rect">
                            <a:avLst/>
                          </a:prstGeom>
                          <a:solidFill>
                            <a:srgbClr val="FFFFFF"/>
                          </a:solidFill>
                          <a:ln w="9525">
                            <a:solidFill>
                              <a:srgbClr val="000000"/>
                            </a:solidFill>
                            <a:miter lim="800000"/>
                          </a:ln>
                        </wps:spPr>
                        <wps:txbx>
                          <w:txbxContent>
                            <w:p w14:paraId="635E01D1">
                              <w:pPr>
                                <w:ind w:left="105" w:hanging="105"/>
                                <w:jc w:val="center"/>
                              </w:pPr>
                              <w:r>
                                <w:rPr>
                                  <w:rFonts w:hint="eastAsia"/>
                                </w:rPr>
                                <w:t>系统设备安装</w:t>
                              </w:r>
                            </w:p>
                          </w:txbxContent>
                        </wps:txbx>
                        <wps:bodyPr rot="0" vert="horz" wrap="square" lIns="91440" tIns="82800" rIns="91440" bIns="45720" anchor="t" anchorCtr="0" upright="1">
                          <a:noAutofit/>
                        </wps:bodyPr>
                      </wps:wsp>
                      <wps:wsp>
                        <wps:cNvPr id="152" name="Rectangle 89"/>
                        <wps:cNvSpPr>
                          <a:spLocks noChangeArrowheads="1"/>
                        </wps:cNvSpPr>
                        <wps:spPr bwMode="auto">
                          <a:xfrm>
                            <a:off x="4400" y="0"/>
                            <a:ext cx="1260" cy="624"/>
                          </a:xfrm>
                          <a:prstGeom prst="rect">
                            <a:avLst/>
                          </a:prstGeom>
                          <a:solidFill>
                            <a:srgbClr val="FFFFFF"/>
                          </a:solidFill>
                          <a:ln w="9525">
                            <a:solidFill>
                              <a:srgbClr val="000000"/>
                            </a:solidFill>
                            <a:miter lim="800000"/>
                          </a:ln>
                        </wps:spPr>
                        <wps:txbx>
                          <w:txbxContent>
                            <w:p w14:paraId="3517C260">
                              <w:pPr>
                                <w:ind w:left="105" w:hanging="105"/>
                                <w:jc w:val="center"/>
                                <w:rPr>
                                  <w:rFonts w:ascii="宋体" w:hAnsi="宋体"/>
                                  <w:spacing w:val="-10"/>
                                  <w:kern w:val="0"/>
                                </w:rPr>
                              </w:pPr>
                              <w:r>
                                <w:rPr>
                                  <w:rFonts w:hint="eastAsia"/>
                                </w:rPr>
                                <w:t>系统调试</w:t>
                              </w:r>
                            </w:p>
                          </w:txbxContent>
                        </wps:txbx>
                        <wps:bodyPr rot="0" vert="horz" wrap="square" lIns="91440" tIns="82800" rIns="91440" bIns="45720" anchor="t" anchorCtr="0" upright="1">
                          <a:noAutofit/>
                        </wps:bodyPr>
                      </wps:wsp>
                      <wps:wsp>
                        <wps:cNvPr id="153" name="Rectangle 90"/>
                        <wps:cNvSpPr>
                          <a:spLocks noChangeArrowheads="1"/>
                        </wps:cNvSpPr>
                        <wps:spPr bwMode="auto">
                          <a:xfrm>
                            <a:off x="6322" y="0"/>
                            <a:ext cx="1620" cy="624"/>
                          </a:xfrm>
                          <a:prstGeom prst="rect">
                            <a:avLst/>
                          </a:prstGeom>
                          <a:solidFill>
                            <a:srgbClr val="FFFFFF"/>
                          </a:solidFill>
                          <a:ln w="9525">
                            <a:solidFill>
                              <a:srgbClr val="000000"/>
                            </a:solidFill>
                            <a:miter lim="800000"/>
                          </a:ln>
                        </wps:spPr>
                        <wps:txbx>
                          <w:txbxContent>
                            <w:p w14:paraId="72CB8AB5">
                              <w:pPr>
                                <w:ind w:left="105" w:hanging="105"/>
                                <w:jc w:val="center"/>
                              </w:pPr>
                              <w:r>
                                <w:rPr>
                                  <w:rFonts w:hint="eastAsia"/>
                                </w:rPr>
                                <w:t>系统测试</w:t>
                              </w:r>
                            </w:p>
                          </w:txbxContent>
                        </wps:txbx>
                        <wps:bodyPr rot="0" vert="horz" wrap="square" lIns="91440" tIns="82800" rIns="91440" bIns="45720" anchor="t" anchorCtr="0" upright="1">
                          <a:noAutofit/>
                        </wps:bodyPr>
                      </wps:wsp>
                    </wpg:wgp>
                  </a:graphicData>
                </a:graphic>
              </wp:inline>
            </w:drawing>
          </mc:Choice>
          <mc:Fallback>
            <w:pict>
              <v:group id="_x0000_s1026" o:spid="_x0000_s1026" o:spt="203" style="height:31.2pt;width:396.95pt;" coordorigin="3,0" coordsize="7939,624" o:gfxdata="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xIduk1gAA&#10;AAQBAAAPAAAAAAAAAAEAIAAAACIAAABkcnMvZG93bnJldi54bWxQSwECFAAUAAAACACHTuJAFM0J&#10;vegDAABnEwAADgAAAAAAAAABACAAAAAlAQAAZHJzL2Uyb0RvYy54bWxQSwUGAAAAAAYABgBZAQAA&#10;fwcAAAAA&#10;">
                <o:lock v:ext="edit" aspectratio="f"/>
                <v:line id="Line 83" o:spid="_x0000_s1026" o:spt="20" style="position:absolute;left:1649;top:314;height:0;width:535;"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4" o:spid="_x0000_s1026" o:spt="20" style="position:absolute;left:3828;top:312;flip:y;height:2;width:572;" filled="f" stroked="t" coordsize="21600,21600" o:gfxdata="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fR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5" o:spid="_x0000_s1026" o:spt="20" style="position:absolute;left:5660;top:312;height:0;width:662;"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87" o:spid="_x0000_s1026" o:spt="1" style="position:absolute;left:2184;top:3;height:621;width:1644;" fillcolor="#FFFFFF" filled="t" stroked="t" coordsize="21600,21600" o:gfxdata="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m/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54mm,2.3mm,2.54mm,1.27mm">
                    <w:txbxContent>
                      <w:p w14:paraId="2D313EDD">
                        <w:pPr>
                          <w:ind w:left="105" w:hanging="105"/>
                          <w:jc w:val="center"/>
                        </w:pPr>
                        <w:r>
                          <w:rPr>
                            <w:rFonts w:hint="eastAsia"/>
                          </w:rPr>
                          <w:t>系统软件安装</w:t>
                        </w:r>
                      </w:p>
                    </w:txbxContent>
                  </v:textbox>
                </v:rect>
                <v:rect id="Rectangle 88" o:spid="_x0000_s1026" o:spt="1" style="position:absolute;left:3;top:3;height:621;width:1646;" fillcolor="#FFFFFF" filled="t" stroked="t" coordsize="21600,21600" o:gfxdata="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F0N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635E01D1">
                        <w:pPr>
                          <w:ind w:left="105" w:hanging="105"/>
                          <w:jc w:val="center"/>
                        </w:pPr>
                        <w:r>
                          <w:rPr>
                            <w:rFonts w:hint="eastAsia"/>
                          </w:rPr>
                          <w:t>系统设备安装</w:t>
                        </w:r>
                      </w:p>
                    </w:txbxContent>
                  </v:textbox>
                </v:rect>
                <v:rect id="Rectangle 89" o:spid="_x0000_s1026" o:spt="1" style="position:absolute;left:4400;top:0;height:624;width:1260;" fillcolor="#FFFFFF" filled="t" stroked="t" coordsize="21600,21600" o:gfxdata="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XdE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2.3mm,2.54mm,1.27mm">
                    <w:txbxContent>
                      <w:p w14:paraId="3517C260">
                        <w:pPr>
                          <w:ind w:left="105" w:hanging="105"/>
                          <w:jc w:val="center"/>
                          <w:rPr>
                            <w:rFonts w:ascii="宋体" w:hAnsi="宋体"/>
                            <w:spacing w:val="-10"/>
                            <w:kern w:val="0"/>
                          </w:rPr>
                        </w:pPr>
                        <w:r>
                          <w:rPr>
                            <w:rFonts w:hint="eastAsia"/>
                          </w:rPr>
                          <w:t>系统调试</w:t>
                        </w:r>
                      </w:p>
                    </w:txbxContent>
                  </v:textbox>
                </v:rect>
                <v:rect id="Rectangle 90" o:spid="_x0000_s1026" o:spt="1" style="position:absolute;left:6322;top:0;height:624;width:1620;" fillcolor="#FFFFFF" filled="t" stroked="t" coordsize="21600,21600" o:gfxdata="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iXi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2.3mm,2.54mm,1.27mm">
                    <w:txbxContent>
                      <w:p w14:paraId="72CB8AB5">
                        <w:pPr>
                          <w:ind w:left="105" w:hanging="105"/>
                          <w:jc w:val="center"/>
                        </w:pPr>
                        <w:r>
                          <w:rPr>
                            <w:rFonts w:hint="eastAsia"/>
                          </w:rPr>
                          <w:t>系统测试</w:t>
                        </w:r>
                      </w:p>
                    </w:txbxContent>
                  </v:textbox>
                </v:rect>
                <w10:wrap type="none"/>
                <w10:anchorlock/>
              </v:group>
            </w:pict>
          </mc:Fallback>
        </mc:AlternateContent>
      </w:r>
    </w:p>
    <w:p w14:paraId="607F2B1A">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图15.3.1   时钟系统施工工艺流程图</w:t>
      </w:r>
    </w:p>
    <w:p w14:paraId="09A55B97">
      <w:pPr>
        <w:spacing w:line="330" w:lineRule="exact"/>
        <w:ind w:left="0" w:firstLine="0" w:firstLineChars="0"/>
        <w:rPr>
          <w:rFonts w:ascii="Times New Roman" w:hAnsi="Times New Roman"/>
        </w:rPr>
      </w:pPr>
      <w:r>
        <w:rPr>
          <w:rFonts w:ascii="Times New Roman" w:hAnsi="Times New Roman"/>
        </w:rPr>
        <w:t>15.3.2 系统设备安装应</w:t>
      </w:r>
      <w:r>
        <w:rPr>
          <w:rFonts w:hint="eastAsia" w:ascii="Times New Roman" w:hAnsi="Times New Roman"/>
        </w:rPr>
        <w:t>符合</w:t>
      </w:r>
      <w:r>
        <w:rPr>
          <w:rFonts w:ascii="Times New Roman" w:hAnsi="Times New Roman"/>
        </w:rPr>
        <w:t>下列</w:t>
      </w:r>
      <w:r>
        <w:rPr>
          <w:rFonts w:hint="eastAsia" w:ascii="Times New Roman" w:hAnsi="Times New Roman"/>
        </w:rPr>
        <w:t>规定</w:t>
      </w:r>
      <w:r>
        <w:rPr>
          <w:rFonts w:ascii="Times New Roman" w:hAnsi="Times New Roman"/>
        </w:rPr>
        <w:t>：</w:t>
      </w:r>
    </w:p>
    <w:p w14:paraId="27B76CD9">
      <w:pPr>
        <w:spacing w:line="330" w:lineRule="exact"/>
        <w:ind w:left="0" w:firstLine="422" w:firstLineChars="200"/>
        <w:rPr>
          <w:rFonts w:ascii="Times New Roman" w:hAnsi="Times New Roman"/>
        </w:rPr>
      </w:pPr>
      <w:r>
        <w:rPr>
          <w:rFonts w:ascii="Times New Roman" w:hAnsi="Times New Roman"/>
          <w:b/>
          <w:bCs/>
        </w:rPr>
        <w:t>1</w:t>
      </w:r>
      <w:r>
        <w:rPr>
          <w:rFonts w:ascii="Times New Roman" w:hAnsi="Times New Roman"/>
        </w:rPr>
        <w:t xml:space="preserve"> 中心母钟、时间服务器、监控计算机、分路输出接口箱应安装于机房的机柜内，并符合下列规定：</w:t>
      </w:r>
    </w:p>
    <w:p w14:paraId="42D79520">
      <w:pPr>
        <w:pStyle w:val="164"/>
        <w:numPr>
          <w:ilvl w:val="0"/>
          <w:numId w:val="149"/>
        </w:numPr>
        <w:tabs>
          <w:tab w:val="left" w:pos="210"/>
          <w:tab w:val="left" w:pos="567"/>
        </w:tabs>
        <w:spacing w:line="330" w:lineRule="exact"/>
        <w:ind w:firstLine="630" w:firstLineChars="300"/>
      </w:pPr>
      <w:r>
        <w:t>按设计及设备安装图，应将分路接口与子钟等设备连接；</w:t>
      </w:r>
    </w:p>
    <w:p w14:paraId="6380D3B9">
      <w:pPr>
        <w:pStyle w:val="164"/>
        <w:numPr>
          <w:ilvl w:val="0"/>
          <w:numId w:val="149"/>
        </w:numPr>
        <w:tabs>
          <w:tab w:val="left" w:pos="210"/>
          <w:tab w:val="left" w:pos="567"/>
        </w:tabs>
        <w:spacing w:line="330" w:lineRule="exact"/>
        <w:ind w:firstLine="630" w:firstLineChars="300"/>
      </w:pPr>
      <w:r>
        <w:t>中心母钟机柜安装位置与GPS天线距离不宜大于300m；</w:t>
      </w:r>
    </w:p>
    <w:p w14:paraId="60475E03">
      <w:pPr>
        <w:pStyle w:val="164"/>
        <w:numPr>
          <w:ilvl w:val="0"/>
          <w:numId w:val="149"/>
        </w:numPr>
        <w:tabs>
          <w:tab w:val="left" w:pos="210"/>
          <w:tab w:val="left" w:pos="567"/>
        </w:tabs>
        <w:spacing w:line="330" w:lineRule="exact"/>
        <w:ind w:firstLine="630" w:firstLineChars="300"/>
      </w:pPr>
      <w:r>
        <w:rPr>
          <w:rFonts w:hint="eastAsia"/>
        </w:rPr>
        <w:t>时间服务器、监控计算机的安装应符合本规程第1</w:t>
      </w:r>
      <w:r>
        <w:t>4</w:t>
      </w:r>
      <w:r>
        <w:rPr>
          <w:rFonts w:hint="eastAsia"/>
        </w:rPr>
        <w:t>.</w:t>
      </w:r>
      <w:r>
        <w:t>3</w:t>
      </w:r>
      <w:r>
        <w:rPr>
          <w:rFonts w:hint="eastAsia"/>
        </w:rPr>
        <w:t>.</w:t>
      </w:r>
      <w:r>
        <w:t>5</w:t>
      </w:r>
      <w:r>
        <w:rPr>
          <w:rFonts w:hint="eastAsia"/>
        </w:rPr>
        <w:t>有关规定：</w:t>
      </w:r>
    </w:p>
    <w:p w14:paraId="585C495F">
      <w:pPr>
        <w:spacing w:line="330" w:lineRule="exact"/>
        <w:ind w:left="0" w:firstLine="422" w:firstLineChars="200"/>
        <w:rPr>
          <w:rFonts w:ascii="Times New Roman" w:hAnsi="Times New Roman"/>
        </w:rPr>
      </w:pPr>
      <w:r>
        <w:rPr>
          <w:rFonts w:ascii="Times New Roman" w:hAnsi="Times New Roman"/>
          <w:b/>
          <w:bCs/>
        </w:rPr>
        <w:t>2</w:t>
      </w:r>
      <w:r>
        <w:rPr>
          <w:rFonts w:ascii="Times New Roman" w:hAnsi="Times New Roman"/>
        </w:rPr>
        <w:t xml:space="preserve"> 子钟安装应牢固；壁挂式子钟的安装高度宜为2.3m~2.7m；吊挂式子钟的安装高度宜为 2.1m~2.7m；应安装在实心墙体上或者进行加固，不应在空心砖墙上安装膨胀螺栓；</w:t>
      </w:r>
    </w:p>
    <w:p w14:paraId="67779534">
      <w:pPr>
        <w:spacing w:line="330" w:lineRule="exact"/>
        <w:ind w:left="0" w:firstLine="422" w:firstLineChars="200"/>
        <w:rPr>
          <w:rFonts w:ascii="Times New Roman" w:hAnsi="Times New Roman"/>
        </w:rPr>
      </w:pPr>
      <w:r>
        <w:rPr>
          <w:rFonts w:ascii="Times New Roman" w:hAnsi="Times New Roman"/>
          <w:b/>
          <w:bCs/>
        </w:rPr>
        <w:t>3</w:t>
      </w:r>
      <w:r>
        <w:rPr>
          <w:rFonts w:ascii="Times New Roman" w:hAnsi="Times New Roman"/>
        </w:rPr>
        <w:t xml:space="preserve"> 天线应安装于室外，至少应有三面无遮挡，且应在建筑物避雷区域内；</w:t>
      </w:r>
    </w:p>
    <w:p w14:paraId="71A3E7F8">
      <w:pPr>
        <w:spacing w:line="330" w:lineRule="exact"/>
        <w:ind w:left="0" w:firstLine="422" w:firstLineChars="200"/>
        <w:rPr>
          <w:rFonts w:ascii="Times New Roman" w:hAnsi="Times New Roman"/>
        </w:rPr>
      </w:pPr>
      <w:r>
        <w:rPr>
          <w:rFonts w:ascii="Times New Roman" w:hAnsi="Times New Roman"/>
          <w:b/>
          <w:bCs/>
        </w:rPr>
        <w:t>4</w:t>
      </w:r>
      <w:r>
        <w:rPr>
          <w:rFonts w:ascii="Times New Roman" w:hAnsi="Times New Roman"/>
        </w:rPr>
        <w:t xml:space="preserve"> 天线应固定在墙面或屋顶上的金属底座上；</w:t>
      </w:r>
    </w:p>
    <w:p w14:paraId="38070D81">
      <w:pPr>
        <w:spacing w:line="330" w:lineRule="exact"/>
        <w:ind w:left="0" w:firstLine="422" w:firstLineChars="200"/>
        <w:rPr>
          <w:rFonts w:ascii="Times New Roman" w:hAnsi="Times New Roman"/>
        </w:rPr>
      </w:pPr>
      <w:r>
        <w:rPr>
          <w:rFonts w:ascii="Times New Roman" w:hAnsi="Times New Roman"/>
          <w:b/>
          <w:bCs/>
        </w:rPr>
        <w:t>5</w:t>
      </w:r>
      <w:r>
        <w:rPr>
          <w:rFonts w:ascii="Times New Roman" w:hAnsi="Times New Roman"/>
        </w:rPr>
        <w:t xml:space="preserve"> 大型室外钟的安装应符合下列规定：</w:t>
      </w:r>
    </w:p>
    <w:p w14:paraId="019DE3CF">
      <w:pPr>
        <w:pStyle w:val="164"/>
        <w:numPr>
          <w:ilvl w:val="0"/>
          <w:numId w:val="150"/>
        </w:numPr>
        <w:tabs>
          <w:tab w:val="left" w:pos="210"/>
          <w:tab w:val="left" w:pos="567"/>
        </w:tabs>
        <w:spacing w:line="330" w:lineRule="exact"/>
        <w:ind w:firstLine="630" w:firstLineChars="300"/>
      </w:pPr>
      <w:r>
        <w:t>应根据室外钟的尺寸，考虑风力影响，宜做室外钟支撑架；</w:t>
      </w:r>
    </w:p>
    <w:p w14:paraId="21393CCA">
      <w:pPr>
        <w:pStyle w:val="164"/>
        <w:numPr>
          <w:ilvl w:val="0"/>
          <w:numId w:val="150"/>
        </w:numPr>
        <w:tabs>
          <w:tab w:val="left" w:pos="210"/>
          <w:tab w:val="left" w:pos="567"/>
        </w:tabs>
        <w:spacing w:line="330" w:lineRule="exact"/>
        <w:ind w:firstLine="630" w:firstLineChars="300"/>
      </w:pPr>
      <w:r>
        <w:t>对于钢结构的建筑，应以焊接的方式安装室外钟支撑架；</w:t>
      </w:r>
    </w:p>
    <w:p w14:paraId="2BDDDAE4">
      <w:pPr>
        <w:pStyle w:val="164"/>
        <w:numPr>
          <w:ilvl w:val="0"/>
          <w:numId w:val="150"/>
        </w:numPr>
        <w:tabs>
          <w:tab w:val="left" w:pos="210"/>
          <w:tab w:val="left" w:pos="567"/>
        </w:tabs>
        <w:spacing w:line="330" w:lineRule="exact"/>
        <w:ind w:firstLine="630" w:firstLineChars="300"/>
      </w:pPr>
      <w:r>
        <w:t>对于混凝土结构的建筑应以预埋钢架的方式安装室外钟支撑架；</w:t>
      </w:r>
    </w:p>
    <w:p w14:paraId="79232312">
      <w:pPr>
        <w:pStyle w:val="164"/>
        <w:numPr>
          <w:ilvl w:val="0"/>
          <w:numId w:val="150"/>
        </w:numPr>
        <w:tabs>
          <w:tab w:val="left" w:pos="210"/>
          <w:tab w:val="left" w:pos="567"/>
        </w:tabs>
        <w:spacing w:line="330" w:lineRule="exact"/>
        <w:ind w:firstLine="630" w:firstLineChars="300"/>
      </w:pPr>
      <w:r>
        <w:t>应按设计要求安装防雷击装置；</w:t>
      </w:r>
    </w:p>
    <w:p w14:paraId="5405619C">
      <w:pPr>
        <w:pStyle w:val="164"/>
        <w:numPr>
          <w:ilvl w:val="0"/>
          <w:numId w:val="150"/>
        </w:numPr>
        <w:tabs>
          <w:tab w:val="left" w:pos="210"/>
          <w:tab w:val="left" w:pos="567"/>
        </w:tabs>
        <w:spacing w:line="330" w:lineRule="exact"/>
        <w:ind w:firstLine="630" w:firstLineChars="300"/>
      </w:pPr>
      <w:r>
        <w:t>应做好防漏、防雨的密封措施；</w:t>
      </w:r>
    </w:p>
    <w:p w14:paraId="2B1447B9">
      <w:pPr>
        <w:spacing w:line="330" w:lineRule="exact"/>
        <w:ind w:left="0" w:firstLine="0" w:firstLineChars="0"/>
        <w:rPr>
          <w:rFonts w:ascii="Times New Roman" w:hAnsi="Times New Roman"/>
        </w:rPr>
      </w:pPr>
      <w:r>
        <w:rPr>
          <w:rFonts w:ascii="Times New Roman" w:hAnsi="Times New Roman"/>
        </w:rPr>
        <w:t>15.3.3 系统软件安装应满足下列要求：</w:t>
      </w:r>
    </w:p>
    <w:p w14:paraId="44105D26">
      <w:pPr>
        <w:spacing w:line="330" w:lineRule="exact"/>
        <w:ind w:left="0" w:firstLine="422" w:firstLineChars="200"/>
        <w:rPr>
          <w:rFonts w:ascii="Times New Roman" w:hAnsi="Times New Roman"/>
        </w:rPr>
      </w:pPr>
      <w:r>
        <w:rPr>
          <w:rFonts w:ascii="Times New Roman" w:hAnsi="Times New Roman"/>
          <w:b/>
          <w:bCs/>
        </w:rPr>
        <w:t>1</w:t>
      </w:r>
      <w:r>
        <w:rPr>
          <w:rFonts w:ascii="Times New Roman" w:hAnsi="Times New Roman"/>
        </w:rPr>
        <w:t xml:space="preserve"> 应按设计文件为设备安装相应的软件系统，系统安装应完整；</w:t>
      </w:r>
    </w:p>
    <w:p w14:paraId="42D24595">
      <w:pPr>
        <w:spacing w:line="330" w:lineRule="exact"/>
        <w:ind w:left="0" w:firstLine="422" w:firstLineChars="200"/>
        <w:rPr>
          <w:rFonts w:ascii="Times New Roman" w:hAnsi="Times New Roman"/>
        </w:rPr>
      </w:pPr>
      <w:r>
        <w:rPr>
          <w:rFonts w:ascii="Times New Roman" w:hAnsi="Times New Roman"/>
          <w:b/>
          <w:bCs/>
        </w:rPr>
        <w:t>2</w:t>
      </w:r>
      <w:r>
        <w:rPr>
          <w:rFonts w:ascii="Times New Roman" w:hAnsi="Times New Roman"/>
        </w:rPr>
        <w:t xml:space="preserve"> 应提供正版软件技术手册；</w:t>
      </w:r>
    </w:p>
    <w:p w14:paraId="17C4499C">
      <w:pPr>
        <w:spacing w:line="330" w:lineRule="exact"/>
        <w:ind w:left="0" w:firstLine="422" w:firstLineChars="200"/>
        <w:rPr>
          <w:rFonts w:ascii="Times New Roman" w:hAnsi="Times New Roman"/>
        </w:rPr>
      </w:pPr>
      <w:r>
        <w:rPr>
          <w:rFonts w:ascii="Times New Roman" w:hAnsi="Times New Roman"/>
          <w:b/>
          <w:bCs/>
        </w:rPr>
        <w:t>3</w:t>
      </w:r>
      <w:r>
        <w:rPr>
          <w:rFonts w:ascii="Times New Roman" w:hAnsi="Times New Roman"/>
        </w:rPr>
        <w:t xml:space="preserve"> 服务器不应安装与本系统无关的软件；</w:t>
      </w:r>
    </w:p>
    <w:p w14:paraId="6048AF66">
      <w:pPr>
        <w:spacing w:line="330" w:lineRule="exact"/>
        <w:ind w:left="0" w:firstLine="0" w:firstLineChars="0"/>
        <w:rPr>
          <w:rFonts w:ascii="Times New Roman" w:hAnsi="Times New Roman"/>
        </w:rPr>
      </w:pPr>
      <w:r>
        <w:rPr>
          <w:rFonts w:ascii="Times New Roman" w:hAnsi="Times New Roman"/>
        </w:rPr>
        <w:t>15.3.4 系统调试应满足下列要求：</w:t>
      </w:r>
    </w:p>
    <w:p w14:paraId="5F7DD211">
      <w:pPr>
        <w:spacing w:line="330" w:lineRule="exact"/>
        <w:ind w:left="0" w:firstLine="422" w:firstLineChars="200"/>
        <w:rPr>
          <w:rFonts w:ascii="Times New Roman" w:hAnsi="Times New Roman"/>
        </w:rPr>
      </w:pPr>
      <w:r>
        <w:rPr>
          <w:rFonts w:ascii="Times New Roman" w:hAnsi="Times New Roman"/>
          <w:b/>
          <w:bCs/>
        </w:rPr>
        <w:t>1</w:t>
      </w:r>
      <w:r>
        <w:rPr>
          <w:rFonts w:ascii="Times New Roman" w:hAnsi="Times New Roman"/>
        </w:rPr>
        <w:t xml:space="preserve"> 调试准备应符合下列规定：</w:t>
      </w:r>
    </w:p>
    <w:p w14:paraId="78F0B33C">
      <w:pPr>
        <w:pStyle w:val="164"/>
        <w:numPr>
          <w:ilvl w:val="0"/>
          <w:numId w:val="151"/>
        </w:numPr>
        <w:tabs>
          <w:tab w:val="left" w:pos="210"/>
          <w:tab w:val="left" w:pos="567"/>
        </w:tabs>
        <w:spacing w:line="330" w:lineRule="exact"/>
        <w:ind w:firstLine="630" w:firstLineChars="300"/>
      </w:pPr>
      <w:r>
        <w:t>系统调试前，应制定调试方案、测试计划，并应经会审批准；</w:t>
      </w:r>
    </w:p>
    <w:p w14:paraId="4518F590">
      <w:pPr>
        <w:pStyle w:val="164"/>
        <w:numPr>
          <w:ilvl w:val="0"/>
          <w:numId w:val="151"/>
        </w:numPr>
        <w:tabs>
          <w:tab w:val="left" w:pos="210"/>
          <w:tab w:val="left" w:pos="567"/>
        </w:tabs>
        <w:spacing w:line="330" w:lineRule="exact"/>
        <w:ind w:firstLine="630" w:firstLineChars="300"/>
      </w:pPr>
      <w:r>
        <w:t>设备规格、安装应满足设计要求，安装应稳固，外壳不应损伤；</w:t>
      </w:r>
    </w:p>
    <w:p w14:paraId="68A365E3">
      <w:pPr>
        <w:pStyle w:val="164"/>
        <w:numPr>
          <w:ilvl w:val="255"/>
          <w:numId w:val="0"/>
        </w:numPr>
        <w:tabs>
          <w:tab w:val="left" w:pos="210"/>
          <w:tab w:val="left" w:pos="567"/>
        </w:tabs>
        <w:spacing w:line="330" w:lineRule="exact"/>
        <w:ind w:left="630" w:leftChars="300"/>
        <w:rPr>
          <w:vanish/>
        </w:rPr>
      </w:pPr>
      <w:r>
        <w:rPr>
          <w:rFonts w:hint="eastAsia"/>
        </w:rPr>
        <w:t>3）</w:t>
      </w:r>
      <w:r>
        <w:t>采用500V兆欧表对电源电缆进行测量，其线芯间，线芯与地线间的绝缘电阻不应＜ 1MΩ；</w:t>
      </w:r>
    </w:p>
    <w:p w14:paraId="5F8896A5">
      <w:pPr>
        <w:pStyle w:val="164"/>
        <w:numPr>
          <w:ilvl w:val="0"/>
          <w:numId w:val="151"/>
        </w:numPr>
        <w:tabs>
          <w:tab w:val="left" w:pos="210"/>
          <w:tab w:val="left" w:pos="567"/>
        </w:tabs>
        <w:spacing w:line="330" w:lineRule="exact"/>
        <w:ind w:firstLine="630" w:firstLineChars="300"/>
      </w:pPr>
      <w:r>
        <w:t>设备及线缆应标识齐全、准确，并应满足设计要求；</w:t>
      </w:r>
    </w:p>
    <w:p w14:paraId="16082856">
      <w:pPr>
        <w:pStyle w:val="164"/>
        <w:numPr>
          <w:ilvl w:val="0"/>
          <w:numId w:val="151"/>
        </w:numPr>
        <w:tabs>
          <w:tab w:val="left" w:pos="210"/>
          <w:tab w:val="left" w:pos="567"/>
        </w:tabs>
        <w:spacing w:line="330" w:lineRule="exact"/>
        <w:ind w:firstLine="630" w:firstLineChars="300"/>
      </w:pPr>
      <w:r>
        <w:t>机柜、控制箱、支架、设备及需要接地的屏蔽线缆和同轴电缆应良好接地；</w:t>
      </w:r>
    </w:p>
    <w:p w14:paraId="52003066">
      <w:pPr>
        <w:pStyle w:val="164"/>
        <w:numPr>
          <w:ilvl w:val="0"/>
          <w:numId w:val="151"/>
        </w:numPr>
        <w:tabs>
          <w:tab w:val="left" w:pos="210"/>
          <w:tab w:val="left" w:pos="567"/>
        </w:tabs>
        <w:spacing w:line="330" w:lineRule="exact"/>
        <w:ind w:firstLine="630" w:firstLineChars="300"/>
      </w:pPr>
      <w:r>
        <w:t>各系统供配电的电压与功率应满足设计要求。</w:t>
      </w:r>
    </w:p>
    <w:p w14:paraId="6C4DABFE">
      <w:pPr>
        <w:spacing w:line="330" w:lineRule="exact"/>
        <w:ind w:left="0" w:firstLine="422" w:firstLineChars="200"/>
        <w:rPr>
          <w:rFonts w:ascii="Times New Roman" w:hAnsi="Times New Roman"/>
        </w:rPr>
      </w:pPr>
      <w:r>
        <w:rPr>
          <w:rFonts w:ascii="Times New Roman" w:hAnsi="Times New Roman"/>
          <w:b/>
          <w:bCs/>
        </w:rPr>
        <w:t>2</w:t>
      </w:r>
      <w:r>
        <w:rPr>
          <w:rFonts w:ascii="Times New Roman" w:hAnsi="Times New Roman"/>
        </w:rPr>
        <w:t xml:space="preserve"> 时钟系统调试应符合下列规定：</w:t>
      </w:r>
    </w:p>
    <w:p w14:paraId="7ACC2189">
      <w:pPr>
        <w:pStyle w:val="164"/>
        <w:numPr>
          <w:ilvl w:val="0"/>
          <w:numId w:val="152"/>
        </w:numPr>
        <w:tabs>
          <w:tab w:val="left" w:pos="210"/>
          <w:tab w:val="left" w:pos="567"/>
        </w:tabs>
        <w:spacing w:line="330" w:lineRule="exact"/>
        <w:ind w:firstLine="630" w:firstLineChars="300"/>
      </w:pPr>
      <w:r>
        <w:t>各系统内的设备应能对系统软件指令作出及时响应；</w:t>
      </w:r>
    </w:p>
    <w:p w14:paraId="23A67D08">
      <w:pPr>
        <w:pStyle w:val="164"/>
        <w:numPr>
          <w:ilvl w:val="255"/>
          <w:numId w:val="0"/>
        </w:numPr>
        <w:tabs>
          <w:tab w:val="left" w:pos="210"/>
          <w:tab w:val="left" w:pos="567"/>
        </w:tabs>
        <w:spacing w:line="330" w:lineRule="exact"/>
        <w:ind w:left="630" w:leftChars="300"/>
        <w:rPr>
          <w:vanish/>
        </w:rPr>
      </w:pPr>
      <w:r>
        <w:rPr>
          <w:rFonts w:hint="eastAsia"/>
        </w:rPr>
        <w:t>2）</w:t>
      </w:r>
      <w:r>
        <w:t>系统调试中，应及时记录并检查软件的工作状态和运行日志，并应能修改错误；应及时记录并检查系统设备对系统软件指令的响应状态，并应能修改错误；</w:t>
      </w:r>
    </w:p>
    <w:p w14:paraId="451766C2">
      <w:pPr>
        <w:pStyle w:val="164"/>
        <w:numPr>
          <w:ilvl w:val="0"/>
          <w:numId w:val="152"/>
        </w:numPr>
        <w:tabs>
          <w:tab w:val="left" w:pos="210"/>
          <w:tab w:val="left" w:pos="567"/>
        </w:tabs>
        <w:spacing w:line="330" w:lineRule="exact"/>
        <w:ind w:firstLine="630" w:firstLineChars="300"/>
      </w:pPr>
      <w:r>
        <w:t>应先进行功能测试，方可进行性能测试；</w:t>
      </w:r>
    </w:p>
    <w:p w14:paraId="2DCE0BED">
      <w:pPr>
        <w:pStyle w:val="164"/>
        <w:numPr>
          <w:ilvl w:val="0"/>
          <w:numId w:val="152"/>
        </w:numPr>
        <w:tabs>
          <w:tab w:val="left" w:pos="210"/>
          <w:tab w:val="left" w:pos="567"/>
        </w:tabs>
        <w:spacing w:line="330" w:lineRule="exact"/>
        <w:ind w:firstLine="630" w:firstLineChars="300"/>
      </w:pPr>
      <w:r>
        <w:t>调试过程中出现运行错误、系统功能或性能不能满足设计要求时，应填写系统调试问题报告表，并应及时进行处理、填写处理记录。</w:t>
      </w:r>
    </w:p>
    <w:p w14:paraId="54AC48B5">
      <w:pPr>
        <w:spacing w:line="330" w:lineRule="exact"/>
        <w:ind w:left="0" w:firstLine="422" w:firstLineChars="200"/>
        <w:rPr>
          <w:rFonts w:ascii="Times New Roman" w:hAnsi="Times New Roman"/>
        </w:rPr>
      </w:pPr>
      <w:r>
        <w:rPr>
          <w:rFonts w:ascii="Times New Roman" w:hAnsi="Times New Roman"/>
          <w:b/>
          <w:bCs/>
        </w:rPr>
        <w:t>3</w:t>
      </w:r>
      <w:r>
        <w:rPr>
          <w:rFonts w:ascii="Times New Roman" w:hAnsi="Times New Roman"/>
        </w:rPr>
        <w:t xml:space="preserve"> 系统的调试应符合下列规定：</w:t>
      </w:r>
    </w:p>
    <w:p w14:paraId="706E17C6">
      <w:pPr>
        <w:pStyle w:val="164"/>
        <w:numPr>
          <w:ilvl w:val="0"/>
          <w:numId w:val="153"/>
        </w:numPr>
        <w:tabs>
          <w:tab w:val="left" w:pos="210"/>
          <w:tab w:val="left" w:pos="567"/>
        </w:tabs>
        <w:spacing w:line="330" w:lineRule="exact"/>
        <w:ind w:firstLine="630" w:firstLineChars="300"/>
      </w:pPr>
      <w:r>
        <w:t>配置服务器、计算机的软件系统的参数、处理功能、通信功能应达到设计要求；</w:t>
      </w:r>
    </w:p>
    <w:p w14:paraId="4A9306D5">
      <w:pPr>
        <w:pStyle w:val="164"/>
        <w:numPr>
          <w:ilvl w:val="0"/>
          <w:numId w:val="153"/>
        </w:numPr>
        <w:tabs>
          <w:tab w:val="left" w:pos="210"/>
          <w:tab w:val="left" w:pos="567"/>
        </w:tabs>
        <w:spacing w:line="330" w:lineRule="exact"/>
        <w:ind w:firstLine="630" w:firstLineChars="300"/>
      </w:pPr>
      <w:r>
        <w:t>应对出现故障的设备、软件进行修复或更换；</w:t>
      </w:r>
    </w:p>
    <w:p w14:paraId="0579F59F">
      <w:pPr>
        <w:pStyle w:val="164"/>
        <w:numPr>
          <w:ilvl w:val="0"/>
          <w:numId w:val="153"/>
        </w:numPr>
        <w:tabs>
          <w:tab w:val="left" w:pos="210"/>
          <w:tab w:val="left" w:pos="567"/>
        </w:tabs>
        <w:spacing w:line="330" w:lineRule="exact"/>
        <w:ind w:firstLine="630" w:firstLineChars="300"/>
      </w:pPr>
      <w:r>
        <w:t>应通过监控计算机对系统中的母钟、子钟、时间服务器进行配置管理、性能管理、故障管理；</w:t>
      </w:r>
    </w:p>
    <w:p w14:paraId="32D078E1">
      <w:pPr>
        <w:pStyle w:val="164"/>
        <w:numPr>
          <w:ilvl w:val="0"/>
          <w:numId w:val="153"/>
        </w:numPr>
        <w:tabs>
          <w:tab w:val="left" w:pos="210"/>
          <w:tab w:val="left" w:pos="567"/>
        </w:tabs>
        <w:spacing w:line="330" w:lineRule="exact"/>
        <w:ind w:firstLine="630" w:firstLineChars="300"/>
      </w:pPr>
      <w:r>
        <w:t>应通过监控计算机对子钟进行时间调整、追时、停止等功能调试，并应达到对全部时钟的网络连接与控制；</w:t>
      </w:r>
    </w:p>
    <w:p w14:paraId="02BA1859">
      <w:pPr>
        <w:pStyle w:val="164"/>
        <w:numPr>
          <w:ilvl w:val="0"/>
          <w:numId w:val="153"/>
        </w:numPr>
        <w:tabs>
          <w:tab w:val="left" w:pos="210"/>
          <w:tab w:val="left" w:pos="567"/>
        </w:tabs>
        <w:spacing w:line="330" w:lineRule="exact"/>
        <w:ind w:firstLine="630" w:firstLineChars="300"/>
      </w:pPr>
      <w:r>
        <w:t>应调试母钟与时标信号接收器的同步、母钟对子钟同步，并应达到全部时钟与GPS同步；</w:t>
      </w:r>
    </w:p>
    <w:p w14:paraId="3844C22F">
      <w:pPr>
        <w:pStyle w:val="164"/>
        <w:numPr>
          <w:ilvl w:val="0"/>
          <w:numId w:val="153"/>
        </w:numPr>
        <w:tabs>
          <w:tab w:val="left" w:pos="210"/>
          <w:tab w:val="left" w:pos="567"/>
        </w:tabs>
        <w:spacing w:line="330" w:lineRule="exact"/>
        <w:ind w:firstLine="630" w:firstLineChars="300"/>
      </w:pPr>
      <w:r>
        <w:t>应调试双母钟系统的主备切换功能、自动恢复功能；</w:t>
      </w:r>
    </w:p>
    <w:p w14:paraId="40DA533A">
      <w:pPr>
        <w:pStyle w:val="164"/>
        <w:numPr>
          <w:ilvl w:val="0"/>
          <w:numId w:val="153"/>
        </w:numPr>
        <w:tabs>
          <w:tab w:val="left" w:pos="210"/>
          <w:tab w:val="left" w:pos="567"/>
        </w:tabs>
        <w:spacing w:line="330" w:lineRule="exact"/>
        <w:ind w:firstLine="630" w:firstLineChars="300"/>
      </w:pPr>
      <w:r>
        <w:t>应对所有设备进行不间断的功能、性能连续试验，并应符合下列规定：</w:t>
      </w:r>
    </w:p>
    <w:p w14:paraId="12B7B3DC">
      <w:pPr>
        <w:pStyle w:val="164"/>
        <w:numPr>
          <w:ilvl w:val="0"/>
          <w:numId w:val="154"/>
        </w:numPr>
        <w:autoSpaceDE w:val="0"/>
        <w:autoSpaceDN w:val="0"/>
        <w:adjustRightInd w:val="0"/>
        <w:snapToGrid w:val="0"/>
        <w:spacing w:line="330" w:lineRule="exact"/>
        <w:ind w:left="0" w:firstLine="840" w:firstLineChars="400"/>
      </w:pPr>
      <w:r>
        <w:t>试验期间，不得出现时钟系统性或可靠性故障，计时应准确；否则，应修复或更换后重新开始试验；</w:t>
      </w:r>
    </w:p>
    <w:p w14:paraId="2C7BC5F5">
      <w:pPr>
        <w:pStyle w:val="164"/>
        <w:numPr>
          <w:ilvl w:val="0"/>
          <w:numId w:val="154"/>
        </w:numPr>
        <w:autoSpaceDE w:val="0"/>
        <w:autoSpaceDN w:val="0"/>
        <w:adjustRightInd w:val="0"/>
        <w:snapToGrid w:val="0"/>
        <w:spacing w:line="330" w:lineRule="exact"/>
        <w:ind w:left="0" w:firstLine="840" w:firstLineChars="400"/>
      </w:pPr>
      <w:r>
        <w:t>应记录试验过程、修复措施与试验结果。</w:t>
      </w:r>
    </w:p>
    <w:p w14:paraId="236602F9">
      <w:pPr>
        <w:pStyle w:val="164"/>
        <w:numPr>
          <w:ilvl w:val="0"/>
          <w:numId w:val="153"/>
        </w:numPr>
        <w:tabs>
          <w:tab w:val="left" w:pos="210"/>
          <w:tab w:val="left" w:pos="567"/>
        </w:tabs>
        <w:spacing w:line="330" w:lineRule="exact"/>
        <w:ind w:firstLine="630" w:firstLineChars="300"/>
      </w:pPr>
      <w:r>
        <w:t>试验成功后，应进行与其他系统接口功能测试和联调测试，并应符合下列规定：</w:t>
      </w:r>
    </w:p>
    <w:p w14:paraId="1B8CE26D">
      <w:pPr>
        <w:pStyle w:val="164"/>
        <w:numPr>
          <w:ilvl w:val="0"/>
          <w:numId w:val="155"/>
        </w:numPr>
        <w:autoSpaceDE w:val="0"/>
        <w:autoSpaceDN w:val="0"/>
        <w:adjustRightInd w:val="0"/>
        <w:snapToGrid w:val="0"/>
        <w:spacing w:line="330" w:lineRule="exact"/>
        <w:ind w:left="0" w:firstLine="840" w:firstLineChars="400"/>
      </w:pPr>
      <w:r>
        <w:t>时钟系统应与其他系统接口正确；</w:t>
      </w:r>
    </w:p>
    <w:p w14:paraId="06D72C85">
      <w:pPr>
        <w:pStyle w:val="164"/>
        <w:numPr>
          <w:ilvl w:val="0"/>
          <w:numId w:val="155"/>
        </w:numPr>
        <w:autoSpaceDE w:val="0"/>
        <w:autoSpaceDN w:val="0"/>
        <w:adjustRightInd w:val="0"/>
        <w:snapToGrid w:val="0"/>
        <w:spacing w:line="330" w:lineRule="exact"/>
        <w:ind w:left="0" w:firstLine="840" w:firstLineChars="400"/>
      </w:pPr>
      <w:r>
        <w:t>时钟系统应按设计要求向其他子系统提供基准时间。</w:t>
      </w:r>
    </w:p>
    <w:p w14:paraId="07D39148">
      <w:pPr>
        <w:spacing w:line="330" w:lineRule="exact"/>
        <w:ind w:left="0" w:firstLine="0" w:firstLineChars="0"/>
        <w:rPr>
          <w:rFonts w:ascii="Times New Roman" w:hAnsi="Times New Roman"/>
        </w:rPr>
      </w:pPr>
      <w:r>
        <w:rPr>
          <w:rFonts w:ascii="Times New Roman" w:hAnsi="Times New Roman"/>
        </w:rPr>
        <w:t>15.3.5 系统测试应</w:t>
      </w:r>
      <w:r>
        <w:rPr>
          <w:rFonts w:hint="eastAsia" w:ascii="Times New Roman" w:hAnsi="Times New Roman"/>
        </w:rPr>
        <w:t>符合</w:t>
      </w:r>
      <w:r>
        <w:rPr>
          <w:rFonts w:ascii="Times New Roman" w:hAnsi="Times New Roman"/>
        </w:rPr>
        <w:t>下列</w:t>
      </w:r>
      <w:r>
        <w:rPr>
          <w:rFonts w:hint="eastAsia" w:ascii="Times New Roman" w:hAnsi="Times New Roman"/>
        </w:rPr>
        <w:t>规定</w:t>
      </w:r>
      <w:r>
        <w:rPr>
          <w:rFonts w:ascii="Times New Roman" w:hAnsi="Times New Roman"/>
        </w:rPr>
        <w:t>：</w:t>
      </w:r>
    </w:p>
    <w:p w14:paraId="5A793C04">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1</w:t>
      </w:r>
      <w:r>
        <w:rPr>
          <w:rFonts w:ascii="Times New Roman" w:hAnsi="Times New Roman"/>
        </w:rPr>
        <w:t xml:space="preserve"> 时钟系统测试方法应符合现行行业标准《时间同步系统》QB/T 4054 的相关规定。</w:t>
      </w:r>
    </w:p>
    <w:p w14:paraId="78003C84">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2</w:t>
      </w:r>
      <w:r>
        <w:rPr>
          <w:rFonts w:ascii="Times New Roman" w:hAnsi="Times New Roman"/>
        </w:rPr>
        <w:t xml:space="preserve"> 时钟系统检测应以接收及授时功能为主，其他功能为辅。</w:t>
      </w:r>
    </w:p>
    <w:p w14:paraId="3C1E96B4">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3</w:t>
      </w:r>
      <w:r>
        <w:rPr>
          <w:rFonts w:ascii="Times New Roman" w:hAnsi="Times New Roman"/>
        </w:rPr>
        <w:t xml:space="preserve"> 应检测母钟与时标信号接收器同步、母钟对子钟同步校时的功能，检测结果满足设计要求的应判定为合格。</w:t>
      </w:r>
    </w:p>
    <w:p w14:paraId="7C884FE1">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4</w:t>
      </w:r>
      <w:r>
        <w:rPr>
          <w:rFonts w:ascii="Times New Roman" w:hAnsi="Times New Roman"/>
        </w:rPr>
        <w:t xml:space="preserve"> 应检测平均瞬时日差指标，检测结果符合下列条件的应判定为合格：</w:t>
      </w:r>
    </w:p>
    <w:p w14:paraId="146D5870">
      <w:pPr>
        <w:pStyle w:val="164"/>
        <w:numPr>
          <w:ilvl w:val="0"/>
          <w:numId w:val="156"/>
        </w:numPr>
        <w:tabs>
          <w:tab w:val="left" w:pos="210"/>
          <w:tab w:val="left" w:pos="567"/>
        </w:tabs>
        <w:spacing w:line="330" w:lineRule="exact"/>
        <w:ind w:firstLine="630" w:firstLineChars="300"/>
      </w:pPr>
      <w:r>
        <w:t>石英谐振器一级母钟的平均瞬时日差≤0.01s/d；</w:t>
      </w:r>
    </w:p>
    <w:p w14:paraId="41E6712B">
      <w:pPr>
        <w:pStyle w:val="164"/>
        <w:numPr>
          <w:ilvl w:val="0"/>
          <w:numId w:val="156"/>
        </w:numPr>
        <w:tabs>
          <w:tab w:val="left" w:pos="210"/>
          <w:tab w:val="left" w:pos="567"/>
        </w:tabs>
        <w:spacing w:line="330" w:lineRule="exact"/>
        <w:ind w:firstLine="630" w:firstLineChars="300"/>
      </w:pPr>
      <w:r>
        <w:t>石英谐振器二级母钟的平均瞬时日差≤0.1s/d；</w:t>
      </w:r>
    </w:p>
    <w:p w14:paraId="4090461A">
      <w:pPr>
        <w:pStyle w:val="164"/>
        <w:numPr>
          <w:ilvl w:val="0"/>
          <w:numId w:val="156"/>
        </w:numPr>
        <w:tabs>
          <w:tab w:val="left" w:pos="210"/>
          <w:tab w:val="left" w:pos="567"/>
        </w:tabs>
        <w:spacing w:line="330" w:lineRule="exact"/>
        <w:ind w:firstLine="630" w:firstLineChars="300"/>
      </w:pPr>
      <w:r>
        <w:t>子钟的平均瞬时日差在（</w:t>
      </w:r>
      <w:r>
        <w:rPr>
          <w:rFonts w:hint="eastAsia"/>
        </w:rPr>
        <w:t>-</w:t>
      </w:r>
      <w:r>
        <w:t>1.00~1.00）s/d。</w:t>
      </w:r>
    </w:p>
    <w:p w14:paraId="79DE3838">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5</w:t>
      </w:r>
      <w:r>
        <w:rPr>
          <w:rFonts w:ascii="Times New Roman" w:hAnsi="Times New Roman"/>
        </w:rPr>
        <w:t xml:space="preserve"> 应检测时钟显示的同步偏差，检测结果符合下列条件的应判定为合格：</w:t>
      </w:r>
    </w:p>
    <w:p w14:paraId="5D1FC84F">
      <w:pPr>
        <w:pStyle w:val="164"/>
        <w:numPr>
          <w:ilvl w:val="0"/>
          <w:numId w:val="157"/>
        </w:numPr>
        <w:tabs>
          <w:tab w:val="left" w:pos="210"/>
          <w:tab w:val="left" w:pos="567"/>
        </w:tabs>
        <w:spacing w:line="330" w:lineRule="exact"/>
        <w:ind w:firstLine="630" w:firstLineChars="300"/>
      </w:pPr>
      <w:r>
        <w:t>母钟的输出口同步偏差≤50ms；</w:t>
      </w:r>
    </w:p>
    <w:p w14:paraId="2754643B">
      <w:pPr>
        <w:pStyle w:val="164"/>
        <w:numPr>
          <w:ilvl w:val="0"/>
          <w:numId w:val="157"/>
        </w:numPr>
        <w:tabs>
          <w:tab w:val="left" w:pos="210"/>
          <w:tab w:val="left" w:pos="567"/>
        </w:tabs>
        <w:spacing w:line="330" w:lineRule="exact"/>
        <w:ind w:firstLine="630" w:firstLineChars="300"/>
      </w:pPr>
      <w:r>
        <w:t>子钟与母钟的时间显示偏差≤1s；</w:t>
      </w:r>
    </w:p>
    <w:p w14:paraId="6B95E3A1">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6</w:t>
      </w:r>
      <w:r>
        <w:rPr>
          <w:rFonts w:ascii="Times New Roman" w:hAnsi="Times New Roman"/>
        </w:rPr>
        <w:t xml:space="preserve"> 应检测授时校准功能，检测结果符合下列条件的应判定为合格：</w:t>
      </w:r>
    </w:p>
    <w:p w14:paraId="704A7A2B">
      <w:pPr>
        <w:pStyle w:val="164"/>
        <w:numPr>
          <w:ilvl w:val="0"/>
          <w:numId w:val="158"/>
        </w:numPr>
        <w:tabs>
          <w:tab w:val="left" w:pos="210"/>
          <w:tab w:val="left" w:pos="567"/>
        </w:tabs>
        <w:spacing w:line="330" w:lineRule="exact"/>
        <w:ind w:firstLine="630" w:firstLineChars="300"/>
      </w:pPr>
      <w:r>
        <w:t>一级母钟能可靠接收标准时间信号及显示标准时间，并向各二级母钟输出标准时间信号；无标准时间信号时，一级母钟能正常运行；</w:t>
      </w:r>
    </w:p>
    <w:p w14:paraId="743DA600">
      <w:pPr>
        <w:pStyle w:val="164"/>
        <w:numPr>
          <w:ilvl w:val="0"/>
          <w:numId w:val="158"/>
        </w:numPr>
        <w:tabs>
          <w:tab w:val="left" w:pos="210"/>
          <w:tab w:val="left" w:pos="567"/>
        </w:tabs>
        <w:spacing w:line="330" w:lineRule="exact"/>
        <w:ind w:firstLine="630" w:firstLineChars="300"/>
      </w:pPr>
      <w:r>
        <w:t>二级母钟能可靠接收一级母钟提供的标准时间信号，并向子钟输出标准时间信号；无一级母钟时间信号时，二级母钟能正常运行；</w:t>
      </w:r>
    </w:p>
    <w:p w14:paraId="7C163ADE">
      <w:pPr>
        <w:pStyle w:val="164"/>
        <w:numPr>
          <w:ilvl w:val="0"/>
          <w:numId w:val="158"/>
        </w:numPr>
        <w:tabs>
          <w:tab w:val="left" w:pos="210"/>
          <w:tab w:val="left" w:pos="567"/>
        </w:tabs>
        <w:spacing w:line="330" w:lineRule="exact"/>
        <w:ind w:firstLine="630" w:firstLineChars="300"/>
      </w:pPr>
      <w:r>
        <w:t>子钟能可靠接收二级母钟提供的标准时间信号；无二级母钟时间信号时，子钟能正常工作，并能单独调时；</w:t>
      </w:r>
    </w:p>
    <w:p w14:paraId="7BDD5400">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7</w:t>
      </w:r>
      <w:r>
        <w:rPr>
          <w:rFonts w:ascii="Times New Roman" w:hAnsi="Times New Roman"/>
        </w:rPr>
        <w:t xml:space="preserve"> 应检测母钟、子钟和时间服务器等运行状况的监测功能，应检查时钟系统断电后再次恢复供电时的自动恢复功能，结果满足设计要求的应判定为合格；</w:t>
      </w:r>
    </w:p>
    <w:p w14:paraId="74EC7FDB">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8</w:t>
      </w:r>
      <w:r>
        <w:rPr>
          <w:rFonts w:ascii="Times New Roman" w:hAnsi="Times New Roman"/>
        </w:rPr>
        <w:t>有日历显示的时钟</w:t>
      </w:r>
      <w:r>
        <w:rPr>
          <w:rFonts w:hint="eastAsia" w:ascii="Times New Roman" w:hAnsi="Times New Roman"/>
        </w:rPr>
        <w:t>的</w:t>
      </w:r>
      <w:r>
        <w:rPr>
          <w:rFonts w:ascii="Times New Roman" w:hAnsi="Times New Roman"/>
        </w:rPr>
        <w:t>换历功能</w:t>
      </w:r>
      <w:r>
        <w:rPr>
          <w:rFonts w:hint="eastAsia" w:ascii="Times New Roman" w:hAnsi="Times New Roman"/>
        </w:rPr>
        <w:t>应</w:t>
      </w:r>
      <w:r>
        <w:rPr>
          <w:rFonts w:ascii="Times New Roman" w:hAnsi="Times New Roman"/>
        </w:rPr>
        <w:t>满足设计要求。</w:t>
      </w:r>
    </w:p>
    <w:p w14:paraId="2FF1D824">
      <w:pPr>
        <w:spacing w:line="330" w:lineRule="exact"/>
        <w:ind w:left="0" w:firstLine="0" w:firstLineChars="0"/>
        <w:rPr>
          <w:rFonts w:ascii="Times New Roman" w:hAnsi="Times New Roman"/>
        </w:rPr>
      </w:pPr>
      <w:r>
        <w:rPr>
          <w:rFonts w:ascii="Times New Roman" w:hAnsi="Times New Roman"/>
        </w:rPr>
        <w:t xml:space="preserve">    </w:t>
      </w:r>
      <w:r>
        <w:rPr>
          <w:rFonts w:ascii="Times New Roman" w:hAnsi="Times New Roman"/>
          <w:b/>
          <w:bCs/>
        </w:rPr>
        <w:t>9</w:t>
      </w:r>
      <w:r>
        <w:rPr>
          <w:rFonts w:ascii="Times New Roman" w:hAnsi="Times New Roman"/>
        </w:rPr>
        <w:t>时钟系统对其他系统主机的校时和授时功能</w:t>
      </w:r>
      <w:r>
        <w:rPr>
          <w:rFonts w:hint="eastAsia" w:ascii="Times New Roman" w:hAnsi="Times New Roman"/>
        </w:rPr>
        <w:t>应</w:t>
      </w:r>
      <w:r>
        <w:rPr>
          <w:rFonts w:ascii="Times New Roman" w:hAnsi="Times New Roman"/>
        </w:rPr>
        <w:t>满足设计要求。</w:t>
      </w:r>
    </w:p>
    <w:p w14:paraId="6BFD9FFD">
      <w:pPr>
        <w:pStyle w:val="3"/>
        <w:spacing w:before="240" w:after="120" w:afterLines="50" w:line="330" w:lineRule="exact"/>
        <w:rPr>
          <w:rFonts w:eastAsia="黑体"/>
          <w:b w:val="0"/>
          <w:sz w:val="21"/>
          <w:szCs w:val="21"/>
          <w:lang w:val="en-US"/>
        </w:rPr>
      </w:pPr>
      <w:bookmarkStart w:id="101" w:name="_Toc182487979"/>
      <w:r>
        <w:rPr>
          <w:rFonts w:eastAsia="黑体"/>
          <w:b w:val="0"/>
          <w:sz w:val="21"/>
          <w:szCs w:val="21"/>
          <w:lang w:val="en-US"/>
        </w:rPr>
        <w:t>15.4 质量记录</w:t>
      </w:r>
      <w:bookmarkEnd w:id="101"/>
    </w:p>
    <w:p w14:paraId="7BEF8E9D">
      <w:pPr>
        <w:ind w:left="105" w:hanging="105"/>
        <w:rPr>
          <w:rFonts w:ascii="Times New Roman" w:hAnsi="Times New Roman"/>
        </w:rPr>
      </w:pPr>
      <w:r>
        <w:rPr>
          <w:rFonts w:ascii="Times New Roman" w:hAnsi="Times New Roman"/>
        </w:rPr>
        <w:t>15.4.1 质量记录应包含下列内容：</w:t>
      </w:r>
    </w:p>
    <w:p w14:paraId="303F17D8">
      <w:pPr>
        <w:pStyle w:val="164"/>
        <w:spacing w:before="100" w:after="100" w:line="330" w:lineRule="exact"/>
        <w:ind w:firstLine="422"/>
        <w:rPr>
          <w:szCs w:val="21"/>
        </w:rPr>
      </w:pPr>
      <w:r>
        <w:rPr>
          <w:b/>
          <w:bCs/>
          <w:szCs w:val="21"/>
        </w:rPr>
        <w:t>1</w:t>
      </w:r>
      <w:r>
        <w:rPr>
          <w:szCs w:val="21"/>
        </w:rPr>
        <w:t xml:space="preserve"> 材料及设备的出厂合格证、生产许可证、安装技术文件、质量检验报。</w:t>
      </w:r>
    </w:p>
    <w:p w14:paraId="7F828837">
      <w:pPr>
        <w:pStyle w:val="164"/>
        <w:spacing w:before="100" w:after="100" w:line="330" w:lineRule="exact"/>
        <w:ind w:firstLine="422"/>
        <w:rPr>
          <w:szCs w:val="21"/>
        </w:rPr>
      </w:pPr>
      <w:r>
        <w:rPr>
          <w:b/>
          <w:bCs/>
          <w:szCs w:val="21"/>
        </w:rPr>
        <w:t>2</w:t>
      </w:r>
      <w:r>
        <w:rPr>
          <w:szCs w:val="21"/>
        </w:rPr>
        <w:t xml:space="preserve"> 材料、构配件进场检验记录。</w:t>
      </w:r>
    </w:p>
    <w:p w14:paraId="4DB0A283">
      <w:pPr>
        <w:pStyle w:val="164"/>
        <w:spacing w:before="100" w:after="100" w:line="330" w:lineRule="exact"/>
        <w:ind w:firstLine="422"/>
        <w:rPr>
          <w:szCs w:val="21"/>
        </w:rPr>
      </w:pPr>
      <w:r>
        <w:rPr>
          <w:b/>
          <w:bCs/>
          <w:szCs w:val="21"/>
        </w:rPr>
        <w:t>3</w:t>
      </w:r>
      <w:r>
        <w:rPr>
          <w:szCs w:val="21"/>
        </w:rPr>
        <w:t xml:space="preserve"> 隐蔽工程检验记录。 </w:t>
      </w:r>
    </w:p>
    <w:p w14:paraId="0C57513D">
      <w:pPr>
        <w:pStyle w:val="164"/>
        <w:spacing w:before="100" w:after="100" w:line="330" w:lineRule="exact"/>
        <w:ind w:firstLine="422"/>
        <w:rPr>
          <w:szCs w:val="21"/>
        </w:rPr>
      </w:pPr>
      <w:r>
        <w:rPr>
          <w:b/>
          <w:bCs/>
          <w:szCs w:val="21"/>
        </w:rPr>
        <w:t>4</w:t>
      </w:r>
      <w:r>
        <w:rPr>
          <w:szCs w:val="21"/>
        </w:rPr>
        <w:t xml:space="preserve"> 工程安装质量及观感质量检查记录。</w:t>
      </w:r>
    </w:p>
    <w:p w14:paraId="0CD435E1">
      <w:pPr>
        <w:pStyle w:val="164"/>
        <w:spacing w:before="100" w:after="100" w:line="330" w:lineRule="exact"/>
        <w:ind w:firstLine="422"/>
        <w:rPr>
          <w:szCs w:val="21"/>
        </w:rPr>
      </w:pPr>
      <w:r>
        <w:rPr>
          <w:b/>
          <w:bCs/>
          <w:szCs w:val="21"/>
        </w:rPr>
        <w:t>5</w:t>
      </w:r>
      <w:r>
        <w:rPr>
          <w:szCs w:val="21"/>
        </w:rPr>
        <w:t xml:space="preserve"> 系统调试及试运行记录。</w:t>
      </w:r>
    </w:p>
    <w:p w14:paraId="4423AC5D">
      <w:pPr>
        <w:pStyle w:val="164"/>
        <w:spacing w:before="100" w:after="100" w:line="330" w:lineRule="exact"/>
        <w:ind w:firstLine="422"/>
        <w:rPr>
          <w:szCs w:val="21"/>
        </w:rPr>
      </w:pPr>
      <w:r>
        <w:rPr>
          <w:b/>
          <w:bCs/>
          <w:szCs w:val="21"/>
        </w:rPr>
        <w:t>6</w:t>
      </w:r>
      <w:r>
        <w:rPr>
          <w:szCs w:val="21"/>
        </w:rPr>
        <w:t xml:space="preserve"> 分项工程检验批质量</w:t>
      </w:r>
      <w:r>
        <w:rPr>
          <w:rFonts w:hint="eastAsia"/>
          <w:szCs w:val="21"/>
        </w:rPr>
        <w:t>检验</w:t>
      </w:r>
      <w:r>
        <w:rPr>
          <w:szCs w:val="21"/>
        </w:rPr>
        <w:t>记录表。</w:t>
      </w:r>
    </w:p>
    <w:bookmarkEnd w:id="77"/>
    <w:p w14:paraId="0DAFCD48">
      <w:pPr>
        <w:pStyle w:val="16"/>
        <w:tabs>
          <w:tab w:val="left" w:pos="425"/>
        </w:tabs>
        <w:spacing w:before="240" w:beforeLines="100" w:afterLines="50" w:line="330" w:lineRule="exact"/>
        <w:jc w:val="center"/>
        <w:outlineLvl w:val="0"/>
        <w:rPr>
          <w:rFonts w:ascii="Times New Roman" w:hAnsi="Times New Roman" w:eastAsia="黑体"/>
          <w:sz w:val="28"/>
          <w:szCs w:val="28"/>
        </w:rPr>
      </w:pPr>
      <w:bookmarkStart w:id="102" w:name="_Toc6952"/>
      <w:bookmarkStart w:id="103" w:name="_Toc182487980"/>
      <w:bookmarkStart w:id="104" w:name="_Toc22897"/>
      <w:bookmarkStart w:id="105" w:name="_Toc171955151"/>
      <w:bookmarkStart w:id="106" w:name="_Toc14536"/>
      <w:bookmarkStart w:id="107" w:name="_Toc11117"/>
      <w:bookmarkStart w:id="108" w:name="_Toc18569"/>
      <w:bookmarkStart w:id="109" w:name="_Toc1298"/>
      <w:r>
        <w:rPr>
          <w:rFonts w:ascii="Times New Roman" w:hAnsi="Times New Roman" w:eastAsia="黑体"/>
          <w:sz w:val="28"/>
          <w:szCs w:val="28"/>
        </w:rPr>
        <w:t>16 信息化应用系统</w:t>
      </w:r>
      <w:bookmarkEnd w:id="102"/>
      <w:bookmarkEnd w:id="103"/>
      <w:bookmarkEnd w:id="104"/>
      <w:bookmarkEnd w:id="105"/>
      <w:bookmarkEnd w:id="106"/>
      <w:bookmarkEnd w:id="107"/>
      <w:bookmarkEnd w:id="108"/>
      <w:bookmarkEnd w:id="109"/>
    </w:p>
    <w:p w14:paraId="2C62EE3E">
      <w:pPr>
        <w:pStyle w:val="3"/>
        <w:spacing w:before="240" w:after="120" w:afterLines="50" w:line="330" w:lineRule="exact"/>
        <w:rPr>
          <w:rFonts w:eastAsia="黑体"/>
          <w:b w:val="0"/>
          <w:sz w:val="21"/>
          <w:szCs w:val="21"/>
          <w:lang w:val="en-US"/>
        </w:rPr>
      </w:pPr>
      <w:bookmarkStart w:id="110" w:name="_Toc14733"/>
      <w:bookmarkStart w:id="111" w:name="_Toc23288"/>
      <w:bookmarkStart w:id="112" w:name="_Toc10901"/>
      <w:bookmarkStart w:id="113" w:name="_Toc182487981"/>
      <w:bookmarkStart w:id="114" w:name="_Toc19984"/>
      <w:bookmarkStart w:id="115" w:name="_Toc17322"/>
      <w:bookmarkStart w:id="116" w:name="_Toc20989"/>
      <w:bookmarkStart w:id="117" w:name="_Toc171955152"/>
      <w:r>
        <w:rPr>
          <w:rFonts w:eastAsia="黑体"/>
          <w:b w:val="0"/>
          <w:sz w:val="21"/>
          <w:szCs w:val="21"/>
          <w:lang w:val="en-US"/>
        </w:rPr>
        <w:t>16.1 一般规定</w:t>
      </w:r>
      <w:bookmarkEnd w:id="110"/>
      <w:bookmarkEnd w:id="111"/>
      <w:bookmarkEnd w:id="112"/>
      <w:bookmarkEnd w:id="113"/>
      <w:bookmarkEnd w:id="114"/>
      <w:bookmarkEnd w:id="115"/>
      <w:bookmarkEnd w:id="116"/>
      <w:bookmarkEnd w:id="117"/>
    </w:p>
    <w:p w14:paraId="6A5A8501">
      <w:pPr>
        <w:spacing w:line="330" w:lineRule="exact"/>
        <w:ind w:left="0" w:firstLine="0" w:firstLineChars="0"/>
        <w:rPr>
          <w:rFonts w:ascii="Times New Roman" w:hAnsi="Times New Roman"/>
          <w:szCs w:val="21"/>
        </w:rPr>
      </w:pPr>
      <w:r>
        <w:rPr>
          <w:rFonts w:ascii="Times New Roman" w:hAnsi="Times New Roman"/>
          <w:szCs w:val="21"/>
        </w:rPr>
        <w:t>16.1.1本章适用于智能建筑工程中信息化应用系统的工程实施及质量控制、系统检测，检测的范围应根据设计要求确定。</w:t>
      </w:r>
    </w:p>
    <w:p w14:paraId="2DAD7851">
      <w:pPr>
        <w:spacing w:line="330" w:lineRule="exact"/>
        <w:ind w:left="0" w:firstLine="0" w:firstLineChars="0"/>
        <w:rPr>
          <w:rFonts w:ascii="Times New Roman" w:hAnsi="Times New Roman"/>
          <w:szCs w:val="21"/>
        </w:rPr>
      </w:pPr>
      <w:r>
        <w:rPr>
          <w:rFonts w:ascii="Times New Roman" w:hAnsi="Times New Roman"/>
          <w:szCs w:val="21"/>
        </w:rPr>
        <w:t>16.1.2信息化应用系统包括专业业务系统、信息设施运行管理系统、物业管理系统、通用业务系统、公众信息系统、智能卡应用系统和信息安全管理系统等应用软件及网络安全等。</w:t>
      </w:r>
    </w:p>
    <w:p w14:paraId="72ED860D">
      <w:pPr>
        <w:pStyle w:val="3"/>
        <w:spacing w:before="240" w:after="120" w:afterLines="50"/>
        <w:rPr>
          <w:rFonts w:eastAsia="黑体"/>
          <w:b w:val="0"/>
          <w:sz w:val="21"/>
          <w:szCs w:val="21"/>
          <w:lang w:val="en-US"/>
        </w:rPr>
      </w:pPr>
      <w:bookmarkStart w:id="118" w:name="_Toc30622"/>
      <w:bookmarkStart w:id="119" w:name="_Toc22894"/>
      <w:bookmarkStart w:id="120" w:name="_Toc182487982"/>
      <w:bookmarkStart w:id="121" w:name="_Toc27307"/>
      <w:bookmarkStart w:id="122" w:name="_Toc24820"/>
      <w:bookmarkStart w:id="123" w:name="_Toc171955153"/>
      <w:bookmarkStart w:id="124" w:name="_Toc21883"/>
      <w:r>
        <w:rPr>
          <w:rFonts w:eastAsia="黑体"/>
          <w:b w:val="0"/>
          <w:sz w:val="21"/>
          <w:szCs w:val="21"/>
          <w:lang w:val="en-US"/>
        </w:rPr>
        <w:t>16.2 施工准备</w:t>
      </w:r>
      <w:bookmarkEnd w:id="118"/>
      <w:bookmarkEnd w:id="119"/>
      <w:bookmarkEnd w:id="120"/>
      <w:bookmarkEnd w:id="121"/>
      <w:bookmarkEnd w:id="122"/>
      <w:bookmarkEnd w:id="123"/>
      <w:bookmarkEnd w:id="124"/>
    </w:p>
    <w:p w14:paraId="1D3C9DA1">
      <w:pPr>
        <w:spacing w:line="330" w:lineRule="exact"/>
        <w:ind w:left="0" w:firstLine="0" w:firstLineChars="0"/>
        <w:rPr>
          <w:rFonts w:ascii="Times New Roman" w:hAnsi="Times New Roman"/>
          <w:szCs w:val="21"/>
        </w:rPr>
      </w:pPr>
      <w:r>
        <w:rPr>
          <w:rFonts w:ascii="Times New Roman" w:hAnsi="Times New Roman"/>
          <w:szCs w:val="21"/>
        </w:rPr>
        <w:t>16.2.</w:t>
      </w:r>
      <w:r>
        <w:rPr>
          <w:rFonts w:hint="eastAsia" w:ascii="Times New Roman" w:hAnsi="Times New Roman"/>
          <w:szCs w:val="21"/>
        </w:rPr>
        <w:t>1</w:t>
      </w:r>
      <w:r>
        <w:rPr>
          <w:rFonts w:ascii="Times New Roman" w:hAnsi="Times New Roman"/>
          <w:szCs w:val="21"/>
        </w:rPr>
        <w:t>主要材料</w:t>
      </w:r>
      <w:r>
        <w:rPr>
          <w:rFonts w:hint="eastAsia" w:ascii="Times New Roman" w:hAnsi="Times New Roman"/>
          <w:szCs w:val="21"/>
        </w:rPr>
        <w:t>有</w:t>
      </w:r>
      <w:r>
        <w:rPr>
          <w:rFonts w:ascii="Times New Roman" w:hAnsi="Times New Roman"/>
          <w:szCs w:val="21"/>
        </w:rPr>
        <w:t>计算机（服务器、终端机）系统软件、打印机、集线器、交换机、路由器、调制解调器、U盘等。</w:t>
      </w:r>
    </w:p>
    <w:p w14:paraId="3977FB89">
      <w:pPr>
        <w:spacing w:line="330" w:lineRule="exact"/>
        <w:ind w:left="0" w:firstLine="0" w:firstLineChars="0"/>
      </w:pPr>
      <w:r>
        <w:rPr>
          <w:rFonts w:ascii="Times New Roman" w:hAnsi="Times New Roman"/>
          <w:szCs w:val="21"/>
        </w:rPr>
        <w:t>16.2.</w:t>
      </w:r>
      <w:r>
        <w:rPr>
          <w:rFonts w:hint="eastAsia" w:ascii="Times New Roman" w:hAnsi="Times New Roman"/>
          <w:szCs w:val="21"/>
        </w:rPr>
        <w:t>2</w:t>
      </w:r>
      <w:r>
        <w:rPr>
          <w:rFonts w:ascii="Times New Roman" w:hAnsi="Times New Roman"/>
          <w:szCs w:val="21"/>
        </w:rPr>
        <w:t>主要机具</w:t>
      </w:r>
      <w:r>
        <w:rPr>
          <w:rFonts w:hint="eastAsia" w:ascii="Times New Roman" w:hAnsi="Times New Roman"/>
          <w:szCs w:val="21"/>
        </w:rPr>
        <w:t>有</w:t>
      </w:r>
      <w:r>
        <w:rPr>
          <w:rFonts w:ascii="Times New Roman" w:hAnsi="Times New Roman"/>
          <w:szCs w:val="21"/>
        </w:rPr>
        <w:t>万用表、便携式计算机、网络分析仪（网络测试仪）、对讲机、专用工具等。</w:t>
      </w:r>
    </w:p>
    <w:p w14:paraId="4AF98CA3">
      <w:pPr>
        <w:spacing w:line="330" w:lineRule="exact"/>
        <w:ind w:left="0" w:firstLine="0" w:firstLineChars="0"/>
        <w:rPr>
          <w:rFonts w:ascii="Times New Roman" w:hAnsi="Times New Roman"/>
          <w:szCs w:val="21"/>
        </w:rPr>
      </w:pPr>
      <w:bookmarkStart w:id="125" w:name="bookmark1154"/>
      <w:bookmarkStart w:id="126" w:name="bookmark1153"/>
      <w:bookmarkStart w:id="127" w:name="bookmark1152"/>
      <w:r>
        <w:rPr>
          <w:rFonts w:ascii="Times New Roman" w:hAnsi="Times New Roman"/>
          <w:szCs w:val="21"/>
        </w:rPr>
        <w:t>16.2.</w:t>
      </w:r>
      <w:r>
        <w:rPr>
          <w:rFonts w:hint="eastAsia" w:ascii="Times New Roman" w:hAnsi="Times New Roman"/>
          <w:szCs w:val="21"/>
        </w:rPr>
        <w:t>3</w:t>
      </w:r>
      <w:r>
        <w:rPr>
          <w:rFonts w:ascii="Times New Roman" w:hAnsi="Times New Roman"/>
          <w:szCs w:val="21"/>
        </w:rPr>
        <w:t>技术准备</w:t>
      </w:r>
      <w:bookmarkEnd w:id="125"/>
      <w:bookmarkEnd w:id="126"/>
      <w:bookmarkEnd w:id="127"/>
      <w:r>
        <w:rPr>
          <w:rFonts w:hint="eastAsia" w:ascii="Times New Roman" w:hAnsi="Times New Roman"/>
          <w:szCs w:val="21"/>
        </w:rPr>
        <w:t>应符合下列规定：</w:t>
      </w:r>
    </w:p>
    <w:p w14:paraId="62952932">
      <w:pPr>
        <w:spacing w:line="330" w:lineRule="exact"/>
        <w:ind w:left="51" w:firstLine="422" w:firstLineChars="200"/>
        <w:rPr>
          <w:rFonts w:ascii="Times New Roman" w:hAnsi="Times New Roman"/>
          <w:szCs w:val="21"/>
        </w:rPr>
      </w:pPr>
      <w:r>
        <w:rPr>
          <w:rFonts w:ascii="Times New Roman" w:hAnsi="Times New Roman"/>
          <w:b/>
          <w:bCs/>
          <w:szCs w:val="21"/>
        </w:rPr>
        <w:t xml:space="preserve">1 </w:t>
      </w:r>
      <w:r>
        <w:rPr>
          <w:rFonts w:ascii="Times New Roman" w:hAnsi="Times New Roman"/>
          <w:szCs w:val="21"/>
        </w:rPr>
        <w:t>施工前应进行图纸会审。</w:t>
      </w:r>
    </w:p>
    <w:p w14:paraId="0F5A5728">
      <w:pPr>
        <w:spacing w:line="330" w:lineRule="exact"/>
        <w:ind w:left="51"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施工前应识别原材料、仓库、加工场地、施工过程及其辅助活动中可能存在的环境因素，对环境影响进行评价，确定重要环境因素并进行控制策划；并辨识上述活动中可能存在的危险源，对风险进行评价，确定重大危险源并进行控制策划。对环境因素和危险源的识别评价及控制措施应编入施工组织设计（施工方案）中。</w:t>
      </w:r>
      <w:r>
        <w:rPr>
          <w:rFonts w:ascii="Times New Roman" w:hAnsi="Times New Roman"/>
          <w:szCs w:val="21"/>
        </w:rPr>
        <w:tab/>
      </w:r>
    </w:p>
    <w:p w14:paraId="17CE53E7">
      <w:pPr>
        <w:spacing w:line="330" w:lineRule="exact"/>
        <w:ind w:left="51" w:firstLine="422" w:firstLineChars="200"/>
        <w:rPr>
          <w:rFonts w:ascii="Times New Roman" w:hAnsi="Times New Roman"/>
          <w:szCs w:val="21"/>
        </w:rPr>
      </w:pPr>
      <w:r>
        <w:rPr>
          <w:rFonts w:ascii="Times New Roman" w:hAnsi="Times New Roman"/>
          <w:b/>
          <w:bCs/>
          <w:szCs w:val="21"/>
        </w:rPr>
        <w:t xml:space="preserve">3 </w:t>
      </w:r>
      <w:r>
        <w:rPr>
          <w:rFonts w:ascii="Times New Roman" w:hAnsi="Times New Roman"/>
          <w:szCs w:val="21"/>
        </w:rPr>
        <w:t>施工前应进行技术交底、安全技术交底和环境交底，明确施工方法及质量标准、环境保护、节能降耗、健康安全等控制措施。</w:t>
      </w:r>
    </w:p>
    <w:p w14:paraId="4602C340">
      <w:pPr>
        <w:spacing w:line="330" w:lineRule="exact"/>
        <w:ind w:left="0" w:firstLine="0" w:firstLineChars="0"/>
        <w:rPr>
          <w:rFonts w:ascii="Times New Roman" w:hAnsi="Times New Roman"/>
          <w:szCs w:val="21"/>
        </w:rPr>
      </w:pPr>
      <w:bookmarkStart w:id="128" w:name="bookmark1159"/>
      <w:bookmarkStart w:id="129" w:name="bookmark1160"/>
      <w:bookmarkStart w:id="130" w:name="bookmark1158"/>
      <w:r>
        <w:rPr>
          <w:rFonts w:ascii="Times New Roman" w:hAnsi="Times New Roman"/>
          <w:szCs w:val="21"/>
        </w:rPr>
        <w:t>16.2.4作业条件</w:t>
      </w:r>
      <w:bookmarkEnd w:id="128"/>
      <w:bookmarkEnd w:id="129"/>
      <w:bookmarkEnd w:id="130"/>
      <w:r>
        <w:rPr>
          <w:rFonts w:hint="eastAsia" w:ascii="Times New Roman" w:hAnsi="Times New Roman"/>
          <w:szCs w:val="21"/>
        </w:rPr>
        <w:t>应符合下列规定：与16.2.3合并</w:t>
      </w:r>
    </w:p>
    <w:p w14:paraId="73093BA6">
      <w:pPr>
        <w:spacing w:line="330" w:lineRule="exact"/>
        <w:ind w:left="51" w:firstLine="420" w:firstLineChars="200"/>
        <w:rPr>
          <w:rFonts w:ascii="Times New Roman" w:hAnsi="Times New Roman"/>
          <w:szCs w:val="21"/>
        </w:rPr>
      </w:pPr>
      <w:r>
        <w:rPr>
          <w:rFonts w:ascii="Times New Roman" w:hAnsi="Times New Roman"/>
          <w:szCs w:val="21"/>
        </w:rPr>
        <w:t>1综合布线系统施工完毕，已通过系统检测并具备工程验收的条件。</w:t>
      </w:r>
    </w:p>
    <w:p w14:paraId="4442417F">
      <w:pPr>
        <w:spacing w:line="330" w:lineRule="exact"/>
        <w:ind w:left="51" w:firstLine="420" w:firstLineChars="200"/>
        <w:rPr>
          <w:rFonts w:ascii="Times New Roman" w:hAnsi="Times New Roman"/>
          <w:szCs w:val="21"/>
        </w:rPr>
      </w:pPr>
      <w:r>
        <w:rPr>
          <w:rFonts w:ascii="Times New Roman" w:hAnsi="Times New Roman"/>
          <w:szCs w:val="21"/>
        </w:rPr>
        <w:t>2设备机房施工完毕，机房环境、电源及接地安装已完成,具备安装条件。</w:t>
      </w:r>
    </w:p>
    <w:p w14:paraId="3CD77815">
      <w:pPr>
        <w:pStyle w:val="3"/>
        <w:spacing w:before="240" w:after="120" w:afterLines="50"/>
        <w:rPr>
          <w:rFonts w:eastAsia="黑体"/>
          <w:b w:val="0"/>
          <w:sz w:val="21"/>
          <w:szCs w:val="21"/>
          <w:lang w:val="en-US"/>
        </w:rPr>
      </w:pPr>
      <w:bookmarkStart w:id="131" w:name="_Toc182487983"/>
      <w:bookmarkStart w:id="132" w:name="_Toc171955154"/>
      <w:r>
        <w:rPr>
          <w:rFonts w:eastAsia="黑体"/>
          <w:b w:val="0"/>
          <w:sz w:val="21"/>
          <w:szCs w:val="21"/>
          <w:lang w:val="en-US"/>
        </w:rPr>
        <w:t>16.3 施工工艺</w:t>
      </w:r>
      <w:bookmarkEnd w:id="131"/>
      <w:bookmarkEnd w:id="132"/>
    </w:p>
    <w:p w14:paraId="31269A64">
      <w:pPr>
        <w:spacing w:line="330" w:lineRule="exact"/>
        <w:ind w:left="0" w:firstLine="0" w:firstLineChars="0"/>
        <w:rPr>
          <w:rFonts w:ascii="Times New Roman" w:hAnsi="Times New Roman"/>
          <w:szCs w:val="21"/>
        </w:rPr>
      </w:pPr>
      <w:r>
        <w:rPr>
          <w:rFonts w:ascii="Times New Roman" w:hAnsi="Times New Roman"/>
          <w:szCs w:val="21"/>
        </w:rPr>
        <w:t>16.3.1</w:t>
      </w:r>
      <w:r>
        <w:rPr>
          <w:rFonts w:ascii="Times New Roman" w:hAnsi="Times New Roman" w:eastAsiaTheme="minorEastAsia"/>
          <w:szCs w:val="21"/>
        </w:rPr>
        <w:t>信息化应用系统施工工艺流程见图16.3.1。</w:t>
      </w:r>
    </w:p>
    <w:p w14:paraId="30FDC339">
      <w:pPr>
        <w:ind w:left="105" w:hanging="105"/>
        <w:rPr>
          <w:rFonts w:ascii="Times New Roman" w:hAnsi="Times New Roman"/>
          <w:lang w:val="zh-CN"/>
        </w:rPr>
      </w:pPr>
      <w:r>
        <w:rPr>
          <w:rFonts w:ascii="Times New Roman" w:hAnsi="Times New Roman"/>
        </w:rPr>
        <mc:AlternateContent>
          <mc:Choice Requires="wpg">
            <w:drawing>
              <wp:inline distT="0" distB="0" distL="0" distR="0">
                <wp:extent cx="5415280" cy="1036320"/>
                <wp:effectExtent l="0" t="0" r="33020" b="11430"/>
                <wp:docPr id="193780642" name="组合 193780642"/>
                <wp:cNvGraphicFramePr/>
                <a:graphic xmlns:a="http://schemas.openxmlformats.org/drawingml/2006/main">
                  <a:graphicData uri="http://schemas.microsoft.com/office/word/2010/wordprocessingGroup">
                    <wpg:wgp>
                      <wpg:cNvGrpSpPr/>
                      <wpg:grpSpPr>
                        <a:xfrm>
                          <a:off x="0" y="0"/>
                          <a:ext cx="5415280" cy="1036320"/>
                          <a:chOff x="0" y="-19"/>
                          <a:chExt cx="8528" cy="1632"/>
                        </a:xfrm>
                      </wpg:grpSpPr>
                      <wps:wsp>
                        <wps:cNvPr id="2045566008" name="Line 83"/>
                        <wps:cNvCnPr>
                          <a:cxnSpLocks noChangeShapeType="1"/>
                          <a:endCxn id="299783993" idx="1"/>
                        </wps:cNvCnPr>
                        <wps:spPr bwMode="auto">
                          <a:xfrm flipV="1">
                            <a:off x="1263" y="306"/>
                            <a:ext cx="415" cy="6"/>
                          </a:xfrm>
                          <a:prstGeom prst="line">
                            <a:avLst/>
                          </a:prstGeom>
                          <a:noFill/>
                          <a:ln w="9525">
                            <a:solidFill>
                              <a:srgbClr val="000000"/>
                            </a:solidFill>
                            <a:round/>
                            <a:tailEnd type="triangle" w="med" len="med"/>
                          </a:ln>
                        </wps:spPr>
                        <wps:bodyPr/>
                      </wps:wsp>
                      <wps:wsp>
                        <wps:cNvPr id="843204701" name="Line 84"/>
                        <wps:cNvCnPr>
                          <a:cxnSpLocks noChangeShapeType="1"/>
                          <a:stCxn id="299783993" idx="3"/>
                          <a:endCxn id="203729743" idx="1"/>
                        </wps:cNvCnPr>
                        <wps:spPr bwMode="auto">
                          <a:xfrm flipV="1">
                            <a:off x="3118" y="293"/>
                            <a:ext cx="441" cy="13"/>
                          </a:xfrm>
                          <a:prstGeom prst="line">
                            <a:avLst/>
                          </a:prstGeom>
                          <a:noFill/>
                          <a:ln w="9525">
                            <a:solidFill>
                              <a:srgbClr val="000000"/>
                            </a:solidFill>
                            <a:round/>
                            <a:tailEnd type="triangle" w="med" len="med"/>
                          </a:ln>
                        </wps:spPr>
                        <wps:bodyPr/>
                      </wps:wsp>
                      <wps:wsp>
                        <wps:cNvPr id="1018664126" name="Line 85"/>
                        <wps:cNvCnPr>
                          <a:cxnSpLocks noChangeShapeType="1"/>
                          <a:stCxn id="203729743" idx="3"/>
                          <a:endCxn id="134563661" idx="1"/>
                        </wps:cNvCnPr>
                        <wps:spPr bwMode="auto">
                          <a:xfrm>
                            <a:off x="5573" y="293"/>
                            <a:ext cx="524" cy="0"/>
                          </a:xfrm>
                          <a:prstGeom prst="line">
                            <a:avLst/>
                          </a:prstGeom>
                          <a:noFill/>
                          <a:ln w="9525">
                            <a:solidFill>
                              <a:srgbClr val="000000"/>
                            </a:solidFill>
                            <a:round/>
                            <a:tailEnd type="triangle" w="med" len="med"/>
                          </a:ln>
                        </wps:spPr>
                        <wps:bodyPr/>
                      </wps:wsp>
                      <wps:wsp>
                        <wps:cNvPr id="1180223945" name="Line 86"/>
                        <wps:cNvCnPr>
                          <a:cxnSpLocks noChangeShapeType="1"/>
                        </wps:cNvCnPr>
                        <wps:spPr bwMode="auto">
                          <a:xfrm>
                            <a:off x="7988" y="306"/>
                            <a:ext cx="540" cy="0"/>
                          </a:xfrm>
                          <a:prstGeom prst="line">
                            <a:avLst/>
                          </a:prstGeom>
                          <a:noFill/>
                          <a:ln w="9525">
                            <a:solidFill>
                              <a:srgbClr val="000000"/>
                            </a:solidFill>
                            <a:round/>
                            <a:tailEnd type="triangle" w="med" len="med"/>
                          </a:ln>
                        </wps:spPr>
                        <wps:bodyPr/>
                      </wps:wsp>
                      <wps:wsp>
                        <wps:cNvPr id="299783993" name="Rectangle 87"/>
                        <wps:cNvSpPr>
                          <a:spLocks noChangeArrowheads="1"/>
                        </wps:cNvSpPr>
                        <wps:spPr bwMode="auto">
                          <a:xfrm>
                            <a:off x="1678" y="-6"/>
                            <a:ext cx="1440" cy="624"/>
                          </a:xfrm>
                          <a:prstGeom prst="rect">
                            <a:avLst/>
                          </a:prstGeom>
                          <a:solidFill>
                            <a:srgbClr val="FFFFFF"/>
                          </a:solidFill>
                          <a:ln w="9525">
                            <a:solidFill>
                              <a:srgbClr val="000000"/>
                            </a:solidFill>
                            <a:miter lim="800000"/>
                          </a:ln>
                        </wps:spPr>
                        <wps:txbx>
                          <w:txbxContent>
                            <w:p w14:paraId="331EA70A">
                              <w:pPr>
                                <w:ind w:left="105" w:hanging="105"/>
                                <w:jc w:val="center"/>
                              </w:pPr>
                              <w:r>
                                <w:rPr>
                                  <w:rFonts w:hint="eastAsia" w:ascii="宋体" w:hAnsi="宋体"/>
                                  <w:kern w:val="0"/>
                                </w:rPr>
                                <w:t>系统配置</w:t>
                              </w:r>
                            </w:p>
                          </w:txbxContent>
                        </wps:txbx>
                        <wps:bodyPr rot="0" vert="horz" wrap="square" lIns="91440" tIns="82800" rIns="91440" bIns="45720" anchor="t" anchorCtr="0" upright="1">
                          <a:noAutofit/>
                        </wps:bodyPr>
                      </wps:wsp>
                      <wps:wsp>
                        <wps:cNvPr id="1721184692" name="Rectangle 88"/>
                        <wps:cNvSpPr>
                          <a:spLocks noChangeArrowheads="1"/>
                        </wps:cNvSpPr>
                        <wps:spPr bwMode="auto">
                          <a:xfrm>
                            <a:off x="3" y="3"/>
                            <a:ext cx="1260" cy="624"/>
                          </a:xfrm>
                          <a:prstGeom prst="rect">
                            <a:avLst/>
                          </a:prstGeom>
                          <a:solidFill>
                            <a:srgbClr val="FFFFFF"/>
                          </a:solidFill>
                          <a:ln w="9525">
                            <a:solidFill>
                              <a:srgbClr val="000000"/>
                            </a:solidFill>
                            <a:miter lim="800000"/>
                          </a:ln>
                        </wps:spPr>
                        <wps:txbx>
                          <w:txbxContent>
                            <w:p w14:paraId="6A890E6D">
                              <w:pPr>
                                <w:ind w:left="105" w:hanging="105"/>
                              </w:pPr>
                              <w:r>
                                <w:rPr>
                                  <w:rFonts w:hint="eastAsia" w:ascii="宋体" w:hAnsi="宋体"/>
                                  <w:kern w:val="0"/>
                                </w:rPr>
                                <w:t>设备安装</w:t>
                              </w:r>
                            </w:p>
                          </w:txbxContent>
                        </wps:txbx>
                        <wps:bodyPr rot="0" vert="horz" wrap="square" lIns="91440" tIns="82800" rIns="91440" bIns="45720" anchor="t" anchorCtr="0" upright="1">
                          <a:noAutofit/>
                        </wps:bodyPr>
                      </wps:wsp>
                      <wps:wsp>
                        <wps:cNvPr id="203729743" name="Rectangle 89"/>
                        <wps:cNvSpPr>
                          <a:spLocks noChangeArrowheads="1"/>
                        </wps:cNvSpPr>
                        <wps:spPr bwMode="auto">
                          <a:xfrm>
                            <a:off x="3559" y="-19"/>
                            <a:ext cx="2014" cy="624"/>
                          </a:xfrm>
                          <a:prstGeom prst="rect">
                            <a:avLst/>
                          </a:prstGeom>
                          <a:solidFill>
                            <a:srgbClr val="FFFFFF"/>
                          </a:solidFill>
                          <a:ln w="9525">
                            <a:solidFill>
                              <a:srgbClr val="000000"/>
                            </a:solidFill>
                            <a:miter lim="800000"/>
                          </a:ln>
                        </wps:spPr>
                        <wps:txbx>
                          <w:txbxContent>
                            <w:p w14:paraId="11DFDD23">
                              <w:pPr>
                                <w:ind w:left="105" w:hanging="105"/>
                                <w:jc w:val="center"/>
                                <w:rPr>
                                  <w:rFonts w:ascii="宋体" w:hAnsi="宋体"/>
                                  <w:spacing w:val="-10"/>
                                  <w:kern w:val="0"/>
                                </w:rPr>
                              </w:pPr>
                              <w:r>
                                <w:rPr>
                                  <w:rFonts w:hint="eastAsia" w:ascii="宋体" w:hAnsi="宋体"/>
                                  <w:kern w:val="0"/>
                                </w:rPr>
                                <w:t>网络管理软件测试</w:t>
                              </w:r>
                            </w:p>
                          </w:txbxContent>
                        </wps:txbx>
                        <wps:bodyPr rot="0" vert="horz" wrap="square" lIns="91440" tIns="82800" rIns="91440" bIns="45720" anchor="t" anchorCtr="0" upright="1">
                          <a:noAutofit/>
                        </wps:bodyPr>
                      </wps:wsp>
                      <wps:wsp>
                        <wps:cNvPr id="134563661" name="Rectangle 90"/>
                        <wps:cNvSpPr>
                          <a:spLocks noChangeArrowheads="1"/>
                        </wps:cNvSpPr>
                        <wps:spPr bwMode="auto">
                          <a:xfrm>
                            <a:off x="6097" y="-19"/>
                            <a:ext cx="1907" cy="624"/>
                          </a:xfrm>
                          <a:prstGeom prst="rect">
                            <a:avLst/>
                          </a:prstGeom>
                          <a:solidFill>
                            <a:srgbClr val="FFFFFF"/>
                          </a:solidFill>
                          <a:ln w="9525">
                            <a:solidFill>
                              <a:srgbClr val="000000"/>
                            </a:solidFill>
                            <a:miter lim="800000"/>
                          </a:ln>
                        </wps:spPr>
                        <wps:txbx>
                          <w:txbxContent>
                            <w:p w14:paraId="4D6F8D17">
                              <w:pPr>
                                <w:ind w:left="95" w:hanging="95"/>
                                <w:jc w:val="center"/>
                              </w:pPr>
                              <w:r>
                                <w:rPr>
                                  <w:rFonts w:hint="eastAsia" w:ascii="宋体" w:hAnsi="宋体"/>
                                  <w:spacing w:val="-10"/>
                                  <w:kern w:val="0"/>
                                </w:rPr>
                                <w:t>系统安全性测试</w:t>
                              </w:r>
                            </w:p>
                          </w:txbxContent>
                        </wps:txbx>
                        <wps:bodyPr rot="0" vert="horz" wrap="square" lIns="91440" tIns="82800" rIns="91440" bIns="45720" anchor="t" anchorCtr="0" upright="1">
                          <a:noAutofit/>
                        </wps:bodyPr>
                      </wps:wsp>
                      <wps:wsp>
                        <wps:cNvPr id="193567707" name="Rectangle 91"/>
                        <wps:cNvSpPr>
                          <a:spLocks noChangeArrowheads="1"/>
                        </wps:cNvSpPr>
                        <wps:spPr bwMode="auto">
                          <a:xfrm>
                            <a:off x="0" y="989"/>
                            <a:ext cx="1800" cy="624"/>
                          </a:xfrm>
                          <a:prstGeom prst="rect">
                            <a:avLst/>
                          </a:prstGeom>
                          <a:solidFill>
                            <a:srgbClr val="FFFFFF"/>
                          </a:solidFill>
                          <a:ln w="9525">
                            <a:solidFill>
                              <a:srgbClr val="000000"/>
                            </a:solidFill>
                            <a:miter lim="800000"/>
                          </a:ln>
                        </wps:spPr>
                        <wps:txbx>
                          <w:txbxContent>
                            <w:p w14:paraId="390A3D67">
                              <w:pPr>
                                <w:ind w:left="105" w:hanging="105"/>
                                <w:jc w:val="center"/>
                              </w:pPr>
                              <w:r>
                                <w:rPr>
                                  <w:rFonts w:hint="eastAsia"/>
                                </w:rPr>
                                <w:t>设备容错测试</w:t>
                              </w:r>
                            </w:p>
                          </w:txbxContent>
                        </wps:txbx>
                        <wps:bodyPr rot="0" vert="horz" wrap="square" lIns="91440" tIns="82800" rIns="91440" bIns="45720" anchor="t" anchorCtr="0" upright="1">
                          <a:noAutofit/>
                        </wps:bodyPr>
                      </wps:wsp>
                    </wpg:wgp>
                  </a:graphicData>
                </a:graphic>
              </wp:inline>
            </w:drawing>
          </mc:Choice>
          <mc:Fallback>
            <w:pict>
              <v:group id="_x0000_s1026" o:spid="_x0000_s1026" o:spt="203" style="height:81.6pt;width:426.4pt;" coordorigin="0,-19" coordsize="8528,1632" o:gfxdata="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N5jmKdUAAAAF&#10;AQAADwAAAAAAAAABACAAAAAiAAAAZHJzL2Rvd25yZXYueG1sUEsBAhQAFAAAAAgAh07iQCJVXrKS&#10;BAAA+hgAAA4AAAAAAAAAAQAgAAAAJAEAAGRycy9lMm9Eb2MueG1sUEsFBgAAAAAGAAYAWQEAACgI&#10;AAAAAA==&#10;">
                <o:lock v:ext="edit" aspectratio="f"/>
                <v:line id="Line 83" o:spid="_x0000_s1026" o:spt="20" style="position:absolute;left:1263;top:306;flip:y;height:6;width:415;" filled="f" stroked="t" coordsize="21600,21600" o:gfxdata="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3TW&#10;r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84" o:spid="_x0000_s1026" o:spt="20" style="position:absolute;left:3118;top:293;flip:y;height:13;width:441;" filled="f" stroked="t" coordsize="21600,21600" o:gfxdata="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oQFJc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v:line id="Line 85" o:spid="_x0000_s1026" o:spt="20" style="position:absolute;left:5573;top:293;height:0;width:524;" filled="f" stroked="t" coordsize="21600,21600" o:gfxdata="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3&#10;M/7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Line 86" o:spid="_x0000_s1026" o:spt="20" style="position:absolute;left:7988;top:306;height:0;width:540;" filled="f" stroked="t" coordsize="21600,21600" o:gfxdata="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CFyK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rect id="Rectangle 87" o:spid="_x0000_s1026" o:spt="1" style="position:absolute;left:1678;top:-6;height:624;width:1440;" fillcolor="#FFFFFF" filled="t" stroked="t" coordsize="21600,21600" o:gfxdata="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2&#10;I7jg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331EA70A">
                        <w:pPr>
                          <w:ind w:left="105" w:hanging="105"/>
                          <w:jc w:val="center"/>
                        </w:pPr>
                        <w:r>
                          <w:rPr>
                            <w:rFonts w:hint="eastAsia" w:ascii="宋体" w:hAnsi="宋体"/>
                            <w:kern w:val="0"/>
                          </w:rPr>
                          <w:t>系统配置</w:t>
                        </w:r>
                      </w:p>
                    </w:txbxContent>
                  </v:textbox>
                </v:rect>
                <v:rect id="Rectangle 88" o:spid="_x0000_s1026" o:spt="1" style="position:absolute;left:3;top:3;height:624;width:1260;" fillcolor="#FFFFFF" filled="t" stroked="t" coordsize="21600,21600" o:gfxdata="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j7&#10;V8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2.3mm,2.54mm,1.27mm">
                    <w:txbxContent>
                      <w:p w14:paraId="6A890E6D">
                        <w:pPr>
                          <w:ind w:left="105" w:hanging="105"/>
                        </w:pPr>
                        <w:r>
                          <w:rPr>
                            <w:rFonts w:hint="eastAsia" w:ascii="宋体" w:hAnsi="宋体"/>
                            <w:kern w:val="0"/>
                          </w:rPr>
                          <w:t>设备安装</w:t>
                        </w:r>
                      </w:p>
                    </w:txbxContent>
                  </v:textbox>
                </v:rect>
                <v:rect id="Rectangle 89" o:spid="_x0000_s1026" o:spt="1" style="position:absolute;left:3559;top:-19;height:624;width:2014;" fillcolor="#FFFFFF" filled="t" stroked="t" coordsize="21600,21600" o:gfxdata="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iXUz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11DFDD23">
                        <w:pPr>
                          <w:ind w:left="105" w:hanging="105"/>
                          <w:jc w:val="center"/>
                          <w:rPr>
                            <w:rFonts w:ascii="宋体" w:hAnsi="宋体"/>
                            <w:spacing w:val="-10"/>
                            <w:kern w:val="0"/>
                          </w:rPr>
                        </w:pPr>
                        <w:r>
                          <w:rPr>
                            <w:rFonts w:hint="eastAsia" w:ascii="宋体" w:hAnsi="宋体"/>
                            <w:kern w:val="0"/>
                          </w:rPr>
                          <w:t>网络管理软件测试</w:t>
                        </w:r>
                      </w:p>
                    </w:txbxContent>
                  </v:textbox>
                </v:rect>
                <v:rect id="Rectangle 90" o:spid="_x0000_s1026" o:spt="1" style="position:absolute;left:6097;top:-19;height:624;width:1907;" fillcolor="#FFFFFF" filled="t" stroked="t" coordsize="21600,21600" o:gfxdata="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jzqi/&#10;AAAA4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2.3mm,2.54mm,1.27mm">
                    <w:txbxContent>
                      <w:p w14:paraId="4D6F8D17">
                        <w:pPr>
                          <w:ind w:left="95" w:hanging="95"/>
                          <w:jc w:val="center"/>
                        </w:pPr>
                        <w:r>
                          <w:rPr>
                            <w:rFonts w:hint="eastAsia" w:ascii="宋体" w:hAnsi="宋体"/>
                            <w:spacing w:val="-10"/>
                            <w:kern w:val="0"/>
                          </w:rPr>
                          <w:t>系统安全性测试</w:t>
                        </w:r>
                      </w:p>
                    </w:txbxContent>
                  </v:textbox>
                </v:rect>
                <v:rect id="Rectangle 91" o:spid="_x0000_s1026" o:spt="1" style="position:absolute;left:0;top:989;height:624;width:1800;" fillcolor="#FFFFFF" filled="t" stroked="t" coordsize="21600,21600" o:gfxdata="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MXmy/&#10;AAAA4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2.3mm,2.54mm,1.27mm">
                    <w:txbxContent>
                      <w:p w14:paraId="390A3D67">
                        <w:pPr>
                          <w:ind w:left="105" w:hanging="105"/>
                          <w:jc w:val="center"/>
                        </w:pPr>
                        <w:r>
                          <w:rPr>
                            <w:rFonts w:hint="eastAsia"/>
                          </w:rPr>
                          <w:t>设备容错测试</w:t>
                        </w:r>
                      </w:p>
                    </w:txbxContent>
                  </v:textbox>
                </v:rect>
                <w10:wrap type="none"/>
                <w10:anchorlock/>
              </v:group>
            </w:pict>
          </mc:Fallback>
        </mc:AlternateContent>
      </w:r>
    </w:p>
    <w:p w14:paraId="6ACC28D9">
      <w:pPr>
        <w:ind w:left="0" w:firstLine="0" w:firstLineChars="0"/>
        <w:jc w:val="center"/>
        <w:rPr>
          <w:rFonts w:ascii="Times New Roman" w:hAnsi="Times New Roman"/>
          <w:szCs w:val="21"/>
        </w:rPr>
      </w:pPr>
      <w:r>
        <w:rPr>
          <w:rFonts w:ascii="Times New Roman" w:hAnsi="Times New Roman" w:eastAsiaTheme="minorEastAsia"/>
          <w:sz w:val="20"/>
          <w:szCs w:val="21"/>
        </w:rPr>
        <w:t>图16.3.1   信息化应用系统施工工艺流程图</w:t>
      </w:r>
    </w:p>
    <w:p w14:paraId="35480F0F">
      <w:pPr>
        <w:spacing w:line="330" w:lineRule="exact"/>
        <w:ind w:left="0" w:firstLine="0" w:firstLineChars="0"/>
        <w:rPr>
          <w:rFonts w:ascii="Times New Roman" w:hAnsi="Times New Roman"/>
          <w:szCs w:val="21"/>
        </w:rPr>
      </w:pPr>
      <w:r>
        <w:rPr>
          <w:rFonts w:ascii="Times New Roman" w:hAnsi="Times New Roman"/>
          <w:szCs w:val="21"/>
        </w:rPr>
        <w:t>16.3.2设备安装应符合下列规定：</w:t>
      </w:r>
      <w:r>
        <w:rPr>
          <w:rFonts w:hint="eastAsia" w:ascii="Times New Roman" w:hAnsi="Times New Roman"/>
          <w:szCs w:val="21"/>
        </w:rPr>
        <w:t>全是材料设备要求，不是安装内容</w:t>
      </w:r>
    </w:p>
    <w:p w14:paraId="2876809A">
      <w:pPr>
        <w:spacing w:line="330" w:lineRule="exact"/>
        <w:ind w:left="51"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 xml:space="preserve"> 设备根据设计要求安装在标准机柜内或独立放置。螺钉安装应紧固，设备本身及机架外壳的接地线</w:t>
      </w:r>
      <w:r>
        <w:rPr>
          <w:rFonts w:hint="eastAsia" w:ascii="Times New Roman" w:hAnsi="Times New Roman"/>
          <w:szCs w:val="21"/>
        </w:rPr>
        <w:t>满足设计要求</w:t>
      </w:r>
      <w:r>
        <w:rPr>
          <w:rFonts w:ascii="Times New Roman" w:hAnsi="Times New Roman"/>
          <w:szCs w:val="21"/>
        </w:rPr>
        <w:t>。</w:t>
      </w:r>
    </w:p>
    <w:p w14:paraId="653058BA">
      <w:pPr>
        <w:spacing w:line="330" w:lineRule="exact"/>
        <w:ind w:left="51"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 xml:space="preserve"> 网络设备应安装整齐，固定牢靠，空余槽位应安装空板；设备上的卷标应标明设备的名称和网络地址，跳线连接应稳固，走向清楚明确，线缆上应有卷标。</w:t>
      </w:r>
    </w:p>
    <w:p w14:paraId="0AC8CE09">
      <w:pPr>
        <w:spacing w:line="330" w:lineRule="exact"/>
        <w:ind w:left="51" w:firstLine="422" w:firstLineChars="200"/>
        <w:rPr>
          <w:rFonts w:ascii="Times New Roman" w:hAnsi="Times New Roman"/>
          <w:szCs w:val="21"/>
        </w:rPr>
      </w:pPr>
      <w:r>
        <w:rPr>
          <w:rFonts w:ascii="Times New Roman" w:hAnsi="Times New Roman"/>
          <w:b/>
          <w:bCs/>
          <w:szCs w:val="21"/>
        </w:rPr>
        <w:t>3</w:t>
      </w:r>
      <w:r>
        <w:rPr>
          <w:rFonts w:ascii="Times New Roman" w:hAnsi="Times New Roman"/>
          <w:szCs w:val="21"/>
        </w:rPr>
        <w:t xml:space="preserve"> 设备应保证外观完好，产品无损伤、无瑕疵；</w:t>
      </w:r>
    </w:p>
    <w:p w14:paraId="5494E96A">
      <w:pPr>
        <w:spacing w:line="330" w:lineRule="exact"/>
        <w:ind w:left="51" w:firstLine="422" w:firstLineChars="200"/>
        <w:rPr>
          <w:rFonts w:ascii="Times New Roman" w:hAnsi="Times New Roman"/>
          <w:szCs w:val="21"/>
        </w:rPr>
      </w:pPr>
      <w:r>
        <w:rPr>
          <w:rFonts w:ascii="Times New Roman" w:hAnsi="Times New Roman"/>
          <w:b/>
          <w:bCs/>
          <w:szCs w:val="21"/>
        </w:rPr>
        <w:t>4</w:t>
      </w:r>
      <w:r>
        <w:rPr>
          <w:rFonts w:ascii="Times New Roman" w:hAnsi="Times New Roman"/>
          <w:szCs w:val="21"/>
        </w:rPr>
        <w:t xml:space="preserve"> 进口产品除应符合本规程规定外，应提供原产地证明和商检证明，配套提供的质量合格证明、检测报告及安装、使用、维护说明书等文件资料应为中文文本（或附中文译文）；</w:t>
      </w:r>
    </w:p>
    <w:p w14:paraId="6FCB5F8C">
      <w:pPr>
        <w:spacing w:line="330" w:lineRule="exact"/>
        <w:ind w:left="51" w:firstLine="422" w:firstLineChars="200"/>
        <w:rPr>
          <w:rFonts w:ascii="Times New Roman" w:hAnsi="Times New Roman"/>
          <w:szCs w:val="21"/>
        </w:rPr>
      </w:pPr>
      <w:r>
        <w:rPr>
          <w:rFonts w:ascii="Times New Roman" w:hAnsi="Times New Roman"/>
          <w:b/>
          <w:bCs/>
          <w:szCs w:val="21"/>
        </w:rPr>
        <w:t>5</w:t>
      </w:r>
      <w:r>
        <w:rPr>
          <w:rFonts w:ascii="Times New Roman" w:hAnsi="Times New Roman"/>
          <w:szCs w:val="21"/>
        </w:rPr>
        <w:t xml:space="preserve"> 对设备及材料开箱检查时，应注意轻拿轻放，减少噪声及设备损坏和变形。开箱产生的外包装废弃物及时收集归整，定期或不定期进行定点回收消纳，交有资质的单位或环卫部门处理。</w:t>
      </w:r>
    </w:p>
    <w:p w14:paraId="681D681B">
      <w:pPr>
        <w:spacing w:line="330" w:lineRule="exact"/>
        <w:ind w:left="51" w:firstLine="422" w:firstLineChars="200"/>
        <w:rPr>
          <w:rFonts w:ascii="Times New Roman" w:hAnsi="Times New Roman"/>
          <w:szCs w:val="21"/>
        </w:rPr>
      </w:pPr>
      <w:r>
        <w:rPr>
          <w:rFonts w:ascii="Times New Roman" w:hAnsi="Times New Roman"/>
          <w:b/>
          <w:bCs/>
          <w:szCs w:val="21"/>
        </w:rPr>
        <w:t>6</w:t>
      </w:r>
      <w:r>
        <w:rPr>
          <w:rFonts w:ascii="Times New Roman" w:hAnsi="Times New Roman"/>
          <w:szCs w:val="21"/>
        </w:rPr>
        <w:t xml:space="preserve"> 有序列号的设备应登记设备的序列号。</w:t>
      </w:r>
    </w:p>
    <w:p w14:paraId="4B2FC387">
      <w:pPr>
        <w:spacing w:line="330" w:lineRule="exact"/>
        <w:ind w:left="51" w:firstLine="422" w:firstLineChars="200"/>
        <w:rPr>
          <w:rFonts w:ascii="Times New Roman" w:hAnsi="Times New Roman"/>
          <w:szCs w:val="21"/>
        </w:rPr>
      </w:pPr>
      <w:r>
        <w:rPr>
          <w:rFonts w:ascii="Times New Roman" w:hAnsi="Times New Roman"/>
          <w:b/>
          <w:bCs/>
          <w:szCs w:val="21"/>
        </w:rPr>
        <w:t>7</w:t>
      </w:r>
      <w:r>
        <w:rPr>
          <w:rFonts w:ascii="Times New Roman" w:hAnsi="Times New Roman"/>
          <w:szCs w:val="21"/>
        </w:rPr>
        <w:t xml:space="preserve"> 网络设备开箱后通电自检，查看设备状态指示灯应正常，设备启动应正常。</w:t>
      </w:r>
    </w:p>
    <w:p w14:paraId="026CE538">
      <w:pPr>
        <w:spacing w:line="330" w:lineRule="exact"/>
        <w:ind w:left="51" w:firstLine="422" w:firstLineChars="200"/>
        <w:rPr>
          <w:rFonts w:ascii="Times New Roman" w:hAnsi="Times New Roman"/>
          <w:szCs w:val="21"/>
        </w:rPr>
      </w:pPr>
      <w:r>
        <w:rPr>
          <w:rFonts w:ascii="Times New Roman" w:hAnsi="Times New Roman"/>
          <w:b/>
          <w:bCs/>
          <w:szCs w:val="21"/>
        </w:rPr>
        <w:t>8</w:t>
      </w:r>
      <w:r>
        <w:rPr>
          <w:rFonts w:ascii="Times New Roman" w:hAnsi="Times New Roman"/>
          <w:szCs w:val="21"/>
        </w:rPr>
        <w:t xml:space="preserve"> 计算机系统、网管工作站、UPS电源、服务器、资料存储设备、路由器、防火墙、交换机等产品质量应按下列内容检查：</w:t>
      </w:r>
    </w:p>
    <w:p w14:paraId="26A23A49">
      <w:pPr>
        <w:pStyle w:val="164"/>
        <w:numPr>
          <w:ilvl w:val="0"/>
          <w:numId w:val="159"/>
        </w:numPr>
        <w:tabs>
          <w:tab w:val="left" w:pos="210"/>
          <w:tab w:val="left" w:pos="567"/>
        </w:tabs>
        <w:spacing w:line="330" w:lineRule="exact"/>
        <w:ind w:firstLine="630" w:firstLineChars="300"/>
        <w:rPr>
          <w:szCs w:val="21"/>
        </w:rPr>
      </w:pPr>
      <w:r>
        <w:rPr>
          <w:szCs w:val="21"/>
        </w:rPr>
        <w:t>涉及的产品应包括智能建筑工程各智能化系统中使用的材料、硬件设备、软件产品和工程中应用的各种系统接口。</w:t>
      </w:r>
    </w:p>
    <w:p w14:paraId="38A2CB0E">
      <w:pPr>
        <w:pStyle w:val="164"/>
        <w:numPr>
          <w:ilvl w:val="0"/>
          <w:numId w:val="159"/>
        </w:numPr>
        <w:tabs>
          <w:tab w:val="left" w:pos="210"/>
          <w:tab w:val="left" w:pos="567"/>
        </w:tabs>
        <w:spacing w:line="330" w:lineRule="exact"/>
        <w:ind w:firstLine="630" w:firstLineChars="300"/>
        <w:rPr>
          <w:szCs w:val="21"/>
        </w:rPr>
      </w:pPr>
      <w:r>
        <w:rPr>
          <w:szCs w:val="21"/>
        </w:rPr>
        <w:t>产品质量检查应包括列入《中华人民共和国实施强制性产品认证的产品目录》或实施生产许可证和上网许可证管理的产品，未列入强制性认证产品目录或未实施生产许可证和上网许可证管理的产品应按规定程序通过产品检测后方可使用。</w:t>
      </w:r>
    </w:p>
    <w:p w14:paraId="58549BF8">
      <w:pPr>
        <w:pStyle w:val="164"/>
        <w:numPr>
          <w:ilvl w:val="0"/>
          <w:numId w:val="159"/>
        </w:numPr>
        <w:tabs>
          <w:tab w:val="left" w:pos="210"/>
          <w:tab w:val="left" w:pos="567"/>
        </w:tabs>
        <w:spacing w:line="330" w:lineRule="exact"/>
        <w:ind w:firstLine="630" w:firstLineChars="300"/>
        <w:rPr>
          <w:szCs w:val="21"/>
        </w:rPr>
      </w:pPr>
      <w:r>
        <w:rPr>
          <w:szCs w:val="21"/>
        </w:rPr>
        <w:t>产品功能、性能等项目的检测应按相应的现行国家产品标准进行，供需双方有特殊要求的产品，可按合同规定或设计要求进行。</w:t>
      </w:r>
    </w:p>
    <w:p w14:paraId="40F068AA">
      <w:pPr>
        <w:pStyle w:val="164"/>
        <w:numPr>
          <w:ilvl w:val="0"/>
          <w:numId w:val="159"/>
        </w:numPr>
        <w:tabs>
          <w:tab w:val="left" w:pos="210"/>
          <w:tab w:val="left" w:pos="567"/>
        </w:tabs>
        <w:spacing w:line="330" w:lineRule="exact"/>
        <w:ind w:firstLine="630" w:firstLineChars="300"/>
        <w:rPr>
          <w:szCs w:val="21"/>
        </w:rPr>
      </w:pPr>
      <w:r>
        <w:rPr>
          <w:szCs w:val="21"/>
        </w:rPr>
        <w:t>对不具备现场检测条件的产品，可要求进行工厂检测并出具检测报告。</w:t>
      </w:r>
    </w:p>
    <w:p w14:paraId="61EC06FD">
      <w:pPr>
        <w:pStyle w:val="164"/>
        <w:numPr>
          <w:ilvl w:val="0"/>
          <w:numId w:val="159"/>
        </w:numPr>
        <w:tabs>
          <w:tab w:val="left" w:pos="210"/>
          <w:tab w:val="left" w:pos="567"/>
        </w:tabs>
        <w:spacing w:line="330" w:lineRule="exact"/>
        <w:ind w:firstLine="630" w:firstLineChars="300"/>
        <w:rPr>
          <w:szCs w:val="21"/>
        </w:rPr>
      </w:pPr>
      <w:r>
        <w:rPr>
          <w:szCs w:val="21"/>
        </w:rPr>
        <w:t>硬设备及材料的质量检查重点应包括安全性、可靠性、电磁兼容性及环保性等项目，可靠性检测可参考生产厂家出具的可靠性检测报告，环保性检测可检查必要的环保指标检测报告。</w:t>
      </w:r>
    </w:p>
    <w:p w14:paraId="36D511D2">
      <w:pPr>
        <w:spacing w:line="330" w:lineRule="exact"/>
        <w:ind w:left="51" w:firstLine="422" w:firstLineChars="200"/>
        <w:rPr>
          <w:rFonts w:ascii="Times New Roman" w:hAnsi="Times New Roman"/>
          <w:szCs w:val="21"/>
        </w:rPr>
      </w:pPr>
      <w:r>
        <w:rPr>
          <w:rFonts w:ascii="Times New Roman" w:hAnsi="Times New Roman"/>
          <w:b/>
          <w:bCs/>
          <w:szCs w:val="21"/>
        </w:rPr>
        <w:t>9</w:t>
      </w:r>
      <w:r>
        <w:rPr>
          <w:rFonts w:ascii="Times New Roman" w:hAnsi="Times New Roman"/>
          <w:szCs w:val="21"/>
        </w:rPr>
        <w:t xml:space="preserve"> 软件产品质量应按下列内容检查：</w:t>
      </w:r>
    </w:p>
    <w:p w14:paraId="27196D12">
      <w:pPr>
        <w:pStyle w:val="164"/>
        <w:numPr>
          <w:ilvl w:val="0"/>
          <w:numId w:val="160"/>
        </w:numPr>
        <w:tabs>
          <w:tab w:val="left" w:pos="210"/>
          <w:tab w:val="left" w:pos="567"/>
        </w:tabs>
        <w:spacing w:line="330" w:lineRule="exact"/>
        <w:ind w:firstLine="630" w:firstLineChars="300"/>
        <w:rPr>
          <w:szCs w:val="21"/>
        </w:rPr>
      </w:pPr>
      <w:r>
        <w:rPr>
          <w:szCs w:val="21"/>
        </w:rPr>
        <w:t>商业化的软件，如操作系统、数据库管理系统、应用系统软件、信息安全软件和网管软件等应做好使用许可证及使用范围的检查；</w:t>
      </w:r>
    </w:p>
    <w:p w14:paraId="157A25D5">
      <w:pPr>
        <w:pStyle w:val="164"/>
        <w:numPr>
          <w:ilvl w:val="0"/>
          <w:numId w:val="160"/>
        </w:numPr>
        <w:tabs>
          <w:tab w:val="left" w:pos="210"/>
          <w:tab w:val="left" w:pos="567"/>
        </w:tabs>
        <w:spacing w:line="330" w:lineRule="exact"/>
        <w:ind w:firstLine="630" w:firstLineChars="300"/>
        <w:rPr>
          <w:szCs w:val="21"/>
        </w:rPr>
      </w:pPr>
      <w:r>
        <w:rPr>
          <w:szCs w:val="21"/>
        </w:rPr>
        <w:t>由系统承包商编制的用户应用软件、用户组态软件及接口软件等应用软件，除进行功能测试和系统测试之外，还应根据需要进行容量、可靠性，安全性、可恢复性、兼容性、自诊断等多项功能测试，并保证软件的可维护性；</w:t>
      </w:r>
    </w:p>
    <w:p w14:paraId="0A0A0B23">
      <w:pPr>
        <w:pStyle w:val="164"/>
        <w:numPr>
          <w:ilvl w:val="0"/>
          <w:numId w:val="160"/>
        </w:numPr>
        <w:tabs>
          <w:tab w:val="left" w:pos="210"/>
          <w:tab w:val="left" w:pos="567"/>
        </w:tabs>
        <w:spacing w:line="330" w:lineRule="exact"/>
        <w:ind w:firstLine="630" w:firstLineChars="300"/>
        <w:rPr>
          <w:szCs w:val="21"/>
        </w:rPr>
      </w:pPr>
      <w:r>
        <w:rPr>
          <w:szCs w:val="21"/>
        </w:rPr>
        <w:t>所有自编软件均应提供完整的文件（包括软件资料、程序结构说明、安装调试说明、使用和维护说明书等）。</w:t>
      </w:r>
    </w:p>
    <w:p w14:paraId="3E59FE61">
      <w:pPr>
        <w:spacing w:line="330" w:lineRule="exact"/>
        <w:ind w:left="51" w:firstLine="422" w:firstLineChars="200"/>
        <w:rPr>
          <w:rFonts w:ascii="Times New Roman" w:hAnsi="Times New Roman"/>
          <w:szCs w:val="21"/>
        </w:rPr>
      </w:pPr>
      <w:r>
        <w:rPr>
          <w:rFonts w:ascii="Times New Roman" w:hAnsi="Times New Roman"/>
          <w:b/>
          <w:bCs/>
          <w:szCs w:val="21"/>
        </w:rPr>
        <w:t>10</w:t>
      </w:r>
      <w:r>
        <w:rPr>
          <w:rFonts w:ascii="Times New Roman" w:hAnsi="Times New Roman"/>
          <w:szCs w:val="21"/>
        </w:rPr>
        <w:t xml:space="preserve"> 防火墙和防病毒软件等产品应通过公安部计算机信息系统安全产品质量监督检验中心检验，并具有公安部公共信息安全监察局颁发的“计算机信息系统安全专用产品销售许可证”;特殊行业有其他规定时，还应遵守行业的相关规定。</w:t>
      </w:r>
    </w:p>
    <w:p w14:paraId="1D809FB7">
      <w:pPr>
        <w:spacing w:line="330" w:lineRule="exact"/>
        <w:ind w:left="0" w:firstLine="0" w:firstLineChars="0"/>
        <w:rPr>
          <w:rFonts w:ascii="Times New Roman" w:hAnsi="Times New Roman"/>
          <w:szCs w:val="21"/>
        </w:rPr>
      </w:pPr>
      <w:r>
        <w:rPr>
          <w:rFonts w:ascii="Times New Roman" w:hAnsi="Times New Roman"/>
          <w:szCs w:val="21"/>
        </w:rPr>
        <w:t>16.3.3系统配置</w:t>
      </w:r>
      <w:r>
        <w:rPr>
          <w:rFonts w:ascii="Times New Roman" w:hAnsi="Times New Roman"/>
          <w:sz w:val="20"/>
          <w:szCs w:val="21"/>
        </w:rPr>
        <w:t>应符合下列规定：</w:t>
      </w:r>
    </w:p>
    <w:p w14:paraId="6A7BE61A">
      <w:pPr>
        <w:spacing w:line="330" w:lineRule="exact"/>
        <w:ind w:left="51"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 xml:space="preserve"> 应根据用户的功能需求和生产厂家提供的安装手册，编写相关配置表。通过控制台或仿真终端对网络设备进行配置，保存配置结果。</w:t>
      </w:r>
    </w:p>
    <w:p w14:paraId="2E375D3F">
      <w:pPr>
        <w:spacing w:line="330" w:lineRule="exact"/>
        <w:ind w:left="51"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系统配置时，应按以下要求进行网络安全保护：</w:t>
      </w:r>
    </w:p>
    <w:p w14:paraId="1D00FFA6">
      <w:pPr>
        <w:pStyle w:val="164"/>
        <w:numPr>
          <w:ilvl w:val="0"/>
          <w:numId w:val="161"/>
        </w:numPr>
        <w:tabs>
          <w:tab w:val="left" w:pos="210"/>
          <w:tab w:val="left" w:pos="567"/>
        </w:tabs>
        <w:spacing w:line="330" w:lineRule="exact"/>
        <w:ind w:firstLine="630" w:firstLineChars="300"/>
        <w:rPr>
          <w:szCs w:val="21"/>
        </w:rPr>
      </w:pPr>
      <w:r>
        <w:rPr>
          <w:szCs w:val="21"/>
        </w:rPr>
        <w:t>防火墙应阻挡外部网络的非授权访问和窥探，控制内部用户的不合理的流量。</w:t>
      </w:r>
    </w:p>
    <w:p w14:paraId="4A5C3AE7">
      <w:pPr>
        <w:pStyle w:val="164"/>
        <w:numPr>
          <w:ilvl w:val="0"/>
          <w:numId w:val="161"/>
        </w:numPr>
        <w:tabs>
          <w:tab w:val="left" w:pos="210"/>
          <w:tab w:val="left" w:pos="567"/>
        </w:tabs>
        <w:spacing w:line="330" w:lineRule="exact"/>
        <w:ind w:firstLine="630" w:firstLineChars="300"/>
        <w:rPr>
          <w:szCs w:val="21"/>
        </w:rPr>
      </w:pPr>
      <w:r>
        <w:rPr>
          <w:szCs w:val="21"/>
        </w:rPr>
        <w:t>应保证局域网用户可以安全地访问Internet提供的各种服务而局域网无需承担任何风险。</w:t>
      </w:r>
    </w:p>
    <w:p w14:paraId="4F4C8137">
      <w:pPr>
        <w:pStyle w:val="164"/>
        <w:numPr>
          <w:ilvl w:val="0"/>
          <w:numId w:val="161"/>
        </w:numPr>
        <w:tabs>
          <w:tab w:val="left" w:pos="210"/>
          <w:tab w:val="left" w:pos="567"/>
        </w:tabs>
        <w:spacing w:line="330" w:lineRule="exact"/>
        <w:ind w:firstLine="630" w:firstLineChars="300"/>
        <w:rPr>
          <w:szCs w:val="21"/>
        </w:rPr>
      </w:pPr>
      <w:r>
        <w:rPr>
          <w:szCs w:val="21"/>
        </w:rPr>
        <w:t>网络中要有备份与容错。</w:t>
      </w:r>
    </w:p>
    <w:p w14:paraId="1103C8A9">
      <w:pPr>
        <w:pStyle w:val="164"/>
        <w:numPr>
          <w:ilvl w:val="0"/>
          <w:numId w:val="161"/>
        </w:numPr>
        <w:tabs>
          <w:tab w:val="left" w:pos="210"/>
          <w:tab w:val="left" w:pos="567"/>
        </w:tabs>
        <w:spacing w:line="330" w:lineRule="exact"/>
        <w:ind w:firstLine="630" w:firstLineChars="300"/>
        <w:rPr>
          <w:szCs w:val="21"/>
        </w:rPr>
      </w:pPr>
      <w:r>
        <w:rPr>
          <w:szCs w:val="21"/>
        </w:rPr>
        <w:t>对网络安全防御的其他手段，加密与网络防护等均应</w:t>
      </w:r>
      <w:r>
        <w:rPr>
          <w:rFonts w:hint="eastAsia"/>
          <w:szCs w:val="21"/>
        </w:rPr>
        <w:t>全面</w:t>
      </w:r>
      <w:r>
        <w:rPr>
          <w:szCs w:val="21"/>
        </w:rPr>
        <w:t>检查。</w:t>
      </w:r>
    </w:p>
    <w:p w14:paraId="5935C546">
      <w:pPr>
        <w:spacing w:line="330" w:lineRule="exact"/>
        <w:ind w:left="0" w:firstLine="0" w:firstLineChars="0"/>
        <w:rPr>
          <w:rFonts w:ascii="Times New Roman" w:hAnsi="Times New Roman"/>
          <w:szCs w:val="21"/>
        </w:rPr>
      </w:pPr>
      <w:r>
        <w:rPr>
          <w:rFonts w:ascii="Times New Roman" w:hAnsi="Times New Roman"/>
          <w:szCs w:val="21"/>
        </w:rPr>
        <w:t>16.3.4网络管理软件测试应符合下列规定：</w:t>
      </w:r>
    </w:p>
    <w:p w14:paraId="7EDDEC03">
      <w:pPr>
        <w:spacing w:line="330" w:lineRule="exact"/>
        <w:ind w:left="51"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 xml:space="preserve"> 软件的版本及对应的操作系统平台应</w:t>
      </w:r>
      <w:r>
        <w:rPr>
          <w:rFonts w:hint="eastAsia" w:ascii="Times New Roman" w:hAnsi="Times New Roman"/>
          <w:szCs w:val="21"/>
        </w:rPr>
        <w:t>满足设计要求</w:t>
      </w:r>
      <w:r>
        <w:rPr>
          <w:rFonts w:ascii="Times New Roman" w:hAnsi="Times New Roman"/>
          <w:szCs w:val="21"/>
        </w:rPr>
        <w:t>。</w:t>
      </w:r>
    </w:p>
    <w:p w14:paraId="22B42A46">
      <w:pPr>
        <w:spacing w:line="330" w:lineRule="exact"/>
        <w:ind w:left="51"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 xml:space="preserve"> 网络管理软件应具备如下管理功能：</w:t>
      </w:r>
    </w:p>
    <w:p w14:paraId="74C68A94">
      <w:pPr>
        <w:pStyle w:val="164"/>
        <w:numPr>
          <w:ilvl w:val="0"/>
          <w:numId w:val="162"/>
        </w:numPr>
        <w:tabs>
          <w:tab w:val="left" w:pos="210"/>
          <w:tab w:val="left" w:pos="567"/>
        </w:tabs>
        <w:spacing w:line="330" w:lineRule="exact"/>
        <w:ind w:firstLine="630" w:firstLineChars="300"/>
        <w:rPr>
          <w:szCs w:val="21"/>
        </w:rPr>
      </w:pPr>
      <w:r>
        <w:rPr>
          <w:szCs w:val="21"/>
        </w:rPr>
        <w:t>应能搜索到整个网络系统的拓扑结构图和网络设备连接图。</w:t>
      </w:r>
    </w:p>
    <w:p w14:paraId="7FBF5715">
      <w:pPr>
        <w:pStyle w:val="164"/>
        <w:numPr>
          <w:ilvl w:val="0"/>
          <w:numId w:val="162"/>
        </w:numPr>
        <w:tabs>
          <w:tab w:val="left" w:pos="210"/>
          <w:tab w:val="left" w:pos="567"/>
        </w:tabs>
        <w:spacing w:line="330" w:lineRule="exact"/>
        <w:ind w:firstLine="630" w:firstLineChars="300"/>
        <w:rPr>
          <w:szCs w:val="21"/>
        </w:rPr>
      </w:pPr>
      <w:r>
        <w:rPr>
          <w:szCs w:val="21"/>
        </w:rPr>
        <w:t>应具备自诊断功能，当某台网络设备或线路发生故障后，网管系统应能够及时报警和定位故障点。</w:t>
      </w:r>
    </w:p>
    <w:p w14:paraId="6A7CC2A1">
      <w:pPr>
        <w:pStyle w:val="164"/>
        <w:numPr>
          <w:ilvl w:val="0"/>
          <w:numId w:val="162"/>
        </w:numPr>
        <w:tabs>
          <w:tab w:val="left" w:pos="210"/>
          <w:tab w:val="left" w:pos="567"/>
        </w:tabs>
        <w:spacing w:line="330" w:lineRule="exact"/>
        <w:ind w:firstLine="630" w:firstLineChars="300"/>
        <w:rPr>
          <w:szCs w:val="21"/>
        </w:rPr>
      </w:pPr>
      <w:r>
        <w:rPr>
          <w:szCs w:val="21"/>
        </w:rPr>
        <w:t>应能对网络设备进行远程配置，检测网络的性能，提供网络节点的流量、广播率和错误率等参数。</w:t>
      </w:r>
    </w:p>
    <w:p w14:paraId="4F437A05">
      <w:pPr>
        <w:pStyle w:val="164"/>
        <w:numPr>
          <w:ilvl w:val="0"/>
          <w:numId w:val="162"/>
        </w:numPr>
        <w:tabs>
          <w:tab w:val="left" w:pos="210"/>
          <w:tab w:val="left" w:pos="567"/>
        </w:tabs>
        <w:spacing w:line="330" w:lineRule="exact"/>
        <w:ind w:firstLine="630" w:firstLineChars="300"/>
        <w:rPr>
          <w:szCs w:val="21"/>
        </w:rPr>
      </w:pPr>
      <w:r>
        <w:rPr>
          <w:rFonts w:hint="eastAsia"/>
          <w:szCs w:val="21"/>
        </w:rPr>
        <w:t>应能</w:t>
      </w:r>
      <w:r>
        <w:rPr>
          <w:szCs w:val="21"/>
        </w:rPr>
        <w:t>监测设备状态和网络流量，</w:t>
      </w:r>
      <w:r>
        <w:rPr>
          <w:rFonts w:hint="eastAsia"/>
          <w:szCs w:val="21"/>
        </w:rPr>
        <w:t>并通过配置</w:t>
      </w:r>
      <w:r>
        <w:rPr>
          <w:szCs w:val="21"/>
        </w:rPr>
        <w:t>设备属性优化</w:t>
      </w:r>
      <w:r>
        <w:rPr>
          <w:rFonts w:hint="eastAsia"/>
          <w:szCs w:val="21"/>
        </w:rPr>
        <w:t>网络性能</w:t>
      </w:r>
      <w:r>
        <w:rPr>
          <w:szCs w:val="21"/>
        </w:rPr>
        <w:t xml:space="preserve">。 </w:t>
      </w:r>
    </w:p>
    <w:p w14:paraId="6AAD025B">
      <w:pPr>
        <w:spacing w:line="330" w:lineRule="exact"/>
        <w:ind w:left="0" w:firstLine="0" w:firstLineChars="0"/>
        <w:rPr>
          <w:rFonts w:ascii="Times New Roman" w:hAnsi="Times New Roman"/>
          <w:szCs w:val="21"/>
        </w:rPr>
      </w:pPr>
      <w:r>
        <w:rPr>
          <w:rFonts w:ascii="Times New Roman" w:hAnsi="Times New Roman"/>
          <w:szCs w:val="21"/>
        </w:rPr>
        <w:t>16.3.5系统安全性测试应符合</w:t>
      </w:r>
      <w:r>
        <w:rPr>
          <w:rFonts w:hint="eastAsia" w:ascii="Times New Roman" w:hAnsi="Times New Roman"/>
          <w:szCs w:val="21"/>
        </w:rPr>
        <w:t>下列</w:t>
      </w:r>
      <w:r>
        <w:rPr>
          <w:rFonts w:ascii="Times New Roman" w:hAnsi="Times New Roman"/>
          <w:szCs w:val="21"/>
        </w:rPr>
        <w:t>规定：</w:t>
      </w:r>
    </w:p>
    <w:p w14:paraId="0A405685">
      <w:pPr>
        <w:spacing w:line="330" w:lineRule="exact"/>
        <w:ind w:left="51" w:firstLine="422" w:firstLineChars="200"/>
        <w:rPr>
          <w:rFonts w:ascii="Times New Roman" w:hAnsi="Times New Roman"/>
          <w:szCs w:val="21"/>
        </w:rPr>
      </w:pPr>
      <w:r>
        <w:rPr>
          <w:rFonts w:ascii="Times New Roman" w:hAnsi="Times New Roman"/>
          <w:b/>
          <w:bCs/>
          <w:szCs w:val="21"/>
        </w:rPr>
        <w:t>1</w:t>
      </w:r>
      <w:r>
        <w:rPr>
          <w:rFonts w:ascii="Times New Roman" w:hAnsi="Times New Roman"/>
          <w:szCs w:val="21"/>
        </w:rPr>
        <w:t>信息安全性检测应满足下列要求：</w:t>
      </w:r>
    </w:p>
    <w:p w14:paraId="6143F0A6">
      <w:pPr>
        <w:pStyle w:val="164"/>
        <w:numPr>
          <w:ilvl w:val="0"/>
          <w:numId w:val="163"/>
        </w:numPr>
        <w:tabs>
          <w:tab w:val="left" w:pos="210"/>
          <w:tab w:val="left" w:pos="567"/>
        </w:tabs>
        <w:spacing w:line="330" w:lineRule="exact"/>
        <w:ind w:firstLine="630" w:firstLineChars="300"/>
        <w:rPr>
          <w:szCs w:val="21"/>
        </w:rPr>
      </w:pPr>
      <w:r>
        <w:rPr>
          <w:rFonts w:hint="eastAsia"/>
          <w:szCs w:val="21"/>
        </w:rPr>
        <w:t>办公网络应能抵御防火墙以外的网络攻击，使用仿真攻击手段时不能被攻破</w:t>
      </w:r>
      <w:r>
        <w:rPr>
          <w:szCs w:val="21"/>
        </w:rPr>
        <w:t>。</w:t>
      </w:r>
    </w:p>
    <w:p w14:paraId="06740353">
      <w:pPr>
        <w:pStyle w:val="164"/>
        <w:numPr>
          <w:ilvl w:val="0"/>
          <w:numId w:val="163"/>
        </w:numPr>
        <w:tabs>
          <w:tab w:val="left" w:pos="210"/>
          <w:tab w:val="left" w:pos="567"/>
        </w:tabs>
        <w:spacing w:line="330" w:lineRule="exact"/>
        <w:ind w:firstLine="630" w:firstLineChars="300"/>
        <w:rPr>
          <w:szCs w:val="21"/>
        </w:rPr>
      </w:pPr>
      <w:r>
        <w:rPr>
          <w:szCs w:val="21"/>
        </w:rPr>
        <w:t>办公网络</w:t>
      </w:r>
      <w:r>
        <w:rPr>
          <w:rFonts w:hint="eastAsia"/>
          <w:szCs w:val="21"/>
        </w:rPr>
        <w:t>应</w:t>
      </w:r>
      <w:r>
        <w:rPr>
          <w:szCs w:val="21"/>
        </w:rPr>
        <w:t>能根据需求控制内部终端机的互联网（Inter</w:t>
      </w:r>
      <w:r>
        <w:rPr>
          <w:szCs w:val="21"/>
        </w:rPr>
        <w:softHyphen/>
      </w:r>
      <w:r>
        <w:rPr>
          <w:szCs w:val="21"/>
        </w:rPr>
        <w:t>net）连接请求和内容，可使终端机用不同身份访问Internet的不同资源。</w:t>
      </w:r>
    </w:p>
    <w:p w14:paraId="2BB033A9">
      <w:pPr>
        <w:pStyle w:val="164"/>
        <w:numPr>
          <w:ilvl w:val="0"/>
          <w:numId w:val="163"/>
        </w:numPr>
        <w:tabs>
          <w:tab w:val="left" w:pos="210"/>
          <w:tab w:val="left" w:pos="567"/>
        </w:tabs>
        <w:spacing w:line="330" w:lineRule="exact"/>
        <w:ind w:firstLine="630" w:firstLineChars="300"/>
        <w:rPr>
          <w:szCs w:val="21"/>
        </w:rPr>
      </w:pPr>
      <w:r>
        <w:rPr>
          <w:szCs w:val="21"/>
        </w:rPr>
        <w:t>办公网络与控制网络应实施安全隔离，</w:t>
      </w:r>
      <w:r>
        <w:rPr>
          <w:rFonts w:hint="eastAsia"/>
          <w:szCs w:val="21"/>
        </w:rPr>
        <w:t>应采用</w:t>
      </w:r>
      <w:r>
        <w:rPr>
          <w:szCs w:val="21"/>
        </w:rPr>
        <w:t>测试命令</w:t>
      </w:r>
      <w:r>
        <w:rPr>
          <w:rFonts w:hint="eastAsia"/>
          <w:szCs w:val="21"/>
        </w:rPr>
        <w:t>进行</w:t>
      </w:r>
      <w:r>
        <w:rPr>
          <w:szCs w:val="21"/>
        </w:rPr>
        <w:t>测试，办公网络未经授权不能进入控制网络。</w:t>
      </w:r>
    </w:p>
    <w:p w14:paraId="21BAB031">
      <w:pPr>
        <w:pStyle w:val="164"/>
        <w:numPr>
          <w:ilvl w:val="0"/>
          <w:numId w:val="163"/>
        </w:numPr>
        <w:tabs>
          <w:tab w:val="left" w:pos="210"/>
          <w:tab w:val="left" w:pos="567"/>
        </w:tabs>
        <w:spacing w:line="330" w:lineRule="exact"/>
        <w:ind w:firstLine="630" w:firstLineChars="300"/>
        <w:rPr>
          <w:szCs w:val="21"/>
        </w:rPr>
      </w:pPr>
      <w:r>
        <w:rPr>
          <w:rFonts w:hint="eastAsia"/>
          <w:szCs w:val="21"/>
        </w:rPr>
        <w:t>应进行</w:t>
      </w:r>
      <w:r>
        <w:rPr>
          <w:szCs w:val="21"/>
        </w:rPr>
        <w:t>防病毒系统的有效性检测，将一个含有当前已知流行病毒的文件（病毒样本）通过文件传输、邮件附件、网上邻居等方式传播，防病毒软件应能正确检测病毒文件并执行杀毒操作。</w:t>
      </w:r>
      <w:r>
        <w:rPr>
          <w:rFonts w:hint="eastAsia"/>
          <w:szCs w:val="21"/>
        </w:rPr>
        <w:t xml:space="preserve"> </w:t>
      </w:r>
    </w:p>
    <w:p w14:paraId="1205FA75">
      <w:pPr>
        <w:pStyle w:val="164"/>
        <w:numPr>
          <w:ilvl w:val="0"/>
          <w:numId w:val="163"/>
        </w:numPr>
        <w:tabs>
          <w:tab w:val="left" w:pos="210"/>
          <w:tab w:val="left" w:pos="567"/>
        </w:tabs>
        <w:spacing w:line="330" w:lineRule="exact"/>
        <w:ind w:firstLine="630" w:firstLineChars="300"/>
        <w:rPr>
          <w:szCs w:val="21"/>
        </w:rPr>
      </w:pPr>
      <w:r>
        <w:rPr>
          <w:rFonts w:hint="eastAsia"/>
          <w:szCs w:val="21"/>
        </w:rPr>
        <w:t>当</w:t>
      </w:r>
      <w:r>
        <w:rPr>
          <w:szCs w:val="21"/>
        </w:rPr>
        <w:t>使用攻击手段进行仿真攻击</w:t>
      </w:r>
      <w:r>
        <w:rPr>
          <w:rFonts w:hint="eastAsia"/>
          <w:szCs w:val="21"/>
        </w:rPr>
        <w:t>时</w:t>
      </w:r>
      <w:r>
        <w:rPr>
          <w:szCs w:val="21"/>
        </w:rPr>
        <w:t>，入侵检测系统应</w:t>
      </w:r>
      <w:r>
        <w:rPr>
          <w:rFonts w:hint="eastAsia"/>
          <w:szCs w:val="21"/>
        </w:rPr>
        <w:t>准确识别并</w:t>
      </w:r>
      <w:r>
        <w:rPr>
          <w:szCs w:val="21"/>
        </w:rPr>
        <w:t>阻断</w:t>
      </w:r>
      <w:r>
        <w:rPr>
          <w:rFonts w:hint="eastAsia"/>
          <w:szCs w:val="21"/>
        </w:rPr>
        <w:t>攻击</w:t>
      </w:r>
      <w:r>
        <w:rPr>
          <w:szCs w:val="21"/>
        </w:rPr>
        <w:t>。</w:t>
      </w:r>
    </w:p>
    <w:p w14:paraId="0A6605E4">
      <w:pPr>
        <w:pStyle w:val="164"/>
        <w:numPr>
          <w:ilvl w:val="0"/>
          <w:numId w:val="163"/>
        </w:numPr>
        <w:tabs>
          <w:tab w:val="left" w:pos="210"/>
          <w:tab w:val="left" w:pos="567"/>
        </w:tabs>
        <w:spacing w:line="330" w:lineRule="exact"/>
        <w:ind w:firstLine="630" w:firstLineChars="300"/>
        <w:rPr>
          <w:szCs w:val="21"/>
        </w:rPr>
      </w:pPr>
      <w:r>
        <w:rPr>
          <w:szCs w:val="21"/>
        </w:rPr>
        <w:t>应测试互联网行为管理系统的访问控制功能。</w:t>
      </w:r>
    </w:p>
    <w:p w14:paraId="06FCB5D4">
      <w:pPr>
        <w:spacing w:line="330" w:lineRule="exact"/>
        <w:ind w:left="51" w:firstLine="422" w:firstLineChars="200"/>
        <w:rPr>
          <w:rFonts w:ascii="Times New Roman" w:hAnsi="Times New Roman"/>
          <w:szCs w:val="21"/>
        </w:rPr>
      </w:pPr>
      <w:r>
        <w:rPr>
          <w:rFonts w:ascii="Times New Roman" w:hAnsi="Times New Roman"/>
          <w:b/>
          <w:bCs/>
          <w:szCs w:val="21"/>
        </w:rPr>
        <w:t>2</w:t>
      </w:r>
      <w:r>
        <w:rPr>
          <w:rFonts w:ascii="Times New Roman" w:hAnsi="Times New Roman"/>
          <w:szCs w:val="21"/>
        </w:rPr>
        <w:t>应用系统安全性应满足下列要求：</w:t>
      </w:r>
    </w:p>
    <w:p w14:paraId="27D829C2">
      <w:pPr>
        <w:pStyle w:val="164"/>
        <w:numPr>
          <w:ilvl w:val="0"/>
          <w:numId w:val="164"/>
        </w:numPr>
        <w:tabs>
          <w:tab w:val="left" w:pos="210"/>
          <w:tab w:val="left" w:pos="567"/>
        </w:tabs>
        <w:spacing w:line="330" w:lineRule="exact"/>
        <w:ind w:firstLine="630" w:firstLineChars="300"/>
        <w:rPr>
          <w:szCs w:val="21"/>
        </w:rPr>
      </w:pPr>
      <w:r>
        <w:rPr>
          <w:szCs w:val="21"/>
        </w:rPr>
        <w:t>身份认证：管理用户账号，要求用户应使用满足安全要求的口令。</w:t>
      </w:r>
    </w:p>
    <w:p w14:paraId="2AC6C39B">
      <w:pPr>
        <w:pStyle w:val="164"/>
        <w:numPr>
          <w:ilvl w:val="0"/>
          <w:numId w:val="164"/>
        </w:numPr>
        <w:tabs>
          <w:tab w:val="left" w:pos="210"/>
          <w:tab w:val="left" w:pos="567"/>
        </w:tabs>
        <w:spacing w:line="330" w:lineRule="exact"/>
        <w:ind w:firstLine="630" w:firstLineChars="300"/>
        <w:rPr>
          <w:szCs w:val="21"/>
        </w:rPr>
      </w:pPr>
      <w:r>
        <w:rPr>
          <w:szCs w:val="21"/>
        </w:rPr>
        <w:t>访问控制：根据用户及资源对象实施访问控制；用户</w:t>
      </w:r>
      <w:r>
        <w:rPr>
          <w:rFonts w:hint="eastAsia"/>
          <w:szCs w:val="21"/>
        </w:rPr>
        <w:t>应</w:t>
      </w:r>
      <w:r>
        <w:rPr>
          <w:szCs w:val="21"/>
        </w:rPr>
        <w:t>能正确访问其获得授权的对象资源。</w:t>
      </w:r>
    </w:p>
    <w:p w14:paraId="264AD9C4">
      <w:pPr>
        <w:pStyle w:val="164"/>
        <w:numPr>
          <w:ilvl w:val="0"/>
          <w:numId w:val="164"/>
        </w:numPr>
        <w:tabs>
          <w:tab w:val="left" w:pos="210"/>
          <w:tab w:val="left" w:pos="567"/>
        </w:tabs>
        <w:spacing w:line="330" w:lineRule="exact"/>
        <w:ind w:firstLine="630" w:firstLineChars="300"/>
        <w:rPr>
          <w:szCs w:val="21"/>
        </w:rPr>
      </w:pPr>
      <w:r>
        <w:rPr>
          <w:szCs w:val="21"/>
        </w:rPr>
        <w:t>资料安全应满足下列要求：</w:t>
      </w:r>
    </w:p>
    <w:p w14:paraId="2091007B">
      <w:pPr>
        <w:spacing w:line="330" w:lineRule="exact"/>
        <w:ind w:left="51" w:firstLine="420" w:firstLineChars="200"/>
        <w:rPr>
          <w:rFonts w:ascii="Times New Roman" w:hAnsi="Times New Roman"/>
          <w:szCs w:val="21"/>
        </w:rPr>
      </w:pPr>
      <w:r>
        <w:rPr>
          <w:rFonts w:hint="eastAsia" w:ascii="Times New Roman" w:hAnsi="Times New Roman"/>
          <w:szCs w:val="21"/>
        </w:rPr>
        <w:t>（1）</w:t>
      </w:r>
      <w:r>
        <w:rPr>
          <w:rFonts w:ascii="Times New Roman" w:hAnsi="Times New Roman"/>
          <w:szCs w:val="21"/>
        </w:rPr>
        <w:t>资料完整性：保证资料在网络传输过程中，无丢失、损坏、修改、乱码产生。</w:t>
      </w:r>
    </w:p>
    <w:p w14:paraId="75CC4513">
      <w:pPr>
        <w:spacing w:line="330" w:lineRule="exact"/>
        <w:ind w:left="51" w:firstLine="420" w:firstLineChars="200"/>
        <w:rPr>
          <w:rFonts w:ascii="Times New Roman" w:hAnsi="Times New Roman"/>
          <w:szCs w:val="21"/>
        </w:rPr>
      </w:pPr>
      <w:r>
        <w:rPr>
          <w:rFonts w:hint="eastAsia" w:ascii="Times New Roman" w:hAnsi="Times New Roman"/>
          <w:szCs w:val="21"/>
        </w:rPr>
        <w:t>（2）</w:t>
      </w:r>
      <w:r>
        <w:rPr>
          <w:rFonts w:ascii="Times New Roman" w:hAnsi="Times New Roman"/>
          <w:szCs w:val="21"/>
        </w:rPr>
        <w:t>数据保密性：保证资料在网络传输过程中，不会被非法用户获得。</w:t>
      </w:r>
    </w:p>
    <w:p w14:paraId="3882D44D">
      <w:pPr>
        <w:spacing w:line="330" w:lineRule="exact"/>
        <w:ind w:left="51" w:firstLine="420" w:firstLineChars="200"/>
        <w:rPr>
          <w:rFonts w:ascii="Times New Roman" w:hAnsi="Times New Roman"/>
          <w:szCs w:val="21"/>
        </w:rPr>
      </w:pPr>
      <w:r>
        <w:rPr>
          <w:rFonts w:hint="eastAsia" w:ascii="Times New Roman" w:hAnsi="Times New Roman"/>
          <w:szCs w:val="21"/>
        </w:rPr>
        <w:t>（3）</w:t>
      </w:r>
      <w:r>
        <w:rPr>
          <w:rFonts w:ascii="Times New Roman" w:hAnsi="Times New Roman"/>
          <w:szCs w:val="21"/>
        </w:rPr>
        <w:t>资料在网上传输时，应使用加密措施，并采用会话密钥、数字签名、时间戳等安全技术；</w:t>
      </w:r>
    </w:p>
    <w:p w14:paraId="0E17651E">
      <w:pPr>
        <w:pStyle w:val="164"/>
        <w:numPr>
          <w:ilvl w:val="0"/>
          <w:numId w:val="164"/>
        </w:numPr>
        <w:tabs>
          <w:tab w:val="left" w:pos="210"/>
          <w:tab w:val="left" w:pos="567"/>
        </w:tabs>
        <w:spacing w:line="330" w:lineRule="exact"/>
        <w:ind w:firstLine="630" w:firstLineChars="300"/>
        <w:rPr>
          <w:szCs w:val="21"/>
        </w:rPr>
      </w:pPr>
      <w:r>
        <w:rPr>
          <w:szCs w:val="21"/>
        </w:rPr>
        <w:t>安全审计：用户对应用系统的访问应有审计记录。</w:t>
      </w:r>
    </w:p>
    <w:p w14:paraId="328EECE4">
      <w:pPr>
        <w:spacing w:line="330" w:lineRule="exact"/>
        <w:ind w:left="51" w:firstLine="422" w:firstLineChars="200"/>
        <w:rPr>
          <w:rFonts w:ascii="Times New Roman" w:hAnsi="Times New Roman"/>
          <w:szCs w:val="21"/>
        </w:rPr>
      </w:pPr>
      <w:r>
        <w:rPr>
          <w:rFonts w:ascii="Times New Roman" w:hAnsi="Times New Roman"/>
          <w:b/>
          <w:bCs/>
          <w:szCs w:val="21"/>
        </w:rPr>
        <w:t>3</w:t>
      </w:r>
      <w:r>
        <w:rPr>
          <w:rFonts w:ascii="Times New Roman" w:hAnsi="Times New Roman"/>
          <w:szCs w:val="21"/>
        </w:rPr>
        <w:t>操作系统安全性应满足下列要求：</w:t>
      </w:r>
    </w:p>
    <w:p w14:paraId="3022BB20">
      <w:pPr>
        <w:pStyle w:val="164"/>
        <w:numPr>
          <w:ilvl w:val="0"/>
          <w:numId w:val="165"/>
        </w:numPr>
        <w:tabs>
          <w:tab w:val="left" w:pos="210"/>
          <w:tab w:val="left" w:pos="567"/>
        </w:tabs>
        <w:spacing w:line="330" w:lineRule="exact"/>
        <w:ind w:firstLine="630" w:firstLineChars="300"/>
        <w:rPr>
          <w:szCs w:val="21"/>
        </w:rPr>
      </w:pPr>
      <w:r>
        <w:rPr>
          <w:rFonts w:hint="eastAsia"/>
          <w:szCs w:val="21"/>
        </w:rPr>
        <w:t>应</w:t>
      </w:r>
      <w:r>
        <w:rPr>
          <w:szCs w:val="21"/>
        </w:rPr>
        <w:t>使用</w:t>
      </w:r>
      <w:r>
        <w:rPr>
          <w:rFonts w:hint="eastAsia"/>
          <w:szCs w:val="21"/>
        </w:rPr>
        <w:t>满足设计</w:t>
      </w:r>
      <w:r>
        <w:rPr>
          <w:szCs w:val="21"/>
        </w:rPr>
        <w:t>要求的安全强度</w:t>
      </w:r>
      <w:r>
        <w:rPr>
          <w:rFonts w:hint="eastAsia"/>
          <w:szCs w:val="21"/>
        </w:rPr>
        <w:t>的</w:t>
      </w:r>
      <w:r>
        <w:rPr>
          <w:szCs w:val="21"/>
        </w:rPr>
        <w:t>操作系统。</w:t>
      </w:r>
    </w:p>
    <w:p w14:paraId="3F717B5D">
      <w:pPr>
        <w:pStyle w:val="164"/>
        <w:numPr>
          <w:ilvl w:val="0"/>
          <w:numId w:val="165"/>
        </w:numPr>
        <w:tabs>
          <w:tab w:val="left" w:pos="210"/>
          <w:tab w:val="left" w:pos="567"/>
        </w:tabs>
        <w:spacing w:line="330" w:lineRule="exact"/>
        <w:ind w:firstLine="630" w:firstLineChars="300"/>
        <w:rPr>
          <w:szCs w:val="21"/>
        </w:rPr>
      </w:pPr>
      <w:r>
        <w:rPr>
          <w:szCs w:val="21"/>
        </w:rPr>
        <w:t>使用</w:t>
      </w:r>
      <w:r>
        <w:rPr>
          <w:rFonts w:hint="eastAsia"/>
          <w:szCs w:val="21"/>
        </w:rPr>
        <w:t>满足设计</w:t>
      </w:r>
      <w:r>
        <w:rPr>
          <w:szCs w:val="21"/>
        </w:rPr>
        <w:t>要求</w:t>
      </w:r>
      <w:r>
        <w:rPr>
          <w:rFonts w:hint="eastAsia"/>
          <w:szCs w:val="21"/>
        </w:rPr>
        <w:t>的安全性</w:t>
      </w:r>
      <w:r>
        <w:rPr>
          <w:szCs w:val="21"/>
        </w:rPr>
        <w:t>文件系统。</w:t>
      </w:r>
    </w:p>
    <w:p w14:paraId="7F967639">
      <w:pPr>
        <w:pStyle w:val="164"/>
        <w:numPr>
          <w:ilvl w:val="0"/>
          <w:numId w:val="165"/>
        </w:numPr>
        <w:tabs>
          <w:tab w:val="left" w:pos="210"/>
          <w:tab w:val="left" w:pos="567"/>
        </w:tabs>
        <w:spacing w:line="330" w:lineRule="exact"/>
        <w:ind w:firstLine="630" w:firstLineChars="300"/>
        <w:rPr>
          <w:szCs w:val="21"/>
        </w:rPr>
      </w:pPr>
      <w:r>
        <w:rPr>
          <w:szCs w:val="21"/>
        </w:rPr>
        <w:t>管理操作系统的用户账号应</w:t>
      </w:r>
      <w:r>
        <w:rPr>
          <w:rFonts w:hint="eastAsia"/>
          <w:szCs w:val="21"/>
        </w:rPr>
        <w:t>设置</w:t>
      </w:r>
      <w:r>
        <w:rPr>
          <w:szCs w:val="21"/>
        </w:rPr>
        <w:t>满足安全要求的口令。</w:t>
      </w:r>
    </w:p>
    <w:p w14:paraId="4A4267EF">
      <w:pPr>
        <w:pStyle w:val="164"/>
        <w:numPr>
          <w:ilvl w:val="0"/>
          <w:numId w:val="165"/>
        </w:numPr>
        <w:tabs>
          <w:tab w:val="left" w:pos="210"/>
          <w:tab w:val="left" w:pos="567"/>
        </w:tabs>
        <w:spacing w:line="330" w:lineRule="exact"/>
        <w:ind w:firstLine="630" w:firstLineChars="300"/>
        <w:rPr>
          <w:szCs w:val="21"/>
        </w:rPr>
      </w:pPr>
      <w:r>
        <w:rPr>
          <w:szCs w:val="21"/>
        </w:rPr>
        <w:t>服务器应只</w:t>
      </w:r>
      <w:r>
        <w:rPr>
          <w:rFonts w:hint="eastAsia"/>
          <w:szCs w:val="21"/>
        </w:rPr>
        <w:t>开启</w:t>
      </w:r>
      <w:r>
        <w:rPr>
          <w:szCs w:val="21"/>
        </w:rPr>
        <w:t>必需的服务，应更换或升级可能存在漏洞的服务或操作系统。</w:t>
      </w:r>
    </w:p>
    <w:p w14:paraId="709A2625">
      <w:pPr>
        <w:pStyle w:val="164"/>
        <w:numPr>
          <w:ilvl w:val="0"/>
          <w:numId w:val="165"/>
        </w:numPr>
        <w:tabs>
          <w:tab w:val="left" w:pos="210"/>
          <w:tab w:val="left" w:pos="567"/>
        </w:tabs>
        <w:spacing w:line="330" w:lineRule="exact"/>
        <w:ind w:firstLine="630" w:firstLineChars="300"/>
        <w:rPr>
          <w:szCs w:val="21"/>
        </w:rPr>
      </w:pPr>
      <w:r>
        <w:rPr>
          <w:szCs w:val="21"/>
        </w:rPr>
        <w:t>设置并正确</w:t>
      </w:r>
      <w:r>
        <w:rPr>
          <w:rFonts w:hint="eastAsia"/>
          <w:szCs w:val="21"/>
        </w:rPr>
        <w:t>应用</w:t>
      </w:r>
      <w:r>
        <w:rPr>
          <w:szCs w:val="21"/>
        </w:rPr>
        <w:t>审计系统，对非法的侵入尝试应有记录。</w:t>
      </w:r>
    </w:p>
    <w:p w14:paraId="64B64FFA">
      <w:pPr>
        <w:spacing w:line="330" w:lineRule="exact"/>
        <w:ind w:left="0" w:firstLine="0" w:firstLineChars="0"/>
        <w:rPr>
          <w:rFonts w:ascii="Times New Roman" w:hAnsi="Times New Roman"/>
          <w:szCs w:val="21"/>
        </w:rPr>
      </w:pPr>
      <w:r>
        <w:rPr>
          <w:rFonts w:ascii="Times New Roman" w:hAnsi="Times New Roman"/>
          <w:szCs w:val="21"/>
        </w:rPr>
        <w:t>16.3.6设备容错测试</w:t>
      </w:r>
      <w:r>
        <w:rPr>
          <w:rFonts w:hint="eastAsia" w:ascii="Times New Roman" w:hAnsi="Times New Roman"/>
          <w:szCs w:val="21"/>
        </w:rPr>
        <w:t>应采用人为设置故障的方式检测系统的正确判断故障及自动恢复功能，切换时间应满足设计要求，检测内容</w:t>
      </w:r>
      <w:r>
        <w:rPr>
          <w:rFonts w:ascii="Times New Roman" w:hAnsi="Times New Roman"/>
          <w:szCs w:val="21"/>
        </w:rPr>
        <w:t>应符合下列规定：</w:t>
      </w:r>
    </w:p>
    <w:p w14:paraId="12D52446">
      <w:pPr>
        <w:pStyle w:val="164"/>
        <w:numPr>
          <w:ilvl w:val="255"/>
          <w:numId w:val="0"/>
        </w:numPr>
        <w:spacing w:line="330" w:lineRule="exact"/>
        <w:ind w:firstLine="422" w:firstLineChars="200"/>
        <w:rPr>
          <w:szCs w:val="21"/>
        </w:rPr>
      </w:pPr>
      <w:r>
        <w:rPr>
          <w:rFonts w:hint="eastAsia"/>
          <w:b/>
          <w:bCs/>
          <w:szCs w:val="21"/>
        </w:rPr>
        <w:t>1</w:t>
      </w:r>
      <w:r>
        <w:rPr>
          <w:szCs w:val="21"/>
        </w:rPr>
        <w:t>具备容错能力的网络系统，应具有错误恢复和隔离功能,主要部件应有备份，并在出现故障时可自动切换。</w:t>
      </w:r>
    </w:p>
    <w:p w14:paraId="15DD4D73">
      <w:pPr>
        <w:pStyle w:val="164"/>
        <w:numPr>
          <w:ilvl w:val="255"/>
          <w:numId w:val="0"/>
        </w:numPr>
        <w:spacing w:line="330" w:lineRule="exact"/>
        <w:ind w:firstLine="422" w:firstLineChars="200"/>
        <w:rPr>
          <w:szCs w:val="21"/>
        </w:rPr>
      </w:pPr>
      <w:r>
        <w:rPr>
          <w:rFonts w:hint="eastAsia"/>
          <w:b/>
          <w:bCs/>
          <w:szCs w:val="21"/>
        </w:rPr>
        <w:t>2</w:t>
      </w:r>
      <w:r>
        <w:rPr>
          <w:szCs w:val="21"/>
        </w:rPr>
        <w:t>有链路冗余配置的网络系统，当其中的某条链路断开或有故障发生时，整个系统仍应保持正常工作，并在故障恢复后应能自动切换至主系统运行。</w:t>
      </w:r>
    </w:p>
    <w:p w14:paraId="65F0FB35">
      <w:pPr>
        <w:pStyle w:val="164"/>
        <w:numPr>
          <w:ilvl w:val="255"/>
          <w:numId w:val="0"/>
        </w:numPr>
        <w:spacing w:line="330" w:lineRule="exact"/>
        <w:ind w:firstLine="422" w:firstLineChars="200"/>
        <w:rPr>
          <w:szCs w:val="21"/>
        </w:rPr>
      </w:pPr>
      <w:r>
        <w:rPr>
          <w:rFonts w:hint="eastAsia"/>
          <w:b/>
          <w:bCs/>
          <w:szCs w:val="21"/>
        </w:rPr>
        <w:t>3</w:t>
      </w:r>
      <w:r>
        <w:rPr>
          <w:szCs w:val="21"/>
        </w:rPr>
        <w:t>信息网络系统在安装、调试完成后，应进行不少于1个月的试运行，系统承包商在安装调试完成后，应对系统进行自检。自检时要求对检测项目逐项检测。根据各系统的不同要求，应按规定的合理周期对系统进行连续不中断试运行。应填写试运行记录并提供试运行报告</w:t>
      </w:r>
      <w:r>
        <w:rPr>
          <w:rFonts w:hint="eastAsia"/>
          <w:szCs w:val="21"/>
        </w:rPr>
        <w:t>。</w:t>
      </w:r>
    </w:p>
    <w:p w14:paraId="68E21690">
      <w:pPr>
        <w:pStyle w:val="3"/>
        <w:spacing w:before="240" w:after="120" w:afterLines="50"/>
        <w:rPr>
          <w:rFonts w:eastAsia="黑体"/>
          <w:b w:val="0"/>
          <w:sz w:val="21"/>
          <w:szCs w:val="21"/>
          <w:lang w:val="en-US"/>
        </w:rPr>
      </w:pPr>
      <w:bookmarkStart w:id="133" w:name="_Toc29363"/>
      <w:bookmarkStart w:id="134" w:name="_Toc5167"/>
      <w:bookmarkStart w:id="135" w:name="_Toc24237"/>
      <w:bookmarkStart w:id="136" w:name="_Toc22635"/>
      <w:bookmarkStart w:id="137" w:name="_Toc24489"/>
      <w:bookmarkStart w:id="138" w:name="_Toc182487984"/>
      <w:bookmarkStart w:id="139" w:name="_Toc171955155"/>
      <w:r>
        <w:rPr>
          <w:rFonts w:eastAsia="黑体"/>
          <w:b w:val="0"/>
          <w:sz w:val="21"/>
          <w:szCs w:val="21"/>
          <w:lang w:val="en-US"/>
        </w:rPr>
        <w:t xml:space="preserve">16.4 </w:t>
      </w:r>
      <w:bookmarkEnd w:id="133"/>
      <w:bookmarkEnd w:id="134"/>
      <w:bookmarkEnd w:id="135"/>
      <w:bookmarkEnd w:id="136"/>
      <w:bookmarkEnd w:id="137"/>
      <w:r>
        <w:rPr>
          <w:rFonts w:eastAsia="黑体"/>
          <w:b w:val="0"/>
          <w:sz w:val="21"/>
          <w:szCs w:val="21"/>
          <w:lang w:val="en-US"/>
        </w:rPr>
        <w:t>质量记录</w:t>
      </w:r>
      <w:bookmarkEnd w:id="138"/>
      <w:bookmarkEnd w:id="139"/>
    </w:p>
    <w:p w14:paraId="44888B3F">
      <w:pPr>
        <w:ind w:left="105" w:hanging="105"/>
        <w:rPr>
          <w:rFonts w:ascii="Times New Roman" w:hAnsi="Times New Roman"/>
        </w:rPr>
      </w:pPr>
      <w:r>
        <w:rPr>
          <w:rFonts w:ascii="Times New Roman" w:hAnsi="Times New Roman"/>
        </w:rPr>
        <w:t>16.4.1 质量记录应包含下列内容：</w:t>
      </w:r>
    </w:p>
    <w:p w14:paraId="4552D02B">
      <w:pPr>
        <w:pStyle w:val="164"/>
        <w:spacing w:before="100" w:after="100" w:line="330" w:lineRule="exact"/>
        <w:ind w:firstLine="422"/>
        <w:rPr>
          <w:szCs w:val="21"/>
        </w:rPr>
      </w:pPr>
      <w:r>
        <w:rPr>
          <w:b/>
          <w:bCs/>
          <w:szCs w:val="21"/>
        </w:rPr>
        <w:t>1</w:t>
      </w:r>
      <w:r>
        <w:rPr>
          <w:szCs w:val="21"/>
        </w:rPr>
        <w:t xml:space="preserve"> 所用材料及设备的出厂合格证、生产许可证、使用说明书、安装技术文件“3C”认证、质量检验报告、进场抽样检查报告。</w:t>
      </w:r>
    </w:p>
    <w:p w14:paraId="1508EB20">
      <w:pPr>
        <w:pStyle w:val="164"/>
        <w:spacing w:before="100" w:after="100" w:line="330" w:lineRule="exact"/>
        <w:ind w:firstLine="422"/>
        <w:rPr>
          <w:szCs w:val="21"/>
        </w:rPr>
      </w:pPr>
      <w:r>
        <w:rPr>
          <w:b/>
          <w:bCs/>
          <w:szCs w:val="21"/>
        </w:rPr>
        <w:t>2</w:t>
      </w:r>
      <w:r>
        <w:rPr>
          <w:szCs w:val="21"/>
        </w:rPr>
        <w:t xml:space="preserve"> 系统的检测记录和检测报告。</w:t>
      </w:r>
    </w:p>
    <w:p w14:paraId="1230D483">
      <w:pPr>
        <w:pStyle w:val="164"/>
        <w:spacing w:before="100" w:after="100" w:line="330" w:lineRule="exact"/>
        <w:ind w:firstLine="422"/>
        <w:rPr>
          <w:szCs w:val="21"/>
        </w:rPr>
      </w:pPr>
      <w:r>
        <w:rPr>
          <w:b/>
          <w:bCs/>
          <w:szCs w:val="21"/>
        </w:rPr>
        <w:t>3</w:t>
      </w:r>
      <w:r>
        <w:rPr>
          <w:szCs w:val="21"/>
        </w:rPr>
        <w:t xml:space="preserve"> 工程安装质量及观感质量检测记录。</w:t>
      </w:r>
    </w:p>
    <w:p w14:paraId="76556DAB">
      <w:pPr>
        <w:pStyle w:val="164"/>
        <w:spacing w:before="100" w:after="100" w:line="330" w:lineRule="exact"/>
        <w:ind w:firstLine="422"/>
        <w:rPr>
          <w:szCs w:val="21"/>
        </w:rPr>
      </w:pPr>
      <w:r>
        <w:rPr>
          <w:b/>
          <w:bCs/>
          <w:szCs w:val="21"/>
        </w:rPr>
        <w:t>4</w:t>
      </w:r>
      <w:r>
        <w:rPr>
          <w:szCs w:val="21"/>
        </w:rPr>
        <w:t xml:space="preserve"> 信息网络系统工程电气性能测试记录。</w:t>
      </w:r>
    </w:p>
    <w:p w14:paraId="465D2F48">
      <w:pPr>
        <w:pStyle w:val="164"/>
        <w:spacing w:before="100" w:after="100" w:line="330" w:lineRule="exact"/>
        <w:ind w:firstLine="422"/>
        <w:rPr>
          <w:szCs w:val="21"/>
        </w:rPr>
      </w:pPr>
      <w:r>
        <w:rPr>
          <w:b/>
          <w:bCs/>
          <w:szCs w:val="21"/>
        </w:rPr>
        <w:t>5</w:t>
      </w:r>
      <w:r>
        <w:rPr>
          <w:szCs w:val="21"/>
        </w:rPr>
        <w:t xml:space="preserve"> 应用软件检测记录和检测报告。</w:t>
      </w:r>
    </w:p>
    <w:p w14:paraId="7FEBC83A">
      <w:pPr>
        <w:pStyle w:val="164"/>
        <w:spacing w:before="100" w:after="100" w:line="330" w:lineRule="exact"/>
        <w:ind w:firstLine="422"/>
        <w:rPr>
          <w:szCs w:val="21"/>
        </w:rPr>
      </w:pPr>
      <w:r>
        <w:rPr>
          <w:b/>
          <w:bCs/>
          <w:szCs w:val="21"/>
        </w:rPr>
        <w:t>6</w:t>
      </w:r>
      <w:r>
        <w:rPr>
          <w:szCs w:val="21"/>
        </w:rPr>
        <w:t xml:space="preserve"> 信息安全检测记录和检测报告。</w:t>
      </w:r>
    </w:p>
    <w:p w14:paraId="136D4891">
      <w:pPr>
        <w:pStyle w:val="164"/>
        <w:spacing w:before="100" w:after="100" w:line="330" w:lineRule="exact"/>
        <w:ind w:firstLine="0" w:firstLineChars="0"/>
        <w:rPr>
          <w:szCs w:val="21"/>
        </w:rPr>
      </w:pPr>
    </w:p>
    <w:p w14:paraId="6285A0F0">
      <w:pPr>
        <w:spacing w:line="330" w:lineRule="exact"/>
        <w:ind w:left="0" w:firstLine="0" w:firstLineChars="0"/>
        <w:rPr>
          <w:rFonts w:ascii="Times New Roman" w:hAnsi="Times New Roman"/>
        </w:rPr>
      </w:pPr>
    </w:p>
    <w:p w14:paraId="3B7C1538">
      <w:pPr>
        <w:spacing w:line="330" w:lineRule="exact"/>
        <w:ind w:left="0" w:firstLine="0" w:firstLineChars="0"/>
        <w:rPr>
          <w:rFonts w:ascii="Times New Roman" w:hAnsi="Times New Roman"/>
        </w:rPr>
      </w:pPr>
    </w:p>
    <w:p w14:paraId="2246CCC1">
      <w:pPr>
        <w:spacing w:line="330" w:lineRule="exact"/>
        <w:ind w:left="0" w:firstLine="0" w:firstLineChars="0"/>
        <w:rPr>
          <w:rFonts w:ascii="Times New Roman" w:hAnsi="Times New Roman"/>
        </w:rPr>
      </w:pPr>
    </w:p>
    <w:p w14:paraId="1129BF90">
      <w:pPr>
        <w:spacing w:line="330" w:lineRule="exact"/>
        <w:ind w:left="0" w:firstLine="0" w:firstLineChars="0"/>
        <w:rPr>
          <w:rFonts w:ascii="Times New Roman" w:hAnsi="Times New Roman"/>
        </w:rPr>
      </w:pPr>
    </w:p>
    <w:p w14:paraId="09A6BAAD">
      <w:pPr>
        <w:spacing w:line="330" w:lineRule="exact"/>
        <w:ind w:left="0" w:firstLine="0" w:firstLineChars="0"/>
        <w:rPr>
          <w:rFonts w:ascii="Times New Roman" w:hAnsi="Times New Roman"/>
        </w:rPr>
      </w:pPr>
    </w:p>
    <w:p w14:paraId="5C543DA3">
      <w:pPr>
        <w:spacing w:line="330" w:lineRule="exact"/>
        <w:ind w:left="0" w:firstLine="0" w:firstLineChars="0"/>
        <w:rPr>
          <w:rFonts w:ascii="Times New Roman" w:hAnsi="Times New Roman"/>
        </w:rPr>
      </w:pPr>
    </w:p>
    <w:p w14:paraId="39C5B5B5">
      <w:pPr>
        <w:spacing w:line="330" w:lineRule="exact"/>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338CCC88">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140" w:name="_Toc171955156"/>
      <w:bookmarkStart w:id="141" w:name="_Toc182487985"/>
      <w:r>
        <w:rPr>
          <w:rFonts w:ascii="Times New Roman" w:hAnsi="Times New Roman" w:eastAsia="黑体"/>
          <w:bCs/>
          <w:sz w:val="28"/>
          <w:szCs w:val="28"/>
        </w:rPr>
        <w:t>17 建筑设备监控系统</w:t>
      </w:r>
      <w:bookmarkEnd w:id="140"/>
      <w:bookmarkEnd w:id="141"/>
    </w:p>
    <w:p w14:paraId="3B8F5DD7">
      <w:pPr>
        <w:pStyle w:val="3"/>
        <w:spacing w:before="240" w:after="120" w:afterLines="50" w:line="330" w:lineRule="exact"/>
        <w:rPr>
          <w:rFonts w:eastAsia="黑体"/>
          <w:b w:val="0"/>
          <w:bCs w:val="0"/>
          <w:sz w:val="21"/>
          <w:szCs w:val="21"/>
        </w:rPr>
      </w:pPr>
      <w:bookmarkStart w:id="142" w:name="_Toc182487986"/>
      <w:bookmarkStart w:id="143" w:name="_Toc56517689"/>
      <w:bookmarkStart w:id="144" w:name="_Toc45092831"/>
      <w:bookmarkStart w:id="145" w:name="_Toc44618455"/>
      <w:bookmarkStart w:id="146" w:name="_Toc171955157"/>
      <w:bookmarkStart w:id="147" w:name="_Toc44618555"/>
      <w:r>
        <w:rPr>
          <w:rFonts w:eastAsia="黑体"/>
          <w:b w:val="0"/>
          <w:bCs w:val="0"/>
          <w:sz w:val="21"/>
          <w:szCs w:val="21"/>
          <w:lang w:val="en-US"/>
        </w:rPr>
        <w:t xml:space="preserve">17.1 </w:t>
      </w:r>
      <w:r>
        <w:rPr>
          <w:rFonts w:eastAsia="黑体"/>
          <w:b w:val="0"/>
          <w:bCs w:val="0"/>
          <w:sz w:val="21"/>
          <w:szCs w:val="21"/>
        </w:rPr>
        <w:t>一般规定</w:t>
      </w:r>
      <w:bookmarkEnd w:id="142"/>
      <w:bookmarkEnd w:id="143"/>
      <w:bookmarkEnd w:id="144"/>
      <w:bookmarkEnd w:id="145"/>
      <w:bookmarkEnd w:id="146"/>
      <w:bookmarkEnd w:id="147"/>
    </w:p>
    <w:p w14:paraId="060FD22F">
      <w:pPr>
        <w:pStyle w:val="164"/>
        <w:numPr>
          <w:ilvl w:val="0"/>
          <w:numId w:val="119"/>
        </w:numPr>
        <w:spacing w:before="100" w:after="100" w:line="330" w:lineRule="exact"/>
        <w:ind w:firstLineChars="0"/>
        <w:rPr>
          <w:vanish/>
          <w:szCs w:val="21"/>
        </w:rPr>
      </w:pPr>
    </w:p>
    <w:p w14:paraId="27FEF6B8">
      <w:pPr>
        <w:pStyle w:val="164"/>
        <w:numPr>
          <w:ilvl w:val="1"/>
          <w:numId w:val="119"/>
        </w:numPr>
        <w:spacing w:before="100" w:after="100" w:line="330" w:lineRule="exact"/>
        <w:ind w:firstLineChars="0"/>
        <w:rPr>
          <w:vanish/>
          <w:szCs w:val="21"/>
        </w:rPr>
      </w:pPr>
    </w:p>
    <w:p w14:paraId="7B4BB9AC">
      <w:pPr>
        <w:pStyle w:val="164"/>
        <w:numPr>
          <w:ilvl w:val="1"/>
          <w:numId w:val="119"/>
        </w:numPr>
        <w:spacing w:before="100" w:after="100" w:line="330" w:lineRule="exact"/>
        <w:ind w:firstLineChars="0"/>
        <w:rPr>
          <w:vanish/>
          <w:szCs w:val="21"/>
        </w:rPr>
      </w:pPr>
    </w:p>
    <w:p w14:paraId="231EEA9B">
      <w:pPr>
        <w:pStyle w:val="164"/>
        <w:spacing w:before="100" w:after="100" w:line="330" w:lineRule="exact"/>
        <w:ind w:firstLine="0" w:firstLineChars="0"/>
        <w:rPr>
          <w:szCs w:val="21"/>
        </w:rPr>
      </w:pPr>
      <w:r>
        <w:rPr>
          <w:szCs w:val="21"/>
        </w:rPr>
        <w:t>17.1.1 本章适用于智能建筑工程中建筑设备监控系统的工程实施及质量控制、系统检测。</w:t>
      </w:r>
    </w:p>
    <w:p w14:paraId="4A95AADC">
      <w:pPr>
        <w:pStyle w:val="3"/>
        <w:spacing w:before="240" w:after="120" w:afterLines="50" w:line="330" w:lineRule="exact"/>
        <w:rPr>
          <w:rFonts w:eastAsia="黑体"/>
          <w:b w:val="0"/>
          <w:bCs w:val="0"/>
          <w:sz w:val="21"/>
          <w:szCs w:val="21"/>
          <w:lang w:val="en-US"/>
        </w:rPr>
      </w:pPr>
      <w:bookmarkStart w:id="148" w:name="_Toc56517690"/>
      <w:bookmarkStart w:id="149" w:name="_Toc45092832"/>
      <w:bookmarkStart w:id="150" w:name="_Toc44618457"/>
      <w:bookmarkStart w:id="151" w:name="_Toc171955158"/>
      <w:bookmarkStart w:id="152" w:name="_Toc44618557"/>
      <w:bookmarkStart w:id="153" w:name="_Toc182487987"/>
      <w:r>
        <w:rPr>
          <w:rFonts w:eastAsia="黑体"/>
          <w:b w:val="0"/>
          <w:bCs w:val="0"/>
          <w:sz w:val="21"/>
          <w:szCs w:val="21"/>
          <w:lang w:val="en-US"/>
        </w:rPr>
        <w:t>17.2 施工准备</w:t>
      </w:r>
      <w:bookmarkEnd w:id="148"/>
      <w:bookmarkEnd w:id="149"/>
      <w:bookmarkEnd w:id="150"/>
      <w:bookmarkEnd w:id="151"/>
      <w:bookmarkEnd w:id="152"/>
      <w:bookmarkEnd w:id="153"/>
    </w:p>
    <w:p w14:paraId="6AC8A1D8">
      <w:pPr>
        <w:pStyle w:val="164"/>
        <w:numPr>
          <w:ilvl w:val="1"/>
          <w:numId w:val="119"/>
        </w:numPr>
        <w:spacing w:before="100" w:after="100" w:line="330" w:lineRule="exact"/>
        <w:ind w:firstLineChars="0"/>
        <w:rPr>
          <w:vanish/>
          <w:szCs w:val="21"/>
        </w:rPr>
      </w:pPr>
    </w:p>
    <w:p w14:paraId="2DF5D933">
      <w:pPr>
        <w:pStyle w:val="164"/>
        <w:spacing w:before="100" w:after="100" w:line="330" w:lineRule="exact"/>
        <w:ind w:firstLine="0" w:firstLineChars="0"/>
        <w:rPr>
          <w:bCs/>
          <w:lang w:val="zh-CN"/>
        </w:rPr>
      </w:pPr>
      <w:r>
        <w:rPr>
          <w:szCs w:val="21"/>
        </w:rPr>
        <w:t>17.2.1 主要材料</w:t>
      </w:r>
      <w:r>
        <w:rPr>
          <w:rFonts w:hint="eastAsia"/>
          <w:szCs w:val="21"/>
        </w:rPr>
        <w:t>有</w:t>
      </w:r>
      <w:r>
        <w:rPr>
          <w:bCs/>
          <w:lang w:val="zh-CN"/>
        </w:rPr>
        <w:t>中央站计算机、网关、DDC控制器、各类传感器、变送器、阀门及其执行机构、桥架线槽、各类管材、线缆、型材等。</w:t>
      </w:r>
    </w:p>
    <w:p w14:paraId="4B9A4B93">
      <w:pPr>
        <w:pStyle w:val="164"/>
        <w:numPr>
          <w:ilvl w:val="255"/>
          <w:numId w:val="0"/>
        </w:numPr>
        <w:spacing w:before="100" w:after="100" w:line="330" w:lineRule="exact"/>
        <w:rPr>
          <w:rFonts w:eastAsiaTheme="minorEastAsia"/>
        </w:rPr>
      </w:pPr>
      <w:r>
        <w:rPr>
          <w:szCs w:val="21"/>
        </w:rPr>
        <w:t>17.2.2 主要</w:t>
      </w:r>
      <w:r>
        <w:rPr>
          <w:rFonts w:eastAsiaTheme="minorEastAsia"/>
        </w:rPr>
        <w:t>机具</w:t>
      </w:r>
      <w:r>
        <w:rPr>
          <w:rFonts w:hint="eastAsia" w:eastAsiaTheme="minorEastAsia"/>
        </w:rPr>
        <w:t>有</w:t>
      </w:r>
      <w:r>
        <w:rPr>
          <w:rFonts w:eastAsiaTheme="minorEastAsia"/>
        </w:rPr>
        <w:t>电焊机、切割机、砂轮机、对讲机、专用工具等施工</w:t>
      </w:r>
      <w:r>
        <w:rPr>
          <w:rFonts w:hint="eastAsia" w:eastAsiaTheme="minorEastAsia"/>
        </w:rPr>
        <w:t>机具；</w:t>
      </w:r>
      <w:r>
        <w:rPr>
          <w:rFonts w:eastAsiaTheme="minorEastAsia"/>
        </w:rPr>
        <w:t>数字万用表、示波器、温度计、精密压力表、标准信号发生器、兆欧表、接地电阻测试仪等测试仪器。</w:t>
      </w:r>
    </w:p>
    <w:p w14:paraId="79521C44">
      <w:pPr>
        <w:pStyle w:val="164"/>
        <w:spacing w:before="100" w:after="100" w:line="330" w:lineRule="exact"/>
        <w:ind w:firstLine="0" w:firstLineChars="0"/>
        <w:rPr>
          <w:szCs w:val="21"/>
        </w:rPr>
      </w:pPr>
      <w:r>
        <w:rPr>
          <w:szCs w:val="21"/>
        </w:rPr>
        <w:t>17.2.3 作业条件应符合下列规定：</w:t>
      </w:r>
    </w:p>
    <w:p w14:paraId="5E13630C">
      <w:pPr>
        <w:pStyle w:val="164"/>
        <w:numPr>
          <w:ilvl w:val="0"/>
          <w:numId w:val="166"/>
        </w:numPr>
        <w:spacing w:line="330" w:lineRule="exact"/>
        <w:ind w:left="0" w:firstLine="420"/>
        <w:rPr>
          <w:rFonts w:eastAsiaTheme="minorEastAsia"/>
        </w:rPr>
      </w:pPr>
      <w:r>
        <w:rPr>
          <w:rFonts w:eastAsiaTheme="minorEastAsia"/>
        </w:rPr>
        <w:t>线槽、预埋管路、接线盒、预留孔洞的规格、数量、位置</w:t>
      </w:r>
      <w:r>
        <w:rPr>
          <w:rFonts w:hint="eastAsia" w:eastAsiaTheme="minorEastAsia"/>
        </w:rPr>
        <w:t>应满足</w:t>
      </w:r>
      <w:r>
        <w:rPr>
          <w:rFonts w:eastAsiaTheme="minorEastAsia"/>
        </w:rPr>
        <w:t>设计要求。</w:t>
      </w:r>
    </w:p>
    <w:p w14:paraId="28CBB76D">
      <w:pPr>
        <w:pStyle w:val="164"/>
        <w:numPr>
          <w:ilvl w:val="0"/>
          <w:numId w:val="166"/>
        </w:numPr>
        <w:spacing w:line="330" w:lineRule="exact"/>
        <w:ind w:left="0" w:firstLine="420"/>
        <w:rPr>
          <w:rFonts w:eastAsiaTheme="minorEastAsia"/>
        </w:rPr>
      </w:pPr>
      <w:r>
        <w:rPr>
          <w:rFonts w:eastAsiaTheme="minorEastAsia"/>
        </w:rPr>
        <w:t>已完成弱电竖井的建筑施工。</w:t>
      </w:r>
    </w:p>
    <w:p w14:paraId="2A4891F0">
      <w:pPr>
        <w:pStyle w:val="164"/>
        <w:numPr>
          <w:ilvl w:val="0"/>
          <w:numId w:val="166"/>
        </w:numPr>
        <w:spacing w:line="330" w:lineRule="exact"/>
        <w:ind w:left="0" w:firstLine="420"/>
        <w:rPr>
          <w:rFonts w:eastAsiaTheme="minorEastAsia"/>
        </w:rPr>
      </w:pPr>
      <w:r>
        <w:rPr>
          <w:rFonts w:eastAsiaTheme="minorEastAsia"/>
        </w:rPr>
        <w:t>中央控制室内土建装修完毕后，温、湿度应达到使用要求。</w:t>
      </w:r>
    </w:p>
    <w:p w14:paraId="3D1366A6">
      <w:pPr>
        <w:pStyle w:val="164"/>
        <w:numPr>
          <w:ilvl w:val="0"/>
          <w:numId w:val="166"/>
        </w:numPr>
        <w:spacing w:line="330" w:lineRule="exact"/>
        <w:ind w:left="0" w:firstLine="420"/>
        <w:rPr>
          <w:rFonts w:eastAsiaTheme="minorEastAsia"/>
        </w:rPr>
      </w:pPr>
      <w:r>
        <w:rPr>
          <w:rFonts w:eastAsiaTheme="minorEastAsia"/>
        </w:rPr>
        <w:t>空调机组、冷却塔及各类阀门等安装完毕，并应预留好设计文件中要求的控制信号接入点。</w:t>
      </w:r>
    </w:p>
    <w:p w14:paraId="2C55CC91">
      <w:pPr>
        <w:pStyle w:val="164"/>
        <w:numPr>
          <w:ilvl w:val="0"/>
          <w:numId w:val="166"/>
        </w:numPr>
        <w:spacing w:line="330" w:lineRule="exact"/>
        <w:ind w:left="0" w:firstLine="420"/>
        <w:rPr>
          <w:rFonts w:eastAsiaTheme="minorEastAsia"/>
        </w:rPr>
      </w:pPr>
      <w:r>
        <w:rPr>
          <w:rFonts w:eastAsiaTheme="minorEastAsia"/>
        </w:rPr>
        <w:t>暖通水管道、变配电设备等安装完毕后，应预留好设计文件中要求的控制信号接入点。</w:t>
      </w:r>
    </w:p>
    <w:p w14:paraId="72959D7B">
      <w:pPr>
        <w:pStyle w:val="164"/>
        <w:numPr>
          <w:ilvl w:val="0"/>
          <w:numId w:val="166"/>
        </w:numPr>
        <w:spacing w:line="330" w:lineRule="exact"/>
        <w:ind w:left="0" w:firstLine="420"/>
        <w:rPr>
          <w:rFonts w:eastAsiaTheme="minorEastAsia"/>
        </w:rPr>
      </w:pPr>
      <w:r>
        <w:rPr>
          <w:rFonts w:eastAsiaTheme="minorEastAsia"/>
        </w:rPr>
        <w:t>接地端子箱安装完毕。</w:t>
      </w:r>
    </w:p>
    <w:p w14:paraId="70C76A79">
      <w:pPr>
        <w:pStyle w:val="3"/>
        <w:spacing w:before="240" w:after="120" w:afterLines="50" w:line="330" w:lineRule="exact"/>
        <w:rPr>
          <w:szCs w:val="21"/>
        </w:rPr>
      </w:pPr>
      <w:bookmarkStart w:id="154" w:name="_Toc45092833"/>
      <w:bookmarkStart w:id="155" w:name="_Toc44618558"/>
      <w:bookmarkStart w:id="156" w:name="_Toc44618458"/>
      <w:bookmarkStart w:id="157" w:name="_Toc56517691"/>
      <w:bookmarkStart w:id="158" w:name="_Toc182487988"/>
      <w:bookmarkStart w:id="159" w:name="_Toc171955159"/>
      <w:r>
        <w:rPr>
          <w:rFonts w:eastAsia="黑体"/>
          <w:b w:val="0"/>
          <w:bCs w:val="0"/>
          <w:sz w:val="21"/>
          <w:szCs w:val="21"/>
          <w:lang w:val="en-US"/>
        </w:rPr>
        <w:t>17.3 施工工艺</w:t>
      </w:r>
      <w:bookmarkEnd w:id="154"/>
      <w:bookmarkEnd w:id="155"/>
      <w:bookmarkEnd w:id="156"/>
      <w:bookmarkEnd w:id="157"/>
      <w:bookmarkEnd w:id="158"/>
      <w:bookmarkEnd w:id="159"/>
    </w:p>
    <w:p w14:paraId="2D4C884A">
      <w:pPr>
        <w:pStyle w:val="164"/>
        <w:spacing w:before="100" w:after="100" w:line="330" w:lineRule="exact"/>
        <w:ind w:firstLine="0" w:firstLineChars="0"/>
      </w:pPr>
      <w:r>
        <w:rPr>
          <w:szCs w:val="21"/>
        </w:rPr>
        <w:t xml:space="preserve">17.3.1 </w:t>
      </w:r>
      <w:r>
        <w:rPr>
          <w:rFonts w:eastAsiaTheme="minorEastAsia"/>
          <w:szCs w:val="21"/>
        </w:rPr>
        <w:t>建筑设备监控系统施工工艺流程见图17.3.1。</w:t>
      </w:r>
    </w:p>
    <w:p w14:paraId="6C153AC0">
      <w:pPr>
        <w:pStyle w:val="172"/>
        <w:rPr>
          <w:lang w:val="zh-CN"/>
        </w:rPr>
      </w:pPr>
      <w:r>
        <mc:AlternateContent>
          <mc:Choice Requires="wpg">
            <w:drawing>
              <wp:inline distT="0" distB="0" distL="0" distR="0">
                <wp:extent cx="5062220" cy="1115695"/>
                <wp:effectExtent l="0" t="0" r="24130" b="27305"/>
                <wp:docPr id="1287999763" name="组合 1287999763"/>
                <wp:cNvGraphicFramePr/>
                <a:graphic xmlns:a="http://schemas.openxmlformats.org/drawingml/2006/main">
                  <a:graphicData uri="http://schemas.microsoft.com/office/word/2010/wordprocessingGroup">
                    <wpg:wgp>
                      <wpg:cNvGrpSpPr/>
                      <wpg:grpSpPr>
                        <a:xfrm>
                          <a:off x="0" y="0"/>
                          <a:ext cx="5062414" cy="1115695"/>
                          <a:chOff x="0" y="0"/>
                          <a:chExt cx="8235" cy="1613"/>
                        </a:xfrm>
                      </wpg:grpSpPr>
                      <wps:wsp>
                        <wps:cNvPr id="1889125685" name="Line 71"/>
                        <wps:cNvCnPr>
                          <a:cxnSpLocks noChangeShapeType="1"/>
                          <a:stCxn id="158156002" idx="3"/>
                          <a:endCxn id="1807915650" idx="1"/>
                        </wps:cNvCnPr>
                        <wps:spPr bwMode="auto">
                          <a:xfrm flipV="1">
                            <a:off x="1758" y="333"/>
                            <a:ext cx="670" cy="3"/>
                          </a:xfrm>
                          <a:prstGeom prst="line">
                            <a:avLst/>
                          </a:prstGeom>
                          <a:noFill/>
                          <a:ln w="9525">
                            <a:solidFill>
                              <a:srgbClr val="000000"/>
                            </a:solidFill>
                            <a:round/>
                            <a:tailEnd type="triangle" w="med" len="med"/>
                          </a:ln>
                        </wps:spPr>
                        <wps:bodyPr/>
                      </wps:wsp>
                      <wps:wsp>
                        <wps:cNvPr id="937462698" name="Line 72"/>
                        <wps:cNvCnPr>
                          <a:cxnSpLocks noChangeShapeType="1"/>
                          <a:stCxn id="1807915650" idx="3"/>
                          <a:endCxn id="1782329178" idx="1"/>
                        </wps:cNvCnPr>
                        <wps:spPr bwMode="auto">
                          <a:xfrm>
                            <a:off x="3868" y="333"/>
                            <a:ext cx="485" cy="0"/>
                          </a:xfrm>
                          <a:prstGeom prst="line">
                            <a:avLst/>
                          </a:prstGeom>
                          <a:noFill/>
                          <a:ln w="9525">
                            <a:solidFill>
                              <a:srgbClr val="000000"/>
                            </a:solidFill>
                            <a:round/>
                            <a:tailEnd type="triangle" w="med" len="med"/>
                          </a:ln>
                        </wps:spPr>
                        <wps:bodyPr/>
                      </wps:wsp>
                      <wps:wsp>
                        <wps:cNvPr id="123197166" name="Line 73"/>
                        <wps:cNvCnPr>
                          <a:cxnSpLocks noChangeShapeType="1"/>
                          <a:stCxn id="1782329178" idx="3"/>
                          <a:endCxn id="1093695090" idx="1"/>
                        </wps:cNvCnPr>
                        <wps:spPr bwMode="auto">
                          <a:xfrm>
                            <a:off x="5613" y="333"/>
                            <a:ext cx="462" cy="3"/>
                          </a:xfrm>
                          <a:prstGeom prst="line">
                            <a:avLst/>
                          </a:prstGeom>
                          <a:noFill/>
                          <a:ln w="9525">
                            <a:solidFill>
                              <a:srgbClr val="000000"/>
                            </a:solidFill>
                            <a:round/>
                            <a:tailEnd type="triangle" w="med" len="med"/>
                          </a:ln>
                        </wps:spPr>
                        <wps:bodyPr/>
                      </wps:wsp>
                      <wps:wsp>
                        <wps:cNvPr id="2116627890" name="Line 74"/>
                        <wps:cNvCnPr>
                          <a:cxnSpLocks noChangeShapeType="1"/>
                        </wps:cNvCnPr>
                        <wps:spPr bwMode="auto">
                          <a:xfrm>
                            <a:off x="7695" y="327"/>
                            <a:ext cx="540" cy="0"/>
                          </a:xfrm>
                          <a:prstGeom prst="line">
                            <a:avLst/>
                          </a:prstGeom>
                          <a:noFill/>
                          <a:ln w="9525">
                            <a:solidFill>
                              <a:srgbClr val="000000"/>
                            </a:solidFill>
                            <a:round/>
                            <a:tailEnd type="triangle" w="med" len="med"/>
                          </a:ln>
                        </wps:spPr>
                        <wps:bodyPr/>
                      </wps:wsp>
                      <wps:wsp>
                        <wps:cNvPr id="1807915650" name="Rectangle 75"/>
                        <wps:cNvSpPr>
                          <a:spLocks noChangeArrowheads="1"/>
                        </wps:cNvSpPr>
                        <wps:spPr bwMode="auto">
                          <a:xfrm>
                            <a:off x="2428" y="0"/>
                            <a:ext cx="1440" cy="667"/>
                          </a:xfrm>
                          <a:prstGeom prst="rect">
                            <a:avLst/>
                          </a:prstGeom>
                          <a:solidFill>
                            <a:srgbClr val="FFFFFF"/>
                          </a:solidFill>
                          <a:ln w="9525">
                            <a:solidFill>
                              <a:srgbClr val="000000"/>
                            </a:solidFill>
                            <a:miter lim="800000"/>
                          </a:ln>
                        </wps:spPr>
                        <wps:txbx>
                          <w:txbxContent>
                            <w:p w14:paraId="7FB6BD22">
                              <w:pPr>
                                <w:ind w:left="105" w:hanging="105"/>
                                <w:jc w:val="center"/>
                              </w:pPr>
                              <w:r>
                                <w:rPr>
                                  <w:rFonts w:hint="eastAsia"/>
                                </w:rPr>
                                <w:t>传感器、执行器安装</w:t>
                              </w:r>
                            </w:p>
                          </w:txbxContent>
                        </wps:txbx>
                        <wps:bodyPr rot="0" vert="horz" wrap="square" lIns="91440" tIns="82800" rIns="91440" bIns="45720" anchor="ctr" anchorCtr="0" upright="1">
                          <a:noAutofit/>
                        </wps:bodyPr>
                      </wps:wsp>
                      <wps:wsp>
                        <wps:cNvPr id="158156002" name="Rectangle 76"/>
                        <wps:cNvSpPr>
                          <a:spLocks noChangeArrowheads="1"/>
                        </wps:cNvSpPr>
                        <wps:spPr bwMode="auto">
                          <a:xfrm>
                            <a:off x="3" y="3"/>
                            <a:ext cx="1755" cy="667"/>
                          </a:xfrm>
                          <a:prstGeom prst="rect">
                            <a:avLst/>
                          </a:prstGeom>
                          <a:solidFill>
                            <a:srgbClr val="FFFFFF"/>
                          </a:solidFill>
                          <a:ln w="9525">
                            <a:solidFill>
                              <a:srgbClr val="000000"/>
                            </a:solidFill>
                            <a:miter lim="800000"/>
                          </a:ln>
                        </wps:spPr>
                        <wps:txbx>
                          <w:txbxContent>
                            <w:p w14:paraId="504B98BC">
                              <w:pPr>
                                <w:ind w:left="105" w:hanging="105"/>
                                <w:jc w:val="center"/>
                              </w:pPr>
                              <w:r>
                                <w:rPr>
                                  <w:rFonts w:hint="eastAsia"/>
                                </w:rPr>
                                <w:t>钢管、金属线槽及线缆敷设</w:t>
                              </w:r>
                            </w:p>
                          </w:txbxContent>
                        </wps:txbx>
                        <wps:bodyPr rot="0" vert="horz" wrap="square" lIns="91440" tIns="82800" rIns="91440" bIns="45720" anchor="ctr" anchorCtr="0" upright="1">
                          <a:noAutofit/>
                        </wps:bodyPr>
                      </wps:wsp>
                      <wps:wsp>
                        <wps:cNvPr id="1782329178" name="Rectangle 77"/>
                        <wps:cNvSpPr>
                          <a:spLocks noChangeArrowheads="1"/>
                        </wps:cNvSpPr>
                        <wps:spPr bwMode="auto">
                          <a:xfrm>
                            <a:off x="4353" y="0"/>
                            <a:ext cx="1260" cy="667"/>
                          </a:xfrm>
                          <a:prstGeom prst="rect">
                            <a:avLst/>
                          </a:prstGeom>
                          <a:solidFill>
                            <a:srgbClr val="FFFFFF"/>
                          </a:solidFill>
                          <a:ln w="9525">
                            <a:solidFill>
                              <a:srgbClr val="000000"/>
                            </a:solidFill>
                            <a:miter lim="800000"/>
                          </a:ln>
                        </wps:spPr>
                        <wps:txbx>
                          <w:txbxContent>
                            <w:p w14:paraId="50F70754">
                              <w:pPr>
                                <w:ind w:left="105" w:hanging="105"/>
                                <w:jc w:val="center"/>
                                <w:rPr>
                                  <w:rFonts w:ascii="宋体" w:hAnsi="宋体"/>
                                  <w:spacing w:val="-10"/>
                                  <w:kern w:val="0"/>
                                </w:rPr>
                              </w:pPr>
                              <w:r>
                                <w:rPr>
                                  <w:rFonts w:hint="eastAsia"/>
                                </w:rPr>
                                <w:t>现场控制器安装</w:t>
                              </w:r>
                            </w:p>
                          </w:txbxContent>
                        </wps:txbx>
                        <wps:bodyPr rot="0" vert="horz" wrap="square" lIns="91440" tIns="82800" rIns="91440" bIns="45720" anchor="ctr" anchorCtr="0" upright="1">
                          <a:noAutofit/>
                        </wps:bodyPr>
                      </wps:wsp>
                      <wps:wsp>
                        <wps:cNvPr id="1093695090" name="Rectangle 78"/>
                        <wps:cNvSpPr>
                          <a:spLocks noChangeArrowheads="1"/>
                        </wps:cNvSpPr>
                        <wps:spPr bwMode="auto">
                          <a:xfrm>
                            <a:off x="6075" y="3"/>
                            <a:ext cx="1620" cy="667"/>
                          </a:xfrm>
                          <a:prstGeom prst="rect">
                            <a:avLst/>
                          </a:prstGeom>
                          <a:solidFill>
                            <a:srgbClr val="FFFFFF"/>
                          </a:solidFill>
                          <a:ln w="9525">
                            <a:solidFill>
                              <a:srgbClr val="000000"/>
                            </a:solidFill>
                            <a:miter lim="800000"/>
                          </a:ln>
                        </wps:spPr>
                        <wps:txbx>
                          <w:txbxContent>
                            <w:p w14:paraId="65739F97">
                              <w:pPr>
                                <w:ind w:left="105" w:hanging="105"/>
                                <w:jc w:val="center"/>
                              </w:pPr>
                              <w:r>
                                <w:rPr>
                                  <w:rFonts w:hint="eastAsia"/>
                                </w:rPr>
                                <w:t>中央控制室设备安装</w:t>
                              </w:r>
                            </w:p>
                          </w:txbxContent>
                        </wps:txbx>
                        <wps:bodyPr rot="0" vert="horz" wrap="square" lIns="91440" tIns="82800" rIns="91440" bIns="45720" anchor="ctr" anchorCtr="0" upright="1">
                          <a:noAutofit/>
                        </wps:bodyPr>
                      </wps:wsp>
                      <wps:wsp>
                        <wps:cNvPr id="1568825874" name="Rectangle 79"/>
                        <wps:cNvSpPr>
                          <a:spLocks noChangeArrowheads="1"/>
                        </wps:cNvSpPr>
                        <wps:spPr bwMode="auto">
                          <a:xfrm>
                            <a:off x="0" y="989"/>
                            <a:ext cx="1800" cy="624"/>
                          </a:xfrm>
                          <a:prstGeom prst="rect">
                            <a:avLst/>
                          </a:prstGeom>
                          <a:solidFill>
                            <a:srgbClr val="FFFFFF"/>
                          </a:solidFill>
                          <a:ln w="9525">
                            <a:solidFill>
                              <a:srgbClr val="000000"/>
                            </a:solidFill>
                            <a:miter lim="800000"/>
                          </a:ln>
                        </wps:spPr>
                        <wps:txbx>
                          <w:txbxContent>
                            <w:p w14:paraId="637C42DD">
                              <w:pPr>
                                <w:ind w:left="105" w:hanging="105"/>
                                <w:jc w:val="center"/>
                              </w:pPr>
                              <w:r>
                                <w:rPr>
                                  <w:rFonts w:hint="eastAsia"/>
                                </w:rPr>
                                <w:t>单体设备调试</w:t>
                              </w:r>
                            </w:p>
                          </w:txbxContent>
                        </wps:txbx>
                        <wps:bodyPr rot="0" vert="horz" wrap="square" lIns="91440" tIns="82800" rIns="91440" bIns="45720" anchor="ctr" anchorCtr="0" upright="1">
                          <a:noAutofit/>
                        </wps:bodyPr>
                      </wps:wsp>
                      <wps:wsp>
                        <wps:cNvPr id="1706201707" name="Rectangle 80"/>
                        <wps:cNvSpPr>
                          <a:spLocks noChangeArrowheads="1"/>
                        </wps:cNvSpPr>
                        <wps:spPr bwMode="auto">
                          <a:xfrm>
                            <a:off x="2340" y="989"/>
                            <a:ext cx="1800" cy="624"/>
                          </a:xfrm>
                          <a:prstGeom prst="rect">
                            <a:avLst/>
                          </a:prstGeom>
                          <a:solidFill>
                            <a:srgbClr val="FFFFFF"/>
                          </a:solidFill>
                          <a:ln w="9525">
                            <a:solidFill>
                              <a:srgbClr val="000000"/>
                            </a:solidFill>
                            <a:miter lim="800000"/>
                          </a:ln>
                        </wps:spPr>
                        <wps:txbx>
                          <w:txbxContent>
                            <w:p w14:paraId="68DDD941">
                              <w:pPr>
                                <w:ind w:left="105" w:hanging="105"/>
                                <w:jc w:val="center"/>
                              </w:pPr>
                              <w:r>
                                <w:rPr>
                                  <w:rFonts w:hint="eastAsia"/>
                                </w:rPr>
                                <w:t>系统联调</w:t>
                              </w:r>
                            </w:p>
                          </w:txbxContent>
                        </wps:txbx>
                        <wps:bodyPr rot="0" vert="horz" wrap="square" lIns="91440" tIns="82800" rIns="91440" bIns="45720" anchor="ctr" anchorCtr="0" upright="1">
                          <a:noAutofit/>
                        </wps:bodyPr>
                      </wps:wsp>
                      <wps:wsp>
                        <wps:cNvPr id="230940707" name="Line 81"/>
                        <wps:cNvCnPr>
                          <a:cxnSpLocks noChangeShapeType="1"/>
                        </wps:cNvCnPr>
                        <wps:spPr bwMode="auto">
                          <a:xfrm>
                            <a:off x="1800" y="1301"/>
                            <a:ext cx="540"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87.85pt;width:398.6pt;" coordsize="8235,1613" o:gfxdata="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B/7EWg1gAAAAUBAAAP&#10;AAAAAAAAAAEAIAAAACIAAABkcnMvZG93bnJldi54bWxQSwECFAAUAAAACACHTuJA3MjnRsYEAADA&#10;HQAADgAAAAAAAAABACAAAAAlAQAAZHJzL2Uyb0RvYy54bWxQSwUGAAAAAAYABgBZAQAAXQgAAAAA&#10;">
                <o:lock v:ext="edit" aspectratio="f"/>
                <v:line id="Line 71" o:spid="_x0000_s1026" o:spt="20" style="position:absolute;left:1758;top:333;flip:y;height:3;width:670;" filled="f" stroked="t" coordsize="21600,21600" o:gfxdata="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10;CT7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Line 72" o:spid="_x0000_s1026" o:spt="20" style="position:absolute;left:3868;top:333;height:0;width:485;" filled="f" stroked="t" coordsize="21600,21600" o:gfxdata="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h3pCwwAAAOI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line id="Line 73" o:spid="_x0000_s1026" o:spt="20" style="position:absolute;left:5613;top:333;height:3;width:462;" filled="f" stroked="t" coordsize="21600,21600" o:gfxdata="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qf&#10;pOH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Line 74" o:spid="_x0000_s1026" o:spt="20" style="position:absolute;left:7695;top:327;height:0;width:540;" filled="f" stroked="t" coordsize="21600,21600" o:gfxdata="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YfiZr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rect id="Rectangle 75" o:spid="_x0000_s1026" o:spt="1" style="position:absolute;left:2428;top:0;height:667;width:1440;v-text-anchor:middle;" fillcolor="#FFFFFF" filled="t" stroked="t" coordsize="21600,21600" o:gfxdata="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jSNo8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7FB6BD22">
                        <w:pPr>
                          <w:ind w:left="105" w:hanging="105"/>
                          <w:jc w:val="center"/>
                        </w:pPr>
                        <w:r>
                          <w:rPr>
                            <w:rFonts w:hint="eastAsia"/>
                          </w:rPr>
                          <w:t>传感器、执行器安装</w:t>
                        </w:r>
                      </w:p>
                    </w:txbxContent>
                  </v:textbox>
                </v:rect>
                <v:rect id="Rectangle 76" o:spid="_x0000_s1026" o:spt="1" style="position:absolute;left:3;top:3;height:667;width:1755;v-text-anchor:middle;" fillcolor="#FFFFFF" filled="t" stroked="t" coordsize="21600,21600" o:gfxdata="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h6+m/&#10;AAAA4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2.3mm,2.54mm,1.27mm">
                    <w:txbxContent>
                      <w:p w14:paraId="504B98BC">
                        <w:pPr>
                          <w:ind w:left="105" w:hanging="105"/>
                          <w:jc w:val="center"/>
                        </w:pPr>
                        <w:r>
                          <w:rPr>
                            <w:rFonts w:hint="eastAsia"/>
                          </w:rPr>
                          <w:t>钢管、金属线槽及线缆敷设</w:t>
                        </w:r>
                      </w:p>
                    </w:txbxContent>
                  </v:textbox>
                </v:rect>
                <v:rect id="Rectangle 77" o:spid="_x0000_s1026" o:spt="1" style="position:absolute;left:4353;top:0;height:667;width:1260;v-text-anchor:middle;" fillcolor="#FFFFFF" filled="t" stroked="t" coordsize="21600,21600" o:gfxdata="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k8Vv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50F70754">
                        <w:pPr>
                          <w:ind w:left="105" w:hanging="105"/>
                          <w:jc w:val="center"/>
                          <w:rPr>
                            <w:rFonts w:ascii="宋体" w:hAnsi="宋体"/>
                            <w:spacing w:val="-10"/>
                            <w:kern w:val="0"/>
                          </w:rPr>
                        </w:pPr>
                        <w:r>
                          <w:rPr>
                            <w:rFonts w:hint="eastAsia"/>
                          </w:rPr>
                          <w:t>现场控制器安装</w:t>
                        </w:r>
                      </w:p>
                    </w:txbxContent>
                  </v:textbox>
                </v:rect>
                <v:rect id="Rectangle 78" o:spid="_x0000_s1026" o:spt="1" style="position:absolute;left:6075;top:3;height:667;width:1620;v-text-anchor:middle;" fillcolor="#FFFFFF" filled="t" stroked="t" coordsize="21600,21600" o:gfxdata="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PZUP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65739F97">
                        <w:pPr>
                          <w:ind w:left="105" w:hanging="105"/>
                          <w:jc w:val="center"/>
                        </w:pPr>
                        <w:r>
                          <w:rPr>
                            <w:rFonts w:hint="eastAsia"/>
                          </w:rPr>
                          <w:t>中央控制室设备安装</w:t>
                        </w:r>
                      </w:p>
                    </w:txbxContent>
                  </v:textbox>
                </v:rect>
                <v:rect id="Rectangle 79" o:spid="_x0000_s1026" o:spt="1" style="position:absolute;left:0;top:989;height:624;width:1800;v-text-anchor:middle;" fillcolor="#FFFFFF" filled="t" stroked="t" coordsize="21600,21600" o:gfxdata="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Q&#10;eM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2.3mm,2.54mm,1.27mm">
                    <w:txbxContent>
                      <w:p w14:paraId="637C42DD">
                        <w:pPr>
                          <w:ind w:left="105" w:hanging="105"/>
                          <w:jc w:val="center"/>
                        </w:pPr>
                        <w:r>
                          <w:rPr>
                            <w:rFonts w:hint="eastAsia"/>
                          </w:rPr>
                          <w:t>单体设备调试</w:t>
                        </w:r>
                      </w:p>
                    </w:txbxContent>
                  </v:textbox>
                </v:rect>
                <v:rect id="Rectangle 80" o:spid="_x0000_s1026" o:spt="1" style="position:absolute;left:2340;top:989;height:624;width:1800;v-text-anchor:middle;" fillcolor="#FFFFFF" filled="t" stroked="t" coordsize="21600,21600" o:gfxdata="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ip&#10;ZlX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2.3mm,2.54mm,1.27mm">
                    <w:txbxContent>
                      <w:p w14:paraId="68DDD941">
                        <w:pPr>
                          <w:ind w:left="105" w:hanging="105"/>
                          <w:jc w:val="center"/>
                        </w:pPr>
                        <w:r>
                          <w:rPr>
                            <w:rFonts w:hint="eastAsia"/>
                          </w:rPr>
                          <w:t>系统联调</w:t>
                        </w:r>
                      </w:p>
                    </w:txbxContent>
                  </v:textbox>
                </v:rect>
                <v:line id="Line 81" o:spid="_x0000_s1026" o:spt="20" style="position:absolute;left:1800;top:1301;height:0;width:540;" filled="f" stroked="t" coordsize="21600,21600" o:gfxdata="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NVsMT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w10:wrap type="none"/>
                <w10:anchorlock/>
              </v:group>
            </w:pict>
          </mc:Fallback>
        </mc:AlternateContent>
      </w:r>
    </w:p>
    <w:p w14:paraId="057BB69D">
      <w:pPr>
        <w:pStyle w:val="172"/>
        <w:rPr>
          <w:lang w:val="zh-CN"/>
        </w:rPr>
      </w:pPr>
    </w:p>
    <w:p w14:paraId="76195702">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图17.3.1   建筑设备监控系统施工工艺流程图</w:t>
      </w:r>
    </w:p>
    <w:p w14:paraId="452BEDD9">
      <w:pPr>
        <w:pStyle w:val="164"/>
        <w:spacing w:before="100" w:after="100" w:line="330" w:lineRule="exact"/>
        <w:ind w:firstLine="0" w:firstLineChars="0"/>
      </w:pPr>
      <w:r>
        <w:rPr>
          <w:szCs w:val="21"/>
        </w:rPr>
        <w:t xml:space="preserve">17.3.2 </w:t>
      </w:r>
      <w:r>
        <w:t>钢管、金属线槽及线缆敷设应</w:t>
      </w:r>
      <w:r>
        <w:rPr>
          <w:rFonts w:hint="eastAsia"/>
        </w:rPr>
        <w:t>按第八章“综合布线系统”有关规定</w:t>
      </w:r>
      <w:r>
        <w:t xml:space="preserve">进行施工。 </w:t>
      </w:r>
    </w:p>
    <w:p w14:paraId="41507D11">
      <w:pPr>
        <w:pStyle w:val="164"/>
        <w:spacing w:before="100" w:after="100" w:line="330" w:lineRule="exact"/>
        <w:ind w:firstLine="0" w:firstLineChars="0"/>
        <w:rPr>
          <w:szCs w:val="21"/>
        </w:rPr>
      </w:pPr>
      <w:r>
        <w:rPr>
          <w:szCs w:val="21"/>
        </w:rPr>
        <w:t>17.3.3 传感器、执行器安装应符合下列规定：</w:t>
      </w:r>
    </w:p>
    <w:p w14:paraId="47DAC9D8">
      <w:pPr>
        <w:pStyle w:val="164"/>
        <w:numPr>
          <w:ilvl w:val="0"/>
          <w:numId w:val="167"/>
        </w:numPr>
        <w:spacing w:line="330" w:lineRule="exact"/>
        <w:ind w:left="0" w:firstLine="420" w:firstLineChars="0"/>
        <w:rPr>
          <w:szCs w:val="21"/>
        </w:rPr>
      </w:pPr>
      <w:r>
        <w:rPr>
          <w:szCs w:val="21"/>
        </w:rPr>
        <w:t>传感器的安装需进行焊接时，</w:t>
      </w:r>
      <w:r>
        <w:rPr>
          <w:rFonts w:hint="eastAsia"/>
          <w:szCs w:val="21"/>
        </w:rPr>
        <w:t>应按国家现行标准</w:t>
      </w:r>
      <w:r>
        <w:rPr>
          <w:szCs w:val="21"/>
        </w:rPr>
        <w:t>《现场设备、工业管道焊接工程施工规范》</w:t>
      </w:r>
      <w:r>
        <w:rPr>
          <w:szCs w:val="22"/>
        </w:rPr>
        <w:t>GB 50236</w:t>
      </w:r>
      <w:r>
        <w:rPr>
          <w:rFonts w:hint="eastAsia"/>
          <w:szCs w:val="21"/>
        </w:rPr>
        <w:t>相关规定执行</w:t>
      </w:r>
      <w:r>
        <w:rPr>
          <w:szCs w:val="21"/>
        </w:rPr>
        <w:t>。</w:t>
      </w:r>
    </w:p>
    <w:p w14:paraId="2F7E470D">
      <w:pPr>
        <w:pStyle w:val="164"/>
        <w:numPr>
          <w:ilvl w:val="0"/>
          <w:numId w:val="167"/>
        </w:numPr>
        <w:spacing w:line="330" w:lineRule="exact"/>
        <w:ind w:left="0" w:firstLine="420" w:firstLineChars="0"/>
        <w:rPr>
          <w:szCs w:val="21"/>
        </w:rPr>
      </w:pPr>
      <w:r>
        <w:rPr>
          <w:szCs w:val="21"/>
        </w:rPr>
        <w:t>传感器、执行器接线盒的引入口不宜朝上，当不可避免时，应采取密封措施。</w:t>
      </w:r>
    </w:p>
    <w:p w14:paraId="1A788090">
      <w:pPr>
        <w:pStyle w:val="164"/>
        <w:numPr>
          <w:ilvl w:val="0"/>
          <w:numId w:val="167"/>
        </w:numPr>
        <w:spacing w:line="330" w:lineRule="exact"/>
        <w:ind w:left="0" w:firstLine="420" w:firstLineChars="0"/>
        <w:rPr>
          <w:szCs w:val="21"/>
        </w:rPr>
      </w:pPr>
      <w:r>
        <w:rPr>
          <w:szCs w:val="21"/>
        </w:rPr>
        <w:t>传感器、执行器的安装应严格按照说明书的要求进行，接线应按照接线图和设备说明书进行，配线应整齐，不宜交叉，并应固定牢靠，端部均应标明编号。</w:t>
      </w:r>
    </w:p>
    <w:p w14:paraId="1BE8C8B1">
      <w:pPr>
        <w:pStyle w:val="164"/>
        <w:numPr>
          <w:ilvl w:val="0"/>
          <w:numId w:val="167"/>
        </w:numPr>
        <w:spacing w:line="330" w:lineRule="exact"/>
        <w:ind w:left="0" w:firstLine="420" w:firstLineChars="0"/>
        <w:rPr>
          <w:szCs w:val="21"/>
        </w:rPr>
      </w:pPr>
      <w:r>
        <w:rPr>
          <w:szCs w:val="21"/>
        </w:rPr>
        <w:t>水管型温度传感器、水管压力传感器、水流开关、水管流量计应安装在水流平稳的直管段，应避开水流的</w:t>
      </w:r>
      <w:r>
        <w:rPr>
          <w:rFonts w:eastAsiaTheme="minorEastAsia"/>
          <w:szCs w:val="21"/>
        </w:rPr>
        <w:t>流速</w:t>
      </w:r>
      <w:r>
        <w:rPr>
          <w:szCs w:val="21"/>
        </w:rPr>
        <w:t>死角，且不宜安装在管道焊缝处。</w:t>
      </w:r>
    </w:p>
    <w:p w14:paraId="4C67E081">
      <w:pPr>
        <w:pStyle w:val="164"/>
        <w:numPr>
          <w:ilvl w:val="0"/>
          <w:numId w:val="167"/>
        </w:numPr>
        <w:spacing w:line="330" w:lineRule="exact"/>
        <w:ind w:left="0" w:firstLine="420" w:firstLineChars="0"/>
        <w:rPr>
          <w:szCs w:val="21"/>
        </w:rPr>
      </w:pPr>
      <w:r>
        <w:rPr>
          <w:szCs w:val="21"/>
        </w:rPr>
        <w:t>风管型温、湿度传感器、压力传感器、 空气质量传感器应安装在风管的直管段且气流</w:t>
      </w:r>
      <w:r>
        <w:rPr>
          <w:rFonts w:eastAsiaTheme="minorEastAsia"/>
          <w:szCs w:val="21"/>
        </w:rPr>
        <w:t>流速</w:t>
      </w:r>
      <w:r>
        <w:rPr>
          <w:szCs w:val="21"/>
        </w:rPr>
        <w:t>稳定的位置，且应避开风管内通风死角。</w:t>
      </w:r>
    </w:p>
    <w:p w14:paraId="481C832A">
      <w:pPr>
        <w:pStyle w:val="164"/>
        <w:numPr>
          <w:ilvl w:val="0"/>
          <w:numId w:val="167"/>
        </w:numPr>
        <w:spacing w:line="330" w:lineRule="exact"/>
        <w:ind w:left="0" w:firstLine="420"/>
        <w:rPr>
          <w:rFonts w:eastAsiaTheme="minorEastAsia"/>
        </w:rPr>
      </w:pPr>
      <w:r>
        <w:rPr>
          <w:rFonts w:eastAsiaTheme="minorEastAsia"/>
        </w:rPr>
        <w:t>温、湿度传感器的安装</w:t>
      </w:r>
      <w:r>
        <w:rPr>
          <w:szCs w:val="21"/>
        </w:rPr>
        <w:t>应符合下列规定：</w:t>
      </w:r>
    </w:p>
    <w:p w14:paraId="08E0B4FB">
      <w:pPr>
        <w:pStyle w:val="164"/>
        <w:numPr>
          <w:ilvl w:val="0"/>
          <w:numId w:val="168"/>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温、湿度传感器安装应尽可能远离窗、门和出风口的位置，距离≥2m。 </w:t>
      </w:r>
    </w:p>
    <w:p w14:paraId="2F8BC90B">
      <w:pPr>
        <w:pStyle w:val="164"/>
        <w:numPr>
          <w:ilvl w:val="0"/>
          <w:numId w:val="168"/>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并列安装的传感器，距地高度应一致，室内的传感器安装高度为1.4m，高度差不应大于1mm，同一区域内高度差≤5mm。 </w:t>
      </w:r>
    </w:p>
    <w:p w14:paraId="20AC65E4">
      <w:pPr>
        <w:pStyle w:val="164"/>
        <w:numPr>
          <w:ilvl w:val="0"/>
          <w:numId w:val="168"/>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温、湿度传感器安装位置应便于调试、维修。 </w:t>
      </w:r>
    </w:p>
    <w:p w14:paraId="10CDACD4">
      <w:pPr>
        <w:pStyle w:val="164"/>
        <w:numPr>
          <w:ilvl w:val="0"/>
          <w:numId w:val="168"/>
        </w:numPr>
        <w:tabs>
          <w:tab w:val="left" w:pos="210"/>
          <w:tab w:val="left" w:pos="567"/>
        </w:tabs>
        <w:spacing w:line="330" w:lineRule="exact"/>
        <w:ind w:firstLine="630" w:firstLineChars="300"/>
        <w:rPr>
          <w:rFonts w:eastAsiaTheme="minorEastAsia"/>
          <w:szCs w:val="21"/>
        </w:rPr>
      </w:pPr>
      <w:r>
        <w:rPr>
          <w:rFonts w:eastAsiaTheme="minorEastAsia"/>
          <w:szCs w:val="21"/>
        </w:rPr>
        <w:t>不应安装在阳光直射的位置。</w:t>
      </w:r>
    </w:p>
    <w:p w14:paraId="3D6C020E">
      <w:pPr>
        <w:pStyle w:val="164"/>
        <w:numPr>
          <w:ilvl w:val="0"/>
          <w:numId w:val="168"/>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温度传感器至现场控制器之间的连接应满足设计要求，应减少接线产生的误差。采用镍温度传感器时接线电阻应＜3Ω，采用1KΩ铂温度传感器时接线总电阻应＜1Ω。 </w:t>
      </w:r>
    </w:p>
    <w:p w14:paraId="7397A009">
      <w:pPr>
        <w:pStyle w:val="164"/>
        <w:numPr>
          <w:ilvl w:val="0"/>
          <w:numId w:val="167"/>
        </w:numPr>
        <w:spacing w:line="330" w:lineRule="exact"/>
        <w:ind w:left="0" w:firstLine="420"/>
        <w:rPr>
          <w:rFonts w:eastAsiaTheme="minorEastAsia"/>
        </w:rPr>
      </w:pPr>
      <w:r>
        <w:rPr>
          <w:rFonts w:eastAsiaTheme="minorEastAsia"/>
        </w:rPr>
        <w:t>风管型温、湿度传感器的安装</w:t>
      </w:r>
      <w:r>
        <w:rPr>
          <w:szCs w:val="21"/>
        </w:rPr>
        <w:t>应符合下列规定：</w:t>
      </w:r>
    </w:p>
    <w:p w14:paraId="1AE36804">
      <w:pPr>
        <w:pStyle w:val="164"/>
        <w:numPr>
          <w:ilvl w:val="0"/>
          <w:numId w:val="169"/>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传感器应安装位置确保风速平稳，且能反映温、湿度变化。 </w:t>
      </w:r>
    </w:p>
    <w:p w14:paraId="211A26EA">
      <w:pPr>
        <w:pStyle w:val="164"/>
        <w:numPr>
          <w:ilvl w:val="0"/>
          <w:numId w:val="169"/>
        </w:numPr>
        <w:tabs>
          <w:tab w:val="left" w:pos="210"/>
          <w:tab w:val="left" w:pos="567"/>
        </w:tabs>
        <w:spacing w:line="330" w:lineRule="exact"/>
        <w:ind w:firstLine="630" w:firstLineChars="300"/>
        <w:rPr>
          <w:rFonts w:eastAsiaTheme="minorEastAsia"/>
          <w:szCs w:val="21"/>
        </w:rPr>
      </w:pPr>
      <w:r>
        <w:rPr>
          <w:rFonts w:eastAsiaTheme="minorEastAsia"/>
          <w:szCs w:val="21"/>
        </w:rPr>
        <w:t>风管型温、湿度传感器应安装在风管保温层完成之后，安装在风管直管段或应避开风管死角的位置和蒸汽放空口位置。</w:t>
      </w:r>
    </w:p>
    <w:p w14:paraId="0353A119">
      <w:pPr>
        <w:pStyle w:val="164"/>
        <w:numPr>
          <w:ilvl w:val="0"/>
          <w:numId w:val="169"/>
        </w:numPr>
        <w:tabs>
          <w:tab w:val="left" w:pos="210"/>
          <w:tab w:val="left" w:pos="567"/>
        </w:tabs>
        <w:spacing w:line="330" w:lineRule="exact"/>
        <w:ind w:firstLine="630" w:firstLineChars="300"/>
        <w:rPr>
          <w:rFonts w:eastAsiaTheme="minorEastAsia"/>
          <w:szCs w:val="21"/>
        </w:rPr>
      </w:pPr>
      <w:r>
        <w:rPr>
          <w:rFonts w:eastAsiaTheme="minorEastAsia"/>
          <w:szCs w:val="21"/>
        </w:rPr>
        <w:t>应安装在便于调试、维修的地方。</w:t>
      </w:r>
    </w:p>
    <w:p w14:paraId="3A57F780">
      <w:pPr>
        <w:pStyle w:val="164"/>
        <w:numPr>
          <w:ilvl w:val="0"/>
          <w:numId w:val="169"/>
        </w:numPr>
        <w:tabs>
          <w:tab w:val="left" w:pos="210"/>
          <w:tab w:val="left" w:pos="567"/>
        </w:tabs>
        <w:spacing w:line="330" w:lineRule="exact"/>
        <w:ind w:firstLine="630" w:firstLineChars="300"/>
        <w:rPr>
          <w:rFonts w:eastAsiaTheme="minorEastAsia"/>
          <w:szCs w:val="21"/>
        </w:rPr>
      </w:pPr>
      <w:r>
        <w:rPr>
          <w:rFonts w:eastAsiaTheme="minorEastAsia"/>
          <w:szCs w:val="21"/>
        </w:rPr>
        <w:t>在高电磁干扰区域应采用屏蔽线，传感器与电源线之间距离应大于150mm。</w:t>
      </w:r>
    </w:p>
    <w:p w14:paraId="5BBEC4EA">
      <w:pPr>
        <w:pStyle w:val="164"/>
        <w:numPr>
          <w:ilvl w:val="0"/>
          <w:numId w:val="167"/>
        </w:numPr>
        <w:spacing w:line="330" w:lineRule="exact"/>
        <w:ind w:left="0" w:firstLine="420"/>
        <w:rPr>
          <w:rFonts w:eastAsiaTheme="minorEastAsia"/>
        </w:rPr>
      </w:pPr>
      <w:r>
        <w:rPr>
          <w:rFonts w:eastAsiaTheme="minorEastAsia"/>
        </w:rPr>
        <w:t>水管温度传感器的安装</w:t>
      </w:r>
      <w:r>
        <w:rPr>
          <w:szCs w:val="21"/>
        </w:rPr>
        <w:t>应符合下列规定：</w:t>
      </w:r>
    </w:p>
    <w:p w14:paraId="40952691">
      <w:pPr>
        <w:pStyle w:val="164"/>
        <w:numPr>
          <w:ilvl w:val="0"/>
          <w:numId w:val="170"/>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宜在暖通水管路安装完毕后进行。 </w:t>
      </w:r>
    </w:p>
    <w:p w14:paraId="34F54F2F">
      <w:pPr>
        <w:pStyle w:val="164"/>
        <w:numPr>
          <w:ilvl w:val="0"/>
          <w:numId w:val="170"/>
        </w:numPr>
        <w:tabs>
          <w:tab w:val="left" w:pos="210"/>
          <w:tab w:val="left" w:pos="567"/>
        </w:tabs>
        <w:spacing w:line="330" w:lineRule="exact"/>
        <w:ind w:firstLine="630" w:firstLineChars="300"/>
        <w:rPr>
          <w:rFonts w:eastAsiaTheme="minorEastAsia"/>
          <w:szCs w:val="21"/>
        </w:rPr>
      </w:pPr>
      <w:r>
        <w:rPr>
          <w:rFonts w:eastAsiaTheme="minorEastAsia"/>
          <w:szCs w:val="21"/>
        </w:rPr>
        <w:t xml:space="preserve">开孔与焊接工作，应在工艺管道的防腐、衬里、吹扫和压力试验前进行。 </w:t>
      </w:r>
    </w:p>
    <w:p w14:paraId="41EB94FE">
      <w:pPr>
        <w:pStyle w:val="164"/>
        <w:numPr>
          <w:ilvl w:val="0"/>
          <w:numId w:val="170"/>
        </w:numPr>
        <w:tabs>
          <w:tab w:val="left" w:pos="210"/>
          <w:tab w:val="left" w:pos="567"/>
        </w:tabs>
        <w:spacing w:line="330" w:lineRule="exact"/>
        <w:ind w:firstLine="630" w:firstLineChars="300"/>
        <w:rPr>
          <w:rFonts w:eastAsiaTheme="minorEastAsia"/>
          <w:szCs w:val="21"/>
        </w:rPr>
      </w:pPr>
      <w:r>
        <w:rPr>
          <w:rFonts w:eastAsiaTheme="minorEastAsia"/>
          <w:szCs w:val="21"/>
        </w:rPr>
        <w:t>安装位置应在水流温度变化灵敏和具有代表性的地方，不宜选择在阀门等阻力件附近和水流流速死角和振动较大的位置。</w:t>
      </w:r>
    </w:p>
    <w:p w14:paraId="05BFA2BA">
      <w:pPr>
        <w:pStyle w:val="164"/>
        <w:numPr>
          <w:ilvl w:val="0"/>
          <w:numId w:val="170"/>
        </w:numPr>
        <w:tabs>
          <w:tab w:val="left" w:pos="210"/>
          <w:tab w:val="left" w:pos="567"/>
        </w:tabs>
        <w:spacing w:line="330" w:lineRule="exact"/>
        <w:ind w:firstLine="630" w:firstLineChars="300"/>
        <w:rPr>
          <w:rFonts w:eastAsiaTheme="minorEastAsia"/>
          <w:szCs w:val="21"/>
        </w:rPr>
      </w:pPr>
      <w:r>
        <w:rPr>
          <w:rFonts w:eastAsiaTheme="minorEastAsia"/>
          <w:szCs w:val="21"/>
        </w:rPr>
        <w:t>感温段大于管道口径1/2时，可安装在管道的顶部。感温段小于管道口径1/2时，可安装在管道的侧面或底部。</w:t>
      </w:r>
    </w:p>
    <w:p w14:paraId="23D273DE">
      <w:pPr>
        <w:pStyle w:val="164"/>
        <w:numPr>
          <w:ilvl w:val="0"/>
          <w:numId w:val="170"/>
        </w:numPr>
        <w:tabs>
          <w:tab w:val="left" w:pos="210"/>
          <w:tab w:val="left" w:pos="567"/>
        </w:tabs>
        <w:spacing w:line="330" w:lineRule="exact"/>
        <w:ind w:firstLine="630" w:firstLineChars="300"/>
        <w:rPr>
          <w:rFonts w:eastAsiaTheme="minorEastAsia"/>
          <w:szCs w:val="21"/>
        </w:rPr>
      </w:pPr>
      <w:r>
        <w:rPr>
          <w:rFonts w:eastAsiaTheme="minorEastAsia"/>
          <w:szCs w:val="21"/>
        </w:rPr>
        <w:t>不宜在焊缝及其边缘上开孔和焊接。</w:t>
      </w:r>
    </w:p>
    <w:p w14:paraId="5BB3CB43">
      <w:pPr>
        <w:pStyle w:val="164"/>
        <w:numPr>
          <w:ilvl w:val="0"/>
          <w:numId w:val="167"/>
        </w:numPr>
        <w:spacing w:line="330" w:lineRule="exact"/>
        <w:ind w:left="0" w:firstLine="420"/>
        <w:rPr>
          <w:rFonts w:eastAsiaTheme="minorEastAsia"/>
          <w:szCs w:val="21"/>
        </w:rPr>
      </w:pPr>
      <w:r>
        <w:rPr>
          <w:rFonts w:hint="eastAsia" w:eastAsiaTheme="minorEastAsia"/>
        </w:rPr>
        <w:t>压力、压差传感器、压差开关</w:t>
      </w:r>
      <w:r>
        <w:rPr>
          <w:rFonts w:eastAsiaTheme="minorEastAsia"/>
        </w:rPr>
        <w:t>安装</w:t>
      </w:r>
      <w:r>
        <w:rPr>
          <w:szCs w:val="21"/>
        </w:rPr>
        <w:t>应</w:t>
      </w:r>
      <w:r>
        <w:rPr>
          <w:rFonts w:eastAsiaTheme="minorEastAsia"/>
          <w:szCs w:val="21"/>
        </w:rPr>
        <w:t>安装在温、湿度传感器的上侧</w:t>
      </w:r>
      <w:r>
        <w:rPr>
          <w:rFonts w:hint="eastAsia" w:eastAsiaTheme="minorEastAsia"/>
          <w:szCs w:val="21"/>
        </w:rPr>
        <w:t>，</w:t>
      </w:r>
      <w:r>
        <w:rPr>
          <w:rFonts w:eastAsiaTheme="minorEastAsia"/>
          <w:szCs w:val="21"/>
        </w:rPr>
        <w:t>宜安装在便于调试、维修的位置</w:t>
      </w:r>
      <w:r>
        <w:rPr>
          <w:rFonts w:hint="eastAsia" w:eastAsiaTheme="minorEastAsia"/>
          <w:szCs w:val="21"/>
        </w:rPr>
        <w:t>。</w:t>
      </w:r>
    </w:p>
    <w:p w14:paraId="2BABB813">
      <w:pPr>
        <w:pStyle w:val="164"/>
        <w:numPr>
          <w:ilvl w:val="0"/>
          <w:numId w:val="167"/>
        </w:numPr>
        <w:spacing w:line="330" w:lineRule="exact"/>
        <w:ind w:left="0" w:firstLine="420"/>
        <w:rPr>
          <w:rFonts w:eastAsiaTheme="minorEastAsia"/>
        </w:rPr>
      </w:pPr>
      <w:r>
        <w:rPr>
          <w:rFonts w:eastAsiaTheme="minorEastAsia"/>
        </w:rPr>
        <w:t>风管型压力、压差传感器</w:t>
      </w:r>
      <w:r>
        <w:rPr>
          <w:rFonts w:eastAsiaTheme="minorEastAsia"/>
          <w:szCs w:val="21"/>
        </w:rPr>
        <w:t>应在风管保温层完成之后安装</w:t>
      </w:r>
      <w:r>
        <w:rPr>
          <w:rFonts w:hint="eastAsia"/>
          <w:szCs w:val="21"/>
        </w:rPr>
        <w:t>，</w:t>
      </w:r>
      <w:r>
        <w:rPr>
          <w:rFonts w:eastAsiaTheme="minorEastAsia"/>
          <w:szCs w:val="21"/>
        </w:rPr>
        <w:t>应安装在风管的直管段，如在直管段不能安装，则应避开风管内通风死角、蒸汽放空口等位置</w:t>
      </w:r>
      <w:r>
        <w:rPr>
          <w:rFonts w:hint="eastAsia" w:eastAsiaTheme="minorEastAsia"/>
          <w:szCs w:val="21"/>
        </w:rPr>
        <w:t>。</w:t>
      </w:r>
    </w:p>
    <w:p w14:paraId="5A6C4B64">
      <w:pPr>
        <w:pStyle w:val="164"/>
        <w:numPr>
          <w:ilvl w:val="0"/>
          <w:numId w:val="167"/>
        </w:numPr>
        <w:spacing w:line="330" w:lineRule="exact"/>
        <w:ind w:left="0" w:firstLine="420"/>
        <w:rPr>
          <w:rFonts w:eastAsiaTheme="minorEastAsia"/>
        </w:rPr>
      </w:pPr>
      <w:r>
        <w:rPr>
          <w:rFonts w:eastAsiaTheme="minorEastAsia"/>
        </w:rPr>
        <w:t>水管型压力</w:t>
      </w:r>
      <w:r>
        <w:rPr>
          <w:rFonts w:hint="eastAsia" w:eastAsiaTheme="minorEastAsia"/>
        </w:rPr>
        <w:t>、</w:t>
      </w:r>
      <w:r>
        <w:rPr>
          <w:rFonts w:eastAsiaTheme="minorEastAsia"/>
        </w:rPr>
        <w:t>压差传感器的安装</w:t>
      </w:r>
      <w:r>
        <w:rPr>
          <w:szCs w:val="21"/>
        </w:rPr>
        <w:t>应符合下列规定：</w:t>
      </w:r>
    </w:p>
    <w:p w14:paraId="07952894">
      <w:pPr>
        <w:pStyle w:val="164"/>
        <w:numPr>
          <w:ilvl w:val="0"/>
          <w:numId w:val="171"/>
        </w:numPr>
        <w:tabs>
          <w:tab w:val="left" w:pos="210"/>
          <w:tab w:val="left" w:pos="567"/>
        </w:tabs>
        <w:spacing w:line="330" w:lineRule="exact"/>
        <w:ind w:firstLine="630" w:firstLineChars="300"/>
        <w:rPr>
          <w:rFonts w:eastAsiaTheme="minorEastAsia"/>
          <w:szCs w:val="21"/>
        </w:rPr>
      </w:pPr>
      <w:r>
        <w:rPr>
          <w:rFonts w:eastAsiaTheme="minorEastAsia"/>
          <w:szCs w:val="21"/>
        </w:rPr>
        <w:t>安装应在暖通水管路安装完毕后进行，其开孔与焊接工作应在工艺管道的防腐、衬里、吹扫和压力试验前进行。</w:t>
      </w:r>
    </w:p>
    <w:p w14:paraId="004262CD">
      <w:pPr>
        <w:pStyle w:val="164"/>
        <w:numPr>
          <w:ilvl w:val="0"/>
          <w:numId w:val="171"/>
        </w:numPr>
        <w:tabs>
          <w:tab w:val="left" w:pos="210"/>
          <w:tab w:val="left" w:pos="567"/>
        </w:tabs>
        <w:spacing w:line="330" w:lineRule="exact"/>
        <w:ind w:firstLine="630" w:firstLineChars="300"/>
        <w:rPr>
          <w:rFonts w:eastAsiaTheme="minorEastAsia"/>
          <w:szCs w:val="21"/>
        </w:rPr>
      </w:pPr>
      <w:r>
        <w:rPr>
          <w:rFonts w:eastAsiaTheme="minorEastAsia"/>
          <w:szCs w:val="21"/>
        </w:rPr>
        <w:t>不宜在管道焊缝及其边缘处开孔及焊接。</w:t>
      </w:r>
    </w:p>
    <w:p w14:paraId="0DD50C52">
      <w:pPr>
        <w:pStyle w:val="164"/>
        <w:numPr>
          <w:ilvl w:val="0"/>
          <w:numId w:val="171"/>
        </w:numPr>
        <w:tabs>
          <w:tab w:val="left" w:pos="210"/>
          <w:tab w:val="left" w:pos="567"/>
        </w:tabs>
        <w:spacing w:line="330" w:lineRule="exact"/>
        <w:ind w:firstLine="630" w:firstLineChars="300"/>
        <w:rPr>
          <w:rFonts w:eastAsiaTheme="minorEastAsia"/>
          <w:szCs w:val="21"/>
        </w:rPr>
      </w:pPr>
      <w:r>
        <w:rPr>
          <w:rFonts w:eastAsiaTheme="minorEastAsia"/>
          <w:szCs w:val="21"/>
        </w:rPr>
        <w:t>宜安装在管道底部和水流流速稳定的位置，不宜安装在阀门等阻力部件的附近、水流流速死角和振动较大的位置。其直压段大于管道口径2/3时，可安装在管道顶部；小于管道口径2/3时，可安装在侧面、底部或水流流速稳定的位置。</w:t>
      </w:r>
    </w:p>
    <w:p w14:paraId="414661F5">
      <w:pPr>
        <w:pStyle w:val="164"/>
        <w:numPr>
          <w:ilvl w:val="0"/>
          <w:numId w:val="167"/>
        </w:numPr>
        <w:spacing w:line="330" w:lineRule="exact"/>
        <w:ind w:left="0" w:firstLine="420"/>
        <w:rPr>
          <w:rFonts w:eastAsiaTheme="minorEastAsia"/>
        </w:rPr>
      </w:pPr>
      <w:r>
        <w:rPr>
          <w:rFonts w:eastAsiaTheme="minorEastAsia"/>
        </w:rPr>
        <w:t>风压压差开关</w:t>
      </w:r>
      <w:r>
        <w:rPr>
          <w:rFonts w:hint="eastAsia" w:eastAsiaTheme="minorEastAsia"/>
        </w:rPr>
        <w:t>的</w:t>
      </w:r>
      <w:r>
        <w:rPr>
          <w:rFonts w:eastAsiaTheme="minorEastAsia"/>
        </w:rPr>
        <w:t>安装</w:t>
      </w:r>
      <w:r>
        <w:rPr>
          <w:rFonts w:hint="eastAsia" w:eastAsiaTheme="minorEastAsia"/>
          <w:szCs w:val="21"/>
        </w:rPr>
        <w:t>应在风管保温层完成之后，宜将薄膜垂直于平面的位置，应避开蒸汽排放口，线路应通过软管与压差开关连接，安装位置应便于调试、维修，安装完毕后应做密闭处理</w:t>
      </w:r>
      <w:r>
        <w:rPr>
          <w:rFonts w:hint="eastAsia"/>
          <w:szCs w:val="21"/>
        </w:rPr>
        <w:t>。</w:t>
      </w:r>
    </w:p>
    <w:p w14:paraId="67D30F80">
      <w:pPr>
        <w:pStyle w:val="164"/>
        <w:numPr>
          <w:ilvl w:val="0"/>
          <w:numId w:val="167"/>
        </w:numPr>
        <w:spacing w:line="330" w:lineRule="exact"/>
        <w:ind w:left="0" w:firstLine="420"/>
        <w:rPr>
          <w:rFonts w:eastAsiaTheme="minorEastAsia"/>
        </w:rPr>
      </w:pPr>
      <w:r>
        <w:rPr>
          <w:rFonts w:eastAsiaTheme="minorEastAsia"/>
        </w:rPr>
        <w:t>液体流量开关的安装</w:t>
      </w:r>
      <w:r>
        <w:rPr>
          <w:szCs w:val="21"/>
        </w:rPr>
        <w:t>应符合下列规定：</w:t>
      </w:r>
    </w:p>
    <w:p w14:paraId="2706865B">
      <w:pPr>
        <w:pStyle w:val="164"/>
        <w:numPr>
          <w:ilvl w:val="0"/>
          <w:numId w:val="172"/>
        </w:numPr>
        <w:tabs>
          <w:tab w:val="left" w:pos="210"/>
          <w:tab w:val="left" w:pos="567"/>
        </w:tabs>
        <w:spacing w:line="330" w:lineRule="exact"/>
        <w:ind w:firstLine="630" w:firstLineChars="300"/>
        <w:rPr>
          <w:rFonts w:eastAsiaTheme="minorEastAsia"/>
          <w:szCs w:val="21"/>
        </w:rPr>
      </w:pPr>
      <w:r>
        <w:rPr>
          <w:rFonts w:eastAsiaTheme="minorEastAsia"/>
          <w:szCs w:val="21"/>
        </w:rPr>
        <w:t>安装</w:t>
      </w:r>
      <w:r>
        <w:rPr>
          <w:rFonts w:hint="eastAsia" w:eastAsiaTheme="minorEastAsia"/>
          <w:szCs w:val="21"/>
        </w:rPr>
        <w:t>工作</w:t>
      </w:r>
      <w:r>
        <w:rPr>
          <w:rFonts w:eastAsiaTheme="minorEastAsia"/>
          <w:szCs w:val="21"/>
        </w:rPr>
        <w:t>应与工艺管道预制、安装同时进行</w:t>
      </w:r>
      <w:r>
        <w:rPr>
          <w:rFonts w:hint="eastAsia" w:eastAsiaTheme="minorEastAsia"/>
          <w:szCs w:val="21"/>
        </w:rPr>
        <w:t>，</w:t>
      </w:r>
      <w:r>
        <w:rPr>
          <w:rFonts w:eastAsiaTheme="minorEastAsia"/>
          <w:szCs w:val="21"/>
        </w:rPr>
        <w:t>宜安装在便于调试、维修的地方。</w:t>
      </w:r>
    </w:p>
    <w:p w14:paraId="405D1744">
      <w:pPr>
        <w:pStyle w:val="164"/>
        <w:numPr>
          <w:ilvl w:val="0"/>
          <w:numId w:val="172"/>
        </w:numPr>
        <w:tabs>
          <w:tab w:val="left" w:pos="210"/>
          <w:tab w:val="left" w:pos="567"/>
        </w:tabs>
        <w:spacing w:line="330" w:lineRule="exact"/>
        <w:ind w:firstLine="630" w:firstLineChars="300"/>
        <w:rPr>
          <w:rFonts w:eastAsiaTheme="minorEastAsia"/>
          <w:szCs w:val="21"/>
        </w:rPr>
      </w:pPr>
      <w:r>
        <w:rPr>
          <w:rFonts w:eastAsiaTheme="minorEastAsia"/>
          <w:szCs w:val="21"/>
        </w:rPr>
        <w:t>开孔与焊接工作，应在工艺管道的防腐、衬里、吹扫和压力试验前进行。</w:t>
      </w:r>
    </w:p>
    <w:p w14:paraId="4E526D1C">
      <w:pPr>
        <w:pStyle w:val="164"/>
        <w:numPr>
          <w:ilvl w:val="0"/>
          <w:numId w:val="172"/>
        </w:numPr>
        <w:tabs>
          <w:tab w:val="left" w:pos="210"/>
          <w:tab w:val="left" w:pos="567"/>
        </w:tabs>
        <w:spacing w:line="330" w:lineRule="exact"/>
        <w:ind w:firstLine="630" w:firstLineChars="300"/>
        <w:rPr>
          <w:rFonts w:eastAsiaTheme="minorEastAsia"/>
          <w:szCs w:val="21"/>
        </w:rPr>
      </w:pPr>
      <w:r>
        <w:rPr>
          <w:rFonts w:eastAsiaTheme="minorEastAsia"/>
          <w:szCs w:val="21"/>
        </w:rPr>
        <w:t>宜安装在水平管段上，不应安装在垂直管段上。避免安装在测流孔/直角弯头或阀门附近，安装时将水流开关旋紧定位，使叶片与水流方向成直角，开关体上标识箭头方向要与水流一致。</w:t>
      </w:r>
    </w:p>
    <w:p w14:paraId="24FAACF8">
      <w:pPr>
        <w:pStyle w:val="164"/>
        <w:numPr>
          <w:ilvl w:val="0"/>
          <w:numId w:val="167"/>
        </w:numPr>
        <w:spacing w:line="330" w:lineRule="exact"/>
        <w:ind w:left="0" w:firstLine="420"/>
        <w:rPr>
          <w:rFonts w:eastAsiaTheme="minorEastAsia"/>
        </w:rPr>
      </w:pPr>
      <w:r>
        <w:rPr>
          <w:rFonts w:eastAsiaTheme="minorEastAsia"/>
        </w:rPr>
        <w:t>磁流量计的安装</w:t>
      </w:r>
      <w:r>
        <w:rPr>
          <w:szCs w:val="21"/>
        </w:rPr>
        <w:t>应符合下列规定：</w:t>
      </w:r>
    </w:p>
    <w:p w14:paraId="3FCA73CB">
      <w:pPr>
        <w:pStyle w:val="164"/>
        <w:numPr>
          <w:ilvl w:val="0"/>
          <w:numId w:val="173"/>
        </w:numPr>
        <w:tabs>
          <w:tab w:val="left" w:pos="210"/>
          <w:tab w:val="left" w:pos="567"/>
        </w:tabs>
        <w:spacing w:line="330" w:lineRule="exact"/>
        <w:ind w:firstLine="630" w:firstLineChars="300"/>
        <w:rPr>
          <w:rFonts w:eastAsiaTheme="minorEastAsia"/>
          <w:szCs w:val="21"/>
        </w:rPr>
      </w:pPr>
      <w:r>
        <w:rPr>
          <w:rFonts w:eastAsiaTheme="minorEastAsia"/>
          <w:szCs w:val="21"/>
        </w:rPr>
        <w:t>应避免安装在有较强的交直流磁场或有剧烈振动的场所。</w:t>
      </w:r>
    </w:p>
    <w:p w14:paraId="54C91A72">
      <w:pPr>
        <w:pStyle w:val="164"/>
        <w:numPr>
          <w:ilvl w:val="0"/>
          <w:numId w:val="173"/>
        </w:numPr>
        <w:tabs>
          <w:tab w:val="left" w:pos="210"/>
          <w:tab w:val="left" w:pos="567"/>
        </w:tabs>
        <w:spacing w:line="330" w:lineRule="exact"/>
        <w:ind w:firstLine="630" w:firstLineChars="300"/>
        <w:rPr>
          <w:rFonts w:eastAsiaTheme="minorEastAsia"/>
          <w:szCs w:val="21"/>
        </w:rPr>
      </w:pPr>
      <w:r>
        <w:rPr>
          <w:rFonts w:eastAsiaTheme="minorEastAsia"/>
          <w:szCs w:val="21"/>
        </w:rPr>
        <w:t>流量计、被测介质及工艺管道三者之间应连成等电位，应有接地措施。</w:t>
      </w:r>
    </w:p>
    <w:p w14:paraId="4208703D">
      <w:pPr>
        <w:pStyle w:val="164"/>
        <w:numPr>
          <w:ilvl w:val="0"/>
          <w:numId w:val="173"/>
        </w:numPr>
        <w:tabs>
          <w:tab w:val="left" w:pos="210"/>
          <w:tab w:val="left" w:pos="567"/>
        </w:tabs>
        <w:spacing w:line="330" w:lineRule="exact"/>
        <w:ind w:firstLine="630" w:firstLineChars="300"/>
        <w:rPr>
          <w:rFonts w:eastAsiaTheme="minorEastAsia"/>
          <w:szCs w:val="21"/>
        </w:rPr>
      </w:pPr>
      <w:r>
        <w:rPr>
          <w:rFonts w:eastAsiaTheme="minorEastAsia"/>
          <w:szCs w:val="21"/>
        </w:rPr>
        <w:t>应设置在流量调节阀的上游，流量计的上游应有一定的直管段。</w:t>
      </w:r>
    </w:p>
    <w:p w14:paraId="58C6B26B">
      <w:pPr>
        <w:pStyle w:val="164"/>
        <w:numPr>
          <w:ilvl w:val="0"/>
          <w:numId w:val="173"/>
        </w:numPr>
        <w:tabs>
          <w:tab w:val="left" w:pos="210"/>
          <w:tab w:val="left" w:pos="567"/>
        </w:tabs>
        <w:spacing w:line="330" w:lineRule="exact"/>
        <w:ind w:firstLine="630" w:firstLineChars="300"/>
        <w:rPr>
          <w:rFonts w:eastAsiaTheme="minorEastAsia"/>
          <w:szCs w:val="21"/>
        </w:rPr>
      </w:pPr>
      <w:r>
        <w:rPr>
          <w:rFonts w:eastAsiaTheme="minorEastAsia"/>
          <w:szCs w:val="21"/>
        </w:rPr>
        <w:t>在垂直的工艺管道安装时，液体流向自下而上，以保证导管内充满被测液体或不致产生气泡；水平安装时应使电极处在水平方向，以保证测量精度。</w:t>
      </w:r>
    </w:p>
    <w:p w14:paraId="59B7A00A">
      <w:pPr>
        <w:pStyle w:val="164"/>
        <w:numPr>
          <w:ilvl w:val="0"/>
          <w:numId w:val="167"/>
        </w:numPr>
        <w:spacing w:line="330" w:lineRule="exact"/>
        <w:ind w:left="0" w:firstLine="420"/>
        <w:rPr>
          <w:rFonts w:eastAsiaTheme="minorEastAsia"/>
        </w:rPr>
      </w:pPr>
      <w:r>
        <w:rPr>
          <w:rFonts w:eastAsiaTheme="minorEastAsia"/>
        </w:rPr>
        <w:t>涡轮式流量传感器的安装</w:t>
      </w:r>
      <w:r>
        <w:rPr>
          <w:szCs w:val="21"/>
        </w:rPr>
        <w:t>应符合下列规定：</w:t>
      </w:r>
    </w:p>
    <w:p w14:paraId="7483926C">
      <w:pPr>
        <w:pStyle w:val="164"/>
        <w:numPr>
          <w:ilvl w:val="0"/>
          <w:numId w:val="174"/>
        </w:numPr>
        <w:tabs>
          <w:tab w:val="left" w:pos="210"/>
          <w:tab w:val="left" w:pos="567"/>
        </w:tabs>
        <w:spacing w:line="330" w:lineRule="exact"/>
        <w:ind w:firstLine="630" w:firstLineChars="300"/>
        <w:rPr>
          <w:rFonts w:eastAsiaTheme="minorEastAsia"/>
          <w:szCs w:val="21"/>
        </w:rPr>
      </w:pPr>
      <w:r>
        <w:rPr>
          <w:rFonts w:eastAsiaTheme="minorEastAsia"/>
          <w:szCs w:val="21"/>
        </w:rPr>
        <w:t>涡轮式流量变送器宜安装在便于维修并避开强磁场、剧烈震动及热辐射的场所。</w:t>
      </w:r>
    </w:p>
    <w:p w14:paraId="76951D8F">
      <w:pPr>
        <w:pStyle w:val="164"/>
        <w:numPr>
          <w:ilvl w:val="0"/>
          <w:numId w:val="174"/>
        </w:numPr>
        <w:tabs>
          <w:tab w:val="left" w:pos="210"/>
          <w:tab w:val="left" w:pos="567"/>
        </w:tabs>
        <w:spacing w:line="330" w:lineRule="exact"/>
        <w:ind w:firstLine="630" w:firstLineChars="300"/>
        <w:rPr>
          <w:rFonts w:eastAsiaTheme="minorEastAsia"/>
          <w:szCs w:val="21"/>
        </w:rPr>
      </w:pPr>
      <w:r>
        <w:rPr>
          <w:rFonts w:eastAsiaTheme="minorEastAsia"/>
          <w:szCs w:val="21"/>
        </w:rPr>
        <w:t>涡轮式流量传感器安装时应水平，流体的流动方向应与传感器壳体上所示的流向标志一致。</w:t>
      </w:r>
    </w:p>
    <w:p w14:paraId="519BFF8B">
      <w:pPr>
        <w:pStyle w:val="164"/>
        <w:numPr>
          <w:ilvl w:val="0"/>
          <w:numId w:val="174"/>
        </w:numPr>
        <w:tabs>
          <w:tab w:val="left" w:pos="210"/>
          <w:tab w:val="left" w:pos="567"/>
        </w:tabs>
        <w:spacing w:line="330" w:lineRule="exact"/>
        <w:ind w:firstLine="630" w:firstLineChars="300"/>
        <w:rPr>
          <w:rFonts w:eastAsiaTheme="minorEastAsia"/>
          <w:szCs w:val="21"/>
        </w:rPr>
      </w:pPr>
      <w:r>
        <w:rPr>
          <w:rFonts w:eastAsiaTheme="minorEastAsia"/>
          <w:szCs w:val="21"/>
        </w:rPr>
        <w:t>当可能产生逆流时，流量变送器后面应装设止逆阀，流量变送器应安装在测压点上游，距测压点位置3.5</w:t>
      </w:r>
      <w:r>
        <w:rPr>
          <w:rFonts w:hint="eastAsia" w:eastAsiaTheme="minorEastAsia"/>
          <w:szCs w:val="21"/>
        </w:rPr>
        <w:t>倍</w:t>
      </w:r>
      <w:r>
        <w:rPr>
          <w:rFonts w:eastAsiaTheme="minorEastAsia"/>
          <w:szCs w:val="21"/>
        </w:rPr>
        <w:t>～5.5</w:t>
      </w:r>
      <w:r>
        <w:rPr>
          <w:rFonts w:hint="eastAsia" w:eastAsiaTheme="minorEastAsia"/>
          <w:szCs w:val="21"/>
        </w:rPr>
        <w:t>倍</w:t>
      </w:r>
      <w:r>
        <w:rPr>
          <w:rFonts w:eastAsiaTheme="minorEastAsia"/>
          <w:szCs w:val="21"/>
        </w:rPr>
        <w:t>之间，测温应在下游侧，距流量传感器6</w:t>
      </w:r>
      <w:r>
        <w:rPr>
          <w:rFonts w:hint="eastAsia" w:eastAsiaTheme="minorEastAsia"/>
          <w:szCs w:val="21"/>
        </w:rPr>
        <w:t>倍</w:t>
      </w:r>
      <w:r>
        <w:rPr>
          <w:rFonts w:eastAsiaTheme="minorEastAsia"/>
          <w:szCs w:val="21"/>
        </w:rPr>
        <w:t>～8</w:t>
      </w:r>
      <w:r>
        <w:rPr>
          <w:rFonts w:hint="eastAsia" w:eastAsiaTheme="minorEastAsia"/>
          <w:szCs w:val="21"/>
        </w:rPr>
        <w:t>倍</w:t>
      </w:r>
      <w:r>
        <w:rPr>
          <w:rFonts w:eastAsiaTheme="minorEastAsia"/>
          <w:szCs w:val="21"/>
        </w:rPr>
        <w:t>的位置。</w:t>
      </w:r>
    </w:p>
    <w:p w14:paraId="68A7566E">
      <w:pPr>
        <w:pStyle w:val="164"/>
        <w:numPr>
          <w:ilvl w:val="0"/>
          <w:numId w:val="174"/>
        </w:numPr>
        <w:tabs>
          <w:tab w:val="left" w:pos="210"/>
          <w:tab w:val="left" w:pos="567"/>
        </w:tabs>
        <w:spacing w:line="330" w:lineRule="exact"/>
        <w:ind w:firstLine="630" w:firstLineChars="300"/>
        <w:rPr>
          <w:rFonts w:eastAsiaTheme="minorEastAsia"/>
          <w:szCs w:val="21"/>
        </w:rPr>
      </w:pPr>
      <w:r>
        <w:rPr>
          <w:rFonts w:eastAsiaTheme="minorEastAsia"/>
          <w:szCs w:val="21"/>
        </w:rPr>
        <w:t>流量传感器需要装在一定长度的直管上，以确保管道内流速平稳。流量传感器上游应留有10倍管径长度的直管，下游留5倍管径长度的直管。若传感器前后的管道中安装有阀门和管道缩径、弯管等影响流量平稳的设备，则直管段的长度还需相应调整。</w:t>
      </w:r>
    </w:p>
    <w:p w14:paraId="76AB991E">
      <w:pPr>
        <w:pStyle w:val="164"/>
        <w:numPr>
          <w:ilvl w:val="0"/>
          <w:numId w:val="174"/>
        </w:numPr>
        <w:tabs>
          <w:tab w:val="left" w:pos="210"/>
          <w:tab w:val="left" w:pos="567"/>
        </w:tabs>
        <w:spacing w:line="330" w:lineRule="exact"/>
        <w:ind w:firstLine="630" w:firstLineChars="300"/>
        <w:rPr>
          <w:rFonts w:eastAsiaTheme="minorEastAsia"/>
          <w:szCs w:val="21"/>
        </w:rPr>
      </w:pPr>
      <w:r>
        <w:rPr>
          <w:rFonts w:eastAsiaTheme="minorEastAsia"/>
          <w:szCs w:val="21"/>
        </w:rPr>
        <w:t>信号的传输线宜采用屏蔽和绝缘保护层的线缆，线缆的屏蔽层宜在现场控制器侧一点接地。</w:t>
      </w:r>
    </w:p>
    <w:p w14:paraId="301E07F7">
      <w:pPr>
        <w:pStyle w:val="164"/>
        <w:numPr>
          <w:ilvl w:val="0"/>
          <w:numId w:val="167"/>
        </w:numPr>
        <w:spacing w:line="330" w:lineRule="exact"/>
        <w:ind w:left="0" w:firstLine="420"/>
        <w:rPr>
          <w:rFonts w:eastAsiaTheme="minorEastAsia"/>
        </w:rPr>
      </w:pPr>
      <w:r>
        <w:rPr>
          <w:rFonts w:eastAsiaTheme="minorEastAsia"/>
        </w:rPr>
        <w:t>风机盘管温控器、电动阀的安装</w:t>
      </w:r>
      <w:r>
        <w:rPr>
          <w:szCs w:val="21"/>
        </w:rPr>
        <w:t>应符合下列规定：</w:t>
      </w:r>
    </w:p>
    <w:p w14:paraId="0B245025">
      <w:pPr>
        <w:pStyle w:val="164"/>
        <w:numPr>
          <w:ilvl w:val="0"/>
          <w:numId w:val="175"/>
        </w:numPr>
        <w:tabs>
          <w:tab w:val="left" w:pos="210"/>
          <w:tab w:val="left" w:pos="567"/>
        </w:tabs>
        <w:spacing w:line="330" w:lineRule="exact"/>
        <w:ind w:firstLine="630" w:firstLineChars="300"/>
        <w:rPr>
          <w:rFonts w:eastAsiaTheme="minorEastAsia"/>
          <w:szCs w:val="21"/>
        </w:rPr>
      </w:pPr>
      <w:r>
        <w:rPr>
          <w:rFonts w:eastAsiaTheme="minorEastAsia"/>
          <w:szCs w:val="21"/>
        </w:rPr>
        <w:t>温控开关与其他开关并列安装时，距地面高度应一致。高度差不应大于1mm，温控开关外形尺寸与其他开关不一样时，以底边高度为准。</w:t>
      </w:r>
    </w:p>
    <w:p w14:paraId="0B2364E0">
      <w:pPr>
        <w:pStyle w:val="164"/>
        <w:numPr>
          <w:ilvl w:val="0"/>
          <w:numId w:val="175"/>
        </w:numPr>
        <w:tabs>
          <w:tab w:val="left" w:pos="210"/>
          <w:tab w:val="left" w:pos="567"/>
        </w:tabs>
        <w:spacing w:line="330" w:lineRule="exact"/>
        <w:ind w:firstLine="630" w:firstLineChars="300"/>
        <w:rPr>
          <w:rFonts w:eastAsiaTheme="minorEastAsia"/>
          <w:szCs w:val="21"/>
        </w:rPr>
      </w:pPr>
      <w:r>
        <w:rPr>
          <w:rFonts w:eastAsiaTheme="minorEastAsia"/>
          <w:szCs w:val="21"/>
        </w:rPr>
        <w:t>电动阀阀体上箭头的指向应与介质流方向一致。</w:t>
      </w:r>
    </w:p>
    <w:p w14:paraId="67E19926">
      <w:pPr>
        <w:pStyle w:val="164"/>
        <w:numPr>
          <w:ilvl w:val="0"/>
          <w:numId w:val="175"/>
        </w:numPr>
        <w:tabs>
          <w:tab w:val="left" w:pos="210"/>
          <w:tab w:val="left" w:pos="567"/>
        </w:tabs>
        <w:spacing w:line="330" w:lineRule="exact"/>
        <w:ind w:firstLine="630" w:firstLineChars="300"/>
        <w:rPr>
          <w:rFonts w:eastAsiaTheme="minorEastAsia"/>
          <w:szCs w:val="21"/>
        </w:rPr>
      </w:pPr>
      <w:r>
        <w:rPr>
          <w:rFonts w:eastAsiaTheme="minorEastAsia"/>
          <w:szCs w:val="21"/>
        </w:rPr>
        <w:t>风机盘管电动阀应安装于风机盘管的回水管上。</w:t>
      </w:r>
    </w:p>
    <w:p w14:paraId="54BD3459">
      <w:pPr>
        <w:pStyle w:val="164"/>
        <w:numPr>
          <w:ilvl w:val="0"/>
          <w:numId w:val="175"/>
        </w:numPr>
        <w:tabs>
          <w:tab w:val="left" w:pos="210"/>
          <w:tab w:val="left" w:pos="567"/>
        </w:tabs>
        <w:spacing w:line="330" w:lineRule="exact"/>
        <w:ind w:firstLine="630" w:firstLineChars="300"/>
        <w:rPr>
          <w:rFonts w:eastAsiaTheme="minorEastAsia"/>
          <w:szCs w:val="21"/>
        </w:rPr>
      </w:pPr>
      <w:r>
        <w:rPr>
          <w:rFonts w:eastAsiaTheme="minorEastAsia"/>
          <w:szCs w:val="21"/>
        </w:rPr>
        <w:t>四管制风机盘管的冷热水管电动阀共用线应为零线。</w:t>
      </w:r>
    </w:p>
    <w:p w14:paraId="798E2999">
      <w:pPr>
        <w:pStyle w:val="164"/>
        <w:numPr>
          <w:ilvl w:val="0"/>
          <w:numId w:val="167"/>
        </w:numPr>
        <w:spacing w:line="330" w:lineRule="exact"/>
        <w:ind w:left="0" w:firstLine="420"/>
        <w:rPr>
          <w:rFonts w:eastAsiaTheme="minorEastAsia"/>
        </w:rPr>
      </w:pPr>
      <w:r>
        <w:rPr>
          <w:rFonts w:eastAsiaTheme="minorEastAsia"/>
        </w:rPr>
        <w:t>电磁阀、电动阀的安装</w:t>
      </w:r>
      <w:r>
        <w:rPr>
          <w:szCs w:val="21"/>
        </w:rPr>
        <w:t>应符合下列规定：</w:t>
      </w:r>
    </w:p>
    <w:p w14:paraId="5DDEC8AB">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阀体上箭头的指向应与介质流方向一致。</w:t>
      </w:r>
    </w:p>
    <w:p w14:paraId="46C52C26">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空调器的电磁阀、电动阀旁一般应装有旁通管路。</w:t>
      </w:r>
    </w:p>
    <w:p w14:paraId="153B9A74">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电磁阀、电动阀的口径与管道通径不一致时，应采用渐缩管件，且结合处不允许有间隙、松动现象。同时电动阀口径一般不应低于管道口径二个等级。</w:t>
      </w:r>
    </w:p>
    <w:p w14:paraId="2AA11627">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执行机构应固定牢固，操作手轮应处于便于操作的位置，并注意安装的位置便于维修、拆装。</w:t>
      </w:r>
    </w:p>
    <w:p w14:paraId="00DBB0FC">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执行机构的机械传动应灵活，无松动或卡涩现象。</w:t>
      </w:r>
    </w:p>
    <w:p w14:paraId="07216CB9">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有阀位指示装置的电磁阀、电动阀，阀位指示装置应面向便于观察的位置。</w:t>
      </w:r>
    </w:p>
    <w:p w14:paraId="28549907">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电磁阀、电动阀安装前应按安装使用说明书的规定检查线圈与阀体间的绝缘电阻，宜进行模拟动作和试压试验。</w:t>
      </w:r>
    </w:p>
    <w:p w14:paraId="507F59C7">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在管道冲洗前，应将阀体完全打开。</w:t>
      </w:r>
    </w:p>
    <w:p w14:paraId="40A3FA47">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安装于室外的电磁阀、电动阀应加防护罩。</w:t>
      </w:r>
    </w:p>
    <w:p w14:paraId="6DC542D1">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电动阀应垂直安装于水平管道上，严禁倾斜安装。</w:t>
      </w:r>
    </w:p>
    <w:p w14:paraId="43A141A3">
      <w:pPr>
        <w:pStyle w:val="164"/>
        <w:numPr>
          <w:ilvl w:val="0"/>
          <w:numId w:val="176"/>
        </w:numPr>
        <w:tabs>
          <w:tab w:val="left" w:pos="210"/>
          <w:tab w:val="left" w:pos="567"/>
        </w:tabs>
        <w:spacing w:line="330" w:lineRule="exact"/>
        <w:ind w:firstLine="630" w:firstLineChars="300"/>
        <w:rPr>
          <w:rFonts w:eastAsiaTheme="minorEastAsia"/>
          <w:szCs w:val="21"/>
        </w:rPr>
      </w:pPr>
      <w:r>
        <w:rPr>
          <w:rFonts w:eastAsiaTheme="minorEastAsia"/>
          <w:szCs w:val="21"/>
        </w:rPr>
        <w:t>大型电动调节阀安装时，应避免给调节阀带来附加压力，应安装支架，在有剧烈振动的场所，应同时采取避震措施。</w:t>
      </w:r>
    </w:p>
    <w:p w14:paraId="1C5FF1D8">
      <w:pPr>
        <w:pStyle w:val="164"/>
        <w:numPr>
          <w:ilvl w:val="0"/>
          <w:numId w:val="167"/>
        </w:numPr>
        <w:spacing w:line="330" w:lineRule="exact"/>
        <w:ind w:left="0" w:firstLine="420"/>
        <w:rPr>
          <w:rFonts w:eastAsiaTheme="minorEastAsia"/>
        </w:rPr>
      </w:pPr>
      <w:r>
        <w:rPr>
          <w:rFonts w:eastAsiaTheme="minorEastAsia"/>
        </w:rPr>
        <w:t>风阀控制器的安装</w:t>
      </w:r>
      <w:r>
        <w:rPr>
          <w:szCs w:val="21"/>
        </w:rPr>
        <w:t>应符合下列规定：</w:t>
      </w:r>
    </w:p>
    <w:p w14:paraId="27CDA6F7">
      <w:pPr>
        <w:pStyle w:val="164"/>
        <w:numPr>
          <w:ilvl w:val="0"/>
          <w:numId w:val="177"/>
        </w:numPr>
        <w:tabs>
          <w:tab w:val="left" w:pos="210"/>
          <w:tab w:val="left" w:pos="567"/>
        </w:tabs>
        <w:spacing w:line="330" w:lineRule="exact"/>
        <w:ind w:firstLine="630" w:firstLineChars="300"/>
        <w:rPr>
          <w:rFonts w:eastAsiaTheme="minorEastAsia"/>
          <w:szCs w:val="21"/>
        </w:rPr>
      </w:pPr>
      <w:r>
        <w:rPr>
          <w:rFonts w:eastAsiaTheme="minorEastAsia"/>
          <w:szCs w:val="21"/>
        </w:rPr>
        <w:t>安装前应按安装使用说明书的规定检查线圈、阀体间的电阻、工作电压、控制输入等，其应符合设计和产品说明书的</w:t>
      </w:r>
      <w:r>
        <w:rPr>
          <w:rFonts w:hint="eastAsia" w:eastAsiaTheme="minorEastAsia"/>
          <w:szCs w:val="21"/>
        </w:rPr>
        <w:t>规定</w:t>
      </w:r>
      <w:r>
        <w:rPr>
          <w:rFonts w:eastAsiaTheme="minorEastAsia"/>
          <w:szCs w:val="21"/>
        </w:rPr>
        <w:t>，风阀控制器与风阀门轴的连接应固定牢固。风阀控制器在安装前宜进行模拟动作。风阀控制器安装示意如图</w:t>
      </w:r>
      <w:r>
        <w:rPr>
          <w:szCs w:val="21"/>
        </w:rPr>
        <w:t>17</w:t>
      </w:r>
      <w:r>
        <w:rPr>
          <w:rFonts w:eastAsiaTheme="minorEastAsia"/>
          <w:szCs w:val="21"/>
        </w:rPr>
        <w:t>.3.3。</w:t>
      </w:r>
    </w:p>
    <w:p w14:paraId="178B0DC0">
      <w:pPr>
        <w:pStyle w:val="164"/>
        <w:autoSpaceDE w:val="0"/>
        <w:autoSpaceDN w:val="0"/>
        <w:adjustRightInd w:val="0"/>
        <w:ind w:left="735" w:firstLine="0" w:firstLineChars="0"/>
        <w:jc w:val="center"/>
      </w:pPr>
      <w:r>
        <w:drawing>
          <wp:inline distT="0" distB="0" distL="0" distR="0">
            <wp:extent cx="2085975" cy="1266825"/>
            <wp:effectExtent l="0" t="0" r="9525" b="952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44"/>
                    <a:stretch>
                      <a:fillRect/>
                    </a:stretch>
                  </pic:blipFill>
                  <pic:spPr>
                    <a:xfrm>
                      <a:off x="0" y="0"/>
                      <a:ext cx="2085975" cy="1266825"/>
                    </a:xfrm>
                    <a:prstGeom prst="rect">
                      <a:avLst/>
                    </a:prstGeom>
                    <a:noFill/>
                    <a:ln w="9525">
                      <a:noFill/>
                    </a:ln>
                  </pic:spPr>
                </pic:pic>
              </a:graphicData>
            </a:graphic>
          </wp:inline>
        </w:drawing>
      </w:r>
    </w:p>
    <w:p w14:paraId="4C9B452F">
      <w:pPr>
        <w:spacing w:line="330" w:lineRule="exact"/>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 xml:space="preserve">图 </w:t>
      </w:r>
      <w:r>
        <w:rPr>
          <w:rFonts w:ascii="Times New Roman" w:hAnsi="Times New Roman"/>
          <w:szCs w:val="21"/>
        </w:rPr>
        <w:t>17</w:t>
      </w:r>
      <w:r>
        <w:rPr>
          <w:rFonts w:ascii="Times New Roman" w:hAnsi="Times New Roman" w:eastAsiaTheme="minorEastAsia"/>
          <w:sz w:val="20"/>
          <w:szCs w:val="21"/>
        </w:rPr>
        <w:t>.3.3   风阀控制器安装</w:t>
      </w:r>
      <w:r>
        <w:rPr>
          <w:rFonts w:hint="eastAsia" w:ascii="Times New Roman" w:hAnsi="Times New Roman" w:eastAsiaTheme="minorEastAsia"/>
          <w:sz w:val="20"/>
          <w:szCs w:val="21"/>
        </w:rPr>
        <w:t>示意图</w:t>
      </w:r>
    </w:p>
    <w:p w14:paraId="7BB9EC05">
      <w:pPr>
        <w:pStyle w:val="164"/>
        <w:autoSpaceDE w:val="0"/>
        <w:autoSpaceDN w:val="0"/>
        <w:adjustRightInd w:val="0"/>
        <w:spacing w:line="330" w:lineRule="exact"/>
        <w:ind w:left="735" w:firstLine="0" w:firstLineChars="0"/>
      </w:pPr>
    </w:p>
    <w:p w14:paraId="26A074C1">
      <w:pPr>
        <w:pStyle w:val="164"/>
        <w:numPr>
          <w:ilvl w:val="0"/>
          <w:numId w:val="177"/>
        </w:numPr>
        <w:tabs>
          <w:tab w:val="left" w:pos="210"/>
          <w:tab w:val="left" w:pos="567"/>
        </w:tabs>
        <w:spacing w:line="330" w:lineRule="exact"/>
        <w:ind w:firstLine="630" w:firstLineChars="300"/>
        <w:rPr>
          <w:rFonts w:eastAsiaTheme="minorEastAsia"/>
          <w:szCs w:val="21"/>
        </w:rPr>
      </w:pPr>
      <w:r>
        <w:rPr>
          <w:rFonts w:eastAsiaTheme="minorEastAsia"/>
          <w:szCs w:val="21"/>
        </w:rPr>
        <w:t>开闭箭头的指向应与阀门开闭方向一致</w:t>
      </w:r>
      <w:r>
        <w:rPr>
          <w:rFonts w:hint="eastAsia" w:eastAsiaTheme="minorEastAsia"/>
          <w:szCs w:val="21"/>
        </w:rPr>
        <w:t>，</w:t>
      </w:r>
      <w:r>
        <w:rPr>
          <w:rFonts w:eastAsiaTheme="minorEastAsia"/>
          <w:szCs w:val="21"/>
        </w:rPr>
        <w:t>机械机构开闭应灵活，无松动或卡涩现象。</w:t>
      </w:r>
    </w:p>
    <w:p w14:paraId="7D783E25">
      <w:pPr>
        <w:pStyle w:val="164"/>
        <w:numPr>
          <w:ilvl w:val="0"/>
          <w:numId w:val="177"/>
        </w:numPr>
        <w:tabs>
          <w:tab w:val="left" w:pos="210"/>
          <w:tab w:val="left" w:pos="567"/>
        </w:tabs>
        <w:spacing w:line="330" w:lineRule="exact"/>
        <w:ind w:firstLine="630" w:firstLineChars="300"/>
        <w:rPr>
          <w:rFonts w:eastAsiaTheme="minorEastAsia"/>
          <w:szCs w:val="21"/>
        </w:rPr>
      </w:pPr>
      <w:r>
        <w:rPr>
          <w:rFonts w:eastAsiaTheme="minorEastAsia"/>
          <w:szCs w:val="21"/>
        </w:rPr>
        <w:t>安装后风阀控制器的开闭指示位应与风阀实际状况一致，风阀控制器宜面向便于观察的位置。</w:t>
      </w:r>
    </w:p>
    <w:p w14:paraId="3A0C5736">
      <w:pPr>
        <w:pStyle w:val="164"/>
        <w:numPr>
          <w:ilvl w:val="0"/>
          <w:numId w:val="177"/>
        </w:numPr>
        <w:tabs>
          <w:tab w:val="left" w:pos="210"/>
          <w:tab w:val="left" w:pos="567"/>
        </w:tabs>
        <w:spacing w:line="330" w:lineRule="exact"/>
        <w:ind w:firstLine="630" w:firstLineChars="300"/>
        <w:rPr>
          <w:rFonts w:eastAsiaTheme="minorEastAsia"/>
          <w:szCs w:val="21"/>
        </w:rPr>
      </w:pPr>
      <w:r>
        <w:rPr>
          <w:rFonts w:eastAsiaTheme="minorEastAsia"/>
          <w:szCs w:val="21"/>
        </w:rPr>
        <w:t>应与风阀门轴垂直安装，垂直角度≥85°</w:t>
      </w:r>
      <w:r>
        <w:rPr>
          <w:rFonts w:hint="eastAsia" w:eastAsiaTheme="minorEastAsia"/>
          <w:szCs w:val="21"/>
        </w:rPr>
        <w:t>，</w:t>
      </w:r>
      <w:r>
        <w:rPr>
          <w:rFonts w:eastAsiaTheme="minorEastAsia"/>
          <w:szCs w:val="21"/>
        </w:rPr>
        <w:t>输出力矩应与风阀所需要的相匹配。</w:t>
      </w:r>
    </w:p>
    <w:p w14:paraId="067A7A1A">
      <w:pPr>
        <w:pStyle w:val="164"/>
        <w:numPr>
          <w:ilvl w:val="0"/>
          <w:numId w:val="177"/>
        </w:numPr>
        <w:tabs>
          <w:tab w:val="left" w:pos="210"/>
          <w:tab w:val="left" w:pos="567"/>
        </w:tabs>
        <w:spacing w:line="330" w:lineRule="exact"/>
        <w:ind w:firstLine="630" w:firstLineChars="300"/>
        <w:rPr>
          <w:rFonts w:eastAsiaTheme="minorEastAsia"/>
          <w:szCs w:val="21"/>
        </w:rPr>
      </w:pPr>
      <w:r>
        <w:rPr>
          <w:rFonts w:eastAsiaTheme="minorEastAsia"/>
          <w:szCs w:val="21"/>
        </w:rPr>
        <w:t>不能直接与风门挡板轴相连接时，则可通过附件与挡板轴相连，但其附件装置应保证风阀控制器旋转角度的调整范围。</w:t>
      </w:r>
    </w:p>
    <w:p w14:paraId="23AAF5DD">
      <w:pPr>
        <w:pStyle w:val="164"/>
        <w:spacing w:before="100" w:after="100" w:line="330" w:lineRule="exact"/>
        <w:ind w:firstLine="0" w:firstLineChars="0"/>
        <w:rPr>
          <w:szCs w:val="21"/>
        </w:rPr>
      </w:pPr>
      <w:r>
        <w:rPr>
          <w:szCs w:val="21"/>
        </w:rPr>
        <w:t>17.3.4 现场控制器安装应符合下列规定：</w:t>
      </w:r>
    </w:p>
    <w:p w14:paraId="4CB3A035">
      <w:pPr>
        <w:pStyle w:val="164"/>
        <w:numPr>
          <w:ilvl w:val="0"/>
          <w:numId w:val="178"/>
        </w:numPr>
        <w:spacing w:line="330" w:lineRule="exact"/>
        <w:ind w:left="0" w:firstLine="420" w:firstLineChars="0"/>
        <w:rPr>
          <w:rFonts w:eastAsiaTheme="minorEastAsia"/>
        </w:rPr>
      </w:pPr>
      <w:r>
        <w:rPr>
          <w:rFonts w:eastAsiaTheme="minorEastAsia"/>
        </w:rPr>
        <w:t>现场控制器箱的安装位置宜靠近被控设备电控箱</w:t>
      </w:r>
      <w:r>
        <w:rPr>
          <w:rFonts w:hint="eastAsia" w:eastAsiaTheme="minorEastAsia"/>
        </w:rPr>
        <w:t>，</w:t>
      </w:r>
      <w:r>
        <w:rPr>
          <w:rFonts w:eastAsiaTheme="minorEastAsia"/>
        </w:rPr>
        <w:t>应安装牢固，不应倾斜；在轻质墙上安装时，应采取加固措施。</w:t>
      </w:r>
    </w:p>
    <w:p w14:paraId="2215EFE4">
      <w:pPr>
        <w:pStyle w:val="164"/>
        <w:numPr>
          <w:ilvl w:val="0"/>
          <w:numId w:val="178"/>
        </w:numPr>
        <w:spacing w:line="330" w:lineRule="exact"/>
        <w:ind w:left="0" w:firstLine="420" w:firstLineChars="0"/>
        <w:rPr>
          <w:rFonts w:eastAsiaTheme="minorEastAsia"/>
        </w:rPr>
      </w:pPr>
      <w:r>
        <w:rPr>
          <w:rFonts w:eastAsiaTheme="minorEastAsia"/>
        </w:rPr>
        <w:t>现场控制器箱的高度≤1m时，宜采用壁挂安装，箱体中心距地面的高度不应＜1.4m，高度大于lm时，宜采用落地式安装，并应制作底座。</w:t>
      </w:r>
    </w:p>
    <w:p w14:paraId="3EA0C11D">
      <w:pPr>
        <w:pStyle w:val="164"/>
        <w:numPr>
          <w:ilvl w:val="0"/>
          <w:numId w:val="178"/>
        </w:numPr>
        <w:spacing w:line="330" w:lineRule="exact"/>
        <w:ind w:left="0" w:firstLine="420" w:firstLineChars="0"/>
        <w:rPr>
          <w:rFonts w:eastAsiaTheme="minorEastAsia"/>
        </w:rPr>
      </w:pPr>
      <w:r>
        <w:rPr>
          <w:rFonts w:eastAsiaTheme="minorEastAsia"/>
        </w:rPr>
        <w:t>现场控制器箱侧面与墙或其他设备的净距离不应＜0.8m，正面操作距离不应＜1m。</w:t>
      </w:r>
    </w:p>
    <w:p w14:paraId="5821A00B">
      <w:pPr>
        <w:pStyle w:val="164"/>
        <w:numPr>
          <w:ilvl w:val="0"/>
          <w:numId w:val="178"/>
        </w:numPr>
        <w:spacing w:line="330" w:lineRule="exact"/>
        <w:ind w:left="0" w:firstLine="420" w:firstLineChars="0"/>
        <w:rPr>
          <w:rFonts w:eastAsiaTheme="minorEastAsia"/>
        </w:rPr>
      </w:pPr>
      <w:r>
        <w:rPr>
          <w:rFonts w:eastAsiaTheme="minorEastAsia"/>
        </w:rPr>
        <w:t>现场控制器箱接线应按照接线图和设备说明书进行，配线整齐，不交叉，固定牢靠，各端部均应标明编号</w:t>
      </w:r>
      <w:r>
        <w:rPr>
          <w:rFonts w:hint="eastAsia" w:eastAsiaTheme="minorEastAsia"/>
        </w:rPr>
        <w:t>，</w:t>
      </w:r>
      <w:r>
        <w:rPr>
          <w:rFonts w:eastAsiaTheme="minorEastAsia"/>
        </w:rPr>
        <w:t>箱体门板内侧应贴箱内设备的接线图。</w:t>
      </w:r>
    </w:p>
    <w:p w14:paraId="1D05BCE9">
      <w:pPr>
        <w:pStyle w:val="164"/>
        <w:numPr>
          <w:ilvl w:val="0"/>
          <w:numId w:val="178"/>
        </w:numPr>
        <w:spacing w:line="330" w:lineRule="exact"/>
        <w:ind w:left="0" w:firstLine="420" w:firstLineChars="0"/>
        <w:rPr>
          <w:rFonts w:eastAsiaTheme="minorEastAsia"/>
        </w:rPr>
      </w:pPr>
      <w:r>
        <w:rPr>
          <w:rFonts w:eastAsiaTheme="minorEastAsia"/>
        </w:rPr>
        <w:t>现场控制器应在调试前安装，在调试前应妥善保管并采取防尘、防潮和防腐蚀措施。</w:t>
      </w:r>
    </w:p>
    <w:p w14:paraId="002CF43D">
      <w:pPr>
        <w:pStyle w:val="164"/>
        <w:spacing w:before="100" w:after="100" w:line="330" w:lineRule="exact"/>
        <w:ind w:firstLine="0" w:firstLineChars="0"/>
        <w:rPr>
          <w:szCs w:val="21"/>
        </w:rPr>
      </w:pPr>
      <w:r>
        <w:rPr>
          <w:szCs w:val="21"/>
        </w:rPr>
        <w:t>17.3.5 中央控制室设备安装应符合下列规定：</w:t>
      </w:r>
    </w:p>
    <w:p w14:paraId="57A28779">
      <w:pPr>
        <w:pStyle w:val="164"/>
        <w:numPr>
          <w:ilvl w:val="0"/>
          <w:numId w:val="179"/>
        </w:numPr>
        <w:spacing w:line="330" w:lineRule="exact"/>
        <w:ind w:left="0" w:firstLine="420"/>
        <w:rPr>
          <w:rFonts w:eastAsiaTheme="minorEastAsia"/>
        </w:rPr>
      </w:pPr>
      <w:r>
        <w:rPr>
          <w:rFonts w:eastAsiaTheme="minorEastAsia"/>
        </w:rPr>
        <w:t>设备在安装前应进行检验，并符合下列规定：</w:t>
      </w:r>
    </w:p>
    <w:p w14:paraId="11341975">
      <w:pPr>
        <w:pStyle w:val="164"/>
        <w:numPr>
          <w:ilvl w:val="0"/>
          <w:numId w:val="180"/>
        </w:numPr>
        <w:tabs>
          <w:tab w:val="left" w:pos="210"/>
          <w:tab w:val="left" w:pos="567"/>
        </w:tabs>
        <w:spacing w:line="330" w:lineRule="exact"/>
        <w:ind w:firstLine="630" w:firstLineChars="300"/>
        <w:rPr>
          <w:rFonts w:eastAsiaTheme="minorEastAsia"/>
          <w:szCs w:val="21"/>
        </w:rPr>
      </w:pPr>
      <w:r>
        <w:rPr>
          <w:rFonts w:eastAsiaTheme="minorEastAsia"/>
          <w:szCs w:val="21"/>
        </w:rPr>
        <w:t>各种设备进场时，查验合格证和随带技术文件，实行产品许可证和安全认证的产品应有产品许可正和安全认证标志，进口产品应有原产地证明、进口报关单。</w:t>
      </w:r>
    </w:p>
    <w:p w14:paraId="16C15FF8">
      <w:pPr>
        <w:pStyle w:val="164"/>
        <w:numPr>
          <w:ilvl w:val="0"/>
          <w:numId w:val="180"/>
        </w:numPr>
        <w:tabs>
          <w:tab w:val="left" w:pos="210"/>
          <w:tab w:val="left" w:pos="567"/>
        </w:tabs>
        <w:spacing w:line="330" w:lineRule="exact"/>
        <w:ind w:firstLine="630" w:firstLineChars="300"/>
        <w:rPr>
          <w:rFonts w:eastAsiaTheme="minorEastAsia"/>
          <w:szCs w:val="21"/>
        </w:rPr>
      </w:pPr>
      <w:r>
        <w:rPr>
          <w:rFonts w:eastAsiaTheme="minorEastAsia"/>
          <w:szCs w:val="21"/>
        </w:rPr>
        <w:t>进行外观检查：铭牌、附件齐全、电气接线端子完好，设备外形完整，内外表面漆层完好。</w:t>
      </w:r>
    </w:p>
    <w:p w14:paraId="138B64FE">
      <w:pPr>
        <w:pStyle w:val="164"/>
        <w:numPr>
          <w:ilvl w:val="0"/>
          <w:numId w:val="180"/>
        </w:numPr>
        <w:tabs>
          <w:tab w:val="left" w:pos="210"/>
          <w:tab w:val="left" w:pos="567"/>
        </w:tabs>
        <w:spacing w:line="330" w:lineRule="exact"/>
        <w:ind w:firstLine="630" w:firstLineChars="300"/>
        <w:rPr>
          <w:rFonts w:eastAsiaTheme="minorEastAsia"/>
          <w:szCs w:val="21"/>
        </w:rPr>
      </w:pPr>
      <w:r>
        <w:rPr>
          <w:rFonts w:eastAsiaTheme="minorEastAsia"/>
          <w:szCs w:val="21"/>
        </w:rPr>
        <w:t>设备外形尺寸、设备内主板及接线端口的型号、规格符合设计规定，备品备件齐全。</w:t>
      </w:r>
    </w:p>
    <w:p w14:paraId="65AE2B14">
      <w:pPr>
        <w:pStyle w:val="164"/>
        <w:numPr>
          <w:ilvl w:val="0"/>
          <w:numId w:val="180"/>
        </w:numPr>
        <w:tabs>
          <w:tab w:val="left" w:pos="210"/>
          <w:tab w:val="left" w:pos="567"/>
        </w:tabs>
        <w:spacing w:line="330" w:lineRule="exact"/>
        <w:ind w:firstLine="630" w:firstLineChars="300"/>
        <w:rPr>
          <w:rFonts w:eastAsiaTheme="minorEastAsia"/>
          <w:szCs w:val="21"/>
        </w:rPr>
      </w:pPr>
      <w:r>
        <w:rPr>
          <w:rFonts w:eastAsiaTheme="minorEastAsia"/>
          <w:szCs w:val="21"/>
        </w:rPr>
        <w:t>设备及器材进场</w:t>
      </w:r>
      <w:r>
        <w:rPr>
          <w:rFonts w:hint="eastAsia" w:eastAsiaTheme="minorEastAsia"/>
          <w:szCs w:val="21"/>
        </w:rPr>
        <w:t>检验</w:t>
      </w:r>
      <w:r>
        <w:rPr>
          <w:rFonts w:eastAsiaTheme="minorEastAsia"/>
          <w:szCs w:val="21"/>
        </w:rPr>
        <w:t>应有记录。</w:t>
      </w:r>
    </w:p>
    <w:p w14:paraId="65B7910E">
      <w:pPr>
        <w:pStyle w:val="164"/>
        <w:numPr>
          <w:ilvl w:val="0"/>
          <w:numId w:val="179"/>
        </w:numPr>
        <w:spacing w:line="330" w:lineRule="exact"/>
        <w:ind w:left="0" w:firstLine="420"/>
        <w:rPr>
          <w:rFonts w:eastAsiaTheme="minorEastAsia"/>
        </w:rPr>
      </w:pPr>
      <w:r>
        <w:rPr>
          <w:rFonts w:eastAsiaTheme="minorEastAsia"/>
        </w:rPr>
        <w:t>按照图纸连接主机、不间断电源、打印机、网络控制器等设备。</w:t>
      </w:r>
    </w:p>
    <w:p w14:paraId="4E44AA6A">
      <w:pPr>
        <w:pStyle w:val="164"/>
        <w:numPr>
          <w:ilvl w:val="0"/>
          <w:numId w:val="179"/>
        </w:numPr>
        <w:spacing w:line="330" w:lineRule="exact"/>
        <w:ind w:left="0" w:firstLine="420"/>
        <w:rPr>
          <w:rFonts w:eastAsiaTheme="minorEastAsia"/>
        </w:rPr>
      </w:pPr>
      <w:r>
        <w:rPr>
          <w:rFonts w:eastAsiaTheme="minorEastAsia"/>
        </w:rPr>
        <w:t>设备安装应紧密、牢固，安装用的紧固件应做防锈处理。</w:t>
      </w:r>
    </w:p>
    <w:p w14:paraId="3B4A86AA">
      <w:pPr>
        <w:pStyle w:val="164"/>
        <w:numPr>
          <w:ilvl w:val="0"/>
          <w:numId w:val="179"/>
        </w:numPr>
        <w:spacing w:line="330" w:lineRule="exact"/>
        <w:ind w:left="0" w:firstLine="420"/>
        <w:rPr>
          <w:rFonts w:eastAsiaTheme="minorEastAsia"/>
        </w:rPr>
      </w:pPr>
      <w:r>
        <w:rPr>
          <w:rFonts w:eastAsiaTheme="minorEastAsia"/>
        </w:rPr>
        <w:t>设备底座应与设备相符，其上表面应保持水平。</w:t>
      </w:r>
    </w:p>
    <w:p w14:paraId="351CFFA6">
      <w:pPr>
        <w:pStyle w:val="164"/>
        <w:numPr>
          <w:ilvl w:val="0"/>
          <w:numId w:val="179"/>
        </w:numPr>
        <w:spacing w:line="330" w:lineRule="exact"/>
        <w:ind w:left="0" w:firstLine="420"/>
        <w:rPr>
          <w:rFonts w:eastAsiaTheme="minorEastAsia"/>
        </w:rPr>
      </w:pPr>
      <w:r>
        <w:rPr>
          <w:rFonts w:eastAsiaTheme="minorEastAsia"/>
        </w:rPr>
        <w:t>中央控制及网络控制器等设备的安装要符合下列规定：</w:t>
      </w:r>
    </w:p>
    <w:p w14:paraId="34885F9E">
      <w:pPr>
        <w:pStyle w:val="164"/>
        <w:numPr>
          <w:ilvl w:val="0"/>
          <w:numId w:val="181"/>
        </w:numPr>
        <w:tabs>
          <w:tab w:val="left" w:pos="210"/>
          <w:tab w:val="left" w:pos="567"/>
        </w:tabs>
        <w:spacing w:line="330" w:lineRule="exact"/>
        <w:ind w:firstLine="630" w:firstLineChars="300"/>
        <w:rPr>
          <w:rFonts w:eastAsiaTheme="minorEastAsia"/>
          <w:szCs w:val="21"/>
        </w:rPr>
      </w:pPr>
      <w:r>
        <w:rPr>
          <w:rFonts w:eastAsiaTheme="minorEastAsia"/>
          <w:szCs w:val="21"/>
        </w:rPr>
        <w:t>控制台、网络控制器应按设计要求进行排列，根据控制台的固定孔距在基础槽钢上钻孔，安装时从一端开始逐台就位，用螺丝固定，找平找直后再将各螺栓紧固。</w:t>
      </w:r>
    </w:p>
    <w:p w14:paraId="6EC901D8">
      <w:pPr>
        <w:pStyle w:val="164"/>
        <w:numPr>
          <w:ilvl w:val="0"/>
          <w:numId w:val="181"/>
        </w:numPr>
        <w:tabs>
          <w:tab w:val="left" w:pos="210"/>
          <w:tab w:val="left" w:pos="567"/>
        </w:tabs>
        <w:spacing w:line="330" w:lineRule="exact"/>
        <w:ind w:firstLine="630" w:firstLineChars="300"/>
        <w:rPr>
          <w:rFonts w:eastAsiaTheme="minorEastAsia"/>
          <w:szCs w:val="21"/>
        </w:rPr>
      </w:pPr>
      <w:r>
        <w:rPr>
          <w:rFonts w:eastAsiaTheme="minorEastAsia"/>
          <w:szCs w:val="21"/>
        </w:rPr>
        <w:t>控制台应垂直、平正，其垂直允许偏差为每米1.5mm，水平方向的倾斜度允许偏差为每米1mm。相邻之间顶部高度允许偏差为2mm，接缝处平面度允许偏差为5mm。相邻设备接缝间隙≤2mm，相邻控制台或设备连接超过五处时，平面度允许偏差为5mm。</w:t>
      </w:r>
    </w:p>
    <w:p w14:paraId="3058A651">
      <w:pPr>
        <w:pStyle w:val="164"/>
        <w:numPr>
          <w:ilvl w:val="0"/>
          <w:numId w:val="181"/>
        </w:numPr>
        <w:tabs>
          <w:tab w:val="left" w:pos="210"/>
          <w:tab w:val="left" w:pos="567"/>
        </w:tabs>
        <w:spacing w:line="330" w:lineRule="exact"/>
        <w:ind w:firstLine="630" w:firstLineChars="300"/>
        <w:rPr>
          <w:rFonts w:eastAsiaTheme="minorEastAsia"/>
          <w:szCs w:val="21"/>
        </w:rPr>
      </w:pPr>
      <w:r>
        <w:rPr>
          <w:rFonts w:eastAsiaTheme="minorEastAsia"/>
          <w:szCs w:val="21"/>
        </w:rPr>
        <w:t>对引入的电缆或导线，首先进行校线，按图纸要求编号。</w:t>
      </w:r>
    </w:p>
    <w:p w14:paraId="53F14C2A">
      <w:pPr>
        <w:pStyle w:val="164"/>
        <w:numPr>
          <w:ilvl w:val="0"/>
          <w:numId w:val="181"/>
        </w:numPr>
        <w:tabs>
          <w:tab w:val="left" w:pos="210"/>
          <w:tab w:val="left" w:pos="567"/>
        </w:tabs>
        <w:spacing w:line="330" w:lineRule="exact"/>
        <w:ind w:firstLine="630" w:firstLineChars="300"/>
        <w:rPr>
          <w:rFonts w:eastAsiaTheme="minorEastAsia"/>
          <w:szCs w:val="21"/>
        </w:rPr>
      </w:pPr>
      <w:r>
        <w:rPr>
          <w:rFonts w:eastAsiaTheme="minorEastAsia"/>
          <w:szCs w:val="21"/>
        </w:rPr>
        <w:t>标志编号应正确且与图纸一致，字迹清晰，不易褪色；配线应整齐，避免交叉，固定牢固。</w:t>
      </w:r>
    </w:p>
    <w:p w14:paraId="6B03BFD2">
      <w:pPr>
        <w:pStyle w:val="164"/>
        <w:numPr>
          <w:ilvl w:val="0"/>
          <w:numId w:val="181"/>
        </w:numPr>
        <w:tabs>
          <w:tab w:val="left" w:pos="210"/>
          <w:tab w:val="left" w:pos="567"/>
        </w:tabs>
        <w:spacing w:line="330" w:lineRule="exact"/>
        <w:ind w:firstLine="630" w:firstLineChars="300"/>
        <w:rPr>
          <w:rFonts w:eastAsiaTheme="minorEastAsia"/>
          <w:szCs w:val="21"/>
        </w:rPr>
      </w:pPr>
      <w:r>
        <w:rPr>
          <w:rFonts w:eastAsiaTheme="minorEastAsia"/>
          <w:szCs w:val="21"/>
        </w:rPr>
        <w:t>交流供电设备的外壳及基础应可靠接地。</w:t>
      </w:r>
    </w:p>
    <w:p w14:paraId="09E2CFF5">
      <w:pPr>
        <w:pStyle w:val="164"/>
        <w:numPr>
          <w:ilvl w:val="0"/>
          <w:numId w:val="181"/>
        </w:numPr>
        <w:tabs>
          <w:tab w:val="left" w:pos="210"/>
          <w:tab w:val="left" w:pos="567"/>
        </w:tabs>
        <w:spacing w:line="330" w:lineRule="exact"/>
        <w:ind w:firstLine="630" w:firstLineChars="300"/>
        <w:rPr>
          <w:rFonts w:eastAsiaTheme="minorEastAsia"/>
          <w:szCs w:val="21"/>
        </w:rPr>
      </w:pPr>
      <w:r>
        <w:rPr>
          <w:rFonts w:eastAsiaTheme="minorEastAsia"/>
          <w:szCs w:val="21"/>
        </w:rPr>
        <w:t>中央控制室一般应根据设计要求设置接地装置。采用专用接地时机房设备采用专用导线将各设备进行连接，各支路导线线头压接好，设备及屏蔽线应压接好保护地线，接地电阻值不应大于4Ω；当采用联合接地时，接地电阻应＜1Ω。</w:t>
      </w:r>
    </w:p>
    <w:p w14:paraId="5D50966F">
      <w:pPr>
        <w:pStyle w:val="164"/>
        <w:spacing w:before="100" w:after="100" w:line="330" w:lineRule="exact"/>
        <w:ind w:firstLine="0" w:firstLineChars="0"/>
        <w:rPr>
          <w:szCs w:val="21"/>
        </w:rPr>
      </w:pPr>
      <w:r>
        <w:rPr>
          <w:szCs w:val="21"/>
        </w:rPr>
        <w:t>17.3.6 单体设备调试应符合下列规定：</w:t>
      </w:r>
    </w:p>
    <w:p w14:paraId="77A81582">
      <w:pPr>
        <w:pStyle w:val="164"/>
        <w:numPr>
          <w:ilvl w:val="0"/>
          <w:numId w:val="182"/>
        </w:numPr>
        <w:spacing w:line="330" w:lineRule="exact"/>
        <w:ind w:left="0" w:firstLine="420"/>
        <w:rPr>
          <w:rFonts w:eastAsiaTheme="minorEastAsia"/>
        </w:rPr>
      </w:pPr>
      <w:r>
        <w:rPr>
          <w:rFonts w:eastAsiaTheme="minorEastAsia"/>
        </w:rPr>
        <w:t>建筑设备监控系统调试程序</w:t>
      </w:r>
      <w:r>
        <w:rPr>
          <w:szCs w:val="21"/>
        </w:rPr>
        <w:t>应符合下列规定：</w:t>
      </w:r>
    </w:p>
    <w:p w14:paraId="064E1FBB">
      <w:pPr>
        <w:pStyle w:val="164"/>
        <w:numPr>
          <w:ilvl w:val="0"/>
          <w:numId w:val="183"/>
        </w:numPr>
        <w:tabs>
          <w:tab w:val="left" w:pos="210"/>
          <w:tab w:val="left" w:pos="567"/>
        </w:tabs>
        <w:spacing w:line="330" w:lineRule="exact"/>
        <w:ind w:firstLine="630" w:firstLineChars="300"/>
        <w:rPr>
          <w:rFonts w:eastAsiaTheme="minorEastAsia"/>
          <w:szCs w:val="21"/>
        </w:rPr>
      </w:pPr>
      <w:r>
        <w:rPr>
          <w:rFonts w:eastAsiaTheme="minorEastAsia"/>
          <w:szCs w:val="21"/>
        </w:rPr>
        <w:t>建筑设备监控系统的全部设备包括现场的各种阀门、执行器、传感器等全部安装完毕，线路敷设和接线全部</w:t>
      </w:r>
      <w:r>
        <w:rPr>
          <w:rFonts w:hint="eastAsia" w:eastAsiaTheme="minorEastAsia"/>
          <w:szCs w:val="21"/>
        </w:rPr>
        <w:t>满足</w:t>
      </w:r>
      <w:r>
        <w:rPr>
          <w:rFonts w:eastAsiaTheme="minorEastAsia"/>
          <w:szCs w:val="21"/>
        </w:rPr>
        <w:t>设计要求。</w:t>
      </w:r>
    </w:p>
    <w:p w14:paraId="7E23F404">
      <w:pPr>
        <w:pStyle w:val="164"/>
        <w:numPr>
          <w:ilvl w:val="0"/>
          <w:numId w:val="183"/>
        </w:numPr>
        <w:tabs>
          <w:tab w:val="left" w:pos="210"/>
          <w:tab w:val="left" w:pos="567"/>
        </w:tabs>
        <w:spacing w:line="330" w:lineRule="exact"/>
        <w:ind w:firstLine="630" w:firstLineChars="300"/>
        <w:rPr>
          <w:rFonts w:eastAsiaTheme="minorEastAsia"/>
          <w:szCs w:val="21"/>
        </w:rPr>
      </w:pPr>
      <w:r>
        <w:rPr>
          <w:rFonts w:eastAsiaTheme="minorEastAsia"/>
          <w:szCs w:val="21"/>
        </w:rPr>
        <w:t>建筑设备监控系统的受控设备及其自身的系统安装、调试完毕、合格；同时其设备或系统的测试数据应满足自身系统的工艺要求，具备相应的测试记录。</w:t>
      </w:r>
    </w:p>
    <w:p w14:paraId="4455284D">
      <w:pPr>
        <w:pStyle w:val="164"/>
        <w:numPr>
          <w:ilvl w:val="0"/>
          <w:numId w:val="183"/>
        </w:numPr>
        <w:tabs>
          <w:tab w:val="left" w:pos="210"/>
          <w:tab w:val="left" w:pos="567"/>
        </w:tabs>
        <w:spacing w:line="330" w:lineRule="exact"/>
        <w:ind w:firstLine="630" w:firstLineChars="300"/>
        <w:rPr>
          <w:rFonts w:eastAsiaTheme="minorEastAsia"/>
          <w:szCs w:val="21"/>
        </w:rPr>
      </w:pPr>
      <w:r>
        <w:rPr>
          <w:rFonts w:eastAsiaTheme="minorEastAsia"/>
          <w:szCs w:val="21"/>
        </w:rPr>
        <w:t>检测建筑设备监控系统设备与各联动系统设备的数据传输满足设计要求。</w:t>
      </w:r>
    </w:p>
    <w:p w14:paraId="11F7ECB7">
      <w:pPr>
        <w:pStyle w:val="164"/>
        <w:numPr>
          <w:ilvl w:val="0"/>
          <w:numId w:val="183"/>
        </w:numPr>
        <w:tabs>
          <w:tab w:val="left" w:pos="210"/>
          <w:tab w:val="left" w:pos="567"/>
        </w:tabs>
        <w:spacing w:line="330" w:lineRule="exact"/>
        <w:ind w:firstLine="630" w:firstLineChars="300"/>
        <w:rPr>
          <w:rFonts w:eastAsiaTheme="minorEastAsia"/>
          <w:szCs w:val="21"/>
        </w:rPr>
      </w:pPr>
      <w:r>
        <w:rPr>
          <w:rFonts w:eastAsiaTheme="minorEastAsia"/>
          <w:szCs w:val="21"/>
        </w:rPr>
        <w:t>确认按设计图纸、产品供应商的技术资料、软件和规定的其他功能和联锁、联动程序控制的要求。</w:t>
      </w:r>
    </w:p>
    <w:p w14:paraId="6F40DAAE">
      <w:pPr>
        <w:pStyle w:val="164"/>
        <w:numPr>
          <w:ilvl w:val="0"/>
          <w:numId w:val="182"/>
        </w:numPr>
        <w:spacing w:line="330" w:lineRule="exact"/>
        <w:ind w:left="0" w:firstLine="420"/>
        <w:rPr>
          <w:rFonts w:eastAsiaTheme="minorEastAsia"/>
        </w:rPr>
      </w:pPr>
      <w:r>
        <w:rPr>
          <w:rFonts w:eastAsiaTheme="minorEastAsia"/>
        </w:rPr>
        <w:t>现场控制器测试</w:t>
      </w:r>
      <w:r>
        <w:rPr>
          <w:szCs w:val="21"/>
        </w:rPr>
        <w:t>应符合下列规定：</w:t>
      </w:r>
    </w:p>
    <w:p w14:paraId="261239E0">
      <w:pPr>
        <w:pStyle w:val="164"/>
        <w:numPr>
          <w:ilvl w:val="0"/>
          <w:numId w:val="184"/>
        </w:numPr>
        <w:tabs>
          <w:tab w:val="left" w:pos="210"/>
          <w:tab w:val="left" w:pos="567"/>
        </w:tabs>
        <w:spacing w:line="330" w:lineRule="exact"/>
        <w:ind w:firstLine="630" w:firstLineChars="300"/>
        <w:rPr>
          <w:rFonts w:eastAsiaTheme="minorEastAsia"/>
          <w:szCs w:val="21"/>
        </w:rPr>
      </w:pPr>
      <w:r>
        <w:rPr>
          <w:rFonts w:eastAsiaTheme="minorEastAsia"/>
          <w:szCs w:val="21"/>
        </w:rPr>
        <w:t>数字量输入测试</w:t>
      </w:r>
      <w:r>
        <w:rPr>
          <w:szCs w:val="21"/>
        </w:rPr>
        <w:t>应符合下列规定：</w:t>
      </w:r>
    </w:p>
    <w:p w14:paraId="2443192C">
      <w:pPr>
        <w:spacing w:line="330" w:lineRule="exact"/>
        <w:ind w:left="0" w:firstLine="420" w:firstLineChars="200"/>
        <w:rPr>
          <w:rFonts w:ascii="Times New Roman" w:hAnsi="Times New Roman"/>
          <w:szCs w:val="21"/>
          <w:shd w:val="clear" w:color="auto" w:fill="FFFFFF"/>
        </w:rPr>
      </w:pPr>
      <w:r>
        <w:rPr>
          <w:rFonts w:hint="eastAsia" w:ascii="Times New Roman" w:hAnsi="Times New Roman"/>
          <w:szCs w:val="21"/>
          <w:shd w:val="clear" w:color="auto" w:fill="FFFFFF"/>
        </w:rPr>
        <w:t>（1）</w:t>
      </w:r>
      <w:r>
        <w:rPr>
          <w:rFonts w:ascii="Times New Roman" w:hAnsi="Times New Roman"/>
          <w:szCs w:val="21"/>
          <w:shd w:val="clear" w:color="auto" w:fill="FFFFFF"/>
        </w:rPr>
        <w:t>信号电平的检查：按设备说明书和设计要求确认干接点输入、电压和电流等信号是否满足要求。</w:t>
      </w:r>
    </w:p>
    <w:p w14:paraId="3D297BCF">
      <w:pPr>
        <w:spacing w:line="330" w:lineRule="exact"/>
        <w:ind w:left="0" w:firstLine="420" w:firstLineChars="200"/>
        <w:rPr>
          <w:rFonts w:ascii="Times New Roman" w:hAnsi="Times New Roman"/>
          <w:szCs w:val="21"/>
          <w:shd w:val="clear" w:color="auto" w:fill="FFFFFF"/>
        </w:rPr>
      </w:pPr>
      <w:r>
        <w:rPr>
          <w:rFonts w:hint="eastAsia" w:ascii="Times New Roman" w:hAnsi="Times New Roman"/>
          <w:szCs w:val="21"/>
          <w:shd w:val="clear" w:color="auto" w:fill="FFFFFF"/>
        </w:rPr>
        <w:t>（2）</w:t>
      </w:r>
      <w:r>
        <w:rPr>
          <w:rFonts w:ascii="Times New Roman" w:hAnsi="Times New Roman"/>
          <w:szCs w:val="21"/>
          <w:shd w:val="clear" w:color="auto" w:fill="FFFFFF"/>
        </w:rPr>
        <w:t>动作试验：按上述不同信号的要求，用程序方式或手动方式测试全部测点，并记录测点值。</w:t>
      </w:r>
    </w:p>
    <w:p w14:paraId="7B7F9155">
      <w:pPr>
        <w:pStyle w:val="164"/>
        <w:numPr>
          <w:ilvl w:val="0"/>
          <w:numId w:val="184"/>
        </w:numPr>
        <w:tabs>
          <w:tab w:val="left" w:pos="210"/>
          <w:tab w:val="left" w:pos="567"/>
        </w:tabs>
        <w:spacing w:line="330" w:lineRule="exact"/>
        <w:ind w:firstLine="630" w:firstLineChars="300"/>
        <w:rPr>
          <w:rFonts w:eastAsiaTheme="minorEastAsia"/>
          <w:szCs w:val="21"/>
        </w:rPr>
      </w:pPr>
      <w:r>
        <w:rPr>
          <w:rFonts w:eastAsiaTheme="minorEastAsia"/>
          <w:szCs w:val="21"/>
        </w:rPr>
        <w:t>数字量输出测试</w:t>
      </w:r>
      <w:r>
        <w:rPr>
          <w:szCs w:val="21"/>
        </w:rPr>
        <w:t>应符合下列规定</w:t>
      </w:r>
      <w:r>
        <w:rPr>
          <w:rFonts w:eastAsiaTheme="minorEastAsia"/>
          <w:szCs w:val="21"/>
        </w:rPr>
        <w:t>：</w:t>
      </w:r>
    </w:p>
    <w:p w14:paraId="67F7619D">
      <w:pPr>
        <w:pStyle w:val="164"/>
        <w:numPr>
          <w:ilvl w:val="0"/>
          <w:numId w:val="185"/>
        </w:numPr>
        <w:autoSpaceDE w:val="0"/>
        <w:autoSpaceDN w:val="0"/>
        <w:adjustRightInd w:val="0"/>
        <w:snapToGrid w:val="0"/>
        <w:spacing w:line="330" w:lineRule="exact"/>
        <w:ind w:left="0" w:firstLine="840" w:firstLineChars="400"/>
        <w:rPr>
          <w:szCs w:val="21"/>
          <w:shd w:val="clear" w:color="auto" w:fill="FFFFFF"/>
        </w:rPr>
      </w:pPr>
      <w:r>
        <w:rPr>
          <w:szCs w:val="21"/>
          <w:shd w:val="clear" w:color="auto" w:fill="FFFFFF"/>
        </w:rPr>
        <w:t>信号电平的检查：按设备说明书和设计要求确认继电器开关量的输出起/停（</w:t>
      </w:r>
      <w:r>
        <w:t>ON／OFF</w:t>
      </w:r>
      <w:r>
        <w:rPr>
          <w:szCs w:val="21"/>
          <w:shd w:val="clear" w:color="auto" w:fill="FFFFFF"/>
        </w:rPr>
        <w:t>）、输出电压或电流开关特性是否满足要求。</w:t>
      </w:r>
    </w:p>
    <w:p w14:paraId="1868A811">
      <w:pPr>
        <w:pStyle w:val="164"/>
        <w:numPr>
          <w:ilvl w:val="0"/>
          <w:numId w:val="185"/>
        </w:numPr>
        <w:autoSpaceDE w:val="0"/>
        <w:autoSpaceDN w:val="0"/>
        <w:adjustRightInd w:val="0"/>
        <w:snapToGrid w:val="0"/>
        <w:spacing w:line="330" w:lineRule="exact"/>
        <w:ind w:left="0" w:firstLine="840" w:firstLineChars="400"/>
        <w:rPr>
          <w:szCs w:val="21"/>
          <w:shd w:val="clear" w:color="auto" w:fill="FFFFFF"/>
        </w:rPr>
      </w:pPr>
      <w:r>
        <w:rPr>
          <w:szCs w:val="21"/>
          <w:shd w:val="clear" w:color="auto" w:fill="FFFFFF"/>
        </w:rPr>
        <w:t>动作试验：用程序方式或手动方式测试全部数字量输出，并记录其测试数值和观察受控设备的电气控制开关工作状态是否正常；如果受控单体受电试运行正常，则可以在受控设备正常受电情况下观察其受控设备运行是否正常。</w:t>
      </w:r>
    </w:p>
    <w:p w14:paraId="02045A76">
      <w:pPr>
        <w:pStyle w:val="164"/>
        <w:numPr>
          <w:ilvl w:val="0"/>
          <w:numId w:val="184"/>
        </w:numPr>
        <w:tabs>
          <w:tab w:val="left" w:pos="210"/>
          <w:tab w:val="left" w:pos="567"/>
        </w:tabs>
        <w:spacing w:line="330" w:lineRule="exact"/>
        <w:ind w:firstLine="630" w:firstLineChars="300"/>
        <w:rPr>
          <w:rFonts w:eastAsiaTheme="minorEastAsia"/>
          <w:szCs w:val="21"/>
        </w:rPr>
      </w:pPr>
      <w:r>
        <w:rPr>
          <w:rFonts w:eastAsiaTheme="minorEastAsia"/>
          <w:szCs w:val="21"/>
        </w:rPr>
        <w:t>模拟量输入测试</w:t>
      </w:r>
      <w:r>
        <w:rPr>
          <w:szCs w:val="21"/>
        </w:rPr>
        <w:t>应符合下列规定</w:t>
      </w:r>
      <w:r>
        <w:rPr>
          <w:rFonts w:eastAsiaTheme="minorEastAsia"/>
          <w:szCs w:val="21"/>
        </w:rPr>
        <w:t>：</w:t>
      </w:r>
    </w:p>
    <w:p w14:paraId="7C0F22E0">
      <w:pPr>
        <w:spacing w:line="330" w:lineRule="exact"/>
        <w:ind w:left="0" w:firstLine="420" w:firstLineChars="200"/>
        <w:rPr>
          <w:rFonts w:ascii="Times New Roman" w:hAnsi="Times New Roman"/>
          <w:szCs w:val="21"/>
          <w:shd w:val="clear" w:color="auto" w:fill="FFFFFF"/>
        </w:rPr>
      </w:pPr>
      <w:r>
        <w:rPr>
          <w:rFonts w:ascii="Times New Roman" w:hAnsi="Times New Roman"/>
          <w:szCs w:val="21"/>
          <w:shd w:val="clear" w:color="auto" w:fill="FFFFFF"/>
        </w:rPr>
        <w:t>按设备说明书和设计要求确认其有源或无源的模拟量输入的类型、量程（容量）、设定值（设计值）是否符合规定。</w:t>
      </w:r>
    </w:p>
    <w:p w14:paraId="56B4D3D5">
      <w:pPr>
        <w:pStyle w:val="164"/>
        <w:numPr>
          <w:ilvl w:val="0"/>
          <w:numId w:val="184"/>
        </w:numPr>
        <w:tabs>
          <w:tab w:val="left" w:pos="210"/>
          <w:tab w:val="left" w:pos="567"/>
        </w:tabs>
        <w:spacing w:line="330" w:lineRule="exact"/>
        <w:ind w:firstLine="630" w:firstLineChars="300"/>
        <w:rPr>
          <w:szCs w:val="21"/>
          <w:shd w:val="clear" w:color="auto" w:fill="FFFFFF"/>
        </w:rPr>
      </w:pPr>
      <w:r>
        <w:rPr>
          <w:rFonts w:eastAsiaTheme="minorEastAsia"/>
          <w:szCs w:val="21"/>
        </w:rPr>
        <w:t>模拟量输出测试</w:t>
      </w:r>
      <w:r>
        <w:rPr>
          <w:szCs w:val="21"/>
        </w:rPr>
        <w:t>应</w:t>
      </w:r>
      <w:r>
        <w:rPr>
          <w:szCs w:val="21"/>
          <w:shd w:val="clear" w:color="auto" w:fill="FFFFFF"/>
        </w:rPr>
        <w:t>按设备使用说明书和设计要求确定其模拟量输出的类型、量程（容量）与设定值（设计值）是否符合。</w:t>
      </w:r>
    </w:p>
    <w:p w14:paraId="2370CE53">
      <w:pPr>
        <w:pStyle w:val="164"/>
        <w:numPr>
          <w:ilvl w:val="0"/>
          <w:numId w:val="184"/>
        </w:numPr>
        <w:tabs>
          <w:tab w:val="left" w:pos="210"/>
          <w:tab w:val="left" w:pos="567"/>
        </w:tabs>
        <w:spacing w:line="330" w:lineRule="exact"/>
        <w:ind w:firstLine="630" w:firstLineChars="300"/>
        <w:rPr>
          <w:szCs w:val="21"/>
          <w:shd w:val="clear" w:color="auto" w:fill="FFFFFF"/>
        </w:rPr>
      </w:pPr>
      <w:r>
        <w:rPr>
          <w:rFonts w:eastAsiaTheme="minorEastAsia"/>
          <w:szCs w:val="21"/>
        </w:rPr>
        <w:t>现场控制器功能测试</w:t>
      </w:r>
      <w:r>
        <w:rPr>
          <w:szCs w:val="21"/>
        </w:rPr>
        <w:t>应</w:t>
      </w:r>
      <w:r>
        <w:rPr>
          <w:szCs w:val="21"/>
          <w:shd w:val="clear" w:color="auto" w:fill="FFFFFF"/>
        </w:rPr>
        <w:t>按产品设备说明书和设计要求进行测试。通常进行如下功能测试：运行可靠性测试、现场控制器软件主要功能及实时性测试。</w:t>
      </w:r>
    </w:p>
    <w:p w14:paraId="39A806D1">
      <w:pPr>
        <w:pStyle w:val="164"/>
        <w:numPr>
          <w:ilvl w:val="0"/>
          <w:numId w:val="182"/>
        </w:numPr>
        <w:spacing w:line="330" w:lineRule="exact"/>
        <w:ind w:left="0" w:firstLine="420"/>
        <w:rPr>
          <w:rFonts w:eastAsiaTheme="minorEastAsia"/>
          <w:szCs w:val="21"/>
        </w:rPr>
      </w:pPr>
      <w:r>
        <w:rPr>
          <w:rFonts w:eastAsiaTheme="minorEastAsia"/>
        </w:rPr>
        <w:t>新风机单体设备调试</w:t>
      </w:r>
      <w:r>
        <w:rPr>
          <w:szCs w:val="21"/>
        </w:rPr>
        <w:t>应符合下列规定：</w:t>
      </w:r>
    </w:p>
    <w:p w14:paraId="7E1A5065">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检查新风机控制柜电气元器件有无损坏，内部与外部接线是否正确，禁止强电电源串入现场控制器，如需24VAC，应确保接线正确，避免短路故障。</w:t>
      </w:r>
    </w:p>
    <w:p w14:paraId="528B360A">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按监控点表要求，检查装在新风机上的温、湿度传感器、电动阀、风阀、压差开关等设备的位置及接线是否正确，确保输入、输出信号的类型、量程与设计一致。</w:t>
      </w:r>
    </w:p>
    <w:p w14:paraId="41A50782">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在非受控状态下，确认手动位置风机运行正常。</w:t>
      </w:r>
    </w:p>
    <w:p w14:paraId="731DD2F3">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确认现场控制器和</w:t>
      </w:r>
      <w:r>
        <w:rPr>
          <w:szCs w:val="22"/>
        </w:rPr>
        <w:t>I／O</w:t>
      </w:r>
      <w:r>
        <w:rPr>
          <w:rFonts w:eastAsiaTheme="minorEastAsia"/>
          <w:szCs w:val="21"/>
          <w:shd w:val="clear" w:color="auto" w:fill="FFFFFF"/>
        </w:rPr>
        <w:t>模块的地址码设置是否正确。</w:t>
      </w:r>
    </w:p>
    <w:p w14:paraId="5A32B47A">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确认现场控制器送电并接通主电源开关后，观察现场控制器和各元件运行状态是否正常。</w:t>
      </w:r>
    </w:p>
    <w:p w14:paraId="6642A46E">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用笔记本电脑或手提检测器检测所有模拟量输入点送风温度和风压的量值，并核对其数值是否正确。记录所有开关量输入点（风压开关和防冻开关等）工作状态是否正常。强置所有的开关量输出点开与关，确认相关的风机、风门、阀门等工作是否正常。强置所有模拟量输出点输出信号，确认相关的电动阀（冷热水调节阀）的工作是否正常及其位置调节是否跟随变化。并打印记录结果。</w:t>
      </w:r>
    </w:p>
    <w:p w14:paraId="25AAF052">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启动新风机，新风阀门应联锁打开，送风温度调节控制应投入运行。</w:t>
      </w:r>
    </w:p>
    <w:p w14:paraId="29D243E5">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模拟送风温度大于送风温度设定值，热水调节阀逐渐减小开度直至全部关闭（冬天工况）；或者冷水阀逐渐加大，开度直至全部打开（夏天工况）。模拟送风温度小于送风温度设定值时，确认其冷热水阀运行工况与上述完全相反。</w:t>
      </w:r>
    </w:p>
    <w:p w14:paraId="02837453">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模拟送风湿度小于送风湿度设定值时加湿器运行，进行湿度调节。</w:t>
      </w:r>
    </w:p>
    <w:p w14:paraId="08123640">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新风机停止运转，则新风门以及冷、热水调节阀门、加湿器等应回到全关闭位置。</w:t>
      </w:r>
    </w:p>
    <w:p w14:paraId="3DB7DB2B">
      <w:pPr>
        <w:pStyle w:val="164"/>
        <w:numPr>
          <w:ilvl w:val="0"/>
          <w:numId w:val="186"/>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单体调试完成时，应按工艺和设计要求在系统中设定其送风温度、湿度和风压的初始状态。</w:t>
      </w:r>
    </w:p>
    <w:p w14:paraId="515FC7A5">
      <w:pPr>
        <w:pStyle w:val="164"/>
        <w:numPr>
          <w:ilvl w:val="0"/>
          <w:numId w:val="182"/>
        </w:numPr>
        <w:spacing w:line="330" w:lineRule="exact"/>
        <w:ind w:left="0" w:firstLine="420"/>
        <w:rPr>
          <w:rFonts w:eastAsiaTheme="minorEastAsia"/>
        </w:rPr>
      </w:pPr>
      <w:r>
        <w:rPr>
          <w:rFonts w:eastAsiaTheme="minorEastAsia"/>
        </w:rPr>
        <w:t>空气处理机单体设备调试</w:t>
      </w:r>
      <w:r>
        <w:rPr>
          <w:szCs w:val="21"/>
        </w:rPr>
        <w:t>应符合下列规定：</w:t>
      </w:r>
    </w:p>
    <w:p w14:paraId="627AD6FC">
      <w:pPr>
        <w:pStyle w:val="164"/>
        <w:numPr>
          <w:ilvl w:val="0"/>
          <w:numId w:val="187"/>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启动空调机时，新风门、回风门、排风门等应联动打开，进入工作状态。</w:t>
      </w:r>
    </w:p>
    <w:p w14:paraId="1D967DC8">
      <w:pPr>
        <w:pStyle w:val="164"/>
        <w:numPr>
          <w:ilvl w:val="0"/>
          <w:numId w:val="187"/>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空调机启动后，回风温度应随着回风温度设定值改变而变化，在经过一定时间后应能稳定在回风温度设定值范围之内。</w:t>
      </w:r>
    </w:p>
    <w:p w14:paraId="31641B47">
      <w:pPr>
        <w:pStyle w:val="164"/>
        <w:numPr>
          <w:ilvl w:val="0"/>
          <w:numId w:val="187"/>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空调机停止转动时，新风机风门、排风门、回风门、冷热水调节阀、加湿器等应回到全关闭位置。</w:t>
      </w:r>
    </w:p>
    <w:p w14:paraId="6877406B">
      <w:pPr>
        <w:pStyle w:val="164"/>
        <w:numPr>
          <w:ilvl w:val="0"/>
          <w:numId w:val="187"/>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变风量空调机应按控制功能变频或分档变速的要求，确认空气处理机的风量、风压随风机的速度也相应变化。应在分档变速时测量其相应的风压与风量。</w:t>
      </w:r>
    </w:p>
    <w:p w14:paraId="41EF299B">
      <w:pPr>
        <w:pStyle w:val="164"/>
        <w:numPr>
          <w:ilvl w:val="0"/>
          <w:numId w:val="187"/>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模拟控制新风门、排风门、回风门的开度限位应设置满足空调风门开度要求。</w:t>
      </w:r>
    </w:p>
    <w:p w14:paraId="0F1BE5E5">
      <w:pPr>
        <w:pStyle w:val="164"/>
        <w:adjustRightInd w:val="0"/>
        <w:spacing w:line="330" w:lineRule="exact"/>
        <w:ind w:firstLine="0" w:firstLineChars="0"/>
        <w:rPr>
          <w:szCs w:val="21"/>
          <w:shd w:val="clear" w:color="auto" w:fill="FFFFFF"/>
        </w:rPr>
      </w:pPr>
      <w:r>
        <w:rPr>
          <w:rFonts w:eastAsiaTheme="minorEastAsia"/>
          <w:szCs w:val="21"/>
          <w:shd w:val="clear" w:color="auto" w:fill="FFFFFF"/>
        </w:rPr>
        <w:t>模拟控制新风门、排风门、回风门的开度限位应设置满足空调风门开度要求。</w:t>
      </w:r>
    </w:p>
    <w:p w14:paraId="4665EBCF">
      <w:pPr>
        <w:pStyle w:val="164"/>
        <w:numPr>
          <w:ilvl w:val="0"/>
          <w:numId w:val="182"/>
        </w:numPr>
        <w:spacing w:line="330" w:lineRule="exact"/>
        <w:ind w:left="0" w:firstLine="420"/>
        <w:rPr>
          <w:rFonts w:eastAsiaTheme="minorEastAsia"/>
          <w:shd w:val="clear" w:color="auto" w:fill="FFFFFF"/>
        </w:rPr>
      </w:pPr>
      <w:r>
        <w:rPr>
          <w:rFonts w:hint="eastAsia" w:eastAsiaTheme="minorEastAsia"/>
        </w:rPr>
        <w:t>调试空调冷热源设备时应</w:t>
      </w:r>
      <w:r>
        <w:rPr>
          <w:rFonts w:hint="eastAsia" w:eastAsiaTheme="minorEastAsia"/>
          <w:shd w:val="clear" w:color="auto" w:fill="FFFFFF"/>
        </w:rPr>
        <w:t>确认主机、冷热水泵、冷却水泵、冷却塔、风机、电动蝶阀等相关设备能正常单独运行，启动或停止的冷热机组的台数能满足负荷需要，故障时有备用的机组投入运行。</w:t>
      </w:r>
    </w:p>
    <w:p w14:paraId="4F14453B">
      <w:pPr>
        <w:pStyle w:val="164"/>
        <w:numPr>
          <w:ilvl w:val="0"/>
          <w:numId w:val="182"/>
        </w:numPr>
        <w:spacing w:line="330" w:lineRule="exact"/>
        <w:ind w:left="0" w:firstLine="420"/>
        <w:rPr>
          <w:rFonts w:eastAsiaTheme="minorEastAsia"/>
        </w:rPr>
      </w:pPr>
      <w:r>
        <w:rPr>
          <w:rFonts w:eastAsiaTheme="minorEastAsia"/>
        </w:rPr>
        <w:t>变风量系统未端装置单体调试</w:t>
      </w:r>
      <w:r>
        <w:rPr>
          <w:szCs w:val="21"/>
        </w:rPr>
        <w:t>应符合下列规定：</w:t>
      </w:r>
    </w:p>
    <w:p w14:paraId="57B0CAE3">
      <w:pPr>
        <w:pStyle w:val="164"/>
        <w:numPr>
          <w:ilvl w:val="0"/>
          <w:numId w:val="188"/>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按设计图纸要求检查变风量系统未端、变风量系统控制器、传感器、阀门、风门等设备的安装就位和变风量系统控制器电源、风门和阀门的电源的正确。</w:t>
      </w:r>
    </w:p>
    <w:p w14:paraId="34645A3B">
      <w:pPr>
        <w:pStyle w:val="164"/>
        <w:numPr>
          <w:ilvl w:val="0"/>
          <w:numId w:val="188"/>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用变风量系统控制器软件检查传感器、执行器工作是否正常。</w:t>
      </w:r>
    </w:p>
    <w:p w14:paraId="08E65544">
      <w:pPr>
        <w:pStyle w:val="164"/>
        <w:numPr>
          <w:ilvl w:val="0"/>
          <w:numId w:val="188"/>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用变风量系统控制软件检查风机运行是否正常。</w:t>
      </w:r>
    </w:p>
    <w:p w14:paraId="0761BE4A">
      <w:pPr>
        <w:pStyle w:val="164"/>
        <w:numPr>
          <w:ilvl w:val="0"/>
          <w:numId w:val="188"/>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测定并记录变风量系统未端一次风最大流量、最小流量及二次风流量是否满足设计要求。</w:t>
      </w:r>
    </w:p>
    <w:p w14:paraId="4BCDD348">
      <w:pPr>
        <w:pStyle w:val="164"/>
        <w:numPr>
          <w:ilvl w:val="0"/>
          <w:numId w:val="188"/>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确认变风量系统控制器与上位机通讯正常。</w:t>
      </w:r>
    </w:p>
    <w:p w14:paraId="322F460D">
      <w:pPr>
        <w:pStyle w:val="164"/>
        <w:numPr>
          <w:ilvl w:val="0"/>
          <w:numId w:val="182"/>
        </w:numPr>
        <w:spacing w:line="330" w:lineRule="exact"/>
        <w:ind w:left="0" w:firstLine="420"/>
        <w:rPr>
          <w:rFonts w:eastAsiaTheme="minorEastAsia"/>
        </w:rPr>
      </w:pPr>
      <w:r>
        <w:rPr>
          <w:rFonts w:eastAsiaTheme="minorEastAsia"/>
        </w:rPr>
        <w:t>风机盘管单体调试</w:t>
      </w:r>
      <w:r>
        <w:rPr>
          <w:szCs w:val="21"/>
        </w:rPr>
        <w:t>应符合下列规定：</w:t>
      </w:r>
    </w:p>
    <w:p w14:paraId="5A9F32D8">
      <w:pPr>
        <w:pStyle w:val="164"/>
        <w:numPr>
          <w:ilvl w:val="0"/>
          <w:numId w:val="189"/>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检查电动阀门和温度控制器的安装和接线是否正确。</w:t>
      </w:r>
    </w:p>
    <w:p w14:paraId="286E654F">
      <w:pPr>
        <w:pStyle w:val="164"/>
        <w:numPr>
          <w:ilvl w:val="0"/>
          <w:numId w:val="189"/>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确认风机和管路已处于正常运行状态，确认风机和阀门工作是否正常。</w:t>
      </w:r>
    </w:p>
    <w:p w14:paraId="2E313D33">
      <w:pPr>
        <w:pStyle w:val="164"/>
        <w:numPr>
          <w:ilvl w:val="0"/>
          <w:numId w:val="182"/>
        </w:numPr>
        <w:spacing w:line="330" w:lineRule="exact"/>
        <w:ind w:left="0" w:firstLine="420"/>
        <w:rPr>
          <w:rFonts w:eastAsiaTheme="minorEastAsia"/>
        </w:rPr>
      </w:pPr>
      <w:r>
        <w:rPr>
          <w:rFonts w:eastAsiaTheme="minorEastAsia"/>
        </w:rPr>
        <w:t>空调水二次泵及压差旁通调试</w:t>
      </w:r>
      <w:r>
        <w:rPr>
          <w:szCs w:val="21"/>
        </w:rPr>
        <w:t>应符合下列规定：</w:t>
      </w:r>
    </w:p>
    <w:p w14:paraId="32059B87">
      <w:pPr>
        <w:pStyle w:val="164"/>
        <w:numPr>
          <w:ilvl w:val="0"/>
          <w:numId w:val="190"/>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按照原理图和技术说明的内容，进行二次泵压差旁通控制的调试，并观察压差测量值是否基本稳定在设定值范围之内。</w:t>
      </w:r>
    </w:p>
    <w:p w14:paraId="1C2C6742">
      <w:pPr>
        <w:pStyle w:val="164"/>
        <w:numPr>
          <w:ilvl w:val="0"/>
          <w:numId w:val="190"/>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按照原理图和技术说明的内容，检验二次泵的台数控制程序，是否能按预定的要</w:t>
      </w:r>
      <w:r>
        <w:rPr>
          <w:szCs w:val="21"/>
          <w:shd w:val="clear" w:color="auto" w:fill="FFFFFF"/>
        </w:rPr>
        <w:t>求运行。压</w:t>
      </w:r>
      <w:r>
        <w:rPr>
          <w:rFonts w:eastAsiaTheme="minorEastAsia"/>
          <w:szCs w:val="21"/>
          <w:shd w:val="clear" w:color="auto" w:fill="FFFFFF"/>
        </w:rPr>
        <w:t>差测量值应基本稳定在设定范围之内。</w:t>
      </w:r>
    </w:p>
    <w:p w14:paraId="6E8200F4">
      <w:pPr>
        <w:pStyle w:val="164"/>
        <w:numPr>
          <w:ilvl w:val="0"/>
          <w:numId w:val="190"/>
        </w:numPr>
        <w:tabs>
          <w:tab w:val="left" w:pos="210"/>
          <w:tab w:val="left" w:pos="567"/>
        </w:tabs>
        <w:spacing w:line="330" w:lineRule="exact"/>
        <w:ind w:firstLine="630" w:firstLineChars="300"/>
        <w:rPr>
          <w:rFonts w:eastAsiaTheme="minorEastAsia"/>
          <w:szCs w:val="21"/>
          <w:shd w:val="clear" w:color="auto" w:fill="FFFFFF"/>
        </w:rPr>
      </w:pPr>
      <w:r>
        <w:rPr>
          <w:rFonts w:eastAsiaTheme="minorEastAsia"/>
          <w:szCs w:val="21"/>
          <w:shd w:val="clear" w:color="auto" w:fill="FFFFFF"/>
        </w:rPr>
        <w:t>每当有一次机组在运行，二次泵台数控制应同时投入运行，只要有二次泵在运行，压差旁通控制应同时工作。</w:t>
      </w:r>
    </w:p>
    <w:p w14:paraId="0C6B7067">
      <w:pPr>
        <w:pStyle w:val="164"/>
        <w:numPr>
          <w:ilvl w:val="0"/>
          <w:numId w:val="182"/>
        </w:numPr>
        <w:spacing w:line="330" w:lineRule="exact"/>
        <w:ind w:left="0" w:firstLine="420"/>
        <w:rPr>
          <w:rFonts w:eastAsiaTheme="minorEastAsia"/>
        </w:rPr>
      </w:pPr>
      <w:r>
        <w:rPr>
          <w:rFonts w:eastAsiaTheme="minorEastAsia"/>
        </w:rPr>
        <w:t>给排水系统单体设备的调试</w:t>
      </w:r>
      <w:r>
        <w:rPr>
          <w:szCs w:val="21"/>
        </w:rPr>
        <w:t>应符合下列规定：</w:t>
      </w:r>
    </w:p>
    <w:p w14:paraId="10C3D84B">
      <w:pPr>
        <w:pStyle w:val="164"/>
        <w:numPr>
          <w:ilvl w:val="0"/>
          <w:numId w:val="191"/>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检查各类水泵的电气控制柜与现场控制器之间的接线，强电</w:t>
      </w:r>
      <w:r>
        <w:rPr>
          <w:rFonts w:hint="eastAsia" w:eastAsiaTheme="minorEastAsia"/>
          <w:szCs w:val="21"/>
          <w:shd w:val="clear" w:color="auto" w:fill="FFFFFF"/>
        </w:rPr>
        <w:t>不应</w:t>
      </w:r>
      <w:r>
        <w:rPr>
          <w:rFonts w:eastAsiaTheme="minorEastAsia"/>
          <w:szCs w:val="21"/>
          <w:shd w:val="clear" w:color="auto" w:fill="FFFFFF"/>
        </w:rPr>
        <w:t>串入现场控制器。</w:t>
      </w:r>
    </w:p>
    <w:p w14:paraId="444D638D">
      <w:pPr>
        <w:pStyle w:val="164"/>
        <w:numPr>
          <w:ilvl w:val="0"/>
          <w:numId w:val="191"/>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按监控点表的要求检查装于各类水箱、水池的水位传感器，以及温度传感器、水量传感器等设备的位置，接线是否正确。</w:t>
      </w:r>
    </w:p>
    <w:p w14:paraId="67F0FBCD">
      <w:pPr>
        <w:pStyle w:val="164"/>
        <w:numPr>
          <w:ilvl w:val="0"/>
          <w:numId w:val="191"/>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确认各类水泵等受控设备，在手动控制状态下，其设备运行正常。</w:t>
      </w:r>
    </w:p>
    <w:p w14:paraId="22F8D0AD">
      <w:pPr>
        <w:pStyle w:val="164"/>
        <w:numPr>
          <w:ilvl w:val="0"/>
          <w:numId w:val="191"/>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在现场控制器侧检测该设备AO、AI、DO、DI点，确认其满足监控点和联动连锁的要求。</w:t>
      </w:r>
    </w:p>
    <w:p w14:paraId="3E6A3139">
      <w:pPr>
        <w:pStyle w:val="164"/>
        <w:numPr>
          <w:ilvl w:val="0"/>
          <w:numId w:val="182"/>
        </w:numPr>
        <w:spacing w:line="330" w:lineRule="exact"/>
        <w:ind w:left="0" w:firstLine="420"/>
        <w:rPr>
          <w:rFonts w:eastAsiaTheme="minorEastAsia"/>
        </w:rPr>
      </w:pPr>
      <w:r>
        <w:rPr>
          <w:rFonts w:hint="eastAsia" w:eastAsiaTheme="minorEastAsia"/>
        </w:rPr>
        <w:t xml:space="preserve"> </w:t>
      </w:r>
      <w:r>
        <w:rPr>
          <w:rFonts w:eastAsiaTheme="minorEastAsia"/>
        </w:rPr>
        <w:t>变配电、照明系统单体设备调试</w:t>
      </w:r>
      <w:r>
        <w:rPr>
          <w:szCs w:val="21"/>
        </w:rPr>
        <w:t>应符合下列规定：</w:t>
      </w:r>
    </w:p>
    <w:p w14:paraId="0AEF3047">
      <w:pPr>
        <w:pStyle w:val="164"/>
        <w:numPr>
          <w:ilvl w:val="0"/>
          <w:numId w:val="192"/>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按图纸和变送器接线要求检查变送器与现场控制器、配电箱、柜的接线是否正确，量程是否匹配，检查通讯接口是否满足设计要求。</w:t>
      </w:r>
    </w:p>
    <w:p w14:paraId="151BBBBC">
      <w:pPr>
        <w:pStyle w:val="164"/>
        <w:numPr>
          <w:ilvl w:val="0"/>
          <w:numId w:val="192"/>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根据图纸和设备监控表的要求对各监控点进行测试。</w:t>
      </w:r>
    </w:p>
    <w:p w14:paraId="63FDC7A7">
      <w:pPr>
        <w:pStyle w:val="164"/>
        <w:numPr>
          <w:ilvl w:val="0"/>
          <w:numId w:val="192"/>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按照明系统设计和监控要求检查控制顺序、时间和分区方式是否正确。</w:t>
      </w:r>
    </w:p>
    <w:p w14:paraId="19E13FE4">
      <w:pPr>
        <w:pStyle w:val="164"/>
        <w:numPr>
          <w:ilvl w:val="0"/>
          <w:numId w:val="192"/>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检查电量计量是否满足设计要求。</w:t>
      </w:r>
    </w:p>
    <w:p w14:paraId="715CC8B8">
      <w:pPr>
        <w:pStyle w:val="164"/>
        <w:numPr>
          <w:ilvl w:val="0"/>
          <w:numId w:val="192"/>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检查柴油发电机组及相应的控制箱、柜的监控是否正常。</w:t>
      </w:r>
    </w:p>
    <w:p w14:paraId="0F8D3235">
      <w:pPr>
        <w:pStyle w:val="164"/>
        <w:numPr>
          <w:ilvl w:val="0"/>
          <w:numId w:val="182"/>
        </w:numPr>
        <w:spacing w:line="330" w:lineRule="exact"/>
        <w:ind w:left="0" w:firstLine="420"/>
        <w:rPr>
          <w:rFonts w:eastAsiaTheme="minorEastAsia"/>
        </w:rPr>
      </w:pPr>
      <w:r>
        <w:rPr>
          <w:rFonts w:eastAsiaTheme="minorEastAsia"/>
        </w:rPr>
        <w:t>电梯监控系统的设备调试</w:t>
      </w:r>
      <w:r>
        <w:rPr>
          <w:szCs w:val="21"/>
        </w:rPr>
        <w:t>应符合下列规定：</w:t>
      </w:r>
    </w:p>
    <w:p w14:paraId="36CBDC5E">
      <w:pPr>
        <w:pStyle w:val="164"/>
        <w:numPr>
          <w:ilvl w:val="0"/>
          <w:numId w:val="193"/>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检查电梯监控系统的接线和通讯接口是否满足要求。</w:t>
      </w:r>
    </w:p>
    <w:p w14:paraId="45D1D611">
      <w:pPr>
        <w:pStyle w:val="164"/>
        <w:numPr>
          <w:ilvl w:val="0"/>
          <w:numId w:val="193"/>
        </w:numPr>
        <w:tabs>
          <w:tab w:val="left" w:pos="210"/>
          <w:tab w:val="left" w:pos="567"/>
        </w:tabs>
        <w:spacing w:line="330" w:lineRule="exact"/>
        <w:ind w:firstLine="630" w:firstLineChars="300"/>
        <w:rPr>
          <w:rFonts w:eastAsiaTheme="minorEastAsia"/>
          <w:szCs w:val="21"/>
          <w:shd w:val="clear" w:color="auto" w:fill="FFFFFF"/>
        </w:rPr>
      </w:pPr>
      <w:r>
        <w:rPr>
          <w:rFonts w:hint="eastAsia" w:eastAsiaTheme="minorEastAsia"/>
          <w:szCs w:val="21"/>
        </w:rPr>
        <w:t>应</w:t>
      </w:r>
      <w:r>
        <w:rPr>
          <w:rFonts w:eastAsiaTheme="minorEastAsia"/>
          <w:szCs w:val="21"/>
          <w:shd w:val="clear" w:color="auto" w:fill="FFFFFF"/>
        </w:rPr>
        <w:t>检查电梯监控系统的监测点，确认其满足设计图纸、监控点表和联动的要求。</w:t>
      </w:r>
    </w:p>
    <w:p w14:paraId="1E0E34CD">
      <w:pPr>
        <w:pStyle w:val="164"/>
        <w:spacing w:before="100" w:after="100" w:line="330" w:lineRule="exact"/>
        <w:ind w:firstLine="0" w:firstLineChars="0"/>
        <w:rPr>
          <w:szCs w:val="21"/>
        </w:rPr>
      </w:pPr>
      <w:r>
        <w:rPr>
          <w:szCs w:val="21"/>
        </w:rPr>
        <w:t>17.3.7 系统联调应符合下列规定：</w:t>
      </w:r>
    </w:p>
    <w:p w14:paraId="220C6228">
      <w:pPr>
        <w:pStyle w:val="164"/>
        <w:numPr>
          <w:ilvl w:val="0"/>
          <w:numId w:val="194"/>
        </w:numPr>
        <w:spacing w:line="330" w:lineRule="exact"/>
        <w:ind w:left="0" w:firstLine="420"/>
        <w:rPr>
          <w:rFonts w:eastAsiaTheme="minorEastAsia"/>
        </w:rPr>
      </w:pPr>
      <w:r>
        <w:rPr>
          <w:rFonts w:hint="eastAsia" w:eastAsiaTheme="minorEastAsia"/>
        </w:rPr>
        <w:t>应进行</w:t>
      </w:r>
      <w:r>
        <w:rPr>
          <w:rFonts w:eastAsiaTheme="minorEastAsia"/>
        </w:rPr>
        <w:t>控制中心设备的接线检查。按系统设计图纸要求，检查主机与网络器、网关设备、现场控制器、系统外部设备（包括电源UPS、打印设备）、通讯接口（包括与其他子系统）之间的连接及传输线型号规格是否正确。通讯接口的通讯协议、数据传输格式、速率等是否满足设计要求。</w:t>
      </w:r>
    </w:p>
    <w:p w14:paraId="501E6F86">
      <w:pPr>
        <w:pStyle w:val="164"/>
        <w:numPr>
          <w:ilvl w:val="0"/>
          <w:numId w:val="194"/>
        </w:numPr>
        <w:spacing w:line="330" w:lineRule="exact"/>
        <w:ind w:left="0" w:firstLine="420"/>
        <w:rPr>
          <w:rFonts w:eastAsiaTheme="minorEastAsia"/>
        </w:rPr>
      </w:pPr>
      <w:r>
        <w:rPr>
          <w:rFonts w:hint="eastAsia" w:eastAsiaTheme="minorEastAsia"/>
        </w:rPr>
        <w:t>应进行</w:t>
      </w:r>
      <w:r>
        <w:rPr>
          <w:rFonts w:eastAsiaTheme="minorEastAsia"/>
        </w:rPr>
        <w:t>系统通讯检查。主机及其相应设备通电后，启动程序检查主机与本系统其他设备通讯是否正常，确认系统内设备无故障。</w:t>
      </w:r>
    </w:p>
    <w:p w14:paraId="3AA93D19">
      <w:pPr>
        <w:pStyle w:val="164"/>
        <w:numPr>
          <w:ilvl w:val="0"/>
          <w:numId w:val="194"/>
        </w:numPr>
        <w:spacing w:line="330" w:lineRule="exact"/>
        <w:ind w:left="0" w:firstLine="420"/>
        <w:rPr>
          <w:rFonts w:eastAsiaTheme="minorEastAsia"/>
        </w:rPr>
      </w:pPr>
      <w:r>
        <w:rPr>
          <w:rFonts w:hint="eastAsia" w:eastAsiaTheme="minorEastAsia"/>
          <w:szCs w:val="21"/>
        </w:rPr>
        <w:t>应</w:t>
      </w:r>
      <w:r>
        <w:rPr>
          <w:rFonts w:eastAsiaTheme="minorEastAsia"/>
        </w:rPr>
        <w:t>对整个楼控系统监控性能和联动功能进行测试，要求满足设计图纸及系统监控点表的要求。</w:t>
      </w:r>
    </w:p>
    <w:p w14:paraId="0999C49F">
      <w:pPr>
        <w:pStyle w:val="3"/>
        <w:spacing w:before="240" w:after="120" w:afterLines="50" w:line="330" w:lineRule="exact"/>
        <w:rPr>
          <w:rFonts w:eastAsia="黑体"/>
          <w:b w:val="0"/>
          <w:bCs w:val="0"/>
          <w:sz w:val="21"/>
          <w:szCs w:val="21"/>
          <w:lang w:val="en-US"/>
        </w:rPr>
      </w:pPr>
      <w:bookmarkStart w:id="160" w:name="_Toc56517693"/>
      <w:bookmarkStart w:id="161" w:name="_Toc171955160"/>
      <w:bookmarkStart w:id="162" w:name="_Toc45092835"/>
      <w:bookmarkStart w:id="163" w:name="_Toc44618462"/>
      <w:bookmarkStart w:id="164" w:name="_Toc44618562"/>
      <w:bookmarkStart w:id="165" w:name="_Toc182487989"/>
      <w:r>
        <w:rPr>
          <w:rFonts w:eastAsia="黑体"/>
          <w:b w:val="0"/>
          <w:bCs w:val="0"/>
          <w:sz w:val="21"/>
          <w:szCs w:val="21"/>
          <w:lang w:val="en-US"/>
        </w:rPr>
        <w:t>17.4 质量记录</w:t>
      </w:r>
      <w:bookmarkEnd w:id="160"/>
      <w:bookmarkEnd w:id="161"/>
      <w:bookmarkEnd w:id="162"/>
      <w:bookmarkEnd w:id="163"/>
      <w:bookmarkEnd w:id="164"/>
      <w:bookmarkEnd w:id="165"/>
    </w:p>
    <w:p w14:paraId="6B18C7C0">
      <w:pPr>
        <w:ind w:left="105" w:hanging="105"/>
        <w:rPr>
          <w:rFonts w:ascii="Times New Roman" w:hAnsi="Times New Roman"/>
        </w:rPr>
      </w:pPr>
      <w:r>
        <w:rPr>
          <w:rFonts w:ascii="Times New Roman" w:hAnsi="Times New Roman"/>
        </w:rPr>
        <w:t>17.4.1 质量记录应包含下列内容：</w:t>
      </w:r>
    </w:p>
    <w:p w14:paraId="30B3EF3C">
      <w:pPr>
        <w:pStyle w:val="164"/>
        <w:numPr>
          <w:ilvl w:val="0"/>
          <w:numId w:val="195"/>
        </w:numPr>
        <w:spacing w:line="330" w:lineRule="exact"/>
        <w:ind w:left="0" w:firstLine="420"/>
        <w:rPr>
          <w:rFonts w:eastAsiaTheme="minorEastAsia"/>
        </w:rPr>
      </w:pPr>
      <w:r>
        <w:rPr>
          <w:rFonts w:eastAsiaTheme="minorEastAsia"/>
        </w:rPr>
        <w:t>材料及设备的出厂合格证、生产许可证、安装技术文件、质量检验报。</w:t>
      </w:r>
    </w:p>
    <w:p w14:paraId="01EDAC97">
      <w:pPr>
        <w:pStyle w:val="164"/>
        <w:numPr>
          <w:ilvl w:val="0"/>
          <w:numId w:val="195"/>
        </w:numPr>
        <w:spacing w:line="330" w:lineRule="exact"/>
        <w:ind w:left="0" w:firstLine="420"/>
        <w:rPr>
          <w:rFonts w:eastAsiaTheme="minorEastAsia"/>
        </w:rPr>
      </w:pPr>
      <w:r>
        <w:rPr>
          <w:rFonts w:eastAsiaTheme="minorEastAsia"/>
        </w:rPr>
        <w:t>材料、构配件进场检验记录。</w:t>
      </w:r>
    </w:p>
    <w:p w14:paraId="1602BD87">
      <w:pPr>
        <w:pStyle w:val="164"/>
        <w:numPr>
          <w:ilvl w:val="0"/>
          <w:numId w:val="195"/>
        </w:numPr>
        <w:spacing w:line="330" w:lineRule="exact"/>
        <w:ind w:left="0" w:firstLine="420"/>
        <w:rPr>
          <w:rFonts w:eastAsiaTheme="minorEastAsia"/>
        </w:rPr>
      </w:pPr>
      <w:r>
        <w:rPr>
          <w:rFonts w:eastAsiaTheme="minorEastAsia"/>
        </w:rPr>
        <w:t xml:space="preserve">隐蔽工程检验记录。 </w:t>
      </w:r>
    </w:p>
    <w:p w14:paraId="022D9F05">
      <w:pPr>
        <w:pStyle w:val="164"/>
        <w:numPr>
          <w:ilvl w:val="0"/>
          <w:numId w:val="195"/>
        </w:numPr>
        <w:spacing w:line="330" w:lineRule="exact"/>
        <w:ind w:left="0" w:firstLine="420"/>
        <w:rPr>
          <w:rFonts w:eastAsiaTheme="minorEastAsia"/>
        </w:rPr>
      </w:pPr>
      <w:r>
        <w:rPr>
          <w:rFonts w:eastAsiaTheme="minorEastAsia"/>
        </w:rPr>
        <w:t>工程安装质量及观感质量检查记录。</w:t>
      </w:r>
    </w:p>
    <w:p w14:paraId="2B3A250F">
      <w:pPr>
        <w:pStyle w:val="164"/>
        <w:numPr>
          <w:ilvl w:val="0"/>
          <w:numId w:val="195"/>
        </w:numPr>
        <w:spacing w:line="330" w:lineRule="exact"/>
        <w:ind w:left="0" w:firstLine="420"/>
        <w:rPr>
          <w:rFonts w:eastAsiaTheme="minorEastAsia"/>
        </w:rPr>
      </w:pPr>
      <w:r>
        <w:rPr>
          <w:rFonts w:eastAsiaTheme="minorEastAsia"/>
        </w:rPr>
        <w:t>系统调试及试运行记录。</w:t>
      </w:r>
    </w:p>
    <w:p w14:paraId="70AC8AAA">
      <w:pPr>
        <w:pStyle w:val="164"/>
        <w:numPr>
          <w:ilvl w:val="0"/>
          <w:numId w:val="195"/>
        </w:numPr>
        <w:spacing w:line="330" w:lineRule="exact"/>
        <w:ind w:left="0" w:firstLine="420"/>
        <w:rPr>
          <w:rFonts w:eastAsiaTheme="minorEastAsia"/>
        </w:rPr>
      </w:pPr>
      <w:r>
        <w:rPr>
          <w:rFonts w:eastAsiaTheme="minorEastAsia"/>
        </w:rPr>
        <w:t>分项工程检验批质量检验记录表。</w:t>
      </w:r>
    </w:p>
    <w:p w14:paraId="265080EA">
      <w:pPr>
        <w:pStyle w:val="164"/>
        <w:numPr>
          <w:ilvl w:val="0"/>
          <w:numId w:val="195"/>
        </w:numPr>
        <w:spacing w:line="330" w:lineRule="exact"/>
        <w:ind w:left="0" w:firstLine="420"/>
        <w:rPr>
          <w:rFonts w:eastAsiaTheme="minorEastAsia"/>
        </w:rPr>
      </w:pPr>
      <w:r>
        <w:rPr>
          <w:rFonts w:eastAsiaTheme="minorEastAsia"/>
        </w:rPr>
        <w:t>子系统检测记录。</w:t>
      </w:r>
    </w:p>
    <w:p w14:paraId="796E4CDF">
      <w:pPr>
        <w:ind w:left="105" w:hanging="105"/>
        <w:rPr>
          <w:rFonts w:ascii="Times New Roman" w:hAnsi="Times New Roman"/>
        </w:rPr>
      </w:pPr>
    </w:p>
    <w:p w14:paraId="17880C3D">
      <w:pPr>
        <w:ind w:left="0" w:firstLine="0" w:firstLineChars="0"/>
        <w:rPr>
          <w:rFonts w:ascii="Times New Roman" w:hAnsi="Times New Roman"/>
        </w:rPr>
      </w:pPr>
    </w:p>
    <w:p w14:paraId="594A3223">
      <w:pPr>
        <w:ind w:left="0" w:firstLine="0" w:firstLineChars="0"/>
        <w:rPr>
          <w:rFonts w:ascii="Times New Roman" w:hAnsi="Times New Roman"/>
        </w:rPr>
      </w:pPr>
    </w:p>
    <w:p w14:paraId="0E72487A">
      <w:pPr>
        <w:ind w:left="0" w:firstLine="0" w:firstLineChars="0"/>
        <w:rPr>
          <w:rFonts w:ascii="Times New Roman" w:hAnsi="Times New Roman"/>
        </w:rPr>
      </w:pPr>
    </w:p>
    <w:p w14:paraId="5153290A">
      <w:pPr>
        <w:ind w:left="0" w:firstLine="0" w:firstLineChars="0"/>
        <w:rPr>
          <w:rFonts w:ascii="Times New Roman" w:hAnsi="Times New Roman"/>
        </w:rPr>
      </w:pPr>
    </w:p>
    <w:p w14:paraId="7E5A51BA">
      <w:pPr>
        <w:ind w:left="0" w:firstLine="0" w:firstLineChars="0"/>
        <w:rPr>
          <w:rFonts w:ascii="Times New Roman" w:hAnsi="Times New Roman"/>
        </w:rPr>
      </w:pPr>
    </w:p>
    <w:p w14:paraId="7980566F">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1FC9E6FE">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166" w:name="_Toc171955161"/>
      <w:bookmarkStart w:id="167" w:name="_Toc182487990"/>
      <w:r>
        <w:rPr>
          <w:rFonts w:ascii="Times New Roman" w:hAnsi="Times New Roman" w:eastAsia="黑体"/>
          <w:bCs/>
          <w:sz w:val="28"/>
          <w:szCs w:val="28"/>
        </w:rPr>
        <w:t>18 火灾自动报警系统</w:t>
      </w:r>
      <w:bookmarkEnd w:id="166"/>
      <w:bookmarkEnd w:id="167"/>
    </w:p>
    <w:p w14:paraId="1FAF57BF">
      <w:pPr>
        <w:pStyle w:val="3"/>
        <w:spacing w:before="240" w:after="120" w:afterLines="50" w:line="330" w:lineRule="exact"/>
        <w:rPr>
          <w:rFonts w:eastAsia="黑体"/>
          <w:b w:val="0"/>
          <w:bCs w:val="0"/>
          <w:sz w:val="21"/>
          <w:szCs w:val="21"/>
        </w:rPr>
      </w:pPr>
      <w:bookmarkStart w:id="168" w:name="_Toc56517695"/>
      <w:bookmarkStart w:id="169" w:name="_Toc182487991"/>
      <w:bookmarkStart w:id="170" w:name="_Toc44618564"/>
      <w:bookmarkStart w:id="171" w:name="_Toc45092837"/>
      <w:bookmarkStart w:id="172" w:name="_Toc44618464"/>
      <w:bookmarkStart w:id="173" w:name="_Toc171955162"/>
      <w:r>
        <w:rPr>
          <w:rFonts w:eastAsia="黑体"/>
          <w:b w:val="0"/>
          <w:bCs w:val="0"/>
          <w:sz w:val="21"/>
          <w:szCs w:val="21"/>
          <w:lang w:val="en-US"/>
        </w:rPr>
        <w:t xml:space="preserve">18.1 </w:t>
      </w:r>
      <w:r>
        <w:rPr>
          <w:rFonts w:eastAsia="黑体"/>
          <w:b w:val="0"/>
          <w:bCs w:val="0"/>
          <w:sz w:val="21"/>
          <w:szCs w:val="21"/>
        </w:rPr>
        <w:t>一般规定</w:t>
      </w:r>
      <w:bookmarkEnd w:id="168"/>
      <w:bookmarkEnd w:id="169"/>
      <w:bookmarkEnd w:id="170"/>
      <w:bookmarkEnd w:id="171"/>
      <w:bookmarkEnd w:id="172"/>
      <w:bookmarkEnd w:id="173"/>
    </w:p>
    <w:p w14:paraId="24C5FA14">
      <w:pPr>
        <w:pStyle w:val="164"/>
        <w:numPr>
          <w:ilvl w:val="0"/>
          <w:numId w:val="119"/>
        </w:numPr>
        <w:spacing w:before="100" w:after="100" w:line="330" w:lineRule="exact"/>
        <w:ind w:firstLineChars="0"/>
        <w:rPr>
          <w:vanish/>
          <w:szCs w:val="21"/>
        </w:rPr>
      </w:pPr>
    </w:p>
    <w:p w14:paraId="5A1793E0">
      <w:pPr>
        <w:pStyle w:val="164"/>
        <w:numPr>
          <w:ilvl w:val="1"/>
          <w:numId w:val="119"/>
        </w:numPr>
        <w:spacing w:before="100" w:after="100" w:line="330" w:lineRule="exact"/>
        <w:ind w:firstLineChars="0"/>
        <w:rPr>
          <w:vanish/>
          <w:szCs w:val="21"/>
        </w:rPr>
      </w:pPr>
    </w:p>
    <w:p w14:paraId="5590E492">
      <w:pPr>
        <w:pStyle w:val="164"/>
        <w:numPr>
          <w:ilvl w:val="1"/>
          <w:numId w:val="119"/>
        </w:numPr>
        <w:spacing w:before="100" w:after="100" w:line="330" w:lineRule="exact"/>
        <w:ind w:firstLineChars="0"/>
        <w:rPr>
          <w:vanish/>
          <w:szCs w:val="21"/>
        </w:rPr>
      </w:pPr>
    </w:p>
    <w:p w14:paraId="329D99F8">
      <w:pPr>
        <w:pStyle w:val="164"/>
        <w:spacing w:before="100" w:after="100" w:line="330" w:lineRule="exact"/>
        <w:ind w:firstLine="0" w:firstLineChars="0"/>
        <w:rPr>
          <w:szCs w:val="21"/>
        </w:rPr>
      </w:pPr>
      <w:r>
        <w:rPr>
          <w:szCs w:val="21"/>
        </w:rPr>
        <w:t>18.1.1 本规程</w:t>
      </w:r>
      <w:r>
        <w:rPr>
          <w:rFonts w:hint="eastAsia"/>
          <w:szCs w:val="21"/>
        </w:rPr>
        <w:t>章适用于</w:t>
      </w:r>
      <w:r>
        <w:rPr>
          <w:szCs w:val="21"/>
        </w:rPr>
        <w:t>民用火灾自动报警系统的工程实施及质量控制、系统检测。</w:t>
      </w:r>
      <w:r>
        <w:rPr>
          <w:rFonts w:hint="eastAsia"/>
          <w:szCs w:val="21"/>
        </w:rPr>
        <w:t>不适用于</w:t>
      </w:r>
      <w:r>
        <w:rPr>
          <w:szCs w:val="21"/>
        </w:rPr>
        <w:t>涉及到生产和贮存火药、炸药、弹药、火工品等爆炸危险场所的火灾自动报警系统安装。</w:t>
      </w:r>
    </w:p>
    <w:p w14:paraId="63288C45">
      <w:pPr>
        <w:pStyle w:val="164"/>
        <w:spacing w:before="100" w:after="100" w:line="330" w:lineRule="exact"/>
        <w:ind w:firstLine="0" w:firstLineChars="0"/>
        <w:rPr>
          <w:szCs w:val="21"/>
        </w:rPr>
      </w:pPr>
      <w:r>
        <w:rPr>
          <w:szCs w:val="21"/>
        </w:rPr>
        <w:t>18.1.2火灾自动报警系统的施工应按设计</w:t>
      </w:r>
      <w:r>
        <w:rPr>
          <w:rFonts w:hint="eastAsia"/>
          <w:szCs w:val="21"/>
        </w:rPr>
        <w:t>和现行国家标准</w:t>
      </w:r>
      <w:r>
        <w:rPr>
          <w:szCs w:val="21"/>
        </w:rPr>
        <w:t>《火灾自动报警系统施工及验收规范》</w:t>
      </w:r>
      <w:r>
        <w:rPr>
          <w:szCs w:val="22"/>
        </w:rPr>
        <w:t>GB 50166</w:t>
      </w:r>
      <w:r>
        <w:rPr>
          <w:rFonts w:hint="eastAsia"/>
          <w:szCs w:val="22"/>
        </w:rPr>
        <w:t>的</w:t>
      </w:r>
      <w:r>
        <w:rPr>
          <w:rFonts w:hint="eastAsia"/>
          <w:szCs w:val="21"/>
        </w:rPr>
        <w:t>相关规定执行</w:t>
      </w:r>
      <w:r>
        <w:rPr>
          <w:szCs w:val="21"/>
        </w:rPr>
        <w:t>。</w:t>
      </w:r>
    </w:p>
    <w:p w14:paraId="0AEE5352">
      <w:pPr>
        <w:pStyle w:val="164"/>
        <w:spacing w:line="330" w:lineRule="exact"/>
        <w:ind w:firstLine="0" w:firstLineChars="0"/>
        <w:rPr>
          <w:szCs w:val="21"/>
        </w:rPr>
      </w:pPr>
      <w:r>
        <w:rPr>
          <w:szCs w:val="21"/>
        </w:rPr>
        <w:t>18.1.3</w:t>
      </w:r>
      <w:r>
        <w:rPr>
          <w:rFonts w:hint="eastAsia"/>
          <w:szCs w:val="21"/>
        </w:rPr>
        <w:t>火灾报警系统工程实施的质量控制、系统检测和工程检验</w:t>
      </w:r>
      <w:r>
        <w:rPr>
          <w:rFonts w:hint="eastAsia" w:eastAsiaTheme="minorEastAsia"/>
        </w:rPr>
        <w:t>应按国家现行标准</w:t>
      </w:r>
      <w:r>
        <w:rPr>
          <w:rFonts w:hint="eastAsia"/>
          <w:szCs w:val="21"/>
        </w:rPr>
        <w:t>《火灾自动报警系统施工及验收规范》</w:t>
      </w:r>
      <w:r>
        <w:rPr>
          <w:szCs w:val="22"/>
        </w:rPr>
        <w:t>GB 50166</w:t>
      </w:r>
      <w:r>
        <w:rPr>
          <w:rFonts w:hint="eastAsia" w:eastAsiaTheme="minorEastAsia"/>
        </w:rPr>
        <w:t>相关规定</w:t>
      </w:r>
      <w:r>
        <w:rPr>
          <w:rFonts w:hint="eastAsia"/>
          <w:szCs w:val="21"/>
        </w:rPr>
        <w:t>执行</w:t>
      </w:r>
      <w:r>
        <w:rPr>
          <w:szCs w:val="21"/>
        </w:rPr>
        <w:t>。</w:t>
      </w:r>
    </w:p>
    <w:p w14:paraId="1771F76B">
      <w:pPr>
        <w:pStyle w:val="164"/>
        <w:spacing w:line="330" w:lineRule="exact"/>
        <w:ind w:firstLine="0" w:firstLineChars="0"/>
        <w:rPr>
          <w:szCs w:val="21"/>
        </w:rPr>
      </w:pPr>
      <w:r>
        <w:rPr>
          <w:szCs w:val="21"/>
        </w:rPr>
        <w:t>18.1.4火灾报警控制器功能</w:t>
      </w:r>
      <w:r>
        <w:rPr>
          <w:rFonts w:hint="eastAsia"/>
          <w:szCs w:val="21"/>
        </w:rPr>
        <w:t>及</w:t>
      </w:r>
      <w:r>
        <w:rPr>
          <w:szCs w:val="21"/>
        </w:rPr>
        <w:t>型号</w:t>
      </w:r>
      <w:r>
        <w:rPr>
          <w:rFonts w:hint="eastAsia"/>
          <w:szCs w:val="21"/>
        </w:rPr>
        <w:t>、</w:t>
      </w:r>
      <w:r>
        <w:rPr>
          <w:szCs w:val="21"/>
        </w:rPr>
        <w:t>火灾自动报警系统与消防设备的联动</w:t>
      </w:r>
      <w:r>
        <w:rPr>
          <w:rFonts w:hint="eastAsia"/>
          <w:szCs w:val="21"/>
        </w:rPr>
        <w:t>均</w:t>
      </w:r>
      <w:r>
        <w:rPr>
          <w:szCs w:val="21"/>
        </w:rPr>
        <w:t>应满足设计要求。</w:t>
      </w:r>
    </w:p>
    <w:p w14:paraId="4303FC2E">
      <w:pPr>
        <w:pStyle w:val="164"/>
        <w:spacing w:before="100" w:after="100" w:line="330" w:lineRule="exact"/>
        <w:ind w:firstLine="0" w:firstLineChars="0"/>
        <w:rPr>
          <w:szCs w:val="21"/>
        </w:rPr>
      </w:pPr>
    </w:p>
    <w:p w14:paraId="259A105B">
      <w:pPr>
        <w:pStyle w:val="3"/>
        <w:spacing w:before="240" w:after="120" w:afterLines="50" w:line="330" w:lineRule="exact"/>
        <w:rPr>
          <w:rFonts w:eastAsia="黑体"/>
          <w:b w:val="0"/>
          <w:bCs w:val="0"/>
          <w:sz w:val="21"/>
          <w:szCs w:val="21"/>
          <w:lang w:val="en-US"/>
        </w:rPr>
      </w:pPr>
      <w:bookmarkStart w:id="174" w:name="_Toc45092838"/>
      <w:bookmarkStart w:id="175" w:name="_Toc171955163"/>
      <w:bookmarkStart w:id="176" w:name="_Toc44618466"/>
      <w:bookmarkStart w:id="177" w:name="_Toc56517696"/>
      <w:bookmarkStart w:id="178" w:name="_Toc44618566"/>
      <w:bookmarkStart w:id="179" w:name="_Toc182487992"/>
      <w:r>
        <w:rPr>
          <w:rFonts w:eastAsia="黑体"/>
          <w:b w:val="0"/>
          <w:bCs w:val="0"/>
          <w:sz w:val="21"/>
          <w:szCs w:val="21"/>
          <w:lang w:val="en-US"/>
        </w:rPr>
        <w:t>18.2 施工准备</w:t>
      </w:r>
      <w:bookmarkEnd w:id="174"/>
      <w:bookmarkEnd w:id="175"/>
      <w:bookmarkEnd w:id="176"/>
      <w:bookmarkEnd w:id="177"/>
      <w:bookmarkEnd w:id="178"/>
      <w:bookmarkEnd w:id="179"/>
    </w:p>
    <w:p w14:paraId="22722C02">
      <w:pPr>
        <w:pStyle w:val="164"/>
        <w:numPr>
          <w:ilvl w:val="1"/>
          <w:numId w:val="119"/>
        </w:numPr>
        <w:spacing w:line="330" w:lineRule="exact"/>
        <w:ind w:firstLineChars="0"/>
        <w:rPr>
          <w:rFonts w:eastAsiaTheme="minorEastAsia"/>
          <w:vanish/>
          <w:szCs w:val="21"/>
        </w:rPr>
      </w:pPr>
    </w:p>
    <w:p w14:paraId="110EFE01">
      <w:pPr>
        <w:pStyle w:val="164"/>
        <w:spacing w:before="100" w:after="100" w:line="330" w:lineRule="exact"/>
        <w:ind w:firstLine="0" w:firstLineChars="0"/>
        <w:rPr>
          <w:szCs w:val="21"/>
          <w:shd w:val="clear" w:color="auto" w:fill="FFFFFF"/>
        </w:rPr>
      </w:pPr>
      <w:r>
        <w:rPr>
          <w:szCs w:val="21"/>
        </w:rPr>
        <w:t>18.2.1 主要材料</w:t>
      </w:r>
      <w:r>
        <w:rPr>
          <w:rFonts w:hint="eastAsia"/>
          <w:szCs w:val="21"/>
        </w:rPr>
        <w:t>有</w:t>
      </w:r>
      <w:r>
        <w:rPr>
          <w:szCs w:val="21"/>
          <w:shd w:val="clear" w:color="auto" w:fill="FFFFFF"/>
        </w:rPr>
        <w:t>火灾报警控制器、消防联动控制器、火灾探测器、手报按钮、区域显示器、火灾报警器、应急广播、消防专用电话、模块、消防控制室图形显示装置、电缆、桥架线槽、管材、型材、膨胀螺栓等。</w:t>
      </w:r>
    </w:p>
    <w:p w14:paraId="07332576">
      <w:pPr>
        <w:pStyle w:val="164"/>
        <w:numPr>
          <w:ilvl w:val="255"/>
          <w:numId w:val="0"/>
        </w:numPr>
        <w:spacing w:before="100" w:after="100" w:line="330" w:lineRule="exact"/>
        <w:rPr>
          <w:rFonts w:eastAsiaTheme="minorEastAsia"/>
        </w:rPr>
      </w:pPr>
      <w:r>
        <w:rPr>
          <w:szCs w:val="21"/>
        </w:rPr>
        <w:t xml:space="preserve">18.2.2 </w:t>
      </w:r>
      <w:r>
        <w:rPr>
          <w:rFonts w:hint="eastAsia"/>
          <w:szCs w:val="21"/>
        </w:rPr>
        <w:t>主要</w:t>
      </w:r>
      <w:r>
        <w:rPr>
          <w:rFonts w:eastAsiaTheme="minorEastAsia"/>
        </w:rPr>
        <w:t>机具</w:t>
      </w:r>
      <w:r>
        <w:rPr>
          <w:rFonts w:hint="eastAsia" w:eastAsiaTheme="minorEastAsia"/>
        </w:rPr>
        <w:t>有</w:t>
      </w:r>
      <w:r>
        <w:rPr>
          <w:rFonts w:eastAsiaTheme="minorEastAsia"/>
        </w:rPr>
        <w:t>电焊机、切割机、砂轮机、对讲机、电工专用工具等施工</w:t>
      </w:r>
      <w:r>
        <w:rPr>
          <w:rFonts w:hint="eastAsia" w:eastAsiaTheme="minorEastAsia"/>
        </w:rPr>
        <w:t>机具</w:t>
      </w:r>
      <w:r>
        <w:rPr>
          <w:rFonts w:eastAsiaTheme="minorEastAsia"/>
        </w:rPr>
        <w:t>；数字万用表、示波器、低频信号发生器、标准信号发生器、探测器试验器、探测器电阈值检测仪、数字式多路查线仪、兆欧表、接地电阻测试仪等测试仪器。</w:t>
      </w:r>
    </w:p>
    <w:p w14:paraId="5030E314">
      <w:pPr>
        <w:pStyle w:val="164"/>
        <w:spacing w:before="100" w:after="100" w:line="330" w:lineRule="exact"/>
        <w:ind w:firstLine="0" w:firstLineChars="0"/>
        <w:rPr>
          <w:szCs w:val="21"/>
        </w:rPr>
      </w:pPr>
      <w:r>
        <w:rPr>
          <w:szCs w:val="21"/>
        </w:rPr>
        <w:t>18.2.3 作业条件应符合下列规定：</w:t>
      </w:r>
    </w:p>
    <w:p w14:paraId="7E844D7B">
      <w:pPr>
        <w:pStyle w:val="164"/>
        <w:numPr>
          <w:ilvl w:val="0"/>
          <w:numId w:val="196"/>
        </w:numPr>
        <w:spacing w:line="330" w:lineRule="exact"/>
        <w:ind w:left="0" w:firstLine="420"/>
        <w:rPr>
          <w:rFonts w:eastAsiaTheme="minorEastAsia"/>
        </w:rPr>
      </w:pPr>
      <w:r>
        <w:rPr>
          <w:rFonts w:eastAsiaTheme="minorEastAsia"/>
        </w:rPr>
        <w:t>预埋管路、接线盒、地面线槽及预留孔洞应满足设计要求。</w:t>
      </w:r>
    </w:p>
    <w:p w14:paraId="349D5202">
      <w:pPr>
        <w:pStyle w:val="164"/>
        <w:numPr>
          <w:ilvl w:val="0"/>
          <w:numId w:val="196"/>
        </w:numPr>
        <w:spacing w:line="330" w:lineRule="exact"/>
        <w:ind w:left="0" w:firstLine="420"/>
        <w:rPr>
          <w:rFonts w:eastAsiaTheme="minorEastAsia"/>
        </w:rPr>
      </w:pPr>
      <w:r>
        <w:rPr>
          <w:rFonts w:eastAsiaTheme="minorEastAsia"/>
        </w:rPr>
        <w:t>主机房内土建、装饰作业完工，抗静电地板安装完毕，温度、湿度达到使用要求。</w:t>
      </w:r>
    </w:p>
    <w:p w14:paraId="125FE6FA">
      <w:pPr>
        <w:pStyle w:val="164"/>
        <w:numPr>
          <w:ilvl w:val="0"/>
          <w:numId w:val="196"/>
        </w:numPr>
        <w:spacing w:line="330" w:lineRule="exact"/>
        <w:ind w:left="0" w:firstLine="420"/>
        <w:rPr>
          <w:rFonts w:eastAsiaTheme="minorEastAsia"/>
        </w:rPr>
      </w:pPr>
      <w:r>
        <w:rPr>
          <w:rFonts w:eastAsiaTheme="minorEastAsia"/>
        </w:rPr>
        <w:t>机房内接地端子箱应安装完毕。</w:t>
      </w:r>
    </w:p>
    <w:p w14:paraId="042CCCE8">
      <w:pPr>
        <w:pStyle w:val="164"/>
        <w:numPr>
          <w:ilvl w:val="0"/>
          <w:numId w:val="196"/>
        </w:numPr>
        <w:spacing w:line="330" w:lineRule="exact"/>
        <w:ind w:left="0" w:firstLine="420"/>
        <w:rPr>
          <w:rFonts w:eastAsiaTheme="minorEastAsia"/>
        </w:rPr>
      </w:pPr>
      <w:r>
        <w:rPr>
          <w:rFonts w:eastAsiaTheme="minorEastAsia"/>
        </w:rPr>
        <w:t>施工单位应有相应专业资质。</w:t>
      </w:r>
    </w:p>
    <w:p w14:paraId="45BD89B7">
      <w:pPr>
        <w:pStyle w:val="3"/>
        <w:spacing w:before="240" w:after="120" w:afterLines="50" w:line="330" w:lineRule="exact"/>
        <w:rPr>
          <w:rFonts w:eastAsia="黑体"/>
          <w:b w:val="0"/>
          <w:bCs w:val="0"/>
          <w:sz w:val="21"/>
          <w:szCs w:val="21"/>
          <w:lang w:val="en-US"/>
        </w:rPr>
      </w:pPr>
      <w:bookmarkStart w:id="180" w:name="_Toc182487993"/>
      <w:bookmarkStart w:id="181" w:name="_Toc45092839"/>
      <w:bookmarkStart w:id="182" w:name="_Toc44618567"/>
      <w:bookmarkStart w:id="183" w:name="_Toc171955164"/>
      <w:bookmarkStart w:id="184" w:name="_Toc56517697"/>
      <w:bookmarkStart w:id="185" w:name="_Toc44618467"/>
      <w:r>
        <w:rPr>
          <w:rFonts w:eastAsia="黑体"/>
          <w:b w:val="0"/>
          <w:bCs w:val="0"/>
          <w:sz w:val="21"/>
          <w:szCs w:val="21"/>
          <w:lang w:val="en-US"/>
        </w:rPr>
        <w:t>18.3 施工工艺</w:t>
      </w:r>
      <w:bookmarkEnd w:id="180"/>
      <w:bookmarkEnd w:id="181"/>
      <w:bookmarkEnd w:id="182"/>
      <w:bookmarkEnd w:id="183"/>
      <w:bookmarkEnd w:id="184"/>
      <w:bookmarkEnd w:id="185"/>
    </w:p>
    <w:p w14:paraId="13591C7B">
      <w:pPr>
        <w:pStyle w:val="164"/>
        <w:numPr>
          <w:ilvl w:val="1"/>
          <w:numId w:val="119"/>
        </w:numPr>
        <w:spacing w:line="330" w:lineRule="exact"/>
        <w:ind w:firstLineChars="0"/>
        <w:rPr>
          <w:rFonts w:eastAsiaTheme="minorEastAsia"/>
          <w:vanish/>
          <w:szCs w:val="21"/>
        </w:rPr>
      </w:pPr>
    </w:p>
    <w:p w14:paraId="5CA65CD8">
      <w:pPr>
        <w:pStyle w:val="164"/>
        <w:spacing w:before="100" w:after="100" w:line="330" w:lineRule="exact"/>
        <w:ind w:firstLine="0" w:firstLineChars="0"/>
        <w:rPr>
          <w:szCs w:val="21"/>
        </w:rPr>
      </w:pPr>
      <w:r>
        <w:rPr>
          <w:szCs w:val="21"/>
        </w:rPr>
        <w:t>18.3.1 火灾自动报警</w:t>
      </w:r>
      <w:r>
        <w:rPr>
          <w:rFonts w:eastAsiaTheme="minorEastAsia"/>
          <w:szCs w:val="21"/>
        </w:rPr>
        <w:t>系统施工工艺流程见图18.3.1。</w:t>
      </w:r>
    </w:p>
    <w:p w14:paraId="7544B337">
      <w:pPr>
        <w:pStyle w:val="164"/>
        <w:spacing w:before="100" w:after="100" w:line="330" w:lineRule="exact"/>
        <w:ind w:firstLine="0" w:firstLineChars="0"/>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2701925</wp:posOffset>
                </wp:positionH>
                <wp:positionV relativeFrom="paragraph">
                  <wp:posOffset>153035</wp:posOffset>
                </wp:positionV>
                <wp:extent cx="795655" cy="559435"/>
                <wp:effectExtent l="0" t="0" r="80645" b="88265"/>
                <wp:wrapNone/>
                <wp:docPr id="1967178987" name="连接符: 肘形 1"/>
                <wp:cNvGraphicFramePr/>
                <a:graphic xmlns:a="http://schemas.openxmlformats.org/drawingml/2006/main">
                  <a:graphicData uri="http://schemas.microsoft.com/office/word/2010/wordprocessingShape">
                    <wps:wsp>
                      <wps:cNvCnPr/>
                      <wps:spPr>
                        <a:xfrm>
                          <a:off x="0" y="0"/>
                          <a:ext cx="795655" cy="5594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1" o:spid="_x0000_s1026" o:spt="34" type="#_x0000_t34" style="position:absolute;left:0pt;margin-left:212.75pt;margin-top:12.05pt;height:44.05pt;width:62.65pt;z-index:251670528;mso-width-relative:page;mso-height-relative:page;" filled="f" stroked="t" coordsize="21600,21600" o:gfxdata="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VgnLfYAAAACgEA&#10;AA8AAAAAAAAAAQAgAAAAIgAAAGRycy9kb3ducmV2LnhtbFBLAQIUABQAAAAIAIdO4kA75GC+GgIA&#10;AAgEAAAOAAAAAAAAAAEAIAAAACcBAABkcnMvZTJvRG9jLnhtbFBLBQYAAAAABgAGAFkBAACzBQAA&#10;AAA=&#10;" adj="10800">
                <v:fill on="f" focussize="0,0"/>
                <v:stroke color="#000000 [3200]" joinstyle="round" endarrow="block"/>
                <v:imagedata o:title=""/>
                <o:lock v:ext="edit" aspectratio="f"/>
              </v:shape>
            </w:pict>
          </mc:Fallback>
        </mc:AlternateContent>
      </w:r>
      <w:r>
        <w:rPr>
          <w:szCs w:val="21"/>
        </w:rPr>
        <mc:AlternateContent>
          <mc:Choice Requires="wps">
            <w:drawing>
              <wp:anchor distT="0" distB="0" distL="114300" distR="114300" simplePos="0" relativeHeight="251668480" behindDoc="0" locked="0" layoutInCell="1" allowOverlap="1">
                <wp:simplePos x="0" y="0"/>
                <wp:positionH relativeFrom="column">
                  <wp:posOffset>797560</wp:posOffset>
                </wp:positionH>
                <wp:positionV relativeFrom="paragraph">
                  <wp:posOffset>153035</wp:posOffset>
                </wp:positionV>
                <wp:extent cx="643890" cy="557530"/>
                <wp:effectExtent l="0" t="76200" r="0" b="33020"/>
                <wp:wrapNone/>
                <wp:docPr id="198937087" name="连接符: 肘形 1"/>
                <wp:cNvGraphicFramePr/>
                <a:graphic xmlns:a="http://schemas.openxmlformats.org/drawingml/2006/main">
                  <a:graphicData uri="http://schemas.microsoft.com/office/word/2010/wordprocessingShape">
                    <wps:wsp>
                      <wps:cNvCnPr/>
                      <wps:spPr>
                        <a:xfrm flipV="1">
                          <a:off x="0" y="0"/>
                          <a:ext cx="643573" cy="55753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1" o:spid="_x0000_s1026" o:spt="34" type="#_x0000_t34" style="position:absolute;left:0pt;flip:y;margin-left:62.8pt;margin-top:12.05pt;height:43.9pt;width:50.7pt;z-index:251668480;mso-width-relative:page;mso-height-relative:page;" filled="f" stroked="t" coordsize="21600,21600" o:gfxdata="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ANQ5&#10;1gAAAAoBAAAPAAAAAAAAAAEAIAAAACIAAABkcnMvZG93bnJldi54bWxQSwECFAAUAAAACACHTuJA&#10;l+RMKyMCAAARBAAADgAAAAAAAAABACAAAAAlAQAAZHJzL2Uyb0RvYy54bWxQSwUGAAAAAAYABgBZ&#10;AQAAugUAAAAA&#10;" adj="10800">
                <v:fill on="f" focussize="0,0"/>
                <v:stroke color="#000000 [3200]" joinstyle="round" endarrow="block"/>
                <v:imagedata o:title=""/>
                <o:lock v:ext="edit" aspectratio="f"/>
              </v:shape>
            </w:pict>
          </mc:Fallback>
        </mc:AlternateContent>
      </w:r>
    </w:p>
    <w:p w14:paraId="679C42A2">
      <w:pPr>
        <w:pStyle w:val="164"/>
        <w:spacing w:before="100" w:after="100" w:line="330" w:lineRule="exact"/>
        <w:ind w:firstLine="0" w:firstLineChars="0"/>
        <w:rPr>
          <w:szCs w:val="21"/>
        </w:rPr>
      </w:pPr>
    </w:p>
    <w:p w14:paraId="70B53237">
      <w:pPr>
        <w:pStyle w:val="164"/>
        <w:spacing w:before="100" w:after="100" w:line="330" w:lineRule="exact"/>
        <w:ind w:firstLine="0" w:firstLineChars="0"/>
        <w:rPr>
          <w:szCs w:val="21"/>
        </w:rPr>
      </w:pPr>
      <w:r>
        <w:rPr>
          <w:szCs w:val="21"/>
        </w:rPr>
        <mc:AlternateContent>
          <mc:Choice Requires="wps">
            <w:drawing>
              <wp:anchor distT="0" distB="0" distL="114300" distR="114300" simplePos="0" relativeHeight="251671552" behindDoc="0" locked="0" layoutInCell="1" allowOverlap="1">
                <wp:simplePos x="0" y="0"/>
                <wp:positionH relativeFrom="column">
                  <wp:posOffset>2726055</wp:posOffset>
                </wp:positionH>
                <wp:positionV relativeFrom="paragraph">
                  <wp:posOffset>163830</wp:posOffset>
                </wp:positionV>
                <wp:extent cx="771525" cy="561975"/>
                <wp:effectExtent l="0" t="76200" r="0" b="28575"/>
                <wp:wrapNone/>
                <wp:docPr id="1152653917" name="连接符: 肘形 1"/>
                <wp:cNvGraphicFramePr/>
                <a:graphic xmlns:a="http://schemas.openxmlformats.org/drawingml/2006/main">
                  <a:graphicData uri="http://schemas.microsoft.com/office/word/2010/wordprocessingShape">
                    <wps:wsp>
                      <wps:cNvCnPr/>
                      <wps:spPr>
                        <a:xfrm flipV="1">
                          <a:off x="0" y="0"/>
                          <a:ext cx="771525" cy="5619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1" o:spid="_x0000_s1026" o:spt="34" type="#_x0000_t34" style="position:absolute;left:0pt;flip:y;margin-left:214.65pt;margin-top:12.9pt;height:44.25pt;width:60.75pt;z-index:251671552;mso-width-relative:page;mso-height-relative:page;" filled="f" stroked="t" coordsize="21600,21600" o:gfxdata="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Ohs71wAA&#10;AAoBAAAPAAAAAAAAAAEAIAAAACIAAABkcnMvZG93bnJldi54bWxQSwECFAAUAAAACACHTuJA/B1O&#10;Qh8CAAASBAAADgAAAAAAAAABACAAAAAmAQAAZHJzL2Uyb0RvYy54bWxQSwUGAAAAAAYABgBZAQAA&#10;twUAAAAA&#10;" adj="10800">
                <v:fill on="f" focussize="0,0"/>
                <v:stroke color="#000000 [3200]" joinstyle="round" endarrow="block"/>
                <v:imagedata o:title=""/>
                <o:lock v:ext="edit" aspectratio="f"/>
              </v:shap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798195</wp:posOffset>
                </wp:positionH>
                <wp:positionV relativeFrom="paragraph">
                  <wp:posOffset>168910</wp:posOffset>
                </wp:positionV>
                <wp:extent cx="637540" cy="606425"/>
                <wp:effectExtent l="0" t="0" r="48260" b="99060"/>
                <wp:wrapNone/>
                <wp:docPr id="1050088731" name="连接符: 肘形 1"/>
                <wp:cNvGraphicFramePr/>
                <a:graphic xmlns:a="http://schemas.openxmlformats.org/drawingml/2006/main">
                  <a:graphicData uri="http://schemas.microsoft.com/office/word/2010/wordprocessingShape">
                    <wps:wsp>
                      <wps:cNvCnPr/>
                      <wps:spPr>
                        <a:xfrm>
                          <a:off x="0" y="0"/>
                          <a:ext cx="637820" cy="6062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1" o:spid="_x0000_s1026" o:spt="34" type="#_x0000_t34" style="position:absolute;left:0pt;margin-left:62.85pt;margin-top:13.3pt;height:47.75pt;width:50.2pt;z-index:251669504;mso-width-relative:page;mso-height-relative:page;" filled="f" stroked="t" coordsize="21600,21600" o:gfxdata="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w9DzNcAAAAKAQAA&#10;DwAAAAAAAAABACAAAAAiAAAAZHJzL2Rvd25yZXYueG1sUEsBAhQAFAAAAAgAh07iQFBt/3kaAgAA&#10;CAQAAA4AAAAAAAAAAQAgAAAAJgEAAGRycy9lMm9Eb2MueG1sUEsFBgAAAAAGAAYAWQEAALIFAAAA&#10;AA==&#10;" adj="10800">
                <v:fill on="f" focussize="0,0"/>
                <v:stroke color="#000000 [3200]" joinstyle="round" endarrow="block"/>
                <v:imagedata o:title=""/>
                <o:lock v:ext="edit" aspectratio="f"/>
              </v:shape>
            </w:pict>
          </mc:Fallback>
        </mc:AlternateContent>
      </w:r>
    </w:p>
    <w:p w14:paraId="7254615D">
      <w:pPr>
        <w:pStyle w:val="164"/>
        <w:spacing w:before="100" w:after="100" w:line="330" w:lineRule="exact"/>
        <w:ind w:firstLine="0" w:firstLineChars="0"/>
        <w:rPr>
          <w:szCs w:val="21"/>
        </w:rPr>
      </w:pPr>
    </w:p>
    <w:p w14:paraId="2A281084">
      <w:pPr>
        <w:pStyle w:val="164"/>
        <w:spacing w:before="100" w:after="100" w:line="330" w:lineRule="exact"/>
        <w:ind w:firstLine="0" w:firstLineChars="0"/>
        <w:rPr>
          <w:szCs w:val="21"/>
        </w:rPr>
      </w:pPr>
    </w:p>
    <w:p w14:paraId="5E0E68CD">
      <w:pPr>
        <w:pStyle w:val="164"/>
        <w:spacing w:before="100" w:after="100" w:line="330" w:lineRule="exact"/>
        <w:ind w:firstLine="0" w:firstLineChars="0"/>
        <w:rPr>
          <w:szCs w:val="21"/>
        </w:rPr>
      </w:pPr>
    </w:p>
    <w:p w14:paraId="69D759EF">
      <w:pPr>
        <w:pStyle w:val="164"/>
        <w:spacing w:before="100" w:after="100" w:line="330" w:lineRule="exact"/>
        <w:ind w:firstLine="0" w:firstLineChars="0"/>
        <w:rPr>
          <w:szCs w:val="21"/>
        </w:rPr>
      </w:pPr>
    </w:p>
    <w:p w14:paraId="05A22163">
      <w:pPr>
        <w:pStyle w:val="164"/>
        <w:spacing w:before="100" w:after="100" w:line="330" w:lineRule="exact"/>
        <w:ind w:firstLine="0" w:firstLineChars="0"/>
        <w:rPr>
          <w:szCs w:val="21"/>
        </w:rPr>
      </w:pPr>
      <w:r>
        <mc:AlternateContent>
          <mc:Choice Requires="wpg">
            <w:drawing>
              <wp:inline distT="0" distB="0" distL="0" distR="0">
                <wp:extent cx="4981575" cy="2091690"/>
                <wp:effectExtent l="0" t="0" r="47625" b="22860"/>
                <wp:docPr id="1822177552" name="组合 1822177552"/>
                <wp:cNvGraphicFramePr/>
                <a:graphic xmlns:a="http://schemas.openxmlformats.org/drawingml/2006/main">
                  <a:graphicData uri="http://schemas.microsoft.com/office/word/2010/wordprocessingGroup">
                    <wpg:wgp>
                      <wpg:cNvGrpSpPr/>
                      <wpg:grpSpPr>
                        <a:xfrm>
                          <a:off x="0" y="0"/>
                          <a:ext cx="4981575" cy="2091690"/>
                          <a:chOff x="12" y="-64"/>
                          <a:chExt cx="7845" cy="3294"/>
                        </a:xfrm>
                      </wpg:grpSpPr>
                      <wps:wsp>
                        <wps:cNvPr id="812456572" name="Line 83"/>
                        <wps:cNvCnPr>
                          <a:cxnSpLocks noChangeShapeType="1"/>
                          <a:stCxn id="1652488479" idx="3"/>
                          <a:endCxn id="2035170793" idx="1"/>
                        </wps:cNvCnPr>
                        <wps:spPr bwMode="auto">
                          <a:xfrm>
                            <a:off x="1272" y="1109"/>
                            <a:ext cx="1006" cy="14"/>
                          </a:xfrm>
                          <a:prstGeom prst="line">
                            <a:avLst/>
                          </a:prstGeom>
                          <a:noFill/>
                          <a:ln w="9525">
                            <a:solidFill>
                              <a:srgbClr val="000000"/>
                            </a:solidFill>
                            <a:round/>
                            <a:tailEnd type="triangle" w="med" len="med"/>
                          </a:ln>
                        </wps:spPr>
                        <wps:bodyPr/>
                      </wps:wsp>
                      <wps:wsp>
                        <wps:cNvPr id="751732222" name="Line 85"/>
                        <wps:cNvCnPr>
                          <a:cxnSpLocks noChangeShapeType="1"/>
                          <a:stCxn id="2035170793" idx="3"/>
                          <a:endCxn id="717575227" idx="1"/>
                        </wps:cNvCnPr>
                        <wps:spPr bwMode="auto">
                          <a:xfrm flipV="1">
                            <a:off x="4292" y="1116"/>
                            <a:ext cx="1225" cy="7"/>
                          </a:xfrm>
                          <a:prstGeom prst="line">
                            <a:avLst/>
                          </a:prstGeom>
                          <a:noFill/>
                          <a:ln w="9525">
                            <a:solidFill>
                              <a:srgbClr val="000000"/>
                            </a:solidFill>
                            <a:round/>
                            <a:tailEnd type="triangle" w="med" len="med"/>
                          </a:ln>
                        </wps:spPr>
                        <wps:bodyPr/>
                      </wps:wsp>
                      <wps:wsp>
                        <wps:cNvPr id="269365715" name="Line 86"/>
                        <wps:cNvCnPr>
                          <a:cxnSpLocks noChangeShapeType="1"/>
                        </wps:cNvCnPr>
                        <wps:spPr bwMode="auto">
                          <a:xfrm>
                            <a:off x="7317" y="1110"/>
                            <a:ext cx="540" cy="0"/>
                          </a:xfrm>
                          <a:prstGeom prst="line">
                            <a:avLst/>
                          </a:prstGeom>
                          <a:noFill/>
                          <a:ln w="9525">
                            <a:solidFill>
                              <a:srgbClr val="000000"/>
                            </a:solidFill>
                            <a:round/>
                            <a:tailEnd type="triangle" w="med" len="med"/>
                          </a:ln>
                        </wps:spPr>
                        <wps:bodyPr/>
                      </wps:wsp>
                      <wps:wsp>
                        <wps:cNvPr id="1344512212" name="Rectangle 87"/>
                        <wps:cNvSpPr>
                          <a:spLocks noChangeArrowheads="1"/>
                        </wps:cNvSpPr>
                        <wps:spPr bwMode="auto">
                          <a:xfrm>
                            <a:off x="2278" y="-64"/>
                            <a:ext cx="1986" cy="624"/>
                          </a:xfrm>
                          <a:prstGeom prst="rect">
                            <a:avLst/>
                          </a:prstGeom>
                          <a:solidFill>
                            <a:srgbClr val="FFFFFF"/>
                          </a:solidFill>
                          <a:ln w="9525">
                            <a:solidFill>
                              <a:srgbClr val="000000"/>
                            </a:solidFill>
                            <a:miter lim="800000"/>
                          </a:ln>
                        </wps:spPr>
                        <wps:txbx>
                          <w:txbxContent>
                            <w:p w14:paraId="576B7E69">
                              <w:pPr>
                                <w:ind w:left="105" w:hanging="105"/>
                                <w:jc w:val="center"/>
                              </w:pPr>
                              <w:r>
                                <w:rPr>
                                  <w:rFonts w:hint="eastAsia" w:ascii="宋体" w:hAnsi="宋体"/>
                                  <w:kern w:val="0"/>
                                </w:rPr>
                                <w:t>探测器安装</w:t>
                              </w:r>
                            </w:p>
                          </w:txbxContent>
                        </wps:txbx>
                        <wps:bodyPr rot="0" vert="horz" wrap="square" lIns="91440" tIns="82800" rIns="91440" bIns="45720" anchor="t" anchorCtr="0" upright="1">
                          <a:noAutofit/>
                        </wps:bodyPr>
                      </wps:wsp>
                      <wps:wsp>
                        <wps:cNvPr id="1652488479" name="Rectangle 88"/>
                        <wps:cNvSpPr>
                          <a:spLocks noChangeArrowheads="1"/>
                        </wps:cNvSpPr>
                        <wps:spPr bwMode="auto">
                          <a:xfrm>
                            <a:off x="12" y="602"/>
                            <a:ext cx="1260" cy="1013"/>
                          </a:xfrm>
                          <a:prstGeom prst="rect">
                            <a:avLst/>
                          </a:prstGeom>
                          <a:solidFill>
                            <a:srgbClr val="FFFFFF"/>
                          </a:solidFill>
                          <a:ln w="9525">
                            <a:solidFill>
                              <a:srgbClr val="000000"/>
                            </a:solidFill>
                            <a:miter lim="800000"/>
                          </a:ln>
                        </wps:spPr>
                        <wps:txbx>
                          <w:txbxContent>
                            <w:p w14:paraId="33D9A753">
                              <w:pPr>
                                <w:ind w:left="105" w:hanging="105"/>
                              </w:pPr>
                              <w:r>
                                <w:rPr>
                                  <w:rFonts w:hint="eastAsia"/>
                                  <w:szCs w:val="21"/>
                                </w:rPr>
                                <w:t>钢管、金属线槽及线缆敷设</w:t>
                              </w:r>
                            </w:p>
                          </w:txbxContent>
                        </wps:txbx>
                        <wps:bodyPr rot="0" vert="horz" wrap="square" lIns="91440" tIns="82800" rIns="91440" bIns="45720" anchor="t" anchorCtr="0" upright="1">
                          <a:noAutofit/>
                        </wps:bodyPr>
                      </wps:wsp>
                      <wps:wsp>
                        <wps:cNvPr id="2035170793" name="Rectangle 89"/>
                        <wps:cNvSpPr>
                          <a:spLocks noChangeArrowheads="1"/>
                        </wps:cNvSpPr>
                        <wps:spPr bwMode="auto">
                          <a:xfrm>
                            <a:off x="2278" y="761"/>
                            <a:ext cx="2014" cy="723"/>
                          </a:xfrm>
                          <a:prstGeom prst="rect">
                            <a:avLst/>
                          </a:prstGeom>
                          <a:solidFill>
                            <a:srgbClr val="FFFFFF"/>
                          </a:solidFill>
                          <a:ln w="9525">
                            <a:solidFill>
                              <a:srgbClr val="000000"/>
                            </a:solidFill>
                            <a:miter lim="800000"/>
                          </a:ln>
                        </wps:spPr>
                        <wps:txbx>
                          <w:txbxContent>
                            <w:p w14:paraId="30E962A8">
                              <w:pPr>
                                <w:ind w:left="105" w:hanging="105"/>
                                <w:jc w:val="center"/>
                                <w:rPr>
                                  <w:rFonts w:ascii="宋体" w:hAnsi="宋体"/>
                                  <w:spacing w:val="-10"/>
                                  <w:kern w:val="0"/>
                                </w:rPr>
                              </w:pPr>
                              <w:r>
                                <w:rPr>
                                  <w:rFonts w:hint="eastAsia" w:ascii="宋体" w:hAnsi="宋体"/>
                                  <w:kern w:val="0"/>
                                </w:rPr>
                                <w:t>手动火灾及消火栓报警按钮安装</w:t>
                              </w:r>
                            </w:p>
                          </w:txbxContent>
                        </wps:txbx>
                        <wps:bodyPr rot="0" vert="horz" wrap="square" lIns="91440" tIns="82800" rIns="91440" bIns="45720" anchor="ctr" anchorCtr="0" upright="1">
                          <a:noAutofit/>
                        </wps:bodyPr>
                      </wps:wsp>
                      <wps:wsp>
                        <wps:cNvPr id="1757856375" name="Rectangle 90"/>
                        <wps:cNvSpPr>
                          <a:spLocks noChangeArrowheads="1"/>
                        </wps:cNvSpPr>
                        <wps:spPr bwMode="auto">
                          <a:xfrm>
                            <a:off x="2278" y="1711"/>
                            <a:ext cx="2014" cy="624"/>
                          </a:xfrm>
                          <a:prstGeom prst="rect">
                            <a:avLst/>
                          </a:prstGeom>
                          <a:solidFill>
                            <a:srgbClr val="FFFFFF"/>
                          </a:solidFill>
                          <a:ln w="9525">
                            <a:solidFill>
                              <a:srgbClr val="000000"/>
                            </a:solidFill>
                            <a:miter lim="800000"/>
                          </a:ln>
                        </wps:spPr>
                        <wps:txbx>
                          <w:txbxContent>
                            <w:p w14:paraId="6E88E78B">
                              <w:pPr>
                                <w:ind w:left="95" w:hanging="95"/>
                                <w:jc w:val="center"/>
                              </w:pPr>
                              <w:r>
                                <w:rPr>
                                  <w:rFonts w:hint="eastAsia" w:ascii="宋体" w:hAnsi="宋体"/>
                                  <w:spacing w:val="-10"/>
                                  <w:kern w:val="0"/>
                                </w:rPr>
                                <w:t>端子箱及模块安装</w:t>
                              </w:r>
                            </w:p>
                          </w:txbxContent>
                        </wps:txbx>
                        <wps:bodyPr rot="0" vert="horz" wrap="square" lIns="91440" tIns="82800" rIns="91440" bIns="45720" anchor="t" anchorCtr="0" upright="1">
                          <a:noAutofit/>
                        </wps:bodyPr>
                      </wps:wsp>
                      <wps:wsp>
                        <wps:cNvPr id="717575227" name="Rectangle 91"/>
                        <wps:cNvSpPr>
                          <a:spLocks noChangeArrowheads="1"/>
                        </wps:cNvSpPr>
                        <wps:spPr bwMode="auto">
                          <a:xfrm>
                            <a:off x="5517" y="804"/>
                            <a:ext cx="1800" cy="624"/>
                          </a:xfrm>
                          <a:prstGeom prst="rect">
                            <a:avLst/>
                          </a:prstGeom>
                          <a:solidFill>
                            <a:srgbClr val="FFFFFF"/>
                          </a:solidFill>
                          <a:ln w="9525">
                            <a:solidFill>
                              <a:srgbClr val="000000"/>
                            </a:solidFill>
                            <a:miter lim="800000"/>
                          </a:ln>
                        </wps:spPr>
                        <wps:txbx>
                          <w:txbxContent>
                            <w:p w14:paraId="31034700">
                              <w:pPr>
                                <w:ind w:left="105" w:hanging="105"/>
                                <w:jc w:val="center"/>
                              </w:pPr>
                              <w:r>
                                <w:rPr>
                                  <w:rFonts w:hint="eastAsia"/>
                                </w:rPr>
                                <w:t>控制主机安装</w:t>
                              </w:r>
                            </w:p>
                          </w:txbxContent>
                        </wps:txbx>
                        <wps:bodyPr rot="0" vert="horz" wrap="square" lIns="91440" tIns="82800" rIns="91440" bIns="45720" anchor="t" anchorCtr="0" upright="1">
                          <a:noAutofit/>
                        </wps:bodyPr>
                      </wps:wsp>
                      <wps:wsp>
                        <wps:cNvPr id="918539238" name="Rectangle 91"/>
                        <wps:cNvSpPr>
                          <a:spLocks noChangeArrowheads="1"/>
                        </wps:cNvSpPr>
                        <wps:spPr bwMode="auto">
                          <a:xfrm>
                            <a:off x="45" y="2606"/>
                            <a:ext cx="1800" cy="624"/>
                          </a:xfrm>
                          <a:prstGeom prst="rect">
                            <a:avLst/>
                          </a:prstGeom>
                          <a:solidFill>
                            <a:srgbClr val="FFFFFF"/>
                          </a:solidFill>
                          <a:ln w="9525">
                            <a:solidFill>
                              <a:srgbClr val="000000"/>
                            </a:solidFill>
                            <a:miter lim="800000"/>
                          </a:ln>
                        </wps:spPr>
                        <wps:txbx>
                          <w:txbxContent>
                            <w:p w14:paraId="34511D34">
                              <w:pPr>
                                <w:ind w:left="105" w:hanging="105"/>
                                <w:jc w:val="center"/>
                              </w:pPr>
                              <w:r>
                                <w:rPr>
                                  <w:rFonts w:hint="eastAsia"/>
                                </w:rPr>
                                <w:t>系统调试</w:t>
                              </w:r>
                            </w:p>
                          </w:txbxContent>
                        </wps:txbx>
                        <wps:bodyPr rot="0" vert="horz" wrap="square" lIns="91440" tIns="82800" rIns="91440" bIns="45720" anchor="t" anchorCtr="0" upright="1">
                          <a:noAutofit/>
                        </wps:bodyPr>
                      </wps:wsp>
                      <wps:wsp>
                        <wps:cNvPr id="560884149" name="Rectangle 91"/>
                        <wps:cNvSpPr>
                          <a:spLocks noChangeArrowheads="1"/>
                        </wps:cNvSpPr>
                        <wps:spPr bwMode="auto">
                          <a:xfrm>
                            <a:off x="2993" y="2606"/>
                            <a:ext cx="1800" cy="624"/>
                          </a:xfrm>
                          <a:prstGeom prst="rect">
                            <a:avLst/>
                          </a:prstGeom>
                          <a:solidFill>
                            <a:srgbClr val="FFFFFF"/>
                          </a:solidFill>
                          <a:ln w="9525">
                            <a:solidFill>
                              <a:srgbClr val="000000"/>
                            </a:solidFill>
                            <a:miter lim="800000"/>
                          </a:ln>
                        </wps:spPr>
                        <wps:txbx>
                          <w:txbxContent>
                            <w:p w14:paraId="1BA04A88">
                              <w:pPr>
                                <w:ind w:left="105" w:hanging="105"/>
                                <w:jc w:val="center"/>
                              </w:pPr>
                              <w:r>
                                <w:rPr>
                                  <w:rFonts w:hint="eastAsia"/>
                                </w:rPr>
                                <w:t>系统测试</w:t>
                              </w:r>
                            </w:p>
                          </w:txbxContent>
                        </wps:txbx>
                        <wps:bodyPr rot="0" vert="horz" wrap="square" lIns="91440" tIns="82800" rIns="91440" bIns="45720" anchor="t" anchorCtr="0" upright="1">
                          <a:noAutofit/>
                        </wps:bodyPr>
                      </wps:wsp>
                      <wps:wsp>
                        <wps:cNvPr id="150117171" name="Line 86"/>
                        <wps:cNvCnPr>
                          <a:cxnSpLocks noChangeShapeType="1"/>
                          <a:stCxn id="918539238" idx="3"/>
                          <a:endCxn id="560884149" idx="1"/>
                        </wps:cNvCnPr>
                        <wps:spPr bwMode="auto">
                          <a:xfrm>
                            <a:off x="1845" y="2918"/>
                            <a:ext cx="1148"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164.7pt;width:392.25pt;" coordorigin="12,-64" coordsize="7845,3294" o:gfxdata="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K9iN+7XAAAABQEAAA8AAAAAAAAAAQAgAAAAIgAAAGRycy9k&#10;b3ducmV2LnhtbFBLAQIUABQAAAAIAIdO4kCh9AyN6AQAAHceAAAOAAAAAAAAAAEAIAAAACYBAABk&#10;cnMvZTJvRG9jLnhtbFBLBQYAAAAABgAGAFkBAACACAAAAAA=&#10;">
                <o:lock v:ext="edit" aspectratio="f"/>
                <v:line id="Line 83" o:spid="_x0000_s1026" o:spt="20" style="position:absolute;left:1272;top:1109;height:14;width:1006;" filled="f" stroked="t" coordsize="21600,21600" o:gfxdata="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Ly1d4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line id="Line 85" o:spid="_x0000_s1026" o:spt="20" style="position:absolute;left:4292;top:1116;flip:y;height:7;width:1225;" filled="f" stroked="t" coordsize="21600,21600" o:gfxdata="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aa&#10;Uef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Line 86" o:spid="_x0000_s1026" o:spt="20" style="position:absolute;left:7317;top:1110;height:0;width:540;" filled="f" stroked="t" coordsize="21600,21600" o:gfxdata="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vw5+1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ect id="Rectangle 87" o:spid="_x0000_s1026" o:spt="1" style="position:absolute;left:2278;top:-64;height:624;width:1986;" fillcolor="#FFFFFF" filled="t" stroked="t" coordsize="21600,21600" o:gfxdata="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Bav&#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2.54mm,2.3mm,2.54mm,1.27mm">
                    <w:txbxContent>
                      <w:p w14:paraId="576B7E69">
                        <w:pPr>
                          <w:ind w:left="105" w:hanging="105"/>
                          <w:jc w:val="center"/>
                        </w:pPr>
                        <w:r>
                          <w:rPr>
                            <w:rFonts w:hint="eastAsia" w:ascii="宋体" w:hAnsi="宋体"/>
                            <w:kern w:val="0"/>
                          </w:rPr>
                          <w:t>探测器安装</w:t>
                        </w:r>
                      </w:p>
                    </w:txbxContent>
                  </v:textbox>
                </v:rect>
                <v:rect id="Rectangle 88" o:spid="_x0000_s1026" o:spt="1" style="position:absolute;left:12;top:602;height:1013;width:1260;" fillcolor="#FFFFFF" filled="t" stroked="t" coordsize="21600,21600" o:gfxdata="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NM&#10;ZUn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2.3mm,2.54mm,1.27mm">
                    <w:txbxContent>
                      <w:p w14:paraId="33D9A753">
                        <w:pPr>
                          <w:ind w:left="105" w:hanging="105"/>
                        </w:pPr>
                        <w:r>
                          <w:rPr>
                            <w:rFonts w:hint="eastAsia"/>
                            <w:szCs w:val="21"/>
                          </w:rPr>
                          <w:t>钢管、金属线槽及线缆敷设</w:t>
                        </w:r>
                      </w:p>
                    </w:txbxContent>
                  </v:textbox>
                </v:rect>
                <v:rect id="Rectangle 89" o:spid="_x0000_s1026" o:spt="1" style="position:absolute;left:2278;top:761;height:723;width:2014;v-text-anchor:middle;" fillcolor="#FFFFFF" filled="t" stroked="t" coordsize="21600,21600" o:gfxdata="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Z/nF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30E962A8">
                        <w:pPr>
                          <w:ind w:left="105" w:hanging="105"/>
                          <w:jc w:val="center"/>
                          <w:rPr>
                            <w:rFonts w:ascii="宋体" w:hAnsi="宋体"/>
                            <w:spacing w:val="-10"/>
                            <w:kern w:val="0"/>
                          </w:rPr>
                        </w:pPr>
                        <w:r>
                          <w:rPr>
                            <w:rFonts w:hint="eastAsia" w:ascii="宋体" w:hAnsi="宋体"/>
                            <w:kern w:val="0"/>
                          </w:rPr>
                          <w:t>手动火灾及消火栓报警按钮安装</w:t>
                        </w:r>
                      </w:p>
                    </w:txbxContent>
                  </v:textbox>
                </v:rect>
                <v:rect id="Rectangle 90" o:spid="_x0000_s1026" o:spt="1" style="position:absolute;left:2278;top:1711;height:624;width:2014;" fillcolor="#FFFFFF" filled="t" stroked="t" coordsize="21600,21600" o:gfxdata="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Me&#10;2c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2.3mm,2.54mm,1.27mm">
                    <w:txbxContent>
                      <w:p w14:paraId="6E88E78B">
                        <w:pPr>
                          <w:ind w:left="95" w:hanging="95"/>
                          <w:jc w:val="center"/>
                        </w:pPr>
                        <w:r>
                          <w:rPr>
                            <w:rFonts w:hint="eastAsia" w:ascii="宋体" w:hAnsi="宋体"/>
                            <w:spacing w:val="-10"/>
                            <w:kern w:val="0"/>
                          </w:rPr>
                          <w:t>端子箱及模块安装</w:t>
                        </w:r>
                      </w:p>
                    </w:txbxContent>
                  </v:textbox>
                </v:rect>
                <v:rect id="Rectangle 91" o:spid="_x0000_s1026" o:spt="1" style="position:absolute;left:5517;top:804;height:624;width:1800;" fillcolor="#FFFFFF" filled="t" stroked="t" coordsize="21600,21600" o:gfxdata="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tg&#10;ZQjCAAAA4g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2.3mm,2.54mm,1.27mm">
                    <w:txbxContent>
                      <w:p w14:paraId="31034700">
                        <w:pPr>
                          <w:ind w:left="105" w:hanging="105"/>
                          <w:jc w:val="center"/>
                        </w:pPr>
                        <w:r>
                          <w:rPr>
                            <w:rFonts w:hint="eastAsia"/>
                          </w:rPr>
                          <w:t>控制主机安装</w:t>
                        </w:r>
                      </w:p>
                    </w:txbxContent>
                  </v:textbox>
                </v:rect>
                <v:rect id="Rectangle 91" o:spid="_x0000_s1026" o:spt="1" style="position:absolute;left:45;top:2606;height:624;width:1800;" fillcolor="#FFFFFF" filled="t" stroked="t" coordsize="21600,21600" o:gfxdata="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LCTZ&#10;wAAAAOI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2.54mm,2.3mm,2.54mm,1.27mm">
                    <w:txbxContent>
                      <w:p w14:paraId="34511D34">
                        <w:pPr>
                          <w:ind w:left="105" w:hanging="105"/>
                          <w:jc w:val="center"/>
                        </w:pPr>
                        <w:r>
                          <w:rPr>
                            <w:rFonts w:hint="eastAsia"/>
                          </w:rPr>
                          <w:t>系统调试</w:t>
                        </w:r>
                      </w:p>
                    </w:txbxContent>
                  </v:textbox>
                </v:rect>
                <v:rect id="Rectangle 91" o:spid="_x0000_s1026" o:spt="1" style="position:absolute;left:2993;top:2606;height:624;width:1800;" fillcolor="#FFFFFF" filled="t" stroked="t" coordsize="21600,21600" o:gfxdata="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oaF5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1BA04A88">
                        <w:pPr>
                          <w:ind w:left="105" w:hanging="105"/>
                          <w:jc w:val="center"/>
                        </w:pPr>
                        <w:r>
                          <w:rPr>
                            <w:rFonts w:hint="eastAsia"/>
                          </w:rPr>
                          <w:t>系统测试</w:t>
                        </w:r>
                      </w:p>
                    </w:txbxContent>
                  </v:textbox>
                </v:rect>
                <v:line id="Line 86" o:spid="_x0000_s1026" o:spt="20" style="position:absolute;left:1845;top:2918;height:0;width:1148;" filled="f" stroked="t" coordsize="21600,21600" o:gfxdata="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mYBm8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w10:wrap type="none"/>
                <w10:anchorlock/>
              </v:group>
            </w:pict>
          </mc:Fallback>
        </mc:AlternateContent>
      </w:r>
    </w:p>
    <w:p w14:paraId="37E7743C">
      <w:pPr>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图18.3.1   火灾自动报警系统施工工艺流程图</w:t>
      </w:r>
    </w:p>
    <w:p w14:paraId="7F570529">
      <w:pPr>
        <w:pStyle w:val="172"/>
        <w:spacing w:line="330" w:lineRule="exact"/>
        <w:rPr>
          <w:b/>
          <w:bCs/>
        </w:rPr>
      </w:pPr>
      <w:r>
        <w:rPr>
          <w:szCs w:val="21"/>
        </w:rPr>
        <w:t>18.3.2 钢管、金属线槽及线缆敷</w:t>
      </w:r>
      <w:r>
        <w:t>应</w:t>
      </w:r>
      <w:r>
        <w:rPr>
          <w:rFonts w:hint="eastAsia"/>
        </w:rPr>
        <w:t>按本规程第八章“综合布线系统”有关规定</w:t>
      </w:r>
      <w:r>
        <w:t>进行施工，</w:t>
      </w:r>
      <w:r>
        <w:rPr>
          <w:rFonts w:hint="eastAsia"/>
        </w:rPr>
        <w:t>并</w:t>
      </w:r>
      <w:r>
        <w:t>应符合下列规定：</w:t>
      </w:r>
    </w:p>
    <w:p w14:paraId="486E0289">
      <w:pPr>
        <w:pStyle w:val="164"/>
        <w:numPr>
          <w:ilvl w:val="0"/>
          <w:numId w:val="197"/>
        </w:numPr>
        <w:spacing w:line="330" w:lineRule="exact"/>
        <w:ind w:left="0" w:firstLine="420"/>
        <w:rPr>
          <w:rFonts w:eastAsiaTheme="minorEastAsia"/>
        </w:rPr>
      </w:pPr>
      <w:r>
        <w:rPr>
          <w:rFonts w:eastAsiaTheme="minorEastAsia"/>
        </w:rPr>
        <w:t>火灾自动报警系统线缆敷设</w:t>
      </w:r>
      <w:r>
        <w:rPr>
          <w:rFonts w:hint="eastAsia" w:eastAsiaTheme="minorEastAsia"/>
        </w:rPr>
        <w:t>前应</w:t>
      </w:r>
      <w:r>
        <w:rPr>
          <w:rFonts w:eastAsiaTheme="minorEastAsia"/>
        </w:rPr>
        <w:t>检查线缆种类、电压等级。</w:t>
      </w:r>
    </w:p>
    <w:p w14:paraId="3F64195C">
      <w:pPr>
        <w:pStyle w:val="164"/>
        <w:numPr>
          <w:ilvl w:val="0"/>
          <w:numId w:val="197"/>
        </w:numPr>
        <w:spacing w:line="330" w:lineRule="exact"/>
        <w:ind w:left="0" w:firstLine="420"/>
        <w:rPr>
          <w:rFonts w:eastAsiaTheme="minorEastAsia"/>
        </w:rPr>
      </w:pPr>
      <w:r>
        <w:rPr>
          <w:rFonts w:eastAsiaTheme="minorEastAsia"/>
        </w:rPr>
        <w:t>每回路导线</w:t>
      </w:r>
      <w:r>
        <w:rPr>
          <w:rFonts w:hint="eastAsia" w:eastAsiaTheme="minorEastAsia"/>
        </w:rPr>
        <w:t>应使</w:t>
      </w:r>
      <w:r>
        <w:rPr>
          <w:rFonts w:eastAsiaTheme="minorEastAsia"/>
        </w:rPr>
        <w:t>用250V兆欧表测绝缘电阻，</w:t>
      </w:r>
      <w:r>
        <w:rPr>
          <w:rFonts w:hint="eastAsia" w:eastAsiaTheme="minorEastAsia"/>
        </w:rPr>
        <w:t>电阻值应</w:t>
      </w:r>
      <w:r>
        <w:rPr>
          <w:rFonts w:eastAsiaTheme="minorEastAsia"/>
        </w:rPr>
        <w:t>≥20MΩ。</w:t>
      </w:r>
    </w:p>
    <w:p w14:paraId="7E2DC538">
      <w:pPr>
        <w:pStyle w:val="164"/>
        <w:numPr>
          <w:ilvl w:val="0"/>
          <w:numId w:val="197"/>
        </w:numPr>
        <w:spacing w:line="330" w:lineRule="exact"/>
        <w:ind w:left="0" w:firstLine="420"/>
        <w:rPr>
          <w:rFonts w:eastAsiaTheme="minorEastAsia"/>
        </w:rPr>
      </w:pPr>
      <w:r>
        <w:rPr>
          <w:rFonts w:eastAsiaTheme="minorEastAsia"/>
        </w:rPr>
        <w:t>不同类型、系统、电压等级的消防报警线路不</w:t>
      </w:r>
      <w:r>
        <w:rPr>
          <w:rFonts w:hint="eastAsia" w:eastAsiaTheme="minorEastAsia"/>
        </w:rPr>
        <w:t>能</w:t>
      </w:r>
      <w:r>
        <w:rPr>
          <w:rFonts w:eastAsiaTheme="minorEastAsia"/>
        </w:rPr>
        <w:t>穿同一管或槽孔。</w:t>
      </w:r>
    </w:p>
    <w:p w14:paraId="3CF3FDA4">
      <w:pPr>
        <w:pStyle w:val="164"/>
        <w:numPr>
          <w:ilvl w:val="0"/>
          <w:numId w:val="197"/>
        </w:numPr>
        <w:spacing w:line="330" w:lineRule="exact"/>
        <w:ind w:left="0" w:firstLine="420"/>
        <w:rPr>
          <w:rFonts w:eastAsiaTheme="minorEastAsia"/>
        </w:rPr>
      </w:pPr>
      <w:r>
        <w:rPr>
          <w:rFonts w:eastAsiaTheme="minorEastAsia"/>
        </w:rPr>
        <w:t>埋入非燃烧体的电线保护管与墙面距离</w:t>
      </w:r>
      <w:r>
        <w:rPr>
          <w:rFonts w:hint="eastAsia" w:eastAsiaTheme="minorEastAsia"/>
        </w:rPr>
        <w:t>应</w:t>
      </w:r>
      <w:r>
        <w:rPr>
          <w:rFonts w:eastAsiaTheme="minorEastAsia"/>
        </w:rPr>
        <w:t>≥30mm。</w:t>
      </w:r>
    </w:p>
    <w:p w14:paraId="77563FA3">
      <w:pPr>
        <w:pStyle w:val="164"/>
        <w:numPr>
          <w:ilvl w:val="0"/>
          <w:numId w:val="197"/>
        </w:numPr>
        <w:spacing w:line="330" w:lineRule="exact"/>
        <w:ind w:left="0" w:firstLine="420"/>
        <w:rPr>
          <w:rFonts w:eastAsiaTheme="minorEastAsia"/>
        </w:rPr>
      </w:pPr>
      <w:r>
        <w:rPr>
          <w:rFonts w:eastAsiaTheme="minorEastAsia"/>
        </w:rPr>
        <w:t>强电弱电同用一竖井时</w:t>
      </w:r>
      <w:r>
        <w:rPr>
          <w:rFonts w:hint="eastAsia" w:eastAsiaTheme="minorEastAsia"/>
        </w:rPr>
        <w:t>应</w:t>
      </w:r>
      <w:r>
        <w:rPr>
          <w:rFonts w:eastAsiaTheme="minorEastAsia"/>
        </w:rPr>
        <w:t>分别布置在两侧。</w:t>
      </w:r>
    </w:p>
    <w:p w14:paraId="42D43FDC">
      <w:pPr>
        <w:pStyle w:val="164"/>
        <w:numPr>
          <w:ilvl w:val="0"/>
          <w:numId w:val="197"/>
        </w:numPr>
        <w:spacing w:line="330" w:lineRule="exact"/>
        <w:ind w:left="0" w:firstLine="420"/>
        <w:rPr>
          <w:rFonts w:eastAsiaTheme="minorEastAsia"/>
        </w:rPr>
      </w:pPr>
      <w:r>
        <w:rPr>
          <w:rFonts w:hint="eastAsia" w:eastAsiaTheme="minorEastAsia"/>
        </w:rPr>
        <w:t>在建筑物吊顶内使用金属管、线槽，明配时应按要求进行防火保护。</w:t>
      </w:r>
      <w:r>
        <w:rPr>
          <w:rFonts w:eastAsiaTheme="minorEastAsia"/>
        </w:rPr>
        <w:t>。</w:t>
      </w:r>
    </w:p>
    <w:p w14:paraId="63A2A746">
      <w:pPr>
        <w:pStyle w:val="164"/>
        <w:numPr>
          <w:ilvl w:val="0"/>
          <w:numId w:val="197"/>
        </w:numPr>
        <w:spacing w:line="330" w:lineRule="exact"/>
        <w:ind w:left="0" w:firstLine="420"/>
        <w:rPr>
          <w:rFonts w:eastAsiaTheme="minorEastAsia"/>
        </w:rPr>
      </w:pPr>
      <w:r>
        <w:rPr>
          <w:rFonts w:eastAsiaTheme="minorEastAsia"/>
        </w:rPr>
        <w:t>暗装消火栓配管</w:t>
      </w:r>
      <w:r>
        <w:rPr>
          <w:rFonts w:hint="eastAsia" w:eastAsiaTheme="minorEastAsia"/>
        </w:rPr>
        <w:t>应</w:t>
      </w:r>
      <w:r>
        <w:rPr>
          <w:rFonts w:eastAsiaTheme="minorEastAsia"/>
        </w:rPr>
        <w:t>从侧面进线，接线盒不在消火栓箱后侧。</w:t>
      </w:r>
    </w:p>
    <w:p w14:paraId="71F805CA">
      <w:pPr>
        <w:pStyle w:val="164"/>
        <w:numPr>
          <w:ilvl w:val="0"/>
          <w:numId w:val="197"/>
        </w:numPr>
        <w:spacing w:line="330" w:lineRule="exact"/>
        <w:ind w:left="0" w:firstLine="420"/>
        <w:rPr>
          <w:rFonts w:eastAsiaTheme="minorEastAsia"/>
        </w:rPr>
      </w:pPr>
      <w:r>
        <w:rPr>
          <w:rFonts w:eastAsiaTheme="minorEastAsia"/>
        </w:rPr>
        <w:t>传输线路</w:t>
      </w:r>
      <w:r>
        <w:rPr>
          <w:rFonts w:hint="eastAsia" w:eastAsiaTheme="minorEastAsia"/>
        </w:rPr>
        <w:t>应使用</w:t>
      </w:r>
      <w:r>
        <w:rPr>
          <w:rFonts w:eastAsiaTheme="minorEastAsia"/>
        </w:rPr>
        <w:t>铜芯绝缘线或电缆，管线与线槽</w:t>
      </w:r>
      <w:r>
        <w:rPr>
          <w:rFonts w:hint="eastAsia" w:eastAsiaTheme="minorEastAsia"/>
        </w:rPr>
        <w:t>的</w:t>
      </w:r>
      <w:r>
        <w:rPr>
          <w:rFonts w:eastAsiaTheme="minorEastAsia"/>
        </w:rPr>
        <w:t>接地</w:t>
      </w:r>
      <w:r>
        <w:rPr>
          <w:rFonts w:hint="eastAsia" w:eastAsiaTheme="minorEastAsia"/>
        </w:rPr>
        <w:t>、</w:t>
      </w:r>
      <w:r>
        <w:rPr>
          <w:rFonts w:eastAsiaTheme="minorEastAsia"/>
        </w:rPr>
        <w:t>阻燃耐火性能</w:t>
      </w:r>
      <w:r>
        <w:rPr>
          <w:rFonts w:hint="eastAsia" w:eastAsiaTheme="minorEastAsia"/>
        </w:rPr>
        <w:t>应满足设计要求</w:t>
      </w:r>
      <w:r>
        <w:rPr>
          <w:rFonts w:eastAsiaTheme="minorEastAsia"/>
        </w:rPr>
        <w:t>，同一工程中相同用途导线颜色</w:t>
      </w:r>
      <w:r>
        <w:rPr>
          <w:rFonts w:hint="eastAsia" w:eastAsiaTheme="minorEastAsia"/>
        </w:rPr>
        <w:t>应保持</w:t>
      </w:r>
      <w:r>
        <w:rPr>
          <w:rFonts w:eastAsiaTheme="minorEastAsia"/>
        </w:rPr>
        <w:t>一致，接线端子</w:t>
      </w:r>
      <w:r>
        <w:rPr>
          <w:rFonts w:hint="eastAsia" w:eastAsiaTheme="minorEastAsia"/>
        </w:rPr>
        <w:t>应标注</w:t>
      </w:r>
      <w:r>
        <w:rPr>
          <w:rFonts w:eastAsiaTheme="minorEastAsia"/>
        </w:rPr>
        <w:t>标号。</w:t>
      </w:r>
    </w:p>
    <w:p w14:paraId="5302FCA9">
      <w:pPr>
        <w:pStyle w:val="164"/>
        <w:spacing w:before="100" w:after="100" w:line="330" w:lineRule="exact"/>
        <w:ind w:firstLine="0" w:firstLineChars="0"/>
        <w:rPr>
          <w:szCs w:val="21"/>
        </w:rPr>
      </w:pPr>
      <w:r>
        <w:rPr>
          <w:szCs w:val="21"/>
        </w:rPr>
        <w:t>18.3.3 火灾探测器安装应符合下列规定：</w:t>
      </w:r>
    </w:p>
    <w:p w14:paraId="07AFC85A">
      <w:pPr>
        <w:pStyle w:val="164"/>
        <w:numPr>
          <w:ilvl w:val="0"/>
          <w:numId w:val="198"/>
        </w:numPr>
        <w:spacing w:line="330" w:lineRule="exact"/>
        <w:ind w:left="0" w:firstLine="420"/>
        <w:rPr>
          <w:rFonts w:eastAsiaTheme="minorEastAsia"/>
        </w:rPr>
      </w:pPr>
      <w:r>
        <w:rPr>
          <w:rFonts w:hint="eastAsia" w:eastAsiaTheme="minorEastAsia"/>
        </w:rPr>
        <w:t>应</w:t>
      </w:r>
      <w:r>
        <w:rPr>
          <w:rFonts w:eastAsiaTheme="minorEastAsia"/>
        </w:rPr>
        <w:t>安装牢固，灯朝向正确</w:t>
      </w:r>
      <w:r>
        <w:rPr>
          <w:rFonts w:hint="eastAsia" w:eastAsiaTheme="minorEastAsia"/>
        </w:rPr>
        <w:t>，</w:t>
      </w:r>
      <w:r>
        <w:rPr>
          <w:rFonts w:eastAsiaTheme="minorEastAsia"/>
        </w:rPr>
        <w:t>配件</w:t>
      </w:r>
      <w:r>
        <w:rPr>
          <w:rFonts w:hint="eastAsia" w:eastAsiaTheme="minorEastAsia"/>
        </w:rPr>
        <w:t>应</w:t>
      </w:r>
      <w:r>
        <w:rPr>
          <w:rFonts w:eastAsiaTheme="minorEastAsia"/>
        </w:rPr>
        <w:t>齐全</w:t>
      </w:r>
      <w:r>
        <w:rPr>
          <w:rFonts w:hint="eastAsia" w:eastAsiaTheme="minorEastAsia"/>
        </w:rPr>
        <w:t>、</w:t>
      </w:r>
      <w:r>
        <w:rPr>
          <w:rFonts w:eastAsiaTheme="minorEastAsia"/>
        </w:rPr>
        <w:t>无损伤变形和破损现象。</w:t>
      </w:r>
    </w:p>
    <w:p w14:paraId="7DA5E043">
      <w:pPr>
        <w:pStyle w:val="164"/>
        <w:numPr>
          <w:ilvl w:val="0"/>
          <w:numId w:val="198"/>
        </w:numPr>
        <w:spacing w:line="330" w:lineRule="exact"/>
        <w:ind w:left="0" w:firstLine="420"/>
        <w:rPr>
          <w:rFonts w:eastAsiaTheme="minorEastAsia"/>
        </w:rPr>
      </w:pPr>
      <w:r>
        <w:rPr>
          <w:rFonts w:eastAsiaTheme="minorEastAsia"/>
        </w:rPr>
        <w:t>导线连接应可靠压接或焊接，并应有标志，外接导线应有余量。</w:t>
      </w:r>
    </w:p>
    <w:p w14:paraId="182C6FC4">
      <w:pPr>
        <w:pStyle w:val="164"/>
        <w:numPr>
          <w:ilvl w:val="0"/>
          <w:numId w:val="198"/>
        </w:numPr>
        <w:spacing w:line="330" w:lineRule="exact"/>
        <w:ind w:left="0" w:firstLine="420"/>
        <w:rPr>
          <w:rFonts w:eastAsiaTheme="minorEastAsia"/>
        </w:rPr>
      </w:pPr>
      <w:r>
        <w:rPr>
          <w:rFonts w:eastAsiaTheme="minorEastAsia"/>
        </w:rPr>
        <w:t>安装位置应</w:t>
      </w:r>
      <w:r>
        <w:rPr>
          <w:rFonts w:hint="eastAsia" w:eastAsiaTheme="minorEastAsia"/>
        </w:rPr>
        <w:t>符合</w:t>
      </w:r>
      <w:r>
        <w:rPr>
          <w:rFonts w:eastAsiaTheme="minorEastAsia"/>
        </w:rPr>
        <w:t>保护半径、保护面积要求</w:t>
      </w:r>
      <w:r>
        <w:rPr>
          <w:rFonts w:hint="eastAsia" w:eastAsiaTheme="minorEastAsia"/>
        </w:rPr>
        <w:t>，</w:t>
      </w:r>
      <w:r>
        <w:rPr>
          <w:rFonts w:eastAsiaTheme="minorEastAsia"/>
        </w:rPr>
        <w:t>宜水平安装，当应倾斜安装时，倾斜角不应大于45°。</w:t>
      </w:r>
    </w:p>
    <w:p w14:paraId="7BC86A19">
      <w:pPr>
        <w:pStyle w:val="164"/>
        <w:numPr>
          <w:ilvl w:val="0"/>
          <w:numId w:val="198"/>
        </w:numPr>
        <w:spacing w:line="330" w:lineRule="exact"/>
        <w:ind w:left="0" w:firstLine="420"/>
        <w:rPr>
          <w:rFonts w:eastAsiaTheme="minorEastAsia"/>
        </w:rPr>
      </w:pPr>
      <w:r>
        <w:rPr>
          <w:rFonts w:eastAsiaTheme="minorEastAsia"/>
        </w:rPr>
        <w:t>底座应固定可靠，在吊顶上安装方</w:t>
      </w:r>
      <w:r>
        <w:rPr>
          <w:rFonts w:hint="eastAsia" w:eastAsiaTheme="minorEastAsia"/>
        </w:rPr>
        <w:t>法</w:t>
      </w:r>
      <w:r>
        <w:rPr>
          <w:rFonts w:eastAsiaTheme="minorEastAsia"/>
        </w:rPr>
        <w:t>图</w:t>
      </w:r>
      <w:r>
        <w:rPr>
          <w:szCs w:val="21"/>
        </w:rPr>
        <w:t>18</w:t>
      </w:r>
      <w:r>
        <w:rPr>
          <w:rFonts w:eastAsiaTheme="minorEastAsia"/>
        </w:rPr>
        <w:t>.3.3-1、图</w:t>
      </w:r>
      <w:r>
        <w:rPr>
          <w:szCs w:val="21"/>
        </w:rPr>
        <w:t>18</w:t>
      </w:r>
      <w:r>
        <w:rPr>
          <w:rFonts w:eastAsiaTheme="minorEastAsia"/>
        </w:rPr>
        <w:t>.3.3-2</w:t>
      </w:r>
      <w:r>
        <w:rPr>
          <w:rFonts w:hint="eastAsia" w:eastAsiaTheme="minorEastAsia"/>
        </w:rPr>
        <w:t>，</w:t>
      </w:r>
      <w:r>
        <w:rPr>
          <w:rFonts w:eastAsiaTheme="minorEastAsia"/>
        </w:rPr>
        <w:t>底座的穿线孔宜封堵，安装时应采取保护</w:t>
      </w:r>
      <w:r>
        <w:rPr>
          <w:rFonts w:hint="eastAsia" w:eastAsiaTheme="minorEastAsia"/>
        </w:rPr>
        <w:t>措施</w:t>
      </w:r>
      <w:r>
        <w:rPr>
          <w:rFonts w:eastAsiaTheme="minorEastAsia"/>
        </w:rPr>
        <w:t xml:space="preserve"> （如装上防护罩）。</w:t>
      </w:r>
    </w:p>
    <w:p w14:paraId="529B2E40">
      <w:pPr>
        <w:ind w:firstLineChars="0"/>
        <w:jc w:val="center"/>
        <w:rPr>
          <w:rFonts w:ascii="Times New Roman" w:hAnsi="Times New Roman" w:eastAsiaTheme="minorEastAsia"/>
        </w:rPr>
      </w:pPr>
      <w:r>
        <w:rPr>
          <w:rFonts w:ascii="Times New Roman" w:hAnsi="Times New Roman"/>
        </w:rPr>
        <w:drawing>
          <wp:inline distT="0" distB="0" distL="0" distR="0">
            <wp:extent cx="2254250" cy="17145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a:stretch>
                      <a:fillRect/>
                    </a:stretch>
                  </pic:blipFill>
                  <pic:spPr>
                    <a:xfrm>
                      <a:off x="0" y="0"/>
                      <a:ext cx="2261270" cy="1719839"/>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0" distR="0">
            <wp:extent cx="2811145" cy="154305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stretch>
                      <a:fillRect/>
                    </a:stretch>
                  </pic:blipFill>
                  <pic:spPr>
                    <a:xfrm>
                      <a:off x="0" y="0"/>
                      <a:ext cx="2825599" cy="1550725"/>
                    </a:xfrm>
                    <a:prstGeom prst="rect">
                      <a:avLst/>
                    </a:prstGeom>
                  </pic:spPr>
                </pic:pic>
              </a:graphicData>
            </a:graphic>
          </wp:inline>
        </w:drawing>
      </w:r>
    </w:p>
    <w:p w14:paraId="264A401E">
      <w:pPr>
        <w:spacing w:line="330" w:lineRule="exact"/>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w:t>
      </w:r>
      <w:r>
        <w:rPr>
          <w:rFonts w:ascii="Times New Roman" w:hAnsi="Times New Roman"/>
          <w:szCs w:val="21"/>
        </w:rPr>
        <w:t>18</w:t>
      </w:r>
      <w:r>
        <w:rPr>
          <w:rFonts w:ascii="Times New Roman" w:hAnsi="Times New Roman" w:eastAsiaTheme="minorEastAsia"/>
          <w:sz w:val="20"/>
          <w:szCs w:val="21"/>
        </w:rPr>
        <w:t>.3.3-1   探测器在吊顶上安装方法一  图</w:t>
      </w:r>
      <w:r>
        <w:rPr>
          <w:rFonts w:ascii="Times New Roman" w:hAnsi="Times New Roman"/>
          <w:szCs w:val="21"/>
        </w:rPr>
        <w:t>18</w:t>
      </w:r>
      <w:r>
        <w:rPr>
          <w:rFonts w:ascii="Times New Roman" w:hAnsi="Times New Roman" w:eastAsiaTheme="minorEastAsia"/>
          <w:sz w:val="20"/>
          <w:szCs w:val="21"/>
        </w:rPr>
        <w:t>.3.3-2   探测器在吊顶上安装方法二</w:t>
      </w:r>
    </w:p>
    <w:p w14:paraId="098A83D6">
      <w:pPr>
        <w:pStyle w:val="164"/>
        <w:numPr>
          <w:ilvl w:val="0"/>
          <w:numId w:val="198"/>
        </w:numPr>
        <w:spacing w:line="330" w:lineRule="exact"/>
        <w:ind w:left="0" w:firstLine="420"/>
        <w:rPr>
          <w:rFonts w:eastAsiaTheme="minorEastAsia"/>
        </w:rPr>
      </w:pPr>
      <w:r>
        <w:rPr>
          <w:rFonts w:eastAsiaTheme="minorEastAsia"/>
        </w:rPr>
        <w:t>连接导线必领可靠压接或焊接，当采用焊接时不得使用带腐蚀性的助骨制，外接导线应有0.15m的余量，入端处应有明整标志。</w:t>
      </w:r>
    </w:p>
    <w:p w14:paraId="21F0606B">
      <w:pPr>
        <w:pStyle w:val="164"/>
        <w:numPr>
          <w:ilvl w:val="0"/>
          <w:numId w:val="198"/>
        </w:numPr>
        <w:spacing w:line="330" w:lineRule="exact"/>
        <w:ind w:left="0" w:firstLine="420"/>
        <w:rPr>
          <w:rFonts w:eastAsiaTheme="minorEastAsia"/>
        </w:rPr>
      </w:pPr>
      <w:r>
        <w:rPr>
          <w:rFonts w:eastAsiaTheme="minorEastAsia"/>
        </w:rPr>
        <w:t>确认灯应面向便于人员观察的主要入口方向。</w:t>
      </w:r>
    </w:p>
    <w:p w14:paraId="74D176B8">
      <w:pPr>
        <w:pStyle w:val="164"/>
        <w:numPr>
          <w:ilvl w:val="0"/>
          <w:numId w:val="198"/>
        </w:numPr>
        <w:spacing w:line="330" w:lineRule="exact"/>
        <w:ind w:left="0" w:firstLine="420"/>
        <w:rPr>
          <w:rFonts w:eastAsiaTheme="minorEastAsia"/>
        </w:rPr>
      </w:pPr>
      <w:r>
        <w:rPr>
          <w:rFonts w:eastAsiaTheme="minorEastAsia"/>
        </w:rPr>
        <w:t>在电梯井、升降机井</w:t>
      </w:r>
      <w:r>
        <w:rPr>
          <w:rFonts w:hint="eastAsia" w:eastAsiaTheme="minorEastAsia"/>
        </w:rPr>
        <w:t>安装</w:t>
      </w:r>
      <w:r>
        <w:rPr>
          <w:rFonts w:eastAsiaTheme="minorEastAsia"/>
        </w:rPr>
        <w:t>探测器时</w:t>
      </w:r>
      <w:r>
        <w:rPr>
          <w:rFonts w:hint="eastAsia" w:eastAsiaTheme="minorEastAsia"/>
        </w:rPr>
        <w:t>，</w:t>
      </w:r>
      <w:r>
        <w:rPr>
          <w:rFonts w:eastAsiaTheme="minorEastAsia"/>
        </w:rPr>
        <w:t>宜</w:t>
      </w:r>
      <w:r>
        <w:rPr>
          <w:rFonts w:hint="eastAsia" w:eastAsiaTheme="minorEastAsia"/>
        </w:rPr>
        <w:t>安装</w:t>
      </w:r>
      <w:r>
        <w:rPr>
          <w:rFonts w:eastAsiaTheme="minorEastAsia"/>
        </w:rPr>
        <w:t>在井道上方的机房顶棚上。</w:t>
      </w:r>
    </w:p>
    <w:p w14:paraId="22C4540D">
      <w:pPr>
        <w:pStyle w:val="164"/>
        <w:numPr>
          <w:ilvl w:val="0"/>
          <w:numId w:val="198"/>
        </w:numPr>
        <w:spacing w:line="330" w:lineRule="exact"/>
        <w:ind w:left="0" w:firstLine="420"/>
        <w:rPr>
          <w:rFonts w:eastAsiaTheme="minorEastAsia"/>
        </w:rPr>
      </w:pPr>
      <w:r>
        <w:rPr>
          <w:rFonts w:eastAsiaTheme="minorEastAsia"/>
        </w:rPr>
        <w:t>至墙壁、梁边的水平距离应</w:t>
      </w:r>
      <w:r>
        <w:rPr>
          <w:rFonts w:hint="eastAsia" w:eastAsiaTheme="minorEastAsia"/>
        </w:rPr>
        <w:t>≥</w:t>
      </w:r>
      <w:r>
        <w:rPr>
          <w:rFonts w:eastAsiaTheme="minorEastAsia"/>
        </w:rPr>
        <w:t>0. 5m（如图</w:t>
      </w:r>
      <w:r>
        <w:rPr>
          <w:szCs w:val="21"/>
        </w:rPr>
        <w:t>18</w:t>
      </w:r>
      <w:r>
        <w:rPr>
          <w:rFonts w:eastAsiaTheme="minorEastAsia"/>
        </w:rPr>
        <w:t>.3.3-3）。</w:t>
      </w:r>
    </w:p>
    <w:p w14:paraId="60D93D14">
      <w:pPr>
        <w:ind w:firstLineChars="0"/>
        <w:jc w:val="center"/>
        <w:rPr>
          <w:rFonts w:ascii="Times New Roman" w:hAnsi="Times New Roman" w:eastAsiaTheme="minorEastAsia"/>
        </w:rPr>
      </w:pPr>
      <w:r>
        <w:rPr>
          <w:rFonts w:ascii="Times New Roman" w:hAnsi="Times New Roman"/>
        </w:rPr>
        <w:drawing>
          <wp:inline distT="0" distB="0" distL="0" distR="0">
            <wp:extent cx="3524250" cy="1971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a:stretch>
                      <a:fillRect/>
                    </a:stretch>
                  </pic:blipFill>
                  <pic:spPr>
                    <a:xfrm>
                      <a:off x="0" y="0"/>
                      <a:ext cx="3546920" cy="1984174"/>
                    </a:xfrm>
                    <a:prstGeom prst="rect">
                      <a:avLst/>
                    </a:prstGeom>
                  </pic:spPr>
                </pic:pic>
              </a:graphicData>
            </a:graphic>
          </wp:inline>
        </w:drawing>
      </w:r>
    </w:p>
    <w:p w14:paraId="0909179D">
      <w:pPr>
        <w:spacing w:line="330" w:lineRule="exact"/>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w:t>
      </w:r>
      <w:r>
        <w:rPr>
          <w:rFonts w:ascii="Times New Roman" w:hAnsi="Times New Roman"/>
          <w:szCs w:val="21"/>
        </w:rPr>
        <w:t>18</w:t>
      </w:r>
      <w:r>
        <w:rPr>
          <w:rFonts w:ascii="Times New Roman" w:hAnsi="Times New Roman" w:eastAsiaTheme="minorEastAsia"/>
          <w:sz w:val="20"/>
          <w:szCs w:val="21"/>
        </w:rPr>
        <w:t>.3.3-3   探测器距墙、距梁安装位置图</w:t>
      </w:r>
    </w:p>
    <w:p w14:paraId="4E8AD9B1">
      <w:pPr>
        <w:pStyle w:val="164"/>
        <w:numPr>
          <w:ilvl w:val="0"/>
          <w:numId w:val="198"/>
        </w:numPr>
        <w:spacing w:line="330" w:lineRule="exact"/>
        <w:ind w:left="0" w:firstLine="420"/>
        <w:rPr>
          <w:rFonts w:eastAsiaTheme="minorEastAsia"/>
        </w:rPr>
      </w:pPr>
      <w:r>
        <w:rPr>
          <w:rFonts w:eastAsiaTheme="minorEastAsia"/>
        </w:rPr>
        <w:t>周围0.5m内，不应有遮挡物</w:t>
      </w:r>
      <w:r>
        <w:rPr>
          <w:rFonts w:hint="eastAsia" w:eastAsiaTheme="minorEastAsia"/>
        </w:rPr>
        <w:t>，</w:t>
      </w:r>
      <w:r>
        <w:rPr>
          <w:rFonts w:eastAsiaTheme="minorEastAsia"/>
        </w:rPr>
        <w:t>空调送风口边的水平距离应</w:t>
      </w:r>
      <w:r>
        <w:rPr>
          <w:rFonts w:hint="eastAsia" w:eastAsiaTheme="minorEastAsia"/>
        </w:rPr>
        <w:t>≥</w:t>
      </w:r>
      <w:r>
        <w:rPr>
          <w:rFonts w:eastAsiaTheme="minorEastAsia"/>
        </w:rPr>
        <w:t>1. 5m；至多孔送风顶棚孔口的水平距离应</w:t>
      </w:r>
      <w:r>
        <w:rPr>
          <w:rFonts w:hint="eastAsia" w:eastAsiaTheme="minorEastAsia"/>
        </w:rPr>
        <w:t>≥</w:t>
      </w:r>
      <w:r>
        <w:rPr>
          <w:rFonts w:eastAsiaTheme="minorEastAsia"/>
        </w:rPr>
        <w:t>0.5m。</w:t>
      </w:r>
    </w:p>
    <w:p w14:paraId="3FCE4852">
      <w:pPr>
        <w:pStyle w:val="164"/>
        <w:numPr>
          <w:ilvl w:val="0"/>
          <w:numId w:val="198"/>
        </w:numPr>
        <w:spacing w:line="330" w:lineRule="exact"/>
        <w:ind w:left="0" w:firstLine="420"/>
        <w:rPr>
          <w:rFonts w:eastAsiaTheme="minorEastAsia"/>
        </w:rPr>
      </w:pPr>
      <w:r>
        <w:rPr>
          <w:rFonts w:eastAsiaTheme="minorEastAsia"/>
        </w:rPr>
        <w:t>在宽度小于3m的内走道顶棚上设置探测器时，宜居中布置。感温探测器的安装间距不应超过10m；烟</w:t>
      </w:r>
      <w:r>
        <w:rPr>
          <w:rFonts w:hint="eastAsia" w:eastAsiaTheme="minorEastAsia"/>
        </w:rPr>
        <w:t>感</w:t>
      </w:r>
      <w:r>
        <w:rPr>
          <w:rFonts w:eastAsiaTheme="minorEastAsia"/>
        </w:rPr>
        <w:t>探测器的安装间距不应超过15m。探测器距端墙的距离不应大于探测器安装间距的一半（如图</w:t>
      </w:r>
      <w:r>
        <w:rPr>
          <w:szCs w:val="21"/>
        </w:rPr>
        <w:t>18</w:t>
      </w:r>
      <w:r>
        <w:rPr>
          <w:rFonts w:eastAsiaTheme="minorEastAsia"/>
        </w:rPr>
        <w:t>.3.3-4所示）。</w:t>
      </w:r>
    </w:p>
    <w:p w14:paraId="67B956A4">
      <w:pPr>
        <w:ind w:firstLineChars="0"/>
        <w:jc w:val="center"/>
        <w:rPr>
          <w:rFonts w:ascii="Times New Roman" w:hAnsi="Times New Roman" w:eastAsiaTheme="minorEastAsia"/>
        </w:rPr>
      </w:pPr>
      <w:r>
        <w:rPr>
          <w:rFonts w:ascii="Times New Roman" w:hAnsi="Times New Roman"/>
        </w:rPr>
        <w:drawing>
          <wp:inline distT="0" distB="0" distL="0" distR="0">
            <wp:extent cx="3457575" cy="2484755"/>
            <wp:effectExtent l="0" t="0" r="952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3464477" cy="2489819"/>
                    </a:xfrm>
                    <a:prstGeom prst="rect">
                      <a:avLst/>
                    </a:prstGeom>
                  </pic:spPr>
                </pic:pic>
              </a:graphicData>
            </a:graphic>
          </wp:inline>
        </w:drawing>
      </w:r>
    </w:p>
    <w:p w14:paraId="4C3DBE26">
      <w:pPr>
        <w:spacing w:line="330" w:lineRule="exact"/>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w:t>
      </w:r>
      <w:r>
        <w:rPr>
          <w:rFonts w:ascii="Times New Roman" w:hAnsi="Times New Roman"/>
          <w:szCs w:val="21"/>
        </w:rPr>
        <w:t>18</w:t>
      </w:r>
      <w:r>
        <w:rPr>
          <w:rFonts w:ascii="Times New Roman" w:hAnsi="Times New Roman" w:eastAsiaTheme="minorEastAsia"/>
          <w:sz w:val="20"/>
          <w:szCs w:val="21"/>
        </w:rPr>
        <w:t>.3.3-4   探测器在宽度小于3m的走道布置图</w:t>
      </w:r>
    </w:p>
    <w:p w14:paraId="77B49935">
      <w:pPr>
        <w:pStyle w:val="164"/>
        <w:numPr>
          <w:ilvl w:val="0"/>
          <w:numId w:val="198"/>
        </w:numPr>
        <w:spacing w:line="330" w:lineRule="exact"/>
        <w:ind w:left="0" w:firstLine="420"/>
        <w:rPr>
          <w:rFonts w:eastAsiaTheme="minorEastAsia"/>
        </w:rPr>
      </w:pPr>
      <w:r>
        <w:rPr>
          <w:rFonts w:eastAsiaTheme="minorEastAsia"/>
        </w:rPr>
        <w:t>可燃气体探测器的安装</w:t>
      </w:r>
      <w:r>
        <w:rPr>
          <w:rFonts w:hint="eastAsia" w:eastAsiaTheme="minorEastAsia"/>
        </w:rPr>
        <w:t>应符合下列规定</w:t>
      </w:r>
      <w:r>
        <w:rPr>
          <w:rFonts w:eastAsiaTheme="minorEastAsia"/>
        </w:rPr>
        <w:t>：</w:t>
      </w:r>
    </w:p>
    <w:p w14:paraId="66668B8D">
      <w:pPr>
        <w:pStyle w:val="164"/>
        <w:numPr>
          <w:ilvl w:val="0"/>
          <w:numId w:val="199"/>
        </w:numPr>
        <w:tabs>
          <w:tab w:val="left" w:pos="210"/>
          <w:tab w:val="left" w:pos="567"/>
        </w:tabs>
        <w:spacing w:line="330" w:lineRule="exact"/>
        <w:ind w:firstLine="630" w:firstLineChars="300"/>
        <w:rPr>
          <w:rFonts w:eastAsiaTheme="minorEastAsia"/>
          <w:szCs w:val="21"/>
        </w:rPr>
      </w:pPr>
      <w:r>
        <w:rPr>
          <w:rFonts w:eastAsiaTheme="minorEastAsia"/>
          <w:szCs w:val="21"/>
        </w:rPr>
        <w:t>当探测的可燃气体比空气重时，探测器安装在下部。可燃气体探测器应安装在距煤气灶4m以内，距地面应为0.3m。</w:t>
      </w:r>
    </w:p>
    <w:p w14:paraId="07047F76">
      <w:pPr>
        <w:pStyle w:val="164"/>
        <w:numPr>
          <w:ilvl w:val="0"/>
          <w:numId w:val="199"/>
        </w:numPr>
        <w:tabs>
          <w:tab w:val="left" w:pos="210"/>
          <w:tab w:val="left" w:pos="567"/>
        </w:tabs>
        <w:spacing w:line="330" w:lineRule="exact"/>
        <w:ind w:firstLine="630" w:firstLineChars="300"/>
        <w:rPr>
          <w:rFonts w:eastAsiaTheme="minorEastAsia"/>
          <w:szCs w:val="21"/>
        </w:rPr>
      </w:pPr>
      <w:r>
        <w:rPr>
          <w:rFonts w:eastAsiaTheme="minorEastAsia"/>
          <w:szCs w:val="21"/>
        </w:rPr>
        <w:t>当探测的可燃气体比空气轻时，探测器安装在上部。当梁高</w:t>
      </w:r>
      <w:r>
        <w:rPr>
          <w:rFonts w:hint="eastAsia" w:eastAsiaTheme="minorEastAsia"/>
          <w:szCs w:val="21"/>
        </w:rPr>
        <w:t>＞</w:t>
      </w:r>
      <w:r>
        <w:rPr>
          <w:rFonts w:eastAsiaTheme="minorEastAsia"/>
          <w:szCs w:val="21"/>
        </w:rPr>
        <w:t>0.6m时，探测器应安装在有煤气灶梁的一侧。</w:t>
      </w:r>
    </w:p>
    <w:p w14:paraId="529A802C">
      <w:pPr>
        <w:pStyle w:val="164"/>
        <w:numPr>
          <w:ilvl w:val="0"/>
          <w:numId w:val="199"/>
        </w:numPr>
        <w:tabs>
          <w:tab w:val="left" w:pos="210"/>
          <w:tab w:val="left" w:pos="567"/>
        </w:tabs>
        <w:spacing w:line="330" w:lineRule="exact"/>
        <w:ind w:firstLine="630" w:firstLineChars="300"/>
        <w:rPr>
          <w:rFonts w:eastAsiaTheme="minorEastAsia"/>
          <w:szCs w:val="21"/>
        </w:rPr>
      </w:pPr>
      <w:r>
        <w:rPr>
          <w:rFonts w:eastAsiaTheme="minorEastAsia"/>
          <w:szCs w:val="21"/>
        </w:rPr>
        <w:t>在室内梁上设置可燃气体探测器时，探测器与顶棚距离应在0. 3m以内。</w:t>
      </w:r>
    </w:p>
    <w:p w14:paraId="0C33FB91">
      <w:pPr>
        <w:pStyle w:val="164"/>
        <w:numPr>
          <w:ilvl w:val="0"/>
          <w:numId w:val="198"/>
        </w:numPr>
        <w:spacing w:line="330" w:lineRule="exact"/>
        <w:ind w:left="0" w:firstLine="420"/>
        <w:rPr>
          <w:rFonts w:eastAsiaTheme="minorEastAsia"/>
        </w:rPr>
      </w:pPr>
      <w:r>
        <w:rPr>
          <w:rFonts w:eastAsiaTheme="minorEastAsia"/>
        </w:rPr>
        <w:t>红外光束探测器的安装应符合以下</w:t>
      </w:r>
      <w:r>
        <w:rPr>
          <w:rFonts w:hint="eastAsia" w:eastAsiaTheme="minorEastAsia"/>
        </w:rPr>
        <w:t>规定</w:t>
      </w:r>
      <w:r>
        <w:rPr>
          <w:rFonts w:eastAsiaTheme="minorEastAsia"/>
        </w:rPr>
        <w:t>：</w:t>
      </w:r>
    </w:p>
    <w:p w14:paraId="4146AC83">
      <w:pPr>
        <w:pStyle w:val="164"/>
        <w:numPr>
          <w:ilvl w:val="0"/>
          <w:numId w:val="200"/>
        </w:numPr>
        <w:tabs>
          <w:tab w:val="left" w:pos="210"/>
          <w:tab w:val="left" w:pos="567"/>
        </w:tabs>
        <w:spacing w:line="330" w:lineRule="exact"/>
        <w:ind w:firstLine="630" w:firstLineChars="300"/>
        <w:rPr>
          <w:rFonts w:eastAsiaTheme="minorEastAsia"/>
          <w:szCs w:val="21"/>
        </w:rPr>
      </w:pPr>
      <w:r>
        <w:rPr>
          <w:rFonts w:eastAsiaTheme="minorEastAsia"/>
          <w:szCs w:val="21"/>
        </w:rPr>
        <w:t>发射器和接收器应安装在一条直线上，并保持工作立面平行。</w:t>
      </w:r>
    </w:p>
    <w:p w14:paraId="4F54F854">
      <w:pPr>
        <w:pStyle w:val="164"/>
        <w:numPr>
          <w:ilvl w:val="0"/>
          <w:numId w:val="200"/>
        </w:numPr>
        <w:tabs>
          <w:tab w:val="left" w:pos="210"/>
          <w:tab w:val="left" w:pos="567"/>
        </w:tabs>
        <w:spacing w:line="330" w:lineRule="exact"/>
        <w:ind w:firstLine="630" w:firstLineChars="300"/>
        <w:rPr>
          <w:rFonts w:eastAsiaTheme="minorEastAsia"/>
          <w:szCs w:val="21"/>
        </w:rPr>
      </w:pPr>
      <w:r>
        <w:rPr>
          <w:rFonts w:eastAsiaTheme="minorEastAsia"/>
          <w:szCs w:val="21"/>
        </w:rPr>
        <w:t>光线通路上应避免出现运动物体，不应有遮挡物。</w:t>
      </w:r>
    </w:p>
    <w:p w14:paraId="09C78716">
      <w:pPr>
        <w:pStyle w:val="164"/>
        <w:numPr>
          <w:ilvl w:val="0"/>
          <w:numId w:val="200"/>
        </w:numPr>
        <w:tabs>
          <w:tab w:val="left" w:pos="210"/>
          <w:tab w:val="left" w:pos="567"/>
        </w:tabs>
        <w:spacing w:line="330" w:lineRule="exact"/>
        <w:ind w:firstLine="630" w:firstLineChars="300"/>
        <w:rPr>
          <w:rFonts w:eastAsiaTheme="minorEastAsia"/>
          <w:szCs w:val="21"/>
        </w:rPr>
      </w:pPr>
      <w:r>
        <w:rPr>
          <w:rFonts w:eastAsiaTheme="minorEastAsia"/>
          <w:szCs w:val="21"/>
        </w:rPr>
        <w:t>相邻两组红外光束感烟探测器水平距离</w:t>
      </w:r>
      <w:r>
        <w:rPr>
          <w:rFonts w:hint="eastAsia" w:eastAsiaTheme="minorEastAsia"/>
          <w:szCs w:val="21"/>
        </w:rPr>
        <w:t>应≤</w:t>
      </w:r>
      <w:r>
        <w:rPr>
          <w:rFonts w:eastAsiaTheme="minorEastAsia"/>
          <w:szCs w:val="21"/>
        </w:rPr>
        <w:t>14m, 探测器距侧墙的水平距离</w:t>
      </w:r>
      <w:r>
        <w:rPr>
          <w:rFonts w:hint="eastAsia" w:eastAsiaTheme="minorEastAsia"/>
          <w:szCs w:val="21"/>
        </w:rPr>
        <w:t>应为</w:t>
      </w:r>
      <w:r>
        <w:rPr>
          <w:rFonts w:eastAsiaTheme="minorEastAsia"/>
          <w:szCs w:val="21"/>
        </w:rPr>
        <w:t>0</w:t>
      </w:r>
      <w:r>
        <w:rPr>
          <w:rFonts w:hint="eastAsia" w:eastAsiaTheme="minorEastAsia"/>
          <w:szCs w:val="21"/>
        </w:rPr>
        <w:t>.</w:t>
      </w:r>
      <w:r>
        <w:rPr>
          <w:rFonts w:eastAsiaTheme="minorEastAsia"/>
          <w:szCs w:val="21"/>
        </w:rPr>
        <w:t>5</w:t>
      </w:r>
      <w:r>
        <w:rPr>
          <w:rFonts w:hint="eastAsia" w:eastAsiaTheme="minorEastAsia"/>
          <w:szCs w:val="21"/>
        </w:rPr>
        <w:t>m</w:t>
      </w:r>
      <w:r>
        <w:rPr>
          <w:rFonts w:eastAsiaTheme="minorEastAsia"/>
          <w:szCs w:val="21"/>
        </w:rPr>
        <w:t>~7m</w:t>
      </w:r>
      <w:r>
        <w:rPr>
          <w:rFonts w:hint="eastAsia" w:eastAsiaTheme="minorEastAsia"/>
          <w:szCs w:val="21"/>
        </w:rPr>
        <w:t>之间</w:t>
      </w:r>
      <w:r>
        <w:rPr>
          <w:rFonts w:eastAsiaTheme="minorEastAsia"/>
          <w:szCs w:val="21"/>
        </w:rPr>
        <w:t>。</w:t>
      </w:r>
    </w:p>
    <w:p w14:paraId="4695FEEE">
      <w:pPr>
        <w:pStyle w:val="164"/>
        <w:numPr>
          <w:ilvl w:val="0"/>
          <w:numId w:val="200"/>
        </w:numPr>
        <w:tabs>
          <w:tab w:val="left" w:pos="210"/>
          <w:tab w:val="left" w:pos="567"/>
        </w:tabs>
        <w:spacing w:line="330" w:lineRule="exact"/>
        <w:ind w:firstLine="630" w:firstLineChars="300"/>
        <w:rPr>
          <w:rFonts w:eastAsiaTheme="minorEastAsia"/>
          <w:szCs w:val="21"/>
        </w:rPr>
      </w:pPr>
      <w:r>
        <w:rPr>
          <w:rFonts w:eastAsiaTheme="minorEastAsia"/>
          <w:szCs w:val="21"/>
        </w:rPr>
        <w:t>探测器光束距顶棚</w:t>
      </w:r>
      <w:r>
        <w:rPr>
          <w:rFonts w:hint="eastAsia" w:eastAsiaTheme="minorEastAsia"/>
          <w:szCs w:val="21"/>
        </w:rPr>
        <w:t>应</w:t>
      </w:r>
      <w:r>
        <w:rPr>
          <w:rFonts w:eastAsiaTheme="minorEastAsia"/>
          <w:szCs w:val="21"/>
        </w:rPr>
        <w:t>为0.3</w:t>
      </w:r>
      <w:r>
        <w:rPr>
          <w:rFonts w:hint="eastAsia" w:eastAsiaTheme="minorEastAsia"/>
          <w:szCs w:val="21"/>
        </w:rPr>
        <w:t>m</w:t>
      </w:r>
      <w:r>
        <w:rPr>
          <w:rFonts w:eastAsiaTheme="minorEastAsia"/>
          <w:szCs w:val="21"/>
        </w:rPr>
        <w:t>~0. 8m</w:t>
      </w:r>
      <w:r>
        <w:rPr>
          <w:rFonts w:hint="eastAsia" w:eastAsiaTheme="minorEastAsia"/>
          <w:szCs w:val="21"/>
        </w:rPr>
        <w:t>之间</w:t>
      </w:r>
      <w:r>
        <w:rPr>
          <w:rFonts w:eastAsiaTheme="minorEastAsia"/>
          <w:szCs w:val="21"/>
        </w:rPr>
        <w:t>。</w:t>
      </w:r>
    </w:p>
    <w:p w14:paraId="0361C330">
      <w:pPr>
        <w:pStyle w:val="164"/>
        <w:numPr>
          <w:ilvl w:val="0"/>
          <w:numId w:val="200"/>
        </w:numPr>
        <w:tabs>
          <w:tab w:val="left" w:pos="210"/>
          <w:tab w:val="left" w:pos="567"/>
        </w:tabs>
        <w:spacing w:line="330" w:lineRule="exact"/>
        <w:ind w:firstLine="630" w:firstLineChars="300"/>
        <w:rPr>
          <w:rFonts w:eastAsiaTheme="minorEastAsia"/>
          <w:szCs w:val="21"/>
        </w:rPr>
      </w:pPr>
      <w:r>
        <w:rPr>
          <w:rFonts w:eastAsiaTheme="minorEastAsia"/>
          <w:szCs w:val="21"/>
        </w:rPr>
        <w:t>探测器发出的光束应与顶棚水平，远离强磁场，避免阳光直射，底座应牢固地安装在墙上。</w:t>
      </w:r>
    </w:p>
    <w:p w14:paraId="5889A9EE">
      <w:pPr>
        <w:pStyle w:val="164"/>
        <w:numPr>
          <w:ilvl w:val="0"/>
          <w:numId w:val="198"/>
        </w:numPr>
        <w:spacing w:line="330" w:lineRule="exact"/>
        <w:ind w:left="0" w:firstLine="420"/>
        <w:rPr>
          <w:rFonts w:eastAsiaTheme="minorEastAsia"/>
        </w:rPr>
      </w:pPr>
      <w:r>
        <w:rPr>
          <w:rFonts w:eastAsiaTheme="minorEastAsia"/>
        </w:rPr>
        <w:t>缆式探测器的安装应符合下列规定：</w:t>
      </w:r>
    </w:p>
    <w:p w14:paraId="3448F0B8">
      <w:pPr>
        <w:pStyle w:val="164"/>
        <w:numPr>
          <w:ilvl w:val="0"/>
          <w:numId w:val="201"/>
        </w:numPr>
        <w:tabs>
          <w:tab w:val="left" w:pos="210"/>
          <w:tab w:val="left" w:pos="567"/>
        </w:tabs>
        <w:spacing w:line="330" w:lineRule="exact"/>
        <w:ind w:firstLine="630" w:firstLineChars="300"/>
        <w:rPr>
          <w:rFonts w:eastAsiaTheme="minorEastAsia"/>
          <w:szCs w:val="21"/>
        </w:rPr>
      </w:pPr>
      <w:r>
        <w:rPr>
          <w:rFonts w:eastAsiaTheme="minorEastAsia"/>
          <w:szCs w:val="21"/>
        </w:rPr>
        <w:t>缆式探测器用于监测室内火灾时，可敷设在室内的顶棚上，其线路距顶棚的垂直距离应＜0.5m (如图18.3.3-5所示)。</w:t>
      </w:r>
    </w:p>
    <w:p w14:paraId="6D4793D7">
      <w:pPr>
        <w:pStyle w:val="164"/>
        <w:numPr>
          <w:ilvl w:val="0"/>
          <w:numId w:val="201"/>
        </w:numPr>
        <w:tabs>
          <w:tab w:val="left" w:pos="210"/>
          <w:tab w:val="left" w:pos="567"/>
        </w:tabs>
        <w:spacing w:line="330" w:lineRule="exact"/>
        <w:ind w:firstLine="630" w:firstLineChars="300"/>
        <w:rPr>
          <w:rFonts w:eastAsiaTheme="minorEastAsia"/>
          <w:szCs w:val="21"/>
        </w:rPr>
      </w:pPr>
      <w:r>
        <w:rPr>
          <w:rFonts w:eastAsiaTheme="minorEastAsia"/>
          <w:szCs w:val="21"/>
        </w:rPr>
        <w:t>热敏电缆安装在电缆托架或支架上时，</w:t>
      </w:r>
      <w:r>
        <w:rPr>
          <w:rFonts w:hint="eastAsia" w:eastAsiaTheme="minorEastAsia"/>
          <w:szCs w:val="21"/>
        </w:rPr>
        <w:t>应</w:t>
      </w:r>
      <w:r>
        <w:rPr>
          <w:rFonts w:eastAsiaTheme="minorEastAsia"/>
          <w:szCs w:val="21"/>
        </w:rPr>
        <w:t>紧贴电力电缆或控制电缆的外护套，呈正弦波方式敷设。</w:t>
      </w:r>
    </w:p>
    <w:p w14:paraId="6DFF8681">
      <w:pPr>
        <w:pStyle w:val="164"/>
        <w:numPr>
          <w:ilvl w:val="0"/>
          <w:numId w:val="201"/>
        </w:numPr>
        <w:tabs>
          <w:tab w:val="left" w:pos="210"/>
          <w:tab w:val="left" w:pos="567"/>
        </w:tabs>
        <w:spacing w:line="330" w:lineRule="exact"/>
        <w:ind w:firstLine="630" w:firstLineChars="300"/>
        <w:rPr>
          <w:rFonts w:eastAsiaTheme="minorEastAsia"/>
          <w:szCs w:val="21"/>
        </w:rPr>
      </w:pPr>
      <w:r>
        <w:rPr>
          <w:rFonts w:eastAsiaTheme="minorEastAsia"/>
          <w:szCs w:val="21"/>
        </w:rPr>
        <w:t>热敏电缆敷设在传送带上时，</w:t>
      </w:r>
      <w:r>
        <w:rPr>
          <w:rFonts w:hint="eastAsia" w:eastAsiaTheme="minorEastAsia"/>
          <w:szCs w:val="21"/>
        </w:rPr>
        <w:t>应</w:t>
      </w:r>
      <w:r>
        <w:rPr>
          <w:rFonts w:eastAsiaTheme="minorEastAsia"/>
          <w:szCs w:val="21"/>
        </w:rPr>
        <w:t>借助M形吊线直接敷设于被保护传送带的上方及侧面。</w:t>
      </w:r>
    </w:p>
    <w:p w14:paraId="7ED7F62D">
      <w:pPr>
        <w:pStyle w:val="164"/>
        <w:numPr>
          <w:ilvl w:val="0"/>
          <w:numId w:val="201"/>
        </w:numPr>
        <w:tabs>
          <w:tab w:val="left" w:pos="210"/>
          <w:tab w:val="left" w:pos="567"/>
        </w:tabs>
        <w:spacing w:line="330" w:lineRule="exact"/>
        <w:ind w:firstLine="630" w:firstLineChars="300"/>
        <w:rPr>
          <w:rFonts w:eastAsiaTheme="minorEastAsia"/>
          <w:szCs w:val="21"/>
        </w:rPr>
      </w:pPr>
      <w:r>
        <w:rPr>
          <w:rFonts w:eastAsiaTheme="minorEastAsia"/>
          <w:szCs w:val="21"/>
        </w:rPr>
        <w:t>热敏电缆安装于动力配电装置上时，应与被保护物有良好的接触。</w:t>
      </w:r>
    </w:p>
    <w:p w14:paraId="3E0C0B2B">
      <w:pPr>
        <w:pStyle w:val="164"/>
        <w:numPr>
          <w:ilvl w:val="0"/>
          <w:numId w:val="201"/>
        </w:numPr>
        <w:tabs>
          <w:tab w:val="left" w:pos="210"/>
          <w:tab w:val="left" w:pos="567"/>
        </w:tabs>
        <w:spacing w:line="330" w:lineRule="exact"/>
        <w:ind w:firstLine="630" w:firstLineChars="300"/>
        <w:rPr>
          <w:rFonts w:eastAsiaTheme="minorEastAsia"/>
          <w:szCs w:val="21"/>
        </w:rPr>
      </w:pPr>
      <w:r>
        <w:rPr>
          <w:rFonts w:eastAsiaTheme="minorEastAsia"/>
          <w:szCs w:val="21"/>
        </w:rPr>
        <w:t>热敏电缆敷设时应用固定卡具固定牢固，严禁硬性折弯、扭曲，防止护套破损。应弯曲时，弯曲半径应大于20cm。</w:t>
      </w:r>
    </w:p>
    <w:p w14:paraId="6F153CF8">
      <w:pPr>
        <w:ind w:firstLineChars="0"/>
        <w:jc w:val="center"/>
        <w:rPr>
          <w:rFonts w:ascii="Times New Roman" w:hAnsi="Times New Roman" w:eastAsiaTheme="minorEastAsia"/>
        </w:rPr>
      </w:pPr>
      <w:r>
        <w:rPr>
          <w:rFonts w:ascii="Times New Roman" w:hAnsi="Times New Roman"/>
        </w:rPr>
        <w:drawing>
          <wp:inline distT="0" distB="0" distL="0" distR="0">
            <wp:extent cx="3495675" cy="1421130"/>
            <wp:effectExtent l="0" t="0" r="952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tretch>
                      <a:fillRect/>
                    </a:stretch>
                  </pic:blipFill>
                  <pic:spPr>
                    <a:xfrm>
                      <a:off x="0" y="0"/>
                      <a:ext cx="3512754" cy="1428444"/>
                    </a:xfrm>
                    <a:prstGeom prst="rect">
                      <a:avLst/>
                    </a:prstGeom>
                  </pic:spPr>
                </pic:pic>
              </a:graphicData>
            </a:graphic>
          </wp:inline>
        </w:drawing>
      </w:r>
    </w:p>
    <w:p w14:paraId="1CD0F9D2">
      <w:pPr>
        <w:spacing w:line="330" w:lineRule="exact"/>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图18.3.3-5   热敏电缆在顶棚下安装</w:t>
      </w:r>
    </w:p>
    <w:p w14:paraId="180CAD5B">
      <w:pPr>
        <w:pStyle w:val="164"/>
        <w:spacing w:before="100" w:after="100" w:line="330" w:lineRule="exact"/>
        <w:ind w:firstLine="0" w:firstLineChars="0"/>
        <w:rPr>
          <w:szCs w:val="21"/>
        </w:rPr>
      </w:pPr>
      <w:r>
        <w:rPr>
          <w:szCs w:val="21"/>
        </w:rPr>
        <w:t>18.3.4 手动火灾及消火栓报警按钮的安装应符合下列规定：</w:t>
      </w:r>
    </w:p>
    <w:p w14:paraId="39633B26">
      <w:pPr>
        <w:pStyle w:val="164"/>
        <w:numPr>
          <w:ilvl w:val="0"/>
          <w:numId w:val="202"/>
        </w:numPr>
        <w:spacing w:line="330" w:lineRule="exact"/>
        <w:ind w:left="0" w:firstLine="420"/>
        <w:rPr>
          <w:rFonts w:eastAsiaTheme="minorEastAsia"/>
        </w:rPr>
      </w:pPr>
      <w:r>
        <w:rPr>
          <w:rFonts w:eastAsiaTheme="minorEastAsia"/>
        </w:rPr>
        <w:t>手动火灾报警按钮应安装在明显或便于操作的墙上</w:t>
      </w:r>
      <w:r>
        <w:rPr>
          <w:rFonts w:hint="eastAsia" w:eastAsiaTheme="minorEastAsia"/>
        </w:rPr>
        <w:t>且</w:t>
      </w:r>
      <w:r>
        <w:rPr>
          <w:rFonts w:eastAsiaTheme="minorEastAsia"/>
        </w:rPr>
        <w:t>安装牢固，不倾斜</w:t>
      </w:r>
      <w:r>
        <w:rPr>
          <w:rFonts w:hint="eastAsia" w:eastAsiaTheme="minorEastAsia"/>
        </w:rPr>
        <w:t>，</w:t>
      </w:r>
      <w:r>
        <w:rPr>
          <w:rFonts w:eastAsiaTheme="minorEastAsia"/>
        </w:rPr>
        <w:t>距地(楼)面高度1.3</w:t>
      </w:r>
      <w:r>
        <w:rPr>
          <w:rFonts w:hint="eastAsia" w:eastAsiaTheme="minorEastAsia"/>
        </w:rPr>
        <w:t>m</w:t>
      </w:r>
      <w:r>
        <w:rPr>
          <w:rFonts w:eastAsiaTheme="minorEastAsia"/>
        </w:rPr>
        <w:t>~1.5m （如图</w:t>
      </w:r>
      <w:r>
        <w:rPr>
          <w:szCs w:val="21"/>
        </w:rPr>
        <w:t>18</w:t>
      </w:r>
      <w:r>
        <w:rPr>
          <w:rFonts w:eastAsiaTheme="minorEastAsia"/>
        </w:rPr>
        <w:t>.3.4所示）</w:t>
      </w:r>
    </w:p>
    <w:p w14:paraId="2EE0F866">
      <w:pPr>
        <w:pStyle w:val="164"/>
        <w:ind w:left="315" w:firstLine="0" w:firstLineChars="0"/>
        <w:jc w:val="center"/>
        <w:rPr>
          <w:rFonts w:eastAsiaTheme="minorEastAsia"/>
        </w:rPr>
      </w:pPr>
      <w:r>
        <w:drawing>
          <wp:inline distT="0" distB="0" distL="0" distR="0">
            <wp:extent cx="2066925" cy="2054860"/>
            <wp:effectExtent l="0" t="0" r="952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a:stretch>
                      <a:fillRect/>
                    </a:stretch>
                  </pic:blipFill>
                  <pic:spPr>
                    <a:xfrm>
                      <a:off x="0" y="0"/>
                      <a:ext cx="2078772" cy="2066802"/>
                    </a:xfrm>
                    <a:prstGeom prst="rect">
                      <a:avLst/>
                    </a:prstGeom>
                  </pic:spPr>
                </pic:pic>
              </a:graphicData>
            </a:graphic>
          </wp:inline>
        </w:drawing>
      </w:r>
    </w:p>
    <w:p w14:paraId="07A6217F">
      <w:pPr>
        <w:spacing w:line="330" w:lineRule="exact"/>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w:t>
      </w:r>
      <w:r>
        <w:rPr>
          <w:rFonts w:ascii="Times New Roman" w:hAnsi="Times New Roman"/>
          <w:szCs w:val="21"/>
        </w:rPr>
        <w:t>18</w:t>
      </w:r>
      <w:r>
        <w:rPr>
          <w:rFonts w:ascii="Times New Roman" w:hAnsi="Times New Roman" w:eastAsiaTheme="minorEastAsia"/>
          <w:sz w:val="20"/>
          <w:szCs w:val="21"/>
        </w:rPr>
        <w:t>.3.4   手动报警按钮安装方法</w:t>
      </w:r>
    </w:p>
    <w:p w14:paraId="7370A2BD">
      <w:pPr>
        <w:pStyle w:val="164"/>
        <w:numPr>
          <w:ilvl w:val="0"/>
          <w:numId w:val="202"/>
        </w:numPr>
        <w:spacing w:line="330" w:lineRule="exact"/>
        <w:ind w:left="0" w:firstLine="420"/>
        <w:rPr>
          <w:rFonts w:eastAsiaTheme="minorEastAsia"/>
        </w:rPr>
      </w:pPr>
      <w:r>
        <w:rPr>
          <w:rFonts w:eastAsiaTheme="minorEastAsia"/>
        </w:rPr>
        <w:t>手动火灾报警按钮外接导线应留有0.10m的余量，且在端部应有明显标志。</w:t>
      </w:r>
    </w:p>
    <w:p w14:paraId="43201556">
      <w:pPr>
        <w:pStyle w:val="164"/>
        <w:numPr>
          <w:ilvl w:val="0"/>
          <w:numId w:val="202"/>
        </w:numPr>
        <w:spacing w:line="330" w:lineRule="exact"/>
        <w:ind w:left="0" w:firstLine="420"/>
        <w:rPr>
          <w:rFonts w:eastAsiaTheme="minorEastAsia"/>
        </w:rPr>
      </w:pPr>
      <w:r>
        <w:rPr>
          <w:rFonts w:eastAsiaTheme="minorEastAsia"/>
        </w:rPr>
        <w:t>报警区内每个防火分区应至少设置一个手动报警按钮，防火分区位置到最近手动火灾报警按钮的步行距离＜30m。</w:t>
      </w:r>
    </w:p>
    <w:p w14:paraId="40DF54A4">
      <w:pPr>
        <w:pStyle w:val="164"/>
        <w:numPr>
          <w:ilvl w:val="0"/>
          <w:numId w:val="202"/>
        </w:numPr>
        <w:spacing w:line="330" w:lineRule="exact"/>
        <w:ind w:left="0" w:firstLine="420"/>
        <w:rPr>
          <w:rFonts w:eastAsiaTheme="minorEastAsia"/>
        </w:rPr>
      </w:pPr>
      <w:r>
        <w:rPr>
          <w:rFonts w:eastAsiaTheme="minorEastAsia"/>
        </w:rPr>
        <w:t>消火栓报警按钮应安装在消火栓箱内，安装应平整、牢固，接线正确，控制可靠，</w:t>
      </w:r>
      <w:r>
        <w:rPr>
          <w:rFonts w:hint="eastAsia" w:eastAsiaTheme="minorEastAsia"/>
        </w:rPr>
        <w:t>满足</w:t>
      </w:r>
      <w:r>
        <w:rPr>
          <w:rFonts w:eastAsiaTheme="minorEastAsia"/>
        </w:rPr>
        <w:t>使用要求。</w:t>
      </w:r>
    </w:p>
    <w:p w14:paraId="52BEED98">
      <w:pPr>
        <w:pStyle w:val="164"/>
        <w:spacing w:before="100" w:after="100" w:line="330" w:lineRule="exact"/>
        <w:ind w:firstLine="0" w:firstLineChars="0"/>
        <w:rPr>
          <w:szCs w:val="21"/>
        </w:rPr>
      </w:pPr>
      <w:r>
        <w:rPr>
          <w:szCs w:val="21"/>
        </w:rPr>
        <w:t>18.3.5 端子箱及模块安装应符合下列规定：</w:t>
      </w:r>
    </w:p>
    <w:p w14:paraId="01ADCE25">
      <w:pPr>
        <w:pStyle w:val="164"/>
        <w:numPr>
          <w:ilvl w:val="0"/>
          <w:numId w:val="203"/>
        </w:numPr>
        <w:spacing w:line="330" w:lineRule="exact"/>
        <w:ind w:left="0" w:firstLine="420"/>
        <w:rPr>
          <w:rFonts w:eastAsiaTheme="minorEastAsia"/>
        </w:rPr>
      </w:pPr>
      <w:r>
        <w:rPr>
          <w:rFonts w:eastAsiaTheme="minorEastAsia"/>
        </w:rPr>
        <w:t>端子箱应根据设计要求的位置用金属膨胀螺栓明装，且安装时应端正牢固，不得倾斜。</w:t>
      </w:r>
    </w:p>
    <w:p w14:paraId="03CA0077">
      <w:pPr>
        <w:pStyle w:val="164"/>
        <w:numPr>
          <w:ilvl w:val="0"/>
          <w:numId w:val="203"/>
        </w:numPr>
        <w:spacing w:line="330" w:lineRule="exact"/>
        <w:ind w:left="0" w:firstLine="420"/>
        <w:rPr>
          <w:rFonts w:eastAsiaTheme="minorEastAsia"/>
        </w:rPr>
      </w:pPr>
      <w:r>
        <w:rPr>
          <w:rFonts w:hint="eastAsia" w:eastAsiaTheme="minorEastAsia"/>
        </w:rPr>
        <w:t>应使</w:t>
      </w:r>
      <w:r>
        <w:rPr>
          <w:rFonts w:eastAsiaTheme="minorEastAsia"/>
        </w:rPr>
        <w:t>用对线器对线缆进行编号，导线</w:t>
      </w:r>
      <w:r>
        <w:rPr>
          <w:rFonts w:hint="eastAsia" w:eastAsiaTheme="minorEastAsia"/>
        </w:rPr>
        <w:t>应</w:t>
      </w:r>
      <w:r>
        <w:rPr>
          <w:rFonts w:eastAsiaTheme="minorEastAsia"/>
        </w:rPr>
        <w:t>留有一定的余量，分束绑扎。</w:t>
      </w:r>
    </w:p>
    <w:p w14:paraId="77809059">
      <w:pPr>
        <w:pStyle w:val="164"/>
        <w:numPr>
          <w:ilvl w:val="0"/>
          <w:numId w:val="203"/>
        </w:numPr>
        <w:spacing w:line="330" w:lineRule="exact"/>
        <w:ind w:left="0" w:firstLine="420"/>
        <w:rPr>
          <w:rFonts w:eastAsiaTheme="minorEastAsia"/>
        </w:rPr>
      </w:pPr>
      <w:r>
        <w:rPr>
          <w:rFonts w:eastAsiaTheme="minorEastAsia"/>
        </w:rPr>
        <w:t>压线前应对导线的绝缘进行摇测，合格后方可压线。</w:t>
      </w:r>
    </w:p>
    <w:p w14:paraId="1A2EA33B">
      <w:pPr>
        <w:pStyle w:val="164"/>
        <w:numPr>
          <w:ilvl w:val="0"/>
          <w:numId w:val="203"/>
        </w:numPr>
        <w:spacing w:line="330" w:lineRule="exact"/>
        <w:ind w:left="0" w:firstLine="420"/>
        <w:rPr>
          <w:rFonts w:eastAsiaTheme="minorEastAsia"/>
        </w:rPr>
      </w:pPr>
      <w:r>
        <w:rPr>
          <w:rFonts w:eastAsiaTheme="minorEastAsia"/>
        </w:rPr>
        <w:t>控制箱内的模块应按设备制造商和设计的要求安装配线，要求合理布置，且安装应牢固端正，并有标识。</w:t>
      </w:r>
    </w:p>
    <w:p w14:paraId="0A38D133">
      <w:pPr>
        <w:pStyle w:val="164"/>
        <w:spacing w:before="100" w:after="100" w:line="330" w:lineRule="exact"/>
        <w:ind w:firstLine="0" w:firstLineChars="0"/>
        <w:rPr>
          <w:szCs w:val="21"/>
        </w:rPr>
      </w:pPr>
      <w:r>
        <w:rPr>
          <w:szCs w:val="21"/>
        </w:rPr>
        <w:t>18.3.6 消防控制主机安装应符合下列规定：</w:t>
      </w:r>
    </w:p>
    <w:p w14:paraId="207AFC33">
      <w:pPr>
        <w:pStyle w:val="164"/>
        <w:numPr>
          <w:ilvl w:val="0"/>
          <w:numId w:val="204"/>
        </w:numPr>
        <w:spacing w:line="330" w:lineRule="exact"/>
        <w:ind w:left="0" w:firstLine="420"/>
        <w:rPr>
          <w:rFonts w:eastAsiaTheme="minorEastAsia"/>
        </w:rPr>
      </w:pPr>
      <w:r>
        <w:rPr>
          <w:szCs w:val="21"/>
        </w:rPr>
        <w:t>控制主机</w:t>
      </w:r>
      <w:r>
        <w:rPr>
          <w:rFonts w:hint="eastAsia"/>
          <w:szCs w:val="21"/>
        </w:rPr>
        <w:t>的</w:t>
      </w:r>
      <w:r>
        <w:rPr>
          <w:rFonts w:hint="eastAsia" w:eastAsiaTheme="minorEastAsia"/>
          <w:szCs w:val="21"/>
        </w:rPr>
        <w:t>机柜底座宜高出地面</w:t>
      </w:r>
      <w:r>
        <w:rPr>
          <w:rFonts w:eastAsiaTheme="minorEastAsia"/>
          <w:szCs w:val="21"/>
        </w:rPr>
        <w:t>0.1~0.2m</w:t>
      </w:r>
      <w:r>
        <w:rPr>
          <w:rFonts w:hint="eastAsia" w:eastAsiaTheme="minorEastAsia"/>
          <w:szCs w:val="21"/>
        </w:rPr>
        <w:t>，基础槽钢应接地可靠，机柜单列布置时不应＜</w:t>
      </w:r>
      <w:r>
        <w:rPr>
          <w:rFonts w:eastAsiaTheme="minorEastAsia"/>
          <w:szCs w:val="21"/>
        </w:rPr>
        <w:t>1.5m,</w:t>
      </w:r>
      <w:r>
        <w:rPr>
          <w:rFonts w:hint="eastAsia" w:eastAsiaTheme="minorEastAsia"/>
          <w:szCs w:val="21"/>
        </w:rPr>
        <w:t>双列布置时不应＜</w:t>
      </w:r>
      <w:r>
        <w:rPr>
          <w:rFonts w:eastAsiaTheme="minorEastAsia"/>
          <w:szCs w:val="21"/>
        </w:rPr>
        <w:t>2m</w:t>
      </w:r>
      <w:r>
        <w:rPr>
          <w:rFonts w:hint="eastAsia" w:eastAsiaTheme="minorEastAsia"/>
          <w:szCs w:val="21"/>
        </w:rPr>
        <w:t>。</w:t>
      </w:r>
      <w:r>
        <w:rPr>
          <w:rFonts w:eastAsiaTheme="minorEastAsia"/>
          <w:szCs w:val="21"/>
        </w:rPr>
        <w:t xml:space="preserve"> </w:t>
      </w:r>
    </w:p>
    <w:p w14:paraId="2929E6A1">
      <w:pPr>
        <w:pStyle w:val="164"/>
        <w:numPr>
          <w:ilvl w:val="0"/>
          <w:numId w:val="204"/>
        </w:numPr>
        <w:spacing w:line="330" w:lineRule="exact"/>
        <w:ind w:left="0" w:firstLine="420"/>
        <w:rPr>
          <w:rFonts w:eastAsiaTheme="minorEastAsia"/>
        </w:rPr>
      </w:pPr>
      <w:r>
        <w:rPr>
          <w:rFonts w:eastAsiaTheme="minorEastAsia"/>
        </w:rPr>
        <w:t>引入火灾报警控制主机的线缆应符合下列规定：</w:t>
      </w:r>
    </w:p>
    <w:p w14:paraId="47816782">
      <w:pPr>
        <w:pStyle w:val="164"/>
        <w:numPr>
          <w:ilvl w:val="0"/>
          <w:numId w:val="205"/>
        </w:numPr>
        <w:tabs>
          <w:tab w:val="left" w:pos="210"/>
          <w:tab w:val="left" w:pos="567"/>
        </w:tabs>
        <w:spacing w:line="330" w:lineRule="exact"/>
        <w:ind w:firstLine="630" w:firstLineChars="300"/>
        <w:rPr>
          <w:rFonts w:eastAsiaTheme="minorEastAsia"/>
          <w:szCs w:val="21"/>
        </w:rPr>
      </w:pPr>
      <w:r>
        <w:rPr>
          <w:rFonts w:eastAsiaTheme="minorEastAsia"/>
          <w:szCs w:val="21"/>
        </w:rPr>
        <w:t>对引入的电缆或导线电阻不应＜20MΩ</w:t>
      </w:r>
      <w:r>
        <w:rPr>
          <w:rFonts w:hint="eastAsia" w:eastAsiaTheme="minorEastAsia"/>
          <w:szCs w:val="21"/>
        </w:rPr>
        <w:t>，</w:t>
      </w:r>
      <w:r>
        <w:rPr>
          <w:rFonts w:eastAsiaTheme="minorEastAsia"/>
          <w:szCs w:val="21"/>
        </w:rPr>
        <w:t>端子板每个接线端子接线不应超过二根</w:t>
      </w:r>
      <w:r>
        <w:rPr>
          <w:rFonts w:hint="eastAsia" w:eastAsiaTheme="minorEastAsia"/>
          <w:szCs w:val="21"/>
        </w:rPr>
        <w:t>，</w:t>
      </w:r>
      <w:r>
        <w:rPr>
          <w:rFonts w:eastAsiaTheme="minorEastAsia"/>
          <w:szCs w:val="21"/>
        </w:rPr>
        <w:t>导线应留有≥200mm的余量。</w:t>
      </w:r>
    </w:p>
    <w:p w14:paraId="4A6CC8D5">
      <w:pPr>
        <w:pStyle w:val="164"/>
        <w:numPr>
          <w:ilvl w:val="0"/>
          <w:numId w:val="205"/>
        </w:numPr>
        <w:tabs>
          <w:tab w:val="left" w:pos="210"/>
          <w:tab w:val="left" w:pos="567"/>
        </w:tabs>
        <w:spacing w:line="330" w:lineRule="exact"/>
        <w:ind w:firstLine="630" w:firstLineChars="300"/>
        <w:rPr>
          <w:rFonts w:eastAsiaTheme="minorEastAsia"/>
          <w:szCs w:val="21"/>
        </w:rPr>
      </w:pPr>
      <w:r>
        <w:rPr>
          <w:rFonts w:eastAsiaTheme="minorEastAsia"/>
          <w:szCs w:val="21"/>
        </w:rPr>
        <w:t>线缆标识应清晰准确，不易褪色;配线应整齐，避免交叉，固定牢固。</w:t>
      </w:r>
    </w:p>
    <w:p w14:paraId="4A616EB7">
      <w:pPr>
        <w:pStyle w:val="164"/>
        <w:numPr>
          <w:ilvl w:val="0"/>
          <w:numId w:val="205"/>
        </w:numPr>
        <w:tabs>
          <w:tab w:val="left" w:pos="210"/>
          <w:tab w:val="left" w:pos="567"/>
        </w:tabs>
        <w:spacing w:line="330" w:lineRule="exact"/>
        <w:ind w:firstLine="630" w:firstLineChars="300"/>
        <w:rPr>
          <w:rFonts w:eastAsiaTheme="minorEastAsia"/>
          <w:szCs w:val="21"/>
        </w:rPr>
      </w:pPr>
      <w:r>
        <w:rPr>
          <w:rFonts w:eastAsiaTheme="minorEastAsia"/>
          <w:szCs w:val="21"/>
        </w:rPr>
        <w:t>导线引入线完成后，应封堵进线管处。</w:t>
      </w:r>
    </w:p>
    <w:p w14:paraId="16E14C6F">
      <w:pPr>
        <w:pStyle w:val="164"/>
        <w:numPr>
          <w:ilvl w:val="0"/>
          <w:numId w:val="205"/>
        </w:numPr>
        <w:tabs>
          <w:tab w:val="left" w:pos="210"/>
          <w:tab w:val="left" w:pos="567"/>
        </w:tabs>
        <w:spacing w:line="330" w:lineRule="exact"/>
        <w:ind w:firstLine="630" w:firstLineChars="300"/>
        <w:rPr>
          <w:rFonts w:eastAsiaTheme="minorEastAsia"/>
          <w:szCs w:val="21"/>
        </w:rPr>
      </w:pPr>
      <w:r>
        <w:rPr>
          <w:rFonts w:eastAsiaTheme="minorEastAsia"/>
          <w:szCs w:val="21"/>
        </w:rPr>
        <w:t>控制主机主电源引人线应直接与消防电源连接，严禁使用接头连接，主电源应有明显标志。</w:t>
      </w:r>
    </w:p>
    <w:p w14:paraId="5C3DEBA8">
      <w:pPr>
        <w:pStyle w:val="164"/>
        <w:numPr>
          <w:ilvl w:val="0"/>
          <w:numId w:val="204"/>
        </w:numPr>
        <w:spacing w:line="330" w:lineRule="exact"/>
        <w:ind w:left="0" w:firstLine="420"/>
        <w:rPr>
          <w:rFonts w:eastAsiaTheme="minorEastAsia"/>
        </w:rPr>
      </w:pPr>
      <w:r>
        <w:rPr>
          <w:rFonts w:eastAsiaTheme="minorEastAsia"/>
        </w:rPr>
        <w:t>控制主机的接地应牢固，并有明显标志。</w:t>
      </w:r>
    </w:p>
    <w:p w14:paraId="4E8661C0">
      <w:pPr>
        <w:pStyle w:val="164"/>
        <w:spacing w:before="100" w:after="100" w:line="330" w:lineRule="exact"/>
        <w:ind w:firstLine="0" w:firstLineChars="0"/>
        <w:rPr>
          <w:szCs w:val="21"/>
        </w:rPr>
      </w:pPr>
      <w:r>
        <w:rPr>
          <w:szCs w:val="21"/>
        </w:rPr>
        <w:t>18.3.7 系统调试应符合下列规定：</w:t>
      </w:r>
    </w:p>
    <w:p w14:paraId="1460D4CD">
      <w:pPr>
        <w:pStyle w:val="164"/>
        <w:numPr>
          <w:ilvl w:val="0"/>
          <w:numId w:val="206"/>
        </w:numPr>
        <w:spacing w:line="330" w:lineRule="exact"/>
        <w:ind w:left="0" w:firstLine="420" w:firstLineChars="0"/>
        <w:rPr>
          <w:szCs w:val="21"/>
        </w:rPr>
      </w:pPr>
      <w:r>
        <w:rPr>
          <w:szCs w:val="21"/>
        </w:rPr>
        <w:t>系统提供的接口功能</w:t>
      </w:r>
      <w:r>
        <w:rPr>
          <w:rFonts w:hint="eastAsia"/>
          <w:szCs w:val="21"/>
        </w:rPr>
        <w:t>应</w:t>
      </w:r>
      <w:r>
        <w:rPr>
          <w:szCs w:val="21"/>
        </w:rPr>
        <w:t>满足设计要求。</w:t>
      </w:r>
    </w:p>
    <w:p w14:paraId="61D06BFA">
      <w:pPr>
        <w:pStyle w:val="164"/>
        <w:numPr>
          <w:ilvl w:val="0"/>
          <w:numId w:val="206"/>
        </w:numPr>
        <w:spacing w:line="330" w:lineRule="exact"/>
        <w:ind w:left="0" w:firstLine="420"/>
        <w:rPr>
          <w:rFonts w:eastAsiaTheme="minorEastAsia"/>
        </w:rPr>
      </w:pPr>
      <w:r>
        <w:rPr>
          <w:rFonts w:eastAsiaTheme="minorEastAsia"/>
        </w:rPr>
        <w:t>调试前施工人员应向调试人员提交竣工图、设计变更记录、施工记录，检验记录、竣工报告等相关资料。</w:t>
      </w:r>
    </w:p>
    <w:p w14:paraId="13CB35CE">
      <w:pPr>
        <w:pStyle w:val="164"/>
        <w:numPr>
          <w:ilvl w:val="0"/>
          <w:numId w:val="206"/>
        </w:numPr>
        <w:spacing w:line="330" w:lineRule="exact"/>
        <w:ind w:left="0" w:firstLine="420"/>
        <w:rPr>
          <w:rFonts w:eastAsiaTheme="minorEastAsia"/>
        </w:rPr>
      </w:pPr>
      <w:r>
        <w:rPr>
          <w:rFonts w:eastAsiaTheme="minorEastAsia"/>
        </w:rPr>
        <w:t>调试负责人应由专业技术人员或厂家技术人员担任。</w:t>
      </w:r>
    </w:p>
    <w:p w14:paraId="75DBED75">
      <w:pPr>
        <w:pStyle w:val="164"/>
        <w:numPr>
          <w:ilvl w:val="0"/>
          <w:numId w:val="206"/>
        </w:numPr>
        <w:spacing w:line="330" w:lineRule="exact"/>
        <w:ind w:left="0" w:firstLine="420"/>
        <w:rPr>
          <w:rFonts w:eastAsiaTheme="minorEastAsia"/>
        </w:rPr>
      </w:pPr>
      <w:r>
        <w:rPr>
          <w:rFonts w:eastAsiaTheme="minorEastAsia"/>
        </w:rPr>
        <w:t>火灾自动报警系统调试，应先分别对探测器、区域报警控制器、集中报警控制器、火灾报警装置和消防控制设备等逐个通电检查，正常后方可进行系统调试。</w:t>
      </w:r>
    </w:p>
    <w:p w14:paraId="1131A89A">
      <w:pPr>
        <w:pStyle w:val="164"/>
        <w:numPr>
          <w:ilvl w:val="0"/>
          <w:numId w:val="206"/>
        </w:numPr>
        <w:spacing w:line="330" w:lineRule="exact"/>
        <w:ind w:left="0" w:firstLine="420"/>
        <w:rPr>
          <w:rFonts w:eastAsiaTheme="minorEastAsia"/>
        </w:rPr>
      </w:pPr>
      <w:r>
        <w:rPr>
          <w:rFonts w:eastAsiaTheme="minorEastAsia"/>
        </w:rPr>
        <w:t>火灾自动报警系统通电后，</w:t>
      </w:r>
      <w:r>
        <w:rPr>
          <w:rFonts w:hint="eastAsia" w:eastAsiaTheme="minorEastAsia"/>
        </w:rPr>
        <w:t>应按现行国家标准</w:t>
      </w:r>
      <w:r>
        <w:rPr>
          <w:rFonts w:eastAsiaTheme="minorEastAsia"/>
        </w:rPr>
        <w:t>《火灾报警控制器通用技术条件》</w:t>
      </w:r>
      <w:r>
        <w:rPr>
          <w:color w:val="191919"/>
          <w:shd w:val="clear" w:color="auto" w:fill="FFFFFF"/>
        </w:rPr>
        <w:t>GB 4717</w:t>
      </w:r>
      <w:r>
        <w:rPr>
          <w:rFonts w:hint="eastAsia"/>
          <w:color w:val="191919"/>
          <w:shd w:val="clear" w:color="auto" w:fill="FFFFFF"/>
        </w:rPr>
        <w:t>的</w:t>
      </w:r>
      <w:r>
        <w:rPr>
          <w:rFonts w:hint="eastAsia" w:eastAsiaTheme="minorEastAsia"/>
        </w:rPr>
        <w:t>相关规定</w:t>
      </w:r>
      <w:r>
        <w:rPr>
          <w:rFonts w:eastAsiaTheme="minorEastAsia"/>
        </w:rPr>
        <w:t>对报警控制器</w:t>
      </w:r>
      <w:r>
        <w:rPr>
          <w:rFonts w:hint="eastAsia" w:eastAsiaTheme="minorEastAsia"/>
        </w:rPr>
        <w:t>的</w:t>
      </w:r>
      <w:r>
        <w:rPr>
          <w:rFonts w:eastAsiaTheme="minorEastAsia"/>
        </w:rPr>
        <w:t>火灾报警自检功能</w:t>
      </w:r>
      <w:r>
        <w:rPr>
          <w:rFonts w:hint="eastAsia" w:eastAsiaTheme="minorEastAsia"/>
        </w:rPr>
        <w:t>，</w:t>
      </w:r>
      <w:r>
        <w:rPr>
          <w:rFonts w:eastAsiaTheme="minorEastAsia"/>
        </w:rPr>
        <w:t>消音、复位功能</w:t>
      </w:r>
      <w:r>
        <w:rPr>
          <w:rFonts w:hint="eastAsia" w:eastAsiaTheme="minorEastAsia"/>
        </w:rPr>
        <w:t>，</w:t>
      </w:r>
      <w:r>
        <w:rPr>
          <w:rFonts w:eastAsiaTheme="minorEastAsia"/>
        </w:rPr>
        <w:t>故障报警功能</w:t>
      </w:r>
      <w:r>
        <w:rPr>
          <w:rFonts w:hint="eastAsia" w:eastAsiaTheme="minorEastAsia"/>
        </w:rPr>
        <w:t>，</w:t>
      </w:r>
      <w:r>
        <w:rPr>
          <w:rFonts w:eastAsiaTheme="minorEastAsia"/>
        </w:rPr>
        <w:t>火灾优先功能</w:t>
      </w:r>
      <w:r>
        <w:rPr>
          <w:rFonts w:hint="eastAsia" w:eastAsiaTheme="minorEastAsia"/>
        </w:rPr>
        <w:t>，</w:t>
      </w:r>
      <w:r>
        <w:rPr>
          <w:rFonts w:eastAsiaTheme="minorEastAsia"/>
        </w:rPr>
        <w:t>报警记忆功能</w:t>
      </w:r>
      <w:r>
        <w:rPr>
          <w:rFonts w:hint="eastAsia" w:eastAsiaTheme="minorEastAsia"/>
        </w:rPr>
        <w:t>，</w:t>
      </w:r>
      <w:r>
        <w:rPr>
          <w:rFonts w:eastAsiaTheme="minorEastAsia"/>
        </w:rPr>
        <w:t>电源自动转换和备用电源的自动充电功能</w:t>
      </w:r>
      <w:r>
        <w:rPr>
          <w:rFonts w:hint="eastAsia" w:eastAsiaTheme="minorEastAsia"/>
        </w:rPr>
        <w:t>，</w:t>
      </w:r>
      <w:r>
        <w:rPr>
          <w:rFonts w:eastAsiaTheme="minorEastAsia"/>
        </w:rPr>
        <w:t>备用电源的欠压和过压报警功能</w:t>
      </w:r>
      <w:r>
        <w:rPr>
          <w:rFonts w:hint="eastAsia" w:eastAsiaTheme="minorEastAsia"/>
        </w:rPr>
        <w:t>进行检查</w:t>
      </w:r>
      <w:r>
        <w:rPr>
          <w:rFonts w:eastAsiaTheme="minorEastAsia"/>
        </w:rPr>
        <w:t>。</w:t>
      </w:r>
    </w:p>
    <w:p w14:paraId="391DE29A">
      <w:pPr>
        <w:pStyle w:val="164"/>
        <w:numPr>
          <w:ilvl w:val="0"/>
          <w:numId w:val="206"/>
        </w:numPr>
        <w:spacing w:line="330" w:lineRule="exact"/>
        <w:ind w:left="0" w:firstLine="420"/>
        <w:rPr>
          <w:rFonts w:eastAsiaTheme="minorEastAsia"/>
        </w:rPr>
      </w:pPr>
      <w:r>
        <w:rPr>
          <w:rFonts w:eastAsiaTheme="minorEastAsia"/>
        </w:rPr>
        <w:t>检查火灾自动报警系统的主电源和备用电源，其容量应分别符合国家现行有关标准的</w:t>
      </w:r>
      <w:r>
        <w:rPr>
          <w:rFonts w:hint="eastAsia" w:eastAsiaTheme="minorEastAsia"/>
        </w:rPr>
        <w:t>规定</w:t>
      </w:r>
      <w:r>
        <w:rPr>
          <w:rFonts w:eastAsiaTheme="minorEastAsia"/>
        </w:rPr>
        <w:t>，在备用电源连续充放电3次后，主电源和备用电源应能自动转换。</w:t>
      </w:r>
    </w:p>
    <w:p w14:paraId="4A8B12CC">
      <w:pPr>
        <w:pStyle w:val="164"/>
        <w:numPr>
          <w:ilvl w:val="0"/>
          <w:numId w:val="206"/>
        </w:numPr>
        <w:spacing w:line="330" w:lineRule="exact"/>
        <w:ind w:left="0" w:firstLine="420"/>
        <w:rPr>
          <w:rFonts w:eastAsiaTheme="minorEastAsia"/>
        </w:rPr>
      </w:pPr>
      <w:r>
        <w:rPr>
          <w:rFonts w:eastAsiaTheme="minorEastAsia"/>
        </w:rPr>
        <w:t>应采用专用的检查仪器对探测器逐个进行试验，其动作应准确无误。</w:t>
      </w:r>
    </w:p>
    <w:p w14:paraId="545D08AE">
      <w:pPr>
        <w:pStyle w:val="164"/>
        <w:numPr>
          <w:ilvl w:val="0"/>
          <w:numId w:val="206"/>
        </w:numPr>
        <w:spacing w:line="330" w:lineRule="exact"/>
        <w:ind w:left="0" w:firstLine="420"/>
        <w:rPr>
          <w:rFonts w:eastAsiaTheme="minorEastAsia"/>
        </w:rPr>
      </w:pPr>
      <w:r>
        <w:rPr>
          <w:rFonts w:eastAsiaTheme="minorEastAsia"/>
        </w:rPr>
        <w:t>应分别用主电源和备用电源供电，检查火灾自动报警系统的各项控制功能和联动功能。</w:t>
      </w:r>
    </w:p>
    <w:p w14:paraId="1022DC9F">
      <w:pPr>
        <w:pStyle w:val="164"/>
        <w:numPr>
          <w:ilvl w:val="0"/>
          <w:numId w:val="206"/>
        </w:numPr>
        <w:spacing w:line="330" w:lineRule="exact"/>
        <w:ind w:left="0" w:firstLine="420"/>
        <w:rPr>
          <w:rFonts w:eastAsiaTheme="minorEastAsia"/>
        </w:rPr>
      </w:pPr>
      <w:r>
        <w:rPr>
          <w:rFonts w:eastAsiaTheme="minorEastAsia"/>
        </w:rPr>
        <w:t>火灾自动报警系统应在连续运行120</w:t>
      </w:r>
      <w:r>
        <w:rPr>
          <w:rFonts w:hint="eastAsia" w:eastAsiaTheme="minorEastAsia"/>
        </w:rPr>
        <w:t>小时</w:t>
      </w:r>
      <w:r>
        <w:rPr>
          <w:rFonts w:eastAsiaTheme="minorEastAsia"/>
        </w:rPr>
        <w:t>无故障后，</w:t>
      </w:r>
      <w:r>
        <w:rPr>
          <w:rFonts w:hint="eastAsia" w:eastAsiaTheme="minorEastAsia"/>
        </w:rPr>
        <w:t>方可</w:t>
      </w:r>
      <w:r>
        <w:rPr>
          <w:rFonts w:eastAsiaTheme="minorEastAsia"/>
        </w:rPr>
        <w:t>填写调试报告。</w:t>
      </w:r>
    </w:p>
    <w:p w14:paraId="24767856">
      <w:pPr>
        <w:pStyle w:val="164"/>
        <w:spacing w:before="100" w:after="100" w:line="330" w:lineRule="exact"/>
        <w:ind w:firstLine="0" w:firstLineChars="0"/>
        <w:rPr>
          <w:szCs w:val="21"/>
        </w:rPr>
      </w:pPr>
      <w:r>
        <w:rPr>
          <w:szCs w:val="21"/>
        </w:rPr>
        <w:t>18.3.8 系统测试应符合下列规定：</w:t>
      </w:r>
    </w:p>
    <w:p w14:paraId="60203155">
      <w:pPr>
        <w:pStyle w:val="164"/>
        <w:numPr>
          <w:ilvl w:val="0"/>
          <w:numId w:val="207"/>
        </w:numPr>
        <w:spacing w:line="330" w:lineRule="exact"/>
        <w:ind w:left="0" w:firstLine="420" w:firstLineChars="0"/>
        <w:rPr>
          <w:szCs w:val="21"/>
        </w:rPr>
      </w:pPr>
      <w:r>
        <w:rPr>
          <w:szCs w:val="21"/>
        </w:rPr>
        <w:t>进场的设备与材料应有质量合格证明和检验报告。</w:t>
      </w:r>
    </w:p>
    <w:p w14:paraId="4E1171A7">
      <w:pPr>
        <w:pStyle w:val="164"/>
        <w:numPr>
          <w:ilvl w:val="0"/>
          <w:numId w:val="207"/>
        </w:numPr>
        <w:spacing w:line="330" w:lineRule="exact"/>
        <w:ind w:left="0" w:firstLine="420" w:firstLineChars="0"/>
        <w:rPr>
          <w:szCs w:val="21"/>
        </w:rPr>
      </w:pPr>
      <w:r>
        <w:rPr>
          <w:szCs w:val="21"/>
        </w:rPr>
        <w:t>探测器、模块、报警按钮等类别、型号、位置、数量、功能等应满足设计要求。</w:t>
      </w:r>
    </w:p>
    <w:p w14:paraId="0E420377">
      <w:pPr>
        <w:pStyle w:val="164"/>
        <w:numPr>
          <w:ilvl w:val="0"/>
          <w:numId w:val="207"/>
        </w:numPr>
        <w:spacing w:line="330" w:lineRule="exact"/>
        <w:ind w:left="0" w:firstLine="420" w:firstLineChars="0"/>
        <w:rPr>
          <w:szCs w:val="21"/>
        </w:rPr>
      </w:pPr>
      <w:r>
        <w:rPr>
          <w:szCs w:val="21"/>
        </w:rPr>
        <w:t>消防电话插孔型号、位置、数量、功能等应满足设计要求。</w:t>
      </w:r>
    </w:p>
    <w:p w14:paraId="158BA002">
      <w:pPr>
        <w:pStyle w:val="164"/>
        <w:numPr>
          <w:ilvl w:val="0"/>
          <w:numId w:val="207"/>
        </w:numPr>
        <w:spacing w:line="330" w:lineRule="exact"/>
        <w:ind w:left="0" w:firstLine="420" w:firstLineChars="0"/>
        <w:rPr>
          <w:szCs w:val="21"/>
        </w:rPr>
      </w:pPr>
      <w:r>
        <w:rPr>
          <w:szCs w:val="21"/>
        </w:rPr>
        <w:t>火灾应急广播位置、数量、功能等应满足设计要求，且应能在手动或警报信号触发的10s内切断公共广播，播出火警广播。</w:t>
      </w:r>
    </w:p>
    <w:p w14:paraId="4836E1F1">
      <w:pPr>
        <w:pStyle w:val="164"/>
        <w:numPr>
          <w:ilvl w:val="0"/>
          <w:numId w:val="207"/>
        </w:numPr>
        <w:spacing w:line="330" w:lineRule="exact"/>
        <w:ind w:left="0" w:firstLine="420"/>
        <w:rPr>
          <w:rFonts w:eastAsiaTheme="minorEastAsia"/>
        </w:rPr>
      </w:pPr>
      <w:r>
        <w:rPr>
          <w:rFonts w:eastAsiaTheme="minorEastAsia"/>
        </w:rPr>
        <w:t>火灾报警系统安装调试完成后</w:t>
      </w:r>
      <w:r>
        <w:rPr>
          <w:rFonts w:hint="eastAsia" w:eastAsiaTheme="minorEastAsia"/>
        </w:rPr>
        <w:t>应</w:t>
      </w:r>
      <w:r>
        <w:rPr>
          <w:rFonts w:eastAsiaTheme="minorEastAsia"/>
        </w:rPr>
        <w:t>，由施工单位、建设单位对工程质量、调试质量、施工资料等进行检查，发现质量问题及时解决处理，直至</w:t>
      </w:r>
      <w:r>
        <w:rPr>
          <w:rFonts w:hint="eastAsia" w:eastAsiaTheme="minorEastAsia"/>
        </w:rPr>
        <w:t>满足</w:t>
      </w:r>
      <w:r>
        <w:rPr>
          <w:rFonts w:eastAsiaTheme="minorEastAsia"/>
        </w:rPr>
        <w:t>设计要求。</w:t>
      </w:r>
    </w:p>
    <w:p w14:paraId="7C86C732">
      <w:pPr>
        <w:pStyle w:val="164"/>
        <w:numPr>
          <w:ilvl w:val="0"/>
          <w:numId w:val="207"/>
        </w:numPr>
        <w:spacing w:line="330" w:lineRule="exact"/>
        <w:ind w:left="0" w:firstLine="420"/>
        <w:rPr>
          <w:rFonts w:eastAsiaTheme="minorEastAsia"/>
        </w:rPr>
      </w:pPr>
      <w:r>
        <w:rPr>
          <w:rFonts w:eastAsiaTheme="minorEastAsia"/>
        </w:rPr>
        <w:t>建设单位或由建设单位委托施工单位请建筑消防设施技术检测单位进行检测，</w:t>
      </w:r>
      <w:r>
        <w:rPr>
          <w:rFonts w:hint="eastAsia" w:eastAsiaTheme="minorEastAsia"/>
        </w:rPr>
        <w:t>应</w:t>
      </w:r>
      <w:r>
        <w:rPr>
          <w:rFonts w:eastAsiaTheme="minorEastAsia"/>
        </w:rPr>
        <w:t>由检测单位提交检测报告。</w:t>
      </w:r>
    </w:p>
    <w:p w14:paraId="5994C88A">
      <w:pPr>
        <w:pStyle w:val="3"/>
        <w:spacing w:before="240" w:after="120" w:afterLines="50" w:line="330" w:lineRule="exact"/>
        <w:rPr>
          <w:rFonts w:eastAsia="黑体"/>
          <w:b w:val="0"/>
          <w:bCs w:val="0"/>
          <w:sz w:val="21"/>
          <w:szCs w:val="21"/>
          <w:lang w:val="en-US"/>
        </w:rPr>
      </w:pPr>
      <w:bookmarkStart w:id="186" w:name="_Toc44618571"/>
      <w:bookmarkStart w:id="187" w:name="_Toc56517699"/>
      <w:bookmarkStart w:id="188" w:name="_Toc45092841"/>
      <w:bookmarkStart w:id="189" w:name="_Toc171955165"/>
      <w:bookmarkStart w:id="190" w:name="_Toc182487994"/>
      <w:bookmarkStart w:id="191" w:name="_Toc44618471"/>
      <w:r>
        <w:rPr>
          <w:rFonts w:eastAsia="黑体"/>
          <w:b w:val="0"/>
          <w:bCs w:val="0"/>
          <w:sz w:val="21"/>
          <w:szCs w:val="21"/>
          <w:lang w:val="en-US"/>
        </w:rPr>
        <w:t>18.4 质量记录</w:t>
      </w:r>
      <w:bookmarkEnd w:id="186"/>
      <w:bookmarkEnd w:id="187"/>
      <w:bookmarkEnd w:id="188"/>
      <w:bookmarkEnd w:id="189"/>
      <w:bookmarkEnd w:id="190"/>
      <w:bookmarkEnd w:id="191"/>
    </w:p>
    <w:p w14:paraId="3BDE4E3E">
      <w:pPr>
        <w:ind w:left="105" w:hanging="105"/>
        <w:rPr>
          <w:rFonts w:ascii="Times New Roman" w:hAnsi="Times New Roman"/>
        </w:rPr>
      </w:pPr>
      <w:r>
        <w:rPr>
          <w:rFonts w:ascii="Times New Roman" w:hAnsi="Times New Roman"/>
        </w:rPr>
        <w:t>18.4.1 质量记录应包含下列内容：</w:t>
      </w:r>
    </w:p>
    <w:p w14:paraId="5A6C80E1">
      <w:pPr>
        <w:pStyle w:val="164"/>
        <w:numPr>
          <w:ilvl w:val="0"/>
          <w:numId w:val="208"/>
        </w:numPr>
        <w:spacing w:line="330" w:lineRule="exact"/>
        <w:ind w:left="0" w:firstLine="420"/>
        <w:rPr>
          <w:szCs w:val="21"/>
        </w:rPr>
      </w:pPr>
      <w:r>
        <w:rPr>
          <w:szCs w:val="21"/>
        </w:rPr>
        <w:t>所用材料及设备的出厂合格证、使用说明书、质量检验报告、进场抽样检查报告。</w:t>
      </w:r>
    </w:p>
    <w:p w14:paraId="0F992835">
      <w:pPr>
        <w:pStyle w:val="164"/>
        <w:numPr>
          <w:ilvl w:val="0"/>
          <w:numId w:val="208"/>
        </w:numPr>
        <w:spacing w:line="330" w:lineRule="exact"/>
        <w:ind w:left="0" w:firstLine="420"/>
        <w:rPr>
          <w:szCs w:val="21"/>
        </w:rPr>
      </w:pPr>
      <w:r>
        <w:rPr>
          <w:szCs w:val="21"/>
        </w:rPr>
        <w:t>材料、构配件进场检验记录。</w:t>
      </w:r>
    </w:p>
    <w:p w14:paraId="01A84563">
      <w:pPr>
        <w:pStyle w:val="164"/>
        <w:numPr>
          <w:ilvl w:val="0"/>
          <w:numId w:val="208"/>
        </w:numPr>
        <w:spacing w:line="330" w:lineRule="exact"/>
        <w:ind w:left="0" w:firstLine="420"/>
        <w:rPr>
          <w:szCs w:val="21"/>
        </w:rPr>
      </w:pPr>
      <w:r>
        <w:rPr>
          <w:szCs w:val="21"/>
        </w:rPr>
        <w:t>隐蔽工程检查记录。</w:t>
      </w:r>
    </w:p>
    <w:p w14:paraId="2F7A890F">
      <w:pPr>
        <w:pStyle w:val="164"/>
        <w:numPr>
          <w:ilvl w:val="0"/>
          <w:numId w:val="208"/>
        </w:numPr>
        <w:spacing w:line="330" w:lineRule="exact"/>
        <w:ind w:left="0" w:firstLine="420"/>
        <w:rPr>
          <w:szCs w:val="21"/>
        </w:rPr>
      </w:pPr>
      <w:r>
        <w:rPr>
          <w:szCs w:val="21"/>
        </w:rPr>
        <w:t>工程安装质量及观感质量检查记录。</w:t>
      </w:r>
    </w:p>
    <w:p w14:paraId="0AE8D0BB">
      <w:pPr>
        <w:pStyle w:val="164"/>
        <w:numPr>
          <w:ilvl w:val="0"/>
          <w:numId w:val="208"/>
        </w:numPr>
        <w:spacing w:line="330" w:lineRule="exact"/>
        <w:ind w:left="0" w:firstLine="420"/>
        <w:rPr>
          <w:szCs w:val="21"/>
        </w:rPr>
      </w:pPr>
      <w:r>
        <w:rPr>
          <w:szCs w:val="21"/>
        </w:rPr>
        <w:t>系统调试及试运行记录。</w:t>
      </w:r>
    </w:p>
    <w:p w14:paraId="209C5177">
      <w:pPr>
        <w:pStyle w:val="164"/>
        <w:numPr>
          <w:ilvl w:val="0"/>
          <w:numId w:val="208"/>
        </w:numPr>
        <w:spacing w:line="330" w:lineRule="exact"/>
        <w:ind w:left="0" w:firstLine="420"/>
        <w:rPr>
          <w:szCs w:val="21"/>
        </w:rPr>
      </w:pPr>
      <w:r>
        <w:rPr>
          <w:szCs w:val="21"/>
        </w:rPr>
        <w:t>分项工程检验批质量检验记录表。</w:t>
      </w:r>
    </w:p>
    <w:p w14:paraId="27EE14EA">
      <w:pPr>
        <w:pStyle w:val="164"/>
        <w:numPr>
          <w:ilvl w:val="0"/>
          <w:numId w:val="208"/>
        </w:numPr>
        <w:spacing w:line="330" w:lineRule="exact"/>
        <w:ind w:left="0" w:firstLine="420"/>
        <w:rPr>
          <w:szCs w:val="21"/>
        </w:rPr>
      </w:pPr>
      <w:r>
        <w:rPr>
          <w:szCs w:val="21"/>
        </w:rPr>
        <w:t>子系统检测记录。</w:t>
      </w:r>
    </w:p>
    <w:p w14:paraId="73A52C8F">
      <w:pPr>
        <w:ind w:left="0" w:firstLine="0" w:firstLineChars="0"/>
        <w:rPr>
          <w:rFonts w:ascii="Times New Roman" w:hAnsi="Times New Roman"/>
        </w:rPr>
      </w:pPr>
    </w:p>
    <w:p w14:paraId="22AB6073">
      <w:pPr>
        <w:ind w:left="0" w:firstLine="0" w:firstLineChars="0"/>
        <w:rPr>
          <w:rFonts w:ascii="Times New Roman" w:hAnsi="Times New Roman"/>
        </w:rPr>
      </w:pPr>
    </w:p>
    <w:p w14:paraId="239FECA1">
      <w:pPr>
        <w:ind w:left="0" w:firstLine="0" w:firstLineChars="0"/>
        <w:rPr>
          <w:rFonts w:ascii="Times New Roman" w:hAnsi="Times New Roman"/>
        </w:rPr>
      </w:pPr>
    </w:p>
    <w:p w14:paraId="74885B26">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317F864D">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192" w:name="_Toc171955166"/>
      <w:bookmarkStart w:id="193" w:name="_Toc56517700"/>
      <w:bookmarkStart w:id="194" w:name="_Toc182487995"/>
      <w:r>
        <w:rPr>
          <w:rFonts w:ascii="Times New Roman" w:hAnsi="Times New Roman" w:eastAsia="黑体"/>
          <w:bCs/>
          <w:sz w:val="28"/>
          <w:szCs w:val="28"/>
        </w:rPr>
        <w:t>19 安全技术防范系统</w:t>
      </w:r>
      <w:bookmarkEnd w:id="192"/>
      <w:bookmarkEnd w:id="193"/>
      <w:bookmarkEnd w:id="194"/>
    </w:p>
    <w:p w14:paraId="044FFC76">
      <w:pPr>
        <w:pStyle w:val="3"/>
        <w:spacing w:before="240" w:after="120" w:afterLines="50" w:line="330" w:lineRule="exact"/>
        <w:rPr>
          <w:rFonts w:eastAsia="黑体"/>
          <w:b w:val="0"/>
          <w:bCs w:val="0"/>
          <w:sz w:val="21"/>
          <w:szCs w:val="21"/>
        </w:rPr>
      </w:pPr>
      <w:bookmarkStart w:id="195" w:name="_Toc56517701"/>
      <w:bookmarkStart w:id="196" w:name="_Toc182487996"/>
      <w:bookmarkStart w:id="197" w:name="_Toc45092843"/>
      <w:bookmarkStart w:id="198" w:name="_Toc171955167"/>
      <w:bookmarkStart w:id="199" w:name="_Toc44618573"/>
      <w:bookmarkStart w:id="200" w:name="_Toc44618473"/>
      <w:r>
        <w:rPr>
          <w:rFonts w:eastAsia="黑体"/>
          <w:b w:val="0"/>
          <w:bCs w:val="0"/>
          <w:sz w:val="21"/>
          <w:szCs w:val="21"/>
          <w:lang w:val="en-US"/>
        </w:rPr>
        <w:t xml:space="preserve">19.1 </w:t>
      </w:r>
      <w:r>
        <w:rPr>
          <w:rFonts w:eastAsia="黑体"/>
          <w:b w:val="0"/>
          <w:bCs w:val="0"/>
          <w:sz w:val="21"/>
          <w:szCs w:val="21"/>
        </w:rPr>
        <w:t>一般规定</w:t>
      </w:r>
      <w:bookmarkEnd w:id="195"/>
      <w:bookmarkEnd w:id="196"/>
      <w:bookmarkEnd w:id="197"/>
      <w:bookmarkEnd w:id="198"/>
      <w:bookmarkEnd w:id="199"/>
      <w:bookmarkEnd w:id="200"/>
    </w:p>
    <w:p w14:paraId="0B94EF19">
      <w:pPr>
        <w:pStyle w:val="164"/>
        <w:numPr>
          <w:ilvl w:val="0"/>
          <w:numId w:val="119"/>
        </w:numPr>
        <w:spacing w:line="330" w:lineRule="exact"/>
        <w:ind w:firstLineChars="0"/>
        <w:rPr>
          <w:rFonts w:eastAsiaTheme="minorEastAsia"/>
          <w:vanish/>
          <w:szCs w:val="21"/>
        </w:rPr>
      </w:pPr>
    </w:p>
    <w:p w14:paraId="6BA53658">
      <w:pPr>
        <w:pStyle w:val="164"/>
        <w:numPr>
          <w:ilvl w:val="1"/>
          <w:numId w:val="119"/>
        </w:numPr>
        <w:spacing w:line="330" w:lineRule="exact"/>
        <w:ind w:firstLineChars="0"/>
        <w:rPr>
          <w:rFonts w:eastAsiaTheme="minorEastAsia"/>
          <w:vanish/>
          <w:szCs w:val="21"/>
        </w:rPr>
      </w:pPr>
    </w:p>
    <w:p w14:paraId="3C22CAE0">
      <w:pPr>
        <w:pStyle w:val="164"/>
        <w:numPr>
          <w:ilvl w:val="1"/>
          <w:numId w:val="119"/>
        </w:numPr>
        <w:spacing w:line="330" w:lineRule="exact"/>
        <w:ind w:firstLineChars="0"/>
        <w:rPr>
          <w:rFonts w:eastAsiaTheme="minorEastAsia"/>
          <w:vanish/>
          <w:szCs w:val="21"/>
        </w:rPr>
      </w:pPr>
    </w:p>
    <w:p w14:paraId="1DCDC56D">
      <w:pPr>
        <w:pStyle w:val="164"/>
        <w:spacing w:before="100" w:after="100" w:line="330" w:lineRule="exact"/>
        <w:ind w:firstLine="0" w:firstLineChars="0"/>
        <w:rPr>
          <w:szCs w:val="21"/>
        </w:rPr>
      </w:pPr>
      <w:r>
        <w:rPr>
          <w:szCs w:val="21"/>
        </w:rPr>
        <w:t>19.1.1 本章适用于智能建筑工程中的安全防范系统的工程实施、质量控制及系统检测。</w:t>
      </w:r>
    </w:p>
    <w:p w14:paraId="7A1B9619">
      <w:pPr>
        <w:pStyle w:val="164"/>
        <w:spacing w:before="100" w:after="100" w:line="330" w:lineRule="exact"/>
        <w:ind w:firstLine="0" w:firstLineChars="0"/>
        <w:rPr>
          <w:szCs w:val="21"/>
        </w:rPr>
      </w:pPr>
      <w:r>
        <w:rPr>
          <w:szCs w:val="21"/>
        </w:rPr>
        <w:t>19.1.2 安全防范系统包括安全防范综合管理系统、入侵报警系统、视频安防监控系统、出入口控制系统、电子巡查系统和停车库（场）管理系统等子系统。</w:t>
      </w:r>
    </w:p>
    <w:p w14:paraId="0F5A436F">
      <w:pPr>
        <w:pStyle w:val="3"/>
        <w:spacing w:before="240" w:after="120" w:afterLines="50" w:line="330" w:lineRule="exact"/>
        <w:rPr>
          <w:rFonts w:eastAsia="黑体"/>
          <w:b w:val="0"/>
          <w:bCs w:val="0"/>
          <w:sz w:val="21"/>
          <w:szCs w:val="21"/>
        </w:rPr>
      </w:pPr>
      <w:bookmarkStart w:id="201" w:name="_Toc182487997"/>
      <w:bookmarkStart w:id="202" w:name="_Toc56517702"/>
      <w:bookmarkStart w:id="203" w:name="_Toc44618475"/>
      <w:bookmarkStart w:id="204" w:name="_Toc171955168"/>
      <w:bookmarkStart w:id="205" w:name="_Toc44618575"/>
      <w:bookmarkStart w:id="206" w:name="_Toc45092844"/>
      <w:r>
        <w:rPr>
          <w:rFonts w:eastAsia="黑体"/>
          <w:b w:val="0"/>
          <w:bCs w:val="0"/>
          <w:sz w:val="21"/>
          <w:szCs w:val="21"/>
          <w:lang w:val="en-US"/>
        </w:rPr>
        <w:t>19.2 施工准备</w:t>
      </w:r>
      <w:bookmarkEnd w:id="201"/>
      <w:bookmarkEnd w:id="202"/>
      <w:bookmarkEnd w:id="203"/>
      <w:bookmarkEnd w:id="204"/>
      <w:bookmarkEnd w:id="205"/>
      <w:bookmarkEnd w:id="206"/>
    </w:p>
    <w:p w14:paraId="14D9A0AA">
      <w:pPr>
        <w:pStyle w:val="164"/>
        <w:numPr>
          <w:ilvl w:val="1"/>
          <w:numId w:val="119"/>
        </w:numPr>
        <w:spacing w:line="330" w:lineRule="exact"/>
        <w:ind w:firstLineChars="0"/>
        <w:rPr>
          <w:rFonts w:eastAsiaTheme="minorEastAsia"/>
          <w:vanish/>
          <w:szCs w:val="21"/>
        </w:rPr>
      </w:pPr>
    </w:p>
    <w:p w14:paraId="7E54070C">
      <w:pPr>
        <w:pStyle w:val="164"/>
        <w:spacing w:before="100" w:after="100" w:line="330" w:lineRule="exact"/>
        <w:ind w:firstLine="0" w:firstLineChars="0"/>
        <w:rPr>
          <w:rFonts w:eastAsiaTheme="minorEastAsia"/>
        </w:rPr>
      </w:pPr>
      <w:r>
        <w:rPr>
          <w:szCs w:val="21"/>
        </w:rPr>
        <w:t>19.2.1 主要材料</w:t>
      </w:r>
      <w:r>
        <w:rPr>
          <w:rFonts w:hint="eastAsia"/>
          <w:szCs w:val="21"/>
        </w:rPr>
        <w:t>有</w:t>
      </w:r>
      <w:r>
        <w:rPr>
          <w:rFonts w:eastAsiaTheme="minorEastAsia"/>
        </w:rPr>
        <w:t>前端设备（CCD摄像机、镜头、云台、防护罩、解码器，一体化摄像机等）、矩阵控制器、终端设备（多画面分割器、监视器、录像机、PC、 数字式录像机、报警器、电梯层面显示器）</w:t>
      </w:r>
      <w:r>
        <w:rPr>
          <w:rFonts w:hint="eastAsia" w:eastAsiaTheme="minorEastAsia"/>
        </w:rPr>
        <w:t>、</w:t>
      </w:r>
      <w:r>
        <w:rPr>
          <w:rFonts w:eastAsiaTheme="minorEastAsia"/>
        </w:rPr>
        <w:t>各类报警器（开关、振动、超声波、次声、主动与被动红外、微波、激光、多种技术复合等报警器）、报警控制器</w:t>
      </w:r>
      <w:r>
        <w:rPr>
          <w:rFonts w:hint="eastAsia" w:eastAsiaTheme="minorEastAsia"/>
        </w:rPr>
        <w:t>、</w:t>
      </w:r>
      <w:r>
        <w:rPr>
          <w:rFonts w:eastAsiaTheme="minorEastAsia"/>
        </w:rPr>
        <w:t>计算机、网络收发器（或传送单元）、前端控制器（或手持读取器）、巡查点（或编码片）</w:t>
      </w:r>
      <w:r>
        <w:rPr>
          <w:rFonts w:hint="eastAsia" w:eastAsiaTheme="minorEastAsia"/>
        </w:rPr>
        <w:t>、</w:t>
      </w:r>
      <w:r>
        <w:rPr>
          <w:rFonts w:eastAsiaTheme="minorEastAsia"/>
        </w:rPr>
        <w:t>中央管理机、控制器、读卡器（门磁开关，电子门锁等）、执行机构</w:t>
      </w:r>
      <w:r>
        <w:rPr>
          <w:rFonts w:hint="eastAsia" w:eastAsiaTheme="minorEastAsia"/>
        </w:rPr>
        <w:t>、</w:t>
      </w:r>
      <w:r>
        <w:rPr>
          <w:rFonts w:eastAsiaTheme="minorEastAsia"/>
        </w:rPr>
        <w:t>入口/出口控制装置（验票机、感应线圈与栅栏机）、信道管理的引导系统及管理中心（收费机、中央管理主机）、通信管理（内部电话主机）设备</w:t>
      </w:r>
      <w:r>
        <w:rPr>
          <w:rFonts w:hint="eastAsia" w:eastAsiaTheme="minorEastAsia"/>
        </w:rPr>
        <w:t>、</w:t>
      </w:r>
      <w:r>
        <w:rPr>
          <w:rFonts w:eastAsiaTheme="minorEastAsia"/>
        </w:rPr>
        <w:t>传输缆线（同轴电缆、双绞线、光纤等）、桥架线槽、电缆、管材、型材、膨胀螺栓等。</w:t>
      </w:r>
    </w:p>
    <w:p w14:paraId="789F4101">
      <w:pPr>
        <w:pStyle w:val="164"/>
        <w:numPr>
          <w:ilvl w:val="255"/>
          <w:numId w:val="0"/>
        </w:numPr>
        <w:spacing w:before="100" w:after="100" w:line="330" w:lineRule="exact"/>
        <w:rPr>
          <w:rFonts w:eastAsiaTheme="minorEastAsia"/>
        </w:rPr>
      </w:pPr>
      <w:r>
        <w:rPr>
          <w:szCs w:val="21"/>
        </w:rPr>
        <w:t xml:space="preserve">19.2.2 </w:t>
      </w:r>
      <w:r>
        <w:rPr>
          <w:rFonts w:hint="eastAsia"/>
          <w:szCs w:val="21"/>
        </w:rPr>
        <w:t>主要</w:t>
      </w:r>
      <w:r>
        <w:rPr>
          <w:rFonts w:eastAsiaTheme="minorEastAsia"/>
        </w:rPr>
        <w:t>机具</w:t>
      </w:r>
      <w:r>
        <w:rPr>
          <w:rFonts w:hint="eastAsia" w:eastAsiaTheme="minorEastAsia"/>
        </w:rPr>
        <w:t>有</w:t>
      </w:r>
      <w:r>
        <w:rPr>
          <w:rFonts w:eastAsiaTheme="minorEastAsia"/>
        </w:rPr>
        <w:t>电焊机、切割机、砂轮机、对讲机、光纤熔接讯、电工专用工具等施工</w:t>
      </w:r>
      <w:r>
        <w:rPr>
          <w:rFonts w:hint="eastAsia" w:eastAsiaTheme="minorEastAsia"/>
        </w:rPr>
        <w:t>机具</w:t>
      </w:r>
      <w:r>
        <w:rPr>
          <w:rFonts w:eastAsiaTheme="minorEastAsia"/>
        </w:rPr>
        <w:t>；数字万用表、场强仪(用于射频传输系统)、示波器、逻辑笔、小型监视器(用于室外分系统或摄像机的测试)、彩色信号发生器、噪声测量仪、波形监视器、扫频仪、光纤传输专用测试仪、对讲机、便携式计算机等测试仪器。</w:t>
      </w:r>
    </w:p>
    <w:p w14:paraId="108DC811">
      <w:pPr>
        <w:pStyle w:val="164"/>
        <w:spacing w:before="100" w:after="100" w:line="330" w:lineRule="exact"/>
        <w:ind w:firstLine="0" w:firstLineChars="0"/>
        <w:rPr>
          <w:szCs w:val="21"/>
        </w:rPr>
      </w:pPr>
      <w:r>
        <w:rPr>
          <w:szCs w:val="21"/>
        </w:rPr>
        <w:t xml:space="preserve">19.2.3 </w:t>
      </w:r>
      <w:r>
        <w:rPr>
          <w:rFonts w:hint="eastAsia"/>
          <w:szCs w:val="21"/>
        </w:rPr>
        <w:t>作业条件应符合下列规定</w:t>
      </w:r>
      <w:r>
        <w:rPr>
          <w:szCs w:val="21"/>
        </w:rPr>
        <w:t>：</w:t>
      </w:r>
    </w:p>
    <w:p w14:paraId="2A40DBAA">
      <w:pPr>
        <w:pStyle w:val="164"/>
        <w:numPr>
          <w:ilvl w:val="0"/>
          <w:numId w:val="209"/>
        </w:numPr>
        <w:spacing w:line="330" w:lineRule="exact"/>
        <w:ind w:left="0" w:firstLine="420"/>
        <w:rPr>
          <w:rFonts w:eastAsiaTheme="minorEastAsia"/>
        </w:rPr>
      </w:pPr>
      <w:r>
        <w:rPr>
          <w:rFonts w:eastAsiaTheme="minorEastAsia"/>
        </w:rPr>
        <w:t>已完成机房、弱电竖井的建筑施工</w:t>
      </w:r>
      <w:r>
        <w:rPr>
          <w:rFonts w:hint="eastAsia" w:eastAsiaTheme="minorEastAsia"/>
        </w:rPr>
        <w:t>。</w:t>
      </w:r>
    </w:p>
    <w:p w14:paraId="1537D809">
      <w:pPr>
        <w:pStyle w:val="164"/>
        <w:numPr>
          <w:ilvl w:val="0"/>
          <w:numId w:val="209"/>
        </w:numPr>
        <w:spacing w:line="330" w:lineRule="exact"/>
        <w:ind w:left="0" w:firstLine="420"/>
        <w:rPr>
          <w:rFonts w:eastAsiaTheme="minorEastAsia"/>
        </w:rPr>
      </w:pPr>
      <w:r>
        <w:rPr>
          <w:rFonts w:eastAsiaTheme="minorEastAsia"/>
        </w:rPr>
        <w:t>预埋管及预留孔</w:t>
      </w:r>
      <w:r>
        <w:rPr>
          <w:rFonts w:hint="eastAsia" w:eastAsiaTheme="minorEastAsia"/>
        </w:rPr>
        <w:t>应</w:t>
      </w:r>
      <w:r>
        <w:rPr>
          <w:rFonts w:eastAsiaTheme="minorEastAsia"/>
        </w:rPr>
        <w:t>满足设计要求</w:t>
      </w:r>
      <w:r>
        <w:rPr>
          <w:rFonts w:hint="eastAsia" w:eastAsiaTheme="minorEastAsia"/>
        </w:rPr>
        <w:t>。</w:t>
      </w:r>
    </w:p>
    <w:p w14:paraId="1A678B7E">
      <w:pPr>
        <w:pStyle w:val="164"/>
        <w:numPr>
          <w:ilvl w:val="0"/>
          <w:numId w:val="209"/>
        </w:numPr>
        <w:spacing w:line="330" w:lineRule="exact"/>
        <w:ind w:left="0" w:firstLine="420"/>
        <w:rPr>
          <w:rFonts w:eastAsiaTheme="minorEastAsia"/>
        </w:rPr>
      </w:pPr>
      <w:r>
        <w:rPr>
          <w:rFonts w:hint="eastAsia" w:eastAsiaTheme="minorEastAsia"/>
        </w:rPr>
        <w:t>已</w:t>
      </w:r>
      <w:r>
        <w:rPr>
          <w:rFonts w:eastAsiaTheme="minorEastAsia"/>
        </w:rPr>
        <w:t>具备各信息采集点的施工安装条件</w:t>
      </w:r>
      <w:r>
        <w:rPr>
          <w:rFonts w:hint="eastAsia" w:eastAsiaTheme="minorEastAsia"/>
        </w:rPr>
        <w:t>。</w:t>
      </w:r>
    </w:p>
    <w:p w14:paraId="115F196C">
      <w:pPr>
        <w:pStyle w:val="164"/>
        <w:numPr>
          <w:ilvl w:val="0"/>
          <w:numId w:val="209"/>
        </w:numPr>
        <w:spacing w:line="330" w:lineRule="exact"/>
        <w:ind w:left="0" w:firstLine="420"/>
        <w:rPr>
          <w:rFonts w:eastAsiaTheme="minorEastAsia"/>
        </w:rPr>
      </w:pPr>
      <w:r>
        <w:rPr>
          <w:rFonts w:eastAsiaTheme="minorEastAsia"/>
        </w:rPr>
        <w:t>监控设备220V电源及接地安装已完成。</w:t>
      </w:r>
    </w:p>
    <w:p w14:paraId="085F0401">
      <w:pPr>
        <w:pStyle w:val="3"/>
        <w:spacing w:before="240" w:after="120" w:afterLines="50" w:line="330" w:lineRule="exact"/>
        <w:rPr>
          <w:rFonts w:eastAsia="黑体"/>
          <w:b w:val="0"/>
          <w:bCs w:val="0"/>
          <w:sz w:val="21"/>
          <w:szCs w:val="21"/>
          <w:lang w:val="en-US"/>
        </w:rPr>
      </w:pPr>
      <w:bookmarkStart w:id="207" w:name="_Toc182487998"/>
      <w:bookmarkStart w:id="208" w:name="_Toc171955169"/>
      <w:bookmarkStart w:id="209" w:name="_Toc44618476"/>
      <w:bookmarkStart w:id="210" w:name="_Toc56517703"/>
      <w:bookmarkStart w:id="211" w:name="_Toc44618576"/>
      <w:bookmarkStart w:id="212" w:name="_Toc45092845"/>
      <w:r>
        <w:rPr>
          <w:rFonts w:eastAsia="黑体"/>
          <w:b w:val="0"/>
          <w:bCs w:val="0"/>
          <w:sz w:val="21"/>
          <w:szCs w:val="21"/>
          <w:lang w:val="en-US"/>
        </w:rPr>
        <w:t>19.3 施工工艺</w:t>
      </w:r>
      <w:bookmarkEnd w:id="207"/>
      <w:bookmarkEnd w:id="208"/>
      <w:bookmarkEnd w:id="209"/>
      <w:bookmarkEnd w:id="210"/>
      <w:bookmarkEnd w:id="211"/>
      <w:bookmarkEnd w:id="212"/>
    </w:p>
    <w:p w14:paraId="40293D94">
      <w:pPr>
        <w:pStyle w:val="164"/>
        <w:numPr>
          <w:ilvl w:val="1"/>
          <w:numId w:val="119"/>
        </w:numPr>
        <w:spacing w:line="330" w:lineRule="exact"/>
        <w:ind w:firstLineChars="0"/>
        <w:rPr>
          <w:rFonts w:eastAsiaTheme="minorEastAsia"/>
          <w:vanish/>
          <w:szCs w:val="21"/>
        </w:rPr>
      </w:pPr>
    </w:p>
    <w:p w14:paraId="092C3ED8">
      <w:pPr>
        <w:pStyle w:val="164"/>
        <w:spacing w:before="100" w:after="100" w:line="330" w:lineRule="exact"/>
        <w:ind w:firstLine="0" w:firstLineChars="0"/>
        <w:jc w:val="left"/>
        <w:rPr>
          <w:rFonts w:eastAsiaTheme="minorEastAsia"/>
          <w:bCs/>
          <w:szCs w:val="28"/>
        </w:rPr>
      </w:pPr>
      <w:r>
        <w:rPr>
          <w:szCs w:val="21"/>
        </w:rPr>
        <w:t xml:space="preserve">19.3.1 </w:t>
      </w:r>
      <w:r>
        <w:rPr>
          <w:rFonts w:eastAsiaTheme="minorEastAsia"/>
          <w:szCs w:val="21"/>
        </w:rPr>
        <w:t>安全技术防范系统施工工艺流程见图19.3.1。</w:t>
      </w:r>
    </w:p>
    <w:p w14:paraId="0173A36A">
      <w:pPr>
        <w:ind w:left="105" w:hanging="105"/>
        <w:jc w:val="left"/>
        <w:rPr>
          <w:rFonts w:ascii="Times New Roman" w:hAnsi="Times New Roman" w:eastAsiaTheme="minorEastAsia"/>
          <w:bCs/>
          <w:szCs w:val="28"/>
        </w:rPr>
      </w:pPr>
      <w:r>
        <w:rPr>
          <w:rFonts w:ascii="Times New Roman" w:hAnsi="Times New Roman"/>
        </w:rPr>
        <mc:AlternateContent>
          <mc:Choice Requires="wpg">
            <w:drawing>
              <wp:inline distT="0" distB="0" distL="0" distR="0">
                <wp:extent cx="4219575" cy="520700"/>
                <wp:effectExtent l="0" t="0" r="28575" b="12700"/>
                <wp:docPr id="176550775" name="组合 176550775"/>
                <wp:cNvGraphicFramePr/>
                <a:graphic xmlns:a="http://schemas.openxmlformats.org/drawingml/2006/main">
                  <a:graphicData uri="http://schemas.microsoft.com/office/word/2010/wordprocessingGroup">
                    <wpg:wgp>
                      <wpg:cNvGrpSpPr/>
                      <wpg:grpSpPr>
                        <a:xfrm>
                          <a:off x="0" y="0"/>
                          <a:ext cx="4219575" cy="520700"/>
                          <a:chOff x="3" y="3"/>
                          <a:chExt cx="6645" cy="837"/>
                        </a:xfrm>
                      </wpg:grpSpPr>
                      <wps:wsp>
                        <wps:cNvPr id="563633286" name="Line 85"/>
                        <wps:cNvCnPr>
                          <a:cxnSpLocks noChangeShapeType="1"/>
                        </wps:cNvCnPr>
                        <wps:spPr bwMode="auto">
                          <a:xfrm>
                            <a:off x="2148" y="462"/>
                            <a:ext cx="540" cy="0"/>
                          </a:xfrm>
                          <a:prstGeom prst="line">
                            <a:avLst/>
                          </a:prstGeom>
                          <a:noFill/>
                          <a:ln w="9525">
                            <a:solidFill>
                              <a:srgbClr val="000000"/>
                            </a:solidFill>
                            <a:round/>
                            <a:tailEnd type="triangle" w="med" len="med"/>
                          </a:ln>
                        </wps:spPr>
                        <wps:bodyPr/>
                      </wps:wsp>
                      <wps:wsp>
                        <wps:cNvPr id="915442441" name="Line 86"/>
                        <wps:cNvCnPr>
                          <a:cxnSpLocks noChangeShapeType="1"/>
                        </wps:cNvCnPr>
                        <wps:spPr bwMode="auto">
                          <a:xfrm>
                            <a:off x="4308" y="441"/>
                            <a:ext cx="540" cy="0"/>
                          </a:xfrm>
                          <a:prstGeom prst="line">
                            <a:avLst/>
                          </a:prstGeom>
                          <a:noFill/>
                          <a:ln w="9525">
                            <a:solidFill>
                              <a:srgbClr val="000000"/>
                            </a:solidFill>
                            <a:round/>
                            <a:tailEnd type="triangle" w="med" len="med"/>
                          </a:ln>
                        </wps:spPr>
                        <wps:bodyPr/>
                      </wps:wsp>
                      <wps:wsp>
                        <wps:cNvPr id="622819407" name="Rectangle 88"/>
                        <wps:cNvSpPr>
                          <a:spLocks noChangeArrowheads="1"/>
                        </wps:cNvSpPr>
                        <wps:spPr bwMode="auto">
                          <a:xfrm>
                            <a:off x="3" y="3"/>
                            <a:ext cx="2142" cy="837"/>
                          </a:xfrm>
                          <a:prstGeom prst="rect">
                            <a:avLst/>
                          </a:prstGeom>
                          <a:solidFill>
                            <a:srgbClr val="FFFFFF"/>
                          </a:solidFill>
                          <a:ln w="9525">
                            <a:solidFill>
                              <a:srgbClr val="000000"/>
                            </a:solidFill>
                            <a:miter lim="800000"/>
                          </a:ln>
                        </wps:spPr>
                        <wps:txbx>
                          <w:txbxContent>
                            <w:p w14:paraId="1C4DF1C9">
                              <w:pPr>
                                <w:autoSpaceDE w:val="0"/>
                                <w:autoSpaceDN w:val="0"/>
                                <w:adjustRightInd w:val="0"/>
                                <w:spacing w:line="288" w:lineRule="auto"/>
                                <w:ind w:left="0" w:firstLine="0" w:firstLineChars="0"/>
                                <w:jc w:val="center"/>
                                <w:rPr>
                                  <w:rFonts w:cs="Calibri"/>
                                  <w:color w:val="000000"/>
                                  <w:kern w:val="0"/>
                                  <w:szCs w:val="21"/>
                                  <w:lang w:val="zh-CN"/>
                                </w:rPr>
                              </w:pPr>
                              <w:r>
                                <w:rPr>
                                  <w:rFonts w:hint="eastAsia" w:ascii="宋体" w:cs="宋体"/>
                                  <w:color w:val="000000"/>
                                  <w:kern w:val="0"/>
                                  <w:szCs w:val="21"/>
                                  <w:lang w:val="zh-CN"/>
                                </w:rPr>
                                <w:t>钢管、金属线槽及线缆敷设</w:t>
                              </w:r>
                            </w:p>
                            <w:p w14:paraId="75416BC8">
                              <w:pPr>
                                <w:ind w:left="105" w:hanging="105"/>
                                <w:jc w:val="center"/>
                              </w:pPr>
                            </w:p>
                          </w:txbxContent>
                        </wps:txbx>
                        <wps:bodyPr rot="0" vert="horz" wrap="square" lIns="91440" tIns="82800" rIns="91440" bIns="45720" anchor="t" anchorCtr="0" upright="1">
                          <a:noAutofit/>
                        </wps:bodyPr>
                      </wps:wsp>
                      <wps:wsp>
                        <wps:cNvPr id="1001753977" name="Rectangle 90"/>
                        <wps:cNvSpPr>
                          <a:spLocks noChangeArrowheads="1"/>
                        </wps:cNvSpPr>
                        <wps:spPr bwMode="auto">
                          <a:xfrm>
                            <a:off x="2688" y="3"/>
                            <a:ext cx="1620" cy="837"/>
                          </a:xfrm>
                          <a:prstGeom prst="rect">
                            <a:avLst/>
                          </a:prstGeom>
                          <a:solidFill>
                            <a:srgbClr val="FFFFFF"/>
                          </a:solidFill>
                          <a:ln w="9525">
                            <a:solidFill>
                              <a:srgbClr val="000000"/>
                            </a:solidFill>
                            <a:miter lim="800000"/>
                          </a:ln>
                        </wps:spPr>
                        <wps:txbx>
                          <w:txbxContent>
                            <w:p w14:paraId="098620D0">
                              <w:pPr>
                                <w:ind w:left="95" w:hanging="95"/>
                                <w:jc w:val="center"/>
                              </w:pPr>
                              <w:r>
                                <w:rPr>
                                  <w:rFonts w:hint="eastAsia" w:ascii="宋体" w:hAnsi="宋体"/>
                                  <w:spacing w:val="-10"/>
                                  <w:kern w:val="0"/>
                                </w:rPr>
                                <w:t>设备安装</w:t>
                              </w:r>
                            </w:p>
                          </w:txbxContent>
                        </wps:txbx>
                        <wps:bodyPr rot="0" vert="horz" wrap="square" lIns="91440" tIns="82800" rIns="91440" bIns="45720" anchor="ctr" anchorCtr="0" upright="1">
                          <a:noAutofit/>
                        </wps:bodyPr>
                      </wps:wsp>
                      <wps:wsp>
                        <wps:cNvPr id="202949437" name="Rectangle 92"/>
                        <wps:cNvSpPr>
                          <a:spLocks noChangeArrowheads="1"/>
                        </wps:cNvSpPr>
                        <wps:spPr bwMode="auto">
                          <a:xfrm>
                            <a:off x="4848" y="12"/>
                            <a:ext cx="1800" cy="828"/>
                          </a:xfrm>
                          <a:prstGeom prst="rect">
                            <a:avLst/>
                          </a:prstGeom>
                          <a:solidFill>
                            <a:srgbClr val="FFFFFF"/>
                          </a:solidFill>
                          <a:ln w="9525">
                            <a:solidFill>
                              <a:srgbClr val="000000"/>
                            </a:solidFill>
                            <a:miter lim="800000"/>
                          </a:ln>
                        </wps:spPr>
                        <wps:txbx>
                          <w:txbxContent>
                            <w:p w14:paraId="5B162AAD">
                              <w:pPr>
                                <w:ind w:left="105" w:hanging="105"/>
                                <w:jc w:val="center"/>
                              </w:pPr>
                              <w:r>
                                <w:rPr>
                                  <w:rFonts w:hint="eastAsia" w:ascii="宋体" w:hAnsi="宋体"/>
                                  <w:kern w:val="0"/>
                                </w:rPr>
                                <w:t>系统调试</w:t>
                              </w:r>
                            </w:p>
                          </w:txbxContent>
                        </wps:txbx>
                        <wps:bodyPr rot="0" vert="horz" wrap="square" lIns="91440" tIns="82800" rIns="91440" bIns="45720" anchor="ctr" anchorCtr="0" upright="1">
                          <a:noAutofit/>
                        </wps:bodyPr>
                      </wps:wsp>
                    </wpg:wgp>
                  </a:graphicData>
                </a:graphic>
              </wp:inline>
            </w:drawing>
          </mc:Choice>
          <mc:Fallback>
            <w:pict>
              <v:group id="_x0000_s1026" o:spid="_x0000_s1026" o:spt="203" style="height:41pt;width:332.25pt;" coordorigin="3,3" coordsize="6645,837" o:gfxdata="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qEFsWdYAAAAEAQAADwAAAAAAAAABACAAAAAiAAAAZHJzL2Rvd25yZXYueG1sUEsBAhQAFAAA&#10;AAgAh07iQFDcSYO5AwAA+w4AAA4AAAAAAAAAAQAgAAAAJQEAAGRycy9lMm9Eb2MueG1sUEsFBgAA&#10;AAAGAAYAWQEAAFAHAAAAAA==&#10;">
                <o:lock v:ext="edit" aspectratio="f"/>
                <v:line id="Line 85" o:spid="_x0000_s1026" o:spt="20" style="position:absolute;left:2148;top:462;height:0;width:540;" filled="f" stroked="t" coordsize="21600,21600" o:gfxdata="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7z+57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line id="Line 86" o:spid="_x0000_s1026" o:spt="20" style="position:absolute;left:4308;top:441;height:0;width:540;" filled="f" stroked="t" coordsize="21600,21600" o:gfxdata="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TUVGP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ect id="Rectangle 88" o:spid="_x0000_s1026" o:spt="1" style="position:absolute;left:3;top:3;height:837;width:2142;" fillcolor="#FFFFFF" filled="t" stroked="t" coordsize="21600,21600" o:gfxdata="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8&#10;Ieq2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1C4DF1C9">
                        <w:pPr>
                          <w:autoSpaceDE w:val="0"/>
                          <w:autoSpaceDN w:val="0"/>
                          <w:adjustRightInd w:val="0"/>
                          <w:spacing w:line="288" w:lineRule="auto"/>
                          <w:ind w:left="0" w:firstLine="0" w:firstLineChars="0"/>
                          <w:jc w:val="center"/>
                          <w:rPr>
                            <w:rFonts w:cs="Calibri"/>
                            <w:color w:val="000000"/>
                            <w:kern w:val="0"/>
                            <w:szCs w:val="21"/>
                            <w:lang w:val="zh-CN"/>
                          </w:rPr>
                        </w:pPr>
                        <w:r>
                          <w:rPr>
                            <w:rFonts w:hint="eastAsia" w:ascii="宋体" w:cs="宋体"/>
                            <w:color w:val="000000"/>
                            <w:kern w:val="0"/>
                            <w:szCs w:val="21"/>
                            <w:lang w:val="zh-CN"/>
                          </w:rPr>
                          <w:t>钢管、金属线槽及线缆敷设</w:t>
                        </w:r>
                      </w:p>
                      <w:p w14:paraId="75416BC8">
                        <w:pPr>
                          <w:ind w:left="105" w:hanging="105"/>
                          <w:jc w:val="center"/>
                        </w:pPr>
                      </w:p>
                    </w:txbxContent>
                  </v:textbox>
                </v:rect>
                <v:rect id="Rectangle 90" o:spid="_x0000_s1026" o:spt="1" style="position:absolute;left:2688;top:3;height:837;width:1620;v-text-anchor:middle;" fillcolor="#FFFFFF" filled="t" stroked="t" coordsize="21600,21600" o:gfxdata="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NaV&#10;xc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2.3mm,2.54mm,1.27mm">
                    <w:txbxContent>
                      <w:p w14:paraId="098620D0">
                        <w:pPr>
                          <w:ind w:left="95" w:hanging="95"/>
                          <w:jc w:val="center"/>
                        </w:pPr>
                        <w:r>
                          <w:rPr>
                            <w:rFonts w:hint="eastAsia" w:ascii="宋体" w:hAnsi="宋体"/>
                            <w:spacing w:val="-10"/>
                            <w:kern w:val="0"/>
                          </w:rPr>
                          <w:t>设备安装</w:t>
                        </w:r>
                      </w:p>
                    </w:txbxContent>
                  </v:textbox>
                </v:rect>
                <v:rect id="Rectangle 92" o:spid="_x0000_s1026" o:spt="1" style="position:absolute;left:4848;top:12;height:828;width:1800;v-text-anchor:middle;" fillcolor="#FFFFFF" filled="t" stroked="t" coordsize="21600,21600" o:gfxdata="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m14SsQAAADi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5B162AAD">
                        <w:pPr>
                          <w:ind w:left="105" w:hanging="105"/>
                          <w:jc w:val="center"/>
                        </w:pPr>
                        <w:r>
                          <w:rPr>
                            <w:rFonts w:hint="eastAsia" w:ascii="宋体" w:hAnsi="宋体"/>
                            <w:kern w:val="0"/>
                          </w:rPr>
                          <w:t>系统调试</w:t>
                        </w:r>
                      </w:p>
                    </w:txbxContent>
                  </v:textbox>
                </v:rect>
                <w10:wrap type="none"/>
                <w10:anchorlock/>
              </v:group>
            </w:pict>
          </mc:Fallback>
        </mc:AlternateContent>
      </w:r>
    </w:p>
    <w:p w14:paraId="4C50BCCC">
      <w:pPr>
        <w:ind w:left="105" w:hanging="105" w:firstLineChars="0"/>
        <w:jc w:val="center"/>
        <w:rPr>
          <w:rFonts w:ascii="Times New Roman" w:hAnsi="Times New Roman" w:eastAsiaTheme="minorEastAsia"/>
          <w:sz w:val="20"/>
          <w:szCs w:val="21"/>
        </w:rPr>
      </w:pPr>
    </w:p>
    <w:p w14:paraId="5067CD27">
      <w:pPr>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图19.3.1   安全技术防范系统施工工艺流程图</w:t>
      </w:r>
    </w:p>
    <w:p w14:paraId="39363DD1">
      <w:pPr>
        <w:pStyle w:val="164"/>
        <w:spacing w:before="100" w:after="100" w:line="330" w:lineRule="exact"/>
        <w:ind w:firstLine="0" w:firstLineChars="0"/>
        <w:rPr>
          <w:szCs w:val="21"/>
        </w:rPr>
      </w:pPr>
      <w:r>
        <w:rPr>
          <w:szCs w:val="21"/>
        </w:rPr>
        <w:t>19.3.2 钢管、金属线槽及线缆敷设应</w:t>
      </w:r>
      <w:r>
        <w:rPr>
          <w:rFonts w:hint="eastAsia"/>
          <w:szCs w:val="21"/>
        </w:rPr>
        <w:t>符合下列规定</w:t>
      </w:r>
      <w:r>
        <w:rPr>
          <w:szCs w:val="21"/>
        </w:rPr>
        <w:t>：</w:t>
      </w:r>
    </w:p>
    <w:p w14:paraId="70EE3CEF">
      <w:pPr>
        <w:pStyle w:val="164"/>
        <w:numPr>
          <w:ilvl w:val="0"/>
          <w:numId w:val="210"/>
        </w:numPr>
        <w:spacing w:line="330" w:lineRule="exact"/>
        <w:ind w:left="0" w:firstLine="420"/>
        <w:rPr>
          <w:rFonts w:eastAsiaTheme="minorEastAsia"/>
        </w:rPr>
      </w:pPr>
      <w:r>
        <w:rPr>
          <w:rFonts w:eastAsiaTheme="minorEastAsia"/>
        </w:rPr>
        <w:t>钢管、金属线槽及线缆敷设</w:t>
      </w:r>
      <w:r>
        <w:rPr>
          <w:rFonts w:hint="eastAsia" w:eastAsiaTheme="minorEastAsia"/>
        </w:rPr>
        <w:t>应按第八章“综合布线系统”</w:t>
      </w:r>
      <w:r>
        <w:rPr>
          <w:rFonts w:hint="eastAsia"/>
        </w:rPr>
        <w:t>有关规定</w:t>
      </w:r>
      <w:r>
        <w:t>进行施工</w:t>
      </w:r>
      <w:r>
        <w:rPr>
          <w:rFonts w:eastAsiaTheme="minorEastAsia"/>
        </w:rPr>
        <w:t>。</w:t>
      </w:r>
    </w:p>
    <w:p w14:paraId="7EA49DFF">
      <w:pPr>
        <w:pStyle w:val="164"/>
        <w:numPr>
          <w:ilvl w:val="0"/>
          <w:numId w:val="210"/>
        </w:numPr>
        <w:spacing w:line="330" w:lineRule="exact"/>
        <w:ind w:left="0" w:firstLine="420"/>
        <w:rPr>
          <w:rFonts w:eastAsiaTheme="minorEastAsia"/>
        </w:rPr>
      </w:pPr>
      <w:r>
        <w:rPr>
          <w:rFonts w:eastAsiaTheme="minorEastAsia"/>
        </w:rPr>
        <w:t>金属线槽、钢管及线缆的敷设</w:t>
      </w:r>
      <w:r>
        <w:rPr>
          <w:rFonts w:hint="eastAsia" w:eastAsiaTheme="minorEastAsia"/>
        </w:rPr>
        <w:t>应按现行国家标准</w:t>
      </w:r>
      <w:r>
        <w:rPr>
          <w:rFonts w:eastAsiaTheme="minorEastAsia"/>
        </w:rPr>
        <w:t>《民用闭路监控电视系统工程技术规范》GB 50198</w:t>
      </w:r>
      <w:r>
        <w:rPr>
          <w:rFonts w:hint="eastAsia" w:eastAsiaTheme="minorEastAsia"/>
        </w:rPr>
        <w:t>的相关规定执行</w:t>
      </w:r>
      <w:r>
        <w:rPr>
          <w:rFonts w:eastAsiaTheme="minorEastAsia"/>
        </w:rPr>
        <w:t>。</w:t>
      </w:r>
    </w:p>
    <w:p w14:paraId="0C4E4589">
      <w:pPr>
        <w:pStyle w:val="164"/>
        <w:numPr>
          <w:ilvl w:val="0"/>
          <w:numId w:val="210"/>
        </w:numPr>
        <w:spacing w:line="330" w:lineRule="exact"/>
        <w:ind w:left="0" w:firstLine="420"/>
        <w:rPr>
          <w:rFonts w:eastAsiaTheme="minorEastAsia"/>
        </w:rPr>
      </w:pPr>
      <w:r>
        <w:rPr>
          <w:rFonts w:eastAsiaTheme="minorEastAsia"/>
        </w:rPr>
        <w:t>传输视频的同轴电缆、摄像机的电源线和控制线均应穿金属管敷设，金属管应接地良好。传输视频的同轴电缆与控制线宜分开敷设，电源线应另外敷设管路。</w:t>
      </w:r>
    </w:p>
    <w:p w14:paraId="31CE6306">
      <w:pPr>
        <w:pStyle w:val="164"/>
        <w:numPr>
          <w:ilvl w:val="0"/>
          <w:numId w:val="210"/>
        </w:numPr>
        <w:spacing w:line="330" w:lineRule="exact"/>
        <w:ind w:left="0" w:firstLine="420"/>
        <w:rPr>
          <w:rFonts w:eastAsiaTheme="minorEastAsia"/>
        </w:rPr>
      </w:pPr>
      <w:r>
        <w:rPr>
          <w:rFonts w:eastAsiaTheme="minorEastAsia"/>
        </w:rPr>
        <w:t>同轴电缆、电源线和控制线安装应符合下列规定：</w:t>
      </w:r>
    </w:p>
    <w:p w14:paraId="55B9B73E">
      <w:pPr>
        <w:pStyle w:val="164"/>
        <w:numPr>
          <w:ilvl w:val="0"/>
          <w:numId w:val="211"/>
        </w:numPr>
        <w:tabs>
          <w:tab w:val="left" w:pos="210"/>
          <w:tab w:val="left" w:pos="567"/>
        </w:tabs>
        <w:spacing w:line="330" w:lineRule="exact"/>
        <w:ind w:firstLine="630" w:firstLineChars="300"/>
        <w:rPr>
          <w:rFonts w:eastAsiaTheme="minorEastAsia"/>
        </w:rPr>
      </w:pPr>
      <w:r>
        <w:rPr>
          <w:rFonts w:eastAsiaTheme="minorEastAsia"/>
        </w:rPr>
        <w:t>传输视频的同轴电缆、电源线和控制线不应与电力线共管或平行安装。若无法避免平行安装时，两条线管应分别接地且按相关规范要求保持间距。</w:t>
      </w:r>
    </w:p>
    <w:p w14:paraId="50B7AC19">
      <w:pPr>
        <w:pStyle w:val="164"/>
        <w:numPr>
          <w:ilvl w:val="0"/>
          <w:numId w:val="211"/>
        </w:numPr>
        <w:tabs>
          <w:tab w:val="left" w:pos="210"/>
          <w:tab w:val="left" w:pos="567"/>
        </w:tabs>
        <w:spacing w:line="330" w:lineRule="exact"/>
        <w:ind w:firstLine="630" w:firstLineChars="300"/>
        <w:rPr>
          <w:rFonts w:eastAsiaTheme="minorEastAsia"/>
        </w:rPr>
      </w:pPr>
      <w:r>
        <w:rPr>
          <w:rFonts w:eastAsiaTheme="minorEastAsia"/>
        </w:rPr>
        <w:t>同轴电缆和控制线不应有中间接头。</w:t>
      </w:r>
    </w:p>
    <w:p w14:paraId="31522E79">
      <w:pPr>
        <w:pStyle w:val="164"/>
        <w:numPr>
          <w:ilvl w:val="0"/>
          <w:numId w:val="211"/>
        </w:numPr>
        <w:tabs>
          <w:tab w:val="left" w:pos="210"/>
          <w:tab w:val="left" w:pos="567"/>
        </w:tabs>
        <w:spacing w:line="330" w:lineRule="exact"/>
        <w:ind w:firstLine="630" w:firstLineChars="300"/>
        <w:rPr>
          <w:rFonts w:eastAsiaTheme="minorEastAsia"/>
        </w:rPr>
      </w:pPr>
      <w:r>
        <w:rPr>
          <w:rFonts w:eastAsiaTheme="minorEastAsia"/>
        </w:rPr>
        <w:t>布线应避开配电箱、配电网、大功率电动机、荧光灯管、电子启动器、开关电源、电话线等干扰源。</w:t>
      </w:r>
    </w:p>
    <w:p w14:paraId="38CDA74F">
      <w:pPr>
        <w:pStyle w:val="164"/>
        <w:spacing w:before="100" w:after="100" w:line="330" w:lineRule="exact"/>
        <w:ind w:firstLine="0" w:firstLineChars="0"/>
        <w:rPr>
          <w:szCs w:val="21"/>
        </w:rPr>
      </w:pPr>
      <w:r>
        <w:rPr>
          <w:szCs w:val="21"/>
        </w:rPr>
        <w:t>19.3.3 设备安装应符合下列规定：</w:t>
      </w:r>
    </w:p>
    <w:p w14:paraId="449842E3">
      <w:pPr>
        <w:pStyle w:val="164"/>
        <w:numPr>
          <w:ilvl w:val="0"/>
          <w:numId w:val="212"/>
        </w:numPr>
        <w:spacing w:line="330" w:lineRule="exact"/>
        <w:ind w:left="0" w:firstLine="420"/>
        <w:rPr>
          <w:rFonts w:eastAsiaTheme="minorEastAsia"/>
        </w:rPr>
      </w:pPr>
      <w:r>
        <w:rPr>
          <w:rFonts w:eastAsiaTheme="minorEastAsia"/>
        </w:rPr>
        <w:t>监控设备安装</w:t>
      </w:r>
      <w:r>
        <w:rPr>
          <w:szCs w:val="21"/>
        </w:rPr>
        <w:t>应符合下列规定：</w:t>
      </w:r>
    </w:p>
    <w:p w14:paraId="204AD95B">
      <w:pPr>
        <w:pStyle w:val="164"/>
        <w:numPr>
          <w:ilvl w:val="0"/>
          <w:numId w:val="213"/>
        </w:numPr>
        <w:tabs>
          <w:tab w:val="left" w:pos="210"/>
          <w:tab w:val="left" w:pos="567"/>
        </w:tabs>
        <w:spacing w:line="330" w:lineRule="exact"/>
        <w:ind w:firstLine="630" w:firstLineChars="300"/>
        <w:rPr>
          <w:rFonts w:eastAsiaTheme="minorEastAsia"/>
          <w:szCs w:val="21"/>
        </w:rPr>
      </w:pPr>
      <w:r>
        <w:rPr>
          <w:rFonts w:eastAsiaTheme="minorEastAsia"/>
          <w:szCs w:val="21"/>
        </w:rPr>
        <w:t>摄像机、云台和解码器的安装</w:t>
      </w:r>
      <w:r>
        <w:rPr>
          <w:rFonts w:hint="eastAsia" w:eastAsiaTheme="minorEastAsia"/>
        </w:rPr>
        <w:t>应按现行国家标准</w:t>
      </w:r>
      <w:r>
        <w:rPr>
          <w:rFonts w:eastAsiaTheme="minorEastAsia"/>
          <w:szCs w:val="21"/>
        </w:rPr>
        <w:t>《智能建筑工程施工规范》</w:t>
      </w:r>
      <w:r>
        <w:rPr>
          <w:szCs w:val="22"/>
        </w:rPr>
        <w:t>GB 50606</w:t>
      </w:r>
      <w:r>
        <w:rPr>
          <w:rFonts w:hint="eastAsia"/>
          <w:szCs w:val="22"/>
        </w:rPr>
        <w:t>的</w:t>
      </w:r>
      <w:r>
        <w:rPr>
          <w:rFonts w:hint="eastAsia" w:eastAsiaTheme="minorEastAsia"/>
        </w:rPr>
        <w:t>相关规定执行</w:t>
      </w:r>
      <w:r>
        <w:rPr>
          <w:rFonts w:eastAsiaTheme="minorEastAsia"/>
          <w:szCs w:val="21"/>
        </w:rPr>
        <w:t>。摄像机安装还应按下列要求进行检查：</w:t>
      </w:r>
    </w:p>
    <w:p w14:paraId="72813832">
      <w:pPr>
        <w:pStyle w:val="164"/>
        <w:numPr>
          <w:ilvl w:val="0"/>
          <w:numId w:val="214"/>
        </w:numPr>
        <w:autoSpaceDE w:val="0"/>
        <w:autoSpaceDN w:val="0"/>
        <w:adjustRightInd w:val="0"/>
        <w:snapToGrid w:val="0"/>
        <w:spacing w:line="330" w:lineRule="exact"/>
        <w:ind w:left="0" w:firstLine="840" w:firstLineChars="400"/>
      </w:pPr>
      <w:r>
        <w:t>在搬动、架设摄像机过程中，不应打开镜头盖。</w:t>
      </w:r>
    </w:p>
    <w:p w14:paraId="6255C295">
      <w:pPr>
        <w:pStyle w:val="164"/>
        <w:numPr>
          <w:ilvl w:val="0"/>
          <w:numId w:val="214"/>
        </w:numPr>
        <w:autoSpaceDE w:val="0"/>
        <w:autoSpaceDN w:val="0"/>
        <w:adjustRightInd w:val="0"/>
        <w:snapToGrid w:val="0"/>
        <w:spacing w:line="330" w:lineRule="exact"/>
        <w:ind w:left="0" w:firstLine="840" w:firstLineChars="400"/>
      </w:pPr>
      <w:r>
        <w:t>对摄像机逐个通电进行检测和粗调，摄像机处于正常工作状态后，方可安装。</w:t>
      </w:r>
    </w:p>
    <w:p w14:paraId="0F16C80A">
      <w:pPr>
        <w:pStyle w:val="164"/>
        <w:numPr>
          <w:ilvl w:val="0"/>
          <w:numId w:val="214"/>
        </w:numPr>
        <w:autoSpaceDE w:val="0"/>
        <w:autoSpaceDN w:val="0"/>
        <w:adjustRightInd w:val="0"/>
        <w:snapToGrid w:val="0"/>
        <w:spacing w:line="330" w:lineRule="exact"/>
        <w:ind w:left="0" w:firstLine="840" w:firstLineChars="400"/>
      </w:pPr>
      <w:r>
        <w:t>检查云台、支架的安装尺寸</w:t>
      </w:r>
      <w:r>
        <w:rPr>
          <w:rFonts w:hint="eastAsia"/>
        </w:rPr>
        <w:t>，</w:t>
      </w:r>
      <w:r>
        <w:t>检查云台的水平、垂直转动角度</w:t>
      </w:r>
      <w:r>
        <w:rPr>
          <w:rFonts w:hint="eastAsia"/>
        </w:rPr>
        <w:t>，</w:t>
      </w:r>
      <w:r>
        <w:t>检查防护罩的紧固情况及雨刷动作，并根据设计要求定准云台转动起点方向。</w:t>
      </w:r>
    </w:p>
    <w:p w14:paraId="70618FCB">
      <w:pPr>
        <w:pStyle w:val="164"/>
        <w:numPr>
          <w:ilvl w:val="0"/>
          <w:numId w:val="214"/>
        </w:numPr>
        <w:autoSpaceDE w:val="0"/>
        <w:autoSpaceDN w:val="0"/>
        <w:adjustRightInd w:val="0"/>
        <w:snapToGrid w:val="0"/>
        <w:spacing w:line="330" w:lineRule="exact"/>
        <w:ind w:left="0" w:firstLine="840" w:firstLineChars="400"/>
      </w:pPr>
      <w:r>
        <w:t>检查摄像机防护罩内紧固情况</w:t>
      </w:r>
      <w:r>
        <w:rPr>
          <w:rFonts w:hint="eastAsia"/>
        </w:rPr>
        <w:t>，</w:t>
      </w:r>
      <w:r>
        <w:t>检查摄像机座与支架或云台的安装尺寸。</w:t>
      </w:r>
    </w:p>
    <w:p w14:paraId="69D65A4D">
      <w:pPr>
        <w:pStyle w:val="164"/>
        <w:numPr>
          <w:ilvl w:val="0"/>
          <w:numId w:val="214"/>
        </w:numPr>
        <w:autoSpaceDE w:val="0"/>
        <w:autoSpaceDN w:val="0"/>
        <w:adjustRightInd w:val="0"/>
        <w:snapToGrid w:val="0"/>
        <w:spacing w:line="330" w:lineRule="exact"/>
        <w:ind w:left="0" w:firstLine="840" w:firstLineChars="400"/>
      </w:pPr>
      <w:r>
        <w:t>先对摄像机进行初步安装，经通电试看、细调，检查各项功能，观察监视区域的覆盖范围和图像质量，满足要求后方可固定。</w:t>
      </w:r>
    </w:p>
    <w:p w14:paraId="5F532A0A">
      <w:pPr>
        <w:pStyle w:val="164"/>
        <w:numPr>
          <w:ilvl w:val="0"/>
          <w:numId w:val="214"/>
        </w:numPr>
        <w:autoSpaceDE w:val="0"/>
        <w:autoSpaceDN w:val="0"/>
        <w:adjustRightInd w:val="0"/>
        <w:snapToGrid w:val="0"/>
        <w:spacing w:line="330" w:lineRule="exact"/>
        <w:ind w:left="0" w:firstLine="840" w:firstLineChars="400"/>
      </w:pPr>
      <w:r>
        <w:t>在高压带电设备附近架设摄像机时，应根据带电设备的要求，确定安全距离。</w:t>
      </w:r>
    </w:p>
    <w:p w14:paraId="1480BB52">
      <w:pPr>
        <w:pStyle w:val="164"/>
        <w:numPr>
          <w:ilvl w:val="0"/>
          <w:numId w:val="214"/>
        </w:numPr>
        <w:autoSpaceDE w:val="0"/>
        <w:autoSpaceDN w:val="0"/>
        <w:adjustRightInd w:val="0"/>
        <w:snapToGrid w:val="0"/>
        <w:spacing w:line="330" w:lineRule="exact"/>
        <w:ind w:left="0" w:firstLine="840" w:firstLineChars="400"/>
      </w:pPr>
      <w:r>
        <w:t>从摄像机引出的电缆宜留有 1m 的余留电缆，不得影响摄像机的转动，摄像机的电缆和电源线均应固定，不得用插头承受电缆的自重。</w:t>
      </w:r>
    </w:p>
    <w:p w14:paraId="299EEBAB">
      <w:pPr>
        <w:pStyle w:val="164"/>
        <w:numPr>
          <w:ilvl w:val="0"/>
          <w:numId w:val="214"/>
        </w:numPr>
        <w:autoSpaceDE w:val="0"/>
        <w:autoSpaceDN w:val="0"/>
        <w:adjustRightInd w:val="0"/>
        <w:snapToGrid w:val="0"/>
        <w:spacing w:line="330" w:lineRule="exact"/>
        <w:ind w:left="0" w:firstLine="840" w:firstLineChars="400"/>
      </w:pPr>
      <w:r>
        <w:t>对于隐形摄像机的安装必需做好伪装。</w:t>
      </w:r>
    </w:p>
    <w:p w14:paraId="50C3BF69">
      <w:pPr>
        <w:pStyle w:val="164"/>
        <w:numPr>
          <w:ilvl w:val="0"/>
          <w:numId w:val="214"/>
        </w:numPr>
        <w:autoSpaceDE w:val="0"/>
        <w:autoSpaceDN w:val="0"/>
        <w:adjustRightInd w:val="0"/>
        <w:snapToGrid w:val="0"/>
        <w:spacing w:line="330" w:lineRule="exact"/>
        <w:ind w:left="0" w:firstLine="840" w:firstLineChars="400"/>
      </w:pPr>
      <w:r>
        <w:t>室外摄像机应做好防水防锈处理，包括固定支架或底座的螺栓等。</w:t>
      </w:r>
    </w:p>
    <w:p w14:paraId="0092F325">
      <w:pPr>
        <w:pStyle w:val="164"/>
        <w:numPr>
          <w:ilvl w:val="0"/>
          <w:numId w:val="214"/>
        </w:numPr>
        <w:autoSpaceDE w:val="0"/>
        <w:autoSpaceDN w:val="0"/>
        <w:adjustRightInd w:val="0"/>
        <w:snapToGrid w:val="0"/>
        <w:spacing w:line="330" w:lineRule="exact"/>
        <w:ind w:left="0" w:firstLine="840" w:firstLineChars="400"/>
      </w:pPr>
      <w:r>
        <w:t>电缆与设备防护系统的接口处做好防水处理。电源线、视频线、控制线应固定且留有余地。</w:t>
      </w:r>
    </w:p>
    <w:p w14:paraId="619BD343">
      <w:pPr>
        <w:pStyle w:val="164"/>
        <w:numPr>
          <w:ilvl w:val="0"/>
          <w:numId w:val="213"/>
        </w:numPr>
        <w:tabs>
          <w:tab w:val="left" w:pos="210"/>
          <w:tab w:val="left" w:pos="567"/>
        </w:tabs>
        <w:spacing w:line="330" w:lineRule="exact"/>
        <w:ind w:firstLine="630" w:firstLineChars="300"/>
        <w:rPr>
          <w:rFonts w:eastAsiaTheme="minorEastAsia"/>
          <w:szCs w:val="21"/>
        </w:rPr>
      </w:pPr>
      <w:r>
        <w:rPr>
          <w:rFonts w:eastAsiaTheme="minorEastAsia"/>
          <w:szCs w:val="21"/>
        </w:rPr>
        <w:t>光端机、编码器和设备箱的安装应符合下列规定：</w:t>
      </w:r>
    </w:p>
    <w:p w14:paraId="32049435">
      <w:pPr>
        <w:pStyle w:val="164"/>
        <w:numPr>
          <w:ilvl w:val="0"/>
          <w:numId w:val="215"/>
        </w:numPr>
        <w:autoSpaceDE w:val="0"/>
        <w:autoSpaceDN w:val="0"/>
        <w:adjustRightInd w:val="0"/>
        <w:snapToGrid w:val="0"/>
        <w:spacing w:line="330" w:lineRule="exact"/>
        <w:ind w:left="0" w:firstLine="840" w:firstLineChars="400"/>
      </w:pPr>
      <w:r>
        <w:rPr>
          <w:rFonts w:eastAsiaTheme="minorEastAsia"/>
        </w:rPr>
        <w:t>光端机或编码器应安装在摄像机附近的设备箱内，设备箱应具有防尘、防</w:t>
      </w:r>
      <w:r>
        <w:t>水、防盗功能；</w:t>
      </w:r>
    </w:p>
    <w:p w14:paraId="74B695C2">
      <w:pPr>
        <w:pStyle w:val="164"/>
        <w:numPr>
          <w:ilvl w:val="0"/>
          <w:numId w:val="215"/>
        </w:numPr>
        <w:autoSpaceDE w:val="0"/>
        <w:autoSpaceDN w:val="0"/>
        <w:adjustRightInd w:val="0"/>
        <w:snapToGrid w:val="0"/>
        <w:spacing w:line="330" w:lineRule="exact"/>
        <w:ind w:left="0" w:firstLine="840" w:firstLineChars="400"/>
      </w:pPr>
      <w:r>
        <w:t>视频编码器安装前应与前端摄像机连接测试，图像传输与数据通信正常后方可安装；</w:t>
      </w:r>
    </w:p>
    <w:p w14:paraId="1B9C31E2">
      <w:pPr>
        <w:pStyle w:val="164"/>
        <w:numPr>
          <w:ilvl w:val="0"/>
          <w:numId w:val="215"/>
        </w:numPr>
        <w:autoSpaceDE w:val="0"/>
        <w:autoSpaceDN w:val="0"/>
        <w:adjustRightInd w:val="0"/>
        <w:snapToGrid w:val="0"/>
        <w:spacing w:line="330" w:lineRule="exact"/>
        <w:ind w:left="0" w:firstLine="840" w:firstLineChars="400"/>
      </w:pPr>
      <w:r>
        <w:t>设备箱内设备排列应整齐，走线应有标识和线路图。</w:t>
      </w:r>
    </w:p>
    <w:p w14:paraId="52326F10">
      <w:pPr>
        <w:pStyle w:val="164"/>
        <w:numPr>
          <w:ilvl w:val="0"/>
          <w:numId w:val="213"/>
        </w:numPr>
        <w:tabs>
          <w:tab w:val="left" w:pos="210"/>
          <w:tab w:val="left" w:pos="567"/>
        </w:tabs>
        <w:spacing w:line="330" w:lineRule="exact"/>
        <w:ind w:firstLine="630" w:firstLineChars="300"/>
        <w:rPr>
          <w:rFonts w:eastAsiaTheme="minorEastAsia"/>
          <w:szCs w:val="21"/>
        </w:rPr>
      </w:pPr>
      <w:r>
        <w:rPr>
          <w:rFonts w:eastAsiaTheme="minorEastAsia"/>
          <w:szCs w:val="21"/>
        </w:rPr>
        <w:t>应用软件的安装应符合本规程第5章</w:t>
      </w:r>
      <w:r>
        <w:rPr>
          <w:rFonts w:hint="eastAsia" w:eastAsiaTheme="minorEastAsia"/>
          <w:szCs w:val="21"/>
        </w:rPr>
        <w:t>的</w:t>
      </w:r>
      <w:r>
        <w:rPr>
          <w:rFonts w:eastAsiaTheme="minorEastAsia"/>
          <w:szCs w:val="21"/>
        </w:rPr>
        <w:t>相关规定。</w:t>
      </w:r>
    </w:p>
    <w:p w14:paraId="73DB88FC">
      <w:pPr>
        <w:pStyle w:val="164"/>
        <w:numPr>
          <w:ilvl w:val="0"/>
          <w:numId w:val="212"/>
        </w:numPr>
        <w:spacing w:line="330" w:lineRule="exact"/>
        <w:ind w:left="0" w:firstLine="420" w:firstLineChars="0"/>
        <w:rPr>
          <w:rFonts w:eastAsiaTheme="minorEastAsia"/>
          <w:szCs w:val="21"/>
        </w:rPr>
      </w:pPr>
      <w:r>
        <w:rPr>
          <w:rFonts w:eastAsiaTheme="minorEastAsia"/>
          <w:szCs w:val="21"/>
        </w:rPr>
        <w:t>监控设备供电应符合下列规定：</w:t>
      </w:r>
    </w:p>
    <w:p w14:paraId="48231306">
      <w:pPr>
        <w:pStyle w:val="164"/>
        <w:numPr>
          <w:ilvl w:val="0"/>
          <w:numId w:val="216"/>
        </w:numPr>
        <w:tabs>
          <w:tab w:val="left" w:pos="210"/>
          <w:tab w:val="left" w:pos="567"/>
        </w:tabs>
        <w:spacing w:line="330" w:lineRule="exact"/>
        <w:ind w:firstLine="630" w:firstLineChars="300"/>
        <w:rPr>
          <w:rFonts w:eastAsiaTheme="minorEastAsia"/>
          <w:szCs w:val="21"/>
        </w:rPr>
      </w:pPr>
      <w:r>
        <w:rPr>
          <w:rFonts w:eastAsiaTheme="minorEastAsia"/>
          <w:szCs w:val="21"/>
        </w:rPr>
        <w:t>摄像机、视频矩阵箱、监视器、报警主机、数字录像机、控制/管理微机等设备宜由控制室集中供电。</w:t>
      </w:r>
    </w:p>
    <w:p w14:paraId="049DA12E">
      <w:pPr>
        <w:pStyle w:val="164"/>
        <w:numPr>
          <w:ilvl w:val="0"/>
          <w:numId w:val="216"/>
        </w:numPr>
        <w:tabs>
          <w:tab w:val="left" w:pos="210"/>
          <w:tab w:val="left" w:pos="567"/>
        </w:tabs>
        <w:spacing w:line="330" w:lineRule="exact"/>
        <w:ind w:firstLine="630" w:firstLineChars="300"/>
        <w:rPr>
          <w:rFonts w:eastAsiaTheme="minorEastAsia"/>
          <w:szCs w:val="21"/>
        </w:rPr>
      </w:pPr>
      <w:r>
        <w:rPr>
          <w:rFonts w:eastAsiaTheme="minorEastAsia"/>
          <w:szCs w:val="21"/>
        </w:rPr>
        <w:t>系统电源应由低压配电箱引出专用回路，经滤波器及交流稳压器（净化电源），接至控制中心配电箱。</w:t>
      </w:r>
    </w:p>
    <w:p w14:paraId="2E3D0694">
      <w:pPr>
        <w:pStyle w:val="164"/>
        <w:numPr>
          <w:ilvl w:val="0"/>
          <w:numId w:val="216"/>
        </w:numPr>
        <w:tabs>
          <w:tab w:val="left" w:pos="210"/>
          <w:tab w:val="left" w:pos="567"/>
        </w:tabs>
        <w:spacing w:line="330" w:lineRule="exact"/>
        <w:ind w:firstLine="630" w:firstLineChars="300"/>
        <w:rPr>
          <w:rFonts w:eastAsiaTheme="minorEastAsia"/>
          <w:szCs w:val="21"/>
        </w:rPr>
      </w:pPr>
      <w:r>
        <w:rPr>
          <w:rFonts w:eastAsiaTheme="minorEastAsia"/>
          <w:szCs w:val="21"/>
        </w:rPr>
        <w:t>宜采用两路独立电源供电，并在末端自动切换。主电源容量应为总系统额定功率的1.5倍。</w:t>
      </w:r>
    </w:p>
    <w:p w14:paraId="76321D53">
      <w:pPr>
        <w:pStyle w:val="164"/>
        <w:numPr>
          <w:ilvl w:val="0"/>
          <w:numId w:val="216"/>
        </w:numPr>
        <w:tabs>
          <w:tab w:val="left" w:pos="210"/>
          <w:tab w:val="left" w:pos="567"/>
        </w:tabs>
        <w:spacing w:line="330" w:lineRule="exact"/>
        <w:ind w:firstLine="630" w:firstLineChars="300"/>
        <w:rPr>
          <w:rFonts w:eastAsiaTheme="minorEastAsia"/>
          <w:szCs w:val="21"/>
        </w:rPr>
      </w:pPr>
      <w:r>
        <w:rPr>
          <w:rFonts w:eastAsiaTheme="minorEastAsia"/>
          <w:szCs w:val="21"/>
        </w:rPr>
        <w:t>安全防范系统宜采用在线式集中UPS供电方式。UPS应能保存以往的运行数据，其容量至少应保证视频监控系统工作1</w:t>
      </w:r>
      <w:r>
        <w:rPr>
          <w:rFonts w:hint="eastAsia" w:eastAsiaTheme="minorEastAsia"/>
          <w:szCs w:val="21"/>
        </w:rPr>
        <w:t>小时</w:t>
      </w:r>
      <w:r>
        <w:rPr>
          <w:rFonts w:eastAsiaTheme="minorEastAsia"/>
          <w:szCs w:val="21"/>
        </w:rPr>
        <w:t>、报警系统持续工作8</w:t>
      </w:r>
      <w:r>
        <w:rPr>
          <w:rFonts w:hint="eastAsia" w:eastAsiaTheme="minorEastAsia"/>
          <w:szCs w:val="21"/>
        </w:rPr>
        <w:t>小时</w:t>
      </w:r>
      <w:r>
        <w:rPr>
          <w:rFonts w:eastAsiaTheme="minorEastAsia"/>
          <w:szCs w:val="21"/>
        </w:rPr>
        <w:t>。</w:t>
      </w:r>
    </w:p>
    <w:p w14:paraId="7B9BF6E1">
      <w:pPr>
        <w:pStyle w:val="164"/>
        <w:numPr>
          <w:ilvl w:val="0"/>
          <w:numId w:val="212"/>
        </w:numPr>
        <w:spacing w:line="330" w:lineRule="exact"/>
        <w:ind w:left="0" w:firstLine="420"/>
        <w:rPr>
          <w:rFonts w:eastAsiaTheme="minorEastAsia"/>
        </w:rPr>
      </w:pPr>
      <w:r>
        <w:rPr>
          <w:rFonts w:eastAsiaTheme="minorEastAsia"/>
        </w:rPr>
        <w:t>监控中心设备安装</w:t>
      </w:r>
      <w:r>
        <w:rPr>
          <w:szCs w:val="21"/>
        </w:rPr>
        <w:t>应符合下列规定：</w:t>
      </w:r>
    </w:p>
    <w:p w14:paraId="295B0E26">
      <w:pPr>
        <w:pStyle w:val="164"/>
        <w:numPr>
          <w:ilvl w:val="0"/>
          <w:numId w:val="217"/>
        </w:numPr>
        <w:tabs>
          <w:tab w:val="left" w:pos="210"/>
          <w:tab w:val="left" w:pos="567"/>
        </w:tabs>
        <w:spacing w:line="330" w:lineRule="exact"/>
        <w:ind w:firstLine="630" w:firstLineChars="300"/>
        <w:rPr>
          <w:rFonts w:eastAsiaTheme="minorEastAsia"/>
          <w:szCs w:val="21"/>
        </w:rPr>
      </w:pPr>
      <w:r>
        <w:rPr>
          <w:rFonts w:eastAsiaTheme="minorEastAsia"/>
          <w:szCs w:val="21"/>
        </w:rPr>
        <w:t>监控中心的强弱电缆的敷设间距</w:t>
      </w:r>
      <w:r>
        <w:rPr>
          <w:rFonts w:hint="eastAsia" w:eastAsiaTheme="minorEastAsia"/>
        </w:rPr>
        <w:t>应按现行国家标准</w:t>
      </w:r>
      <w:r>
        <w:rPr>
          <w:rFonts w:eastAsiaTheme="minorEastAsia"/>
          <w:szCs w:val="21"/>
        </w:rPr>
        <w:t>《安全防范工程技术规范》GB50348</w:t>
      </w:r>
      <w:r>
        <w:rPr>
          <w:rFonts w:hint="eastAsia" w:eastAsiaTheme="minorEastAsia"/>
          <w:szCs w:val="21"/>
        </w:rPr>
        <w:t>的相关规定执行</w:t>
      </w:r>
      <w:r>
        <w:rPr>
          <w:rFonts w:eastAsiaTheme="minorEastAsia"/>
          <w:szCs w:val="21"/>
        </w:rPr>
        <w:t>。</w:t>
      </w:r>
    </w:p>
    <w:p w14:paraId="253A9DC0">
      <w:pPr>
        <w:pStyle w:val="164"/>
        <w:numPr>
          <w:ilvl w:val="0"/>
          <w:numId w:val="217"/>
        </w:numPr>
        <w:tabs>
          <w:tab w:val="left" w:pos="210"/>
          <w:tab w:val="left" w:pos="567"/>
        </w:tabs>
        <w:spacing w:line="330" w:lineRule="exact"/>
        <w:ind w:firstLine="630" w:firstLineChars="300"/>
        <w:rPr>
          <w:rFonts w:eastAsiaTheme="minorEastAsia"/>
          <w:szCs w:val="21"/>
        </w:rPr>
      </w:pPr>
      <w:r>
        <w:rPr>
          <w:rFonts w:eastAsiaTheme="minorEastAsia"/>
          <w:szCs w:val="21"/>
        </w:rPr>
        <w:t>控制台的安装应符合下列规定：</w:t>
      </w:r>
    </w:p>
    <w:p w14:paraId="54C28F56">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控制台应安放竖直,台面水平；垂直偏差不超过 1%；机架底座应在地面固定；多个机架并排其面板应在同一水平面上并与基准线平行，前后偏差≤ 3mm，两个机架中间缝隙≤ 3mm。</w:t>
      </w:r>
    </w:p>
    <w:p w14:paraId="4701C61C">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控制台</w:t>
      </w:r>
      <w:r>
        <w:rPr>
          <w:rFonts w:hint="eastAsia" w:eastAsiaTheme="minorEastAsia"/>
        </w:rPr>
        <w:t>的</w:t>
      </w:r>
      <w:r>
        <w:rPr>
          <w:rFonts w:eastAsiaTheme="minorEastAsia"/>
        </w:rPr>
        <w:t>台体安装应竖直平稳，机柜内设备部件应在机架定位并加固后进行，设备安装应牢固、端正。</w:t>
      </w:r>
    </w:p>
    <w:p w14:paraId="2A1A0148">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各固定螺钉、垫片、弹簧垫圈均应按要求坚固，不遗漏。</w:t>
      </w:r>
    </w:p>
    <w:p w14:paraId="42AFEA38">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根据机柜、控制台等设备的相应位置，设置电缆槽和进线孔。电缆的弯曲半径应大于电缆直径的 10 倍，多芯电缆的最小弯曲半径应大于其外径的 6 倍；同轴电缆的最小弯曲半径应大于其外径的 15 倍，光缆的最小弯曲半径应大于光缆外径的 20 倍。</w:t>
      </w:r>
    </w:p>
    <w:p w14:paraId="71B92F9F">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控制台或机架内接插件和设备接触良好，安装牢固，无扭曲脱落现象。</w:t>
      </w:r>
    </w:p>
    <w:p w14:paraId="6864D953">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机架底座应与地面固定。</w:t>
      </w:r>
    </w:p>
    <w:p w14:paraId="7FF23B03">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机架安装应竖直平稳，垂直偏差不超过 1％。</w:t>
      </w:r>
    </w:p>
    <w:p w14:paraId="0ACED795">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采用地槽或墙槽，电缆应从机架、控制台底部引入，电缆顺着所盘方向理直。按电缆的排列次序放入槽内。拐弯处应符合电缆曲率半径</w:t>
      </w:r>
      <w:r>
        <w:rPr>
          <w:rFonts w:hint="eastAsia" w:eastAsiaTheme="minorEastAsia"/>
        </w:rPr>
        <w:t>规定？什么规定</w:t>
      </w:r>
      <w:r>
        <w:rPr>
          <w:rFonts w:eastAsiaTheme="minorEastAsia"/>
        </w:rPr>
        <w:t>。采用架槽时，架槽宜每隔一段距离留出线口。电缆由出线口从机架上方引入，在引入机架时应成捆绑扎。采用电缆走道时，电缆应从机架上方引入，并应在每个梯铁上进行绑扎。采用活动地板时，电缆在地板下可灵活布放，并应顺直无扭绞，在引入机架和控制台处还应成捆绑扎。</w:t>
      </w:r>
    </w:p>
    <w:p w14:paraId="3C311B69">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引入、引出房屋的电（光）缆，在出入口处应加装防水罩。向上引入、引出的电（光）缆，在出入口处还应做滴水弯，其弯度≥电（光）缆的最小</w:t>
      </w:r>
      <w:r>
        <w:rPr>
          <w:rFonts w:hint="eastAsia" w:eastAsiaTheme="minorEastAsia"/>
        </w:rPr>
        <w:t>弯曲半径曲率半径</w:t>
      </w:r>
      <w:r>
        <w:rPr>
          <w:rFonts w:eastAsiaTheme="minorEastAsia"/>
        </w:rPr>
        <w:t>。电（光）缆沿墙上、下引入、引出时应设支持物。电（光）缆应固定（绑扎）在支持物上，支持物的间隔距离不宜大于 1m。</w:t>
      </w:r>
    </w:p>
    <w:p w14:paraId="42F57265">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机架内设备、部件的安装，应在机架定位完毕并加固后进行，安装在机架内的设备应牢固、端正。</w:t>
      </w:r>
    </w:p>
    <w:p w14:paraId="5D327211">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敷设的电缆两端留适当余量，并应标示永久性标记。</w:t>
      </w:r>
    </w:p>
    <w:p w14:paraId="734EED29">
      <w:pPr>
        <w:pStyle w:val="164"/>
        <w:numPr>
          <w:ilvl w:val="0"/>
          <w:numId w:val="218"/>
        </w:numPr>
        <w:autoSpaceDE w:val="0"/>
        <w:autoSpaceDN w:val="0"/>
        <w:adjustRightInd w:val="0"/>
        <w:snapToGrid w:val="0"/>
        <w:spacing w:line="330" w:lineRule="exact"/>
        <w:ind w:left="0" w:firstLine="840" w:firstLineChars="400"/>
        <w:rPr>
          <w:rFonts w:eastAsiaTheme="minorEastAsia"/>
        </w:rPr>
      </w:pPr>
      <w:r>
        <w:rPr>
          <w:rFonts w:eastAsiaTheme="minorEastAsia"/>
        </w:rPr>
        <w:t>大型</w:t>
      </w:r>
      <w:r>
        <w:fldChar w:fldCharType="begin"/>
      </w:r>
      <w:r>
        <w:instrText xml:space="preserve"> HYPERLINK "http://www.enet.com.cn/esafety" \h </w:instrText>
      </w:r>
      <w:r>
        <w:fldChar w:fldCharType="separate"/>
      </w:r>
      <w:r>
        <w:rPr>
          <w:rFonts w:eastAsiaTheme="minorEastAsia"/>
        </w:rPr>
        <w:t>安防</w:t>
      </w:r>
      <w:r>
        <w:rPr>
          <w:rFonts w:eastAsiaTheme="minorEastAsia"/>
        </w:rPr>
        <w:fldChar w:fldCharType="end"/>
      </w:r>
      <w:r>
        <w:fldChar w:fldCharType="begin"/>
      </w:r>
      <w:r>
        <w:instrText xml:space="preserve"> HYPERLINK "http://www.enet.com.cn/esafety" \h </w:instrText>
      </w:r>
      <w:r>
        <w:fldChar w:fldCharType="separate"/>
      </w:r>
      <w:r>
        <w:rPr>
          <w:rFonts w:eastAsiaTheme="minorEastAsia"/>
        </w:rPr>
        <w:t>监控</w:t>
      </w:r>
      <w:r>
        <w:rPr>
          <w:rFonts w:eastAsiaTheme="minorEastAsia"/>
        </w:rPr>
        <w:fldChar w:fldCharType="end"/>
      </w:r>
      <w:r>
        <w:rPr>
          <w:rFonts w:eastAsiaTheme="minorEastAsia"/>
        </w:rPr>
        <w:t>中心，应敷设抗静电活动地板。</w:t>
      </w:r>
    </w:p>
    <w:p w14:paraId="35ED28D1">
      <w:pPr>
        <w:pStyle w:val="164"/>
        <w:numPr>
          <w:ilvl w:val="0"/>
          <w:numId w:val="217"/>
        </w:numPr>
        <w:tabs>
          <w:tab w:val="left" w:pos="210"/>
          <w:tab w:val="left" w:pos="567"/>
        </w:tabs>
        <w:spacing w:line="330" w:lineRule="exact"/>
        <w:ind w:firstLine="630" w:firstLineChars="300"/>
        <w:rPr>
          <w:rFonts w:eastAsiaTheme="minorEastAsia"/>
          <w:szCs w:val="21"/>
        </w:rPr>
      </w:pPr>
      <w:r>
        <w:rPr>
          <w:rFonts w:eastAsiaTheme="minorEastAsia"/>
          <w:szCs w:val="21"/>
        </w:rPr>
        <w:t>监视器（屏幕）的安装应符合下列规定：</w:t>
      </w:r>
    </w:p>
    <w:p w14:paraId="6643BB8E">
      <w:pPr>
        <w:pStyle w:val="164"/>
        <w:numPr>
          <w:ilvl w:val="0"/>
          <w:numId w:val="219"/>
        </w:numPr>
        <w:autoSpaceDE w:val="0"/>
        <w:autoSpaceDN w:val="0"/>
        <w:adjustRightInd w:val="0"/>
        <w:snapToGrid w:val="0"/>
        <w:spacing w:line="330" w:lineRule="exact"/>
        <w:ind w:left="0" w:firstLine="840" w:firstLineChars="400"/>
        <w:rPr>
          <w:rFonts w:eastAsiaTheme="minorEastAsia"/>
        </w:rPr>
      </w:pPr>
      <w:r>
        <w:rPr>
          <w:rFonts w:eastAsiaTheme="minorEastAsia"/>
        </w:rPr>
        <w:t>监视器的安装应牢固稳定，通风散热良好。</w:t>
      </w:r>
    </w:p>
    <w:p w14:paraId="4F7F2A6D">
      <w:pPr>
        <w:pStyle w:val="164"/>
        <w:numPr>
          <w:ilvl w:val="0"/>
          <w:numId w:val="219"/>
        </w:numPr>
        <w:autoSpaceDE w:val="0"/>
        <w:autoSpaceDN w:val="0"/>
        <w:adjustRightInd w:val="0"/>
        <w:snapToGrid w:val="0"/>
        <w:spacing w:line="330" w:lineRule="exact"/>
        <w:ind w:left="0" w:firstLine="840" w:firstLineChars="400"/>
        <w:rPr>
          <w:rFonts w:eastAsiaTheme="minorEastAsia"/>
        </w:rPr>
      </w:pPr>
      <w:r>
        <w:rPr>
          <w:rFonts w:eastAsiaTheme="minorEastAsia"/>
        </w:rPr>
        <w:t>监视器的安装位置应使屏幕不受外来光直射，当有不可避免的光时，应采取遮光措施。</w:t>
      </w:r>
    </w:p>
    <w:p w14:paraId="5C8B6A64">
      <w:pPr>
        <w:pStyle w:val="164"/>
        <w:numPr>
          <w:ilvl w:val="0"/>
          <w:numId w:val="219"/>
        </w:numPr>
        <w:autoSpaceDE w:val="0"/>
        <w:autoSpaceDN w:val="0"/>
        <w:adjustRightInd w:val="0"/>
        <w:snapToGrid w:val="0"/>
        <w:spacing w:line="330" w:lineRule="exact"/>
        <w:ind w:left="0" w:firstLine="840" w:firstLineChars="400"/>
        <w:rPr>
          <w:rFonts w:eastAsiaTheme="minorEastAsia"/>
        </w:rPr>
      </w:pPr>
      <w:r>
        <w:rPr>
          <w:rFonts w:eastAsiaTheme="minorEastAsia"/>
        </w:rPr>
        <w:t>监视器的各调节旋钮，应暴露在便于操作的位置，并可加保护盖。</w:t>
      </w:r>
    </w:p>
    <w:p w14:paraId="6B7D7383">
      <w:pPr>
        <w:pStyle w:val="164"/>
        <w:numPr>
          <w:ilvl w:val="0"/>
          <w:numId w:val="219"/>
        </w:numPr>
        <w:autoSpaceDE w:val="0"/>
        <w:autoSpaceDN w:val="0"/>
        <w:adjustRightInd w:val="0"/>
        <w:snapToGrid w:val="0"/>
        <w:spacing w:line="330" w:lineRule="exact"/>
        <w:ind w:left="0" w:firstLine="840" w:firstLineChars="400"/>
        <w:rPr>
          <w:rFonts w:eastAsiaTheme="minorEastAsia"/>
        </w:rPr>
      </w:pPr>
      <w:r>
        <w:rPr>
          <w:rFonts w:eastAsiaTheme="minorEastAsia"/>
        </w:rPr>
        <w:t>监视器可装设在固定机架和柜上，也可装设在控制台操作柜上，当装在柜内时，应采取通风散热措施。</w:t>
      </w:r>
    </w:p>
    <w:p w14:paraId="46C56C17">
      <w:pPr>
        <w:pStyle w:val="164"/>
        <w:numPr>
          <w:ilvl w:val="0"/>
          <w:numId w:val="217"/>
        </w:numPr>
        <w:tabs>
          <w:tab w:val="left" w:pos="210"/>
          <w:tab w:val="left" w:pos="567"/>
        </w:tabs>
        <w:spacing w:line="330" w:lineRule="exact"/>
        <w:ind w:firstLine="630" w:firstLineChars="300"/>
        <w:rPr>
          <w:rFonts w:eastAsiaTheme="minorEastAsia"/>
          <w:szCs w:val="21"/>
        </w:rPr>
      </w:pPr>
      <w:r>
        <w:rPr>
          <w:rFonts w:eastAsiaTheme="minorEastAsia"/>
          <w:szCs w:val="21"/>
        </w:rPr>
        <w:t>监控中心内电缆的敷设应符合下列规定：</w:t>
      </w:r>
    </w:p>
    <w:p w14:paraId="1ED07FCE">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采用地槽或墙槽时，电缆应从机架、控制台底部引入，将电缆顺盘方向理直，按电缆的排列次序放入槽内，拐弯处应</w:t>
      </w:r>
      <w:r>
        <w:rPr>
          <w:rFonts w:hint="eastAsia" w:eastAsiaTheme="minorEastAsia"/>
        </w:rPr>
        <w:t>满足电缆曲率半径</w:t>
      </w:r>
      <w:r>
        <w:rPr>
          <w:rFonts w:eastAsiaTheme="minorEastAsia"/>
        </w:rPr>
        <w:t>。</w:t>
      </w:r>
    </w:p>
    <w:p w14:paraId="3FC3C652">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电缆离开机架和控制台时，应在距起弯点 10mm 处捆空绑，根据电缆数量每隔100mm~200mm 捆绑一次。</w:t>
      </w:r>
    </w:p>
    <w:p w14:paraId="549C1260">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采用架槽时，架槽</w:t>
      </w:r>
      <w:r>
        <w:rPr>
          <w:rFonts w:hint="eastAsia" w:eastAsiaTheme="minorEastAsia"/>
        </w:rPr>
        <w:t>应预</w:t>
      </w:r>
      <w:r>
        <w:rPr>
          <w:rFonts w:eastAsiaTheme="minorEastAsia"/>
        </w:rPr>
        <w:t>留出线口，电缆由出线口从机架上方引入，在引入机架时应绑扎。</w:t>
      </w:r>
    </w:p>
    <w:p w14:paraId="0279DDDF">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采用电缆走道时，电缆应从机架上方引入，并应在每个梯铁上进行绑扎。</w:t>
      </w:r>
    </w:p>
    <w:p w14:paraId="18416432">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采用活动地板时，电缆在地板下可灵活布放，并应顺直无扭绞，应与强电电缆保持安全距离，在引入机架和控制台处还应成捆绑扎。</w:t>
      </w:r>
    </w:p>
    <w:p w14:paraId="1FAD7DC7">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在敷设的电缆两端应留适度余量，并</w:t>
      </w:r>
      <w:r>
        <w:rPr>
          <w:rFonts w:hint="eastAsia" w:eastAsiaTheme="minorEastAsia"/>
        </w:rPr>
        <w:t>做</w:t>
      </w:r>
      <w:r>
        <w:rPr>
          <w:rFonts w:eastAsiaTheme="minorEastAsia"/>
        </w:rPr>
        <w:t>永久标记。</w:t>
      </w:r>
    </w:p>
    <w:p w14:paraId="5DBEFAD5">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各种电缆和控制线插头的装设应</w:t>
      </w:r>
      <w:r>
        <w:rPr>
          <w:rFonts w:hint="eastAsia" w:eastAsiaTheme="minorEastAsia"/>
        </w:rPr>
        <w:t>满足设计</w:t>
      </w:r>
      <w:r>
        <w:rPr>
          <w:rFonts w:eastAsiaTheme="minorEastAsia"/>
        </w:rPr>
        <w:t>要求。</w:t>
      </w:r>
    </w:p>
    <w:p w14:paraId="02A9986C">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引入、引出房屋的电（光）缆，在出入口处应加装防水罩，向上引入、引出的电（缆），在出入口还应做滴水弯，其弯度≥电（光）缆的弯曲半径，电（光）缆沿墙上下引入、引出时应</w:t>
      </w:r>
      <w:r>
        <w:rPr>
          <w:rFonts w:hint="eastAsia" w:eastAsiaTheme="minorEastAsia"/>
        </w:rPr>
        <w:t>设置</w:t>
      </w:r>
      <w:r>
        <w:rPr>
          <w:rFonts w:eastAsiaTheme="minorEastAsia"/>
        </w:rPr>
        <w:t>支持物，电（光）缆应固定（绑扎）在支持物上，支持物的间隔距离≤ 1m。</w:t>
      </w:r>
    </w:p>
    <w:p w14:paraId="3F490EF2">
      <w:pPr>
        <w:pStyle w:val="164"/>
        <w:numPr>
          <w:ilvl w:val="0"/>
          <w:numId w:val="220"/>
        </w:numPr>
        <w:autoSpaceDE w:val="0"/>
        <w:autoSpaceDN w:val="0"/>
        <w:adjustRightInd w:val="0"/>
        <w:snapToGrid w:val="0"/>
        <w:spacing w:line="330" w:lineRule="exact"/>
        <w:ind w:left="0" w:firstLine="840" w:firstLineChars="400"/>
        <w:rPr>
          <w:rFonts w:eastAsiaTheme="minorEastAsia"/>
        </w:rPr>
      </w:pPr>
      <w:r>
        <w:rPr>
          <w:rFonts w:eastAsiaTheme="minorEastAsia"/>
        </w:rPr>
        <w:t>监控室内光缆的敷设，在电缆走道上时，光端机上的光缆宜预留 10m，剩余光缆盘成圈后应妥善放置。</w:t>
      </w:r>
    </w:p>
    <w:p w14:paraId="70CF3E18">
      <w:pPr>
        <w:pStyle w:val="164"/>
        <w:numPr>
          <w:ilvl w:val="0"/>
          <w:numId w:val="217"/>
        </w:numPr>
        <w:tabs>
          <w:tab w:val="left" w:pos="210"/>
          <w:tab w:val="left" w:pos="567"/>
        </w:tabs>
        <w:spacing w:line="330" w:lineRule="exact"/>
        <w:ind w:firstLine="630" w:firstLineChars="300"/>
        <w:rPr>
          <w:rFonts w:eastAsiaTheme="minorEastAsia"/>
          <w:szCs w:val="21"/>
        </w:rPr>
      </w:pPr>
      <w:r>
        <w:rPr>
          <w:rFonts w:eastAsiaTheme="minorEastAsia"/>
          <w:szCs w:val="21"/>
        </w:rPr>
        <w:t>供电与接地应符合下列规定：</w:t>
      </w:r>
    </w:p>
    <w:p w14:paraId="598E09F1">
      <w:pPr>
        <w:pStyle w:val="164"/>
        <w:numPr>
          <w:ilvl w:val="0"/>
          <w:numId w:val="221"/>
        </w:numPr>
        <w:autoSpaceDE w:val="0"/>
        <w:autoSpaceDN w:val="0"/>
        <w:adjustRightInd w:val="0"/>
        <w:snapToGrid w:val="0"/>
        <w:spacing w:line="330" w:lineRule="exact"/>
        <w:ind w:left="0" w:firstLine="840" w:firstLineChars="400"/>
        <w:rPr>
          <w:rFonts w:eastAsiaTheme="minorEastAsia"/>
        </w:rPr>
      </w:pPr>
      <w:r>
        <w:rPr>
          <w:rFonts w:eastAsiaTheme="minorEastAsia"/>
        </w:rPr>
        <w:t>视频与报警系统</w:t>
      </w:r>
      <w:r>
        <w:rPr>
          <w:rFonts w:hint="eastAsia" w:eastAsiaTheme="minorEastAsia"/>
        </w:rPr>
        <w:t>应</w:t>
      </w:r>
      <w:r>
        <w:rPr>
          <w:rFonts w:eastAsiaTheme="minorEastAsia"/>
        </w:rPr>
        <w:t>采用集中供电，当供电线（低压供电）与控制线合用多芯线时，多芯线与视频线可一起敷设。</w:t>
      </w:r>
    </w:p>
    <w:p w14:paraId="392039B1">
      <w:pPr>
        <w:pStyle w:val="164"/>
        <w:numPr>
          <w:ilvl w:val="0"/>
          <w:numId w:val="221"/>
        </w:numPr>
        <w:autoSpaceDE w:val="0"/>
        <w:autoSpaceDN w:val="0"/>
        <w:adjustRightInd w:val="0"/>
        <w:snapToGrid w:val="0"/>
        <w:spacing w:line="330" w:lineRule="exact"/>
        <w:ind w:left="0" w:firstLine="840" w:firstLineChars="400"/>
        <w:rPr>
          <w:rFonts w:eastAsiaTheme="minorEastAsia"/>
        </w:rPr>
      </w:pPr>
      <w:r>
        <w:rPr>
          <w:rFonts w:eastAsiaTheme="minorEastAsia"/>
        </w:rPr>
        <w:t>所有接地极的接地电阻应</w:t>
      </w:r>
      <w:r>
        <w:rPr>
          <w:rFonts w:hint="eastAsia" w:eastAsiaTheme="minorEastAsia"/>
        </w:rPr>
        <w:t>满足</w:t>
      </w:r>
      <w:r>
        <w:rPr>
          <w:rFonts w:eastAsiaTheme="minorEastAsia"/>
        </w:rPr>
        <w:t>设计要求，</w:t>
      </w:r>
      <w:r>
        <w:rPr>
          <w:rFonts w:hint="eastAsia" w:eastAsiaTheme="minorEastAsia"/>
        </w:rPr>
        <w:t>并</w:t>
      </w:r>
      <w:r>
        <w:rPr>
          <w:rFonts w:eastAsiaTheme="minorEastAsia"/>
        </w:rPr>
        <w:t>在接地极回填土中加入无腐蚀性长效降阻剂。</w:t>
      </w:r>
    </w:p>
    <w:p w14:paraId="24521EA8">
      <w:pPr>
        <w:pStyle w:val="164"/>
        <w:numPr>
          <w:ilvl w:val="0"/>
          <w:numId w:val="221"/>
        </w:numPr>
        <w:autoSpaceDE w:val="0"/>
        <w:autoSpaceDN w:val="0"/>
        <w:adjustRightInd w:val="0"/>
        <w:snapToGrid w:val="0"/>
        <w:spacing w:line="330" w:lineRule="exact"/>
        <w:ind w:left="0" w:firstLine="840" w:firstLineChars="400"/>
        <w:rPr>
          <w:rFonts w:eastAsiaTheme="minorEastAsia"/>
        </w:rPr>
      </w:pPr>
      <w:r>
        <w:rPr>
          <w:rFonts w:eastAsiaTheme="minorEastAsia"/>
        </w:rPr>
        <w:t>监控室内接地母线的路由、规格应满足设计要求，施工时应符合下列规定：</w:t>
      </w:r>
    </w:p>
    <w:p w14:paraId="7D6EE752">
      <w:pPr>
        <w:pStyle w:val="164"/>
        <w:numPr>
          <w:ilvl w:val="255"/>
          <w:numId w:val="0"/>
        </w:numPr>
        <w:autoSpaceDE w:val="0"/>
        <w:autoSpaceDN w:val="0"/>
        <w:adjustRightInd w:val="0"/>
        <w:snapToGrid w:val="0"/>
        <w:spacing w:line="330" w:lineRule="exact"/>
        <w:ind w:firstLine="1260" w:firstLineChars="600"/>
        <w:rPr>
          <w:rFonts w:eastAsiaTheme="minorEastAsia"/>
        </w:rPr>
      </w:pPr>
      <w:r>
        <w:rPr>
          <w:rFonts w:eastAsiaTheme="minorEastAsia"/>
        </w:rPr>
        <w:t>a.接地母线的表面应完整，无明显损伤和残余焊剂渣，铜带母线光滑无毛剌，绝缘线的绝缘层不得有老化龟裂现象。</w:t>
      </w:r>
    </w:p>
    <w:p w14:paraId="22AD4241">
      <w:pPr>
        <w:pStyle w:val="164"/>
        <w:numPr>
          <w:ilvl w:val="255"/>
          <w:numId w:val="0"/>
        </w:numPr>
        <w:autoSpaceDE w:val="0"/>
        <w:autoSpaceDN w:val="0"/>
        <w:adjustRightInd w:val="0"/>
        <w:snapToGrid w:val="0"/>
        <w:spacing w:line="330" w:lineRule="exact"/>
        <w:ind w:firstLine="1260" w:firstLineChars="600"/>
        <w:rPr>
          <w:rFonts w:eastAsiaTheme="minorEastAsia"/>
        </w:rPr>
      </w:pPr>
      <w:r>
        <w:rPr>
          <w:rFonts w:eastAsiaTheme="minorEastAsia"/>
        </w:rPr>
        <w:t>b.接地母线应铺放在地槽或电缆走道中央，并固定在架槽的外侧，母线应平整不得有歪斜、弯曲，母线与机架或机顶的连接应牢固端正。</w:t>
      </w:r>
    </w:p>
    <w:p w14:paraId="6BD38F0D">
      <w:pPr>
        <w:pStyle w:val="164"/>
        <w:numPr>
          <w:ilvl w:val="255"/>
          <w:numId w:val="0"/>
        </w:numPr>
        <w:autoSpaceDE w:val="0"/>
        <w:autoSpaceDN w:val="0"/>
        <w:adjustRightInd w:val="0"/>
        <w:snapToGrid w:val="0"/>
        <w:spacing w:line="330" w:lineRule="exact"/>
        <w:ind w:firstLine="1260" w:firstLineChars="600"/>
        <w:rPr>
          <w:rFonts w:eastAsiaTheme="minorEastAsia"/>
        </w:rPr>
      </w:pPr>
      <w:r>
        <w:rPr>
          <w:rFonts w:eastAsiaTheme="minorEastAsia"/>
        </w:rPr>
        <w:t>c.电缆走道上的铜带母线</w:t>
      </w:r>
      <w:r>
        <w:rPr>
          <w:rFonts w:hint="eastAsia" w:eastAsiaTheme="minorEastAsia"/>
        </w:rPr>
        <w:t>应</w:t>
      </w:r>
      <w:r>
        <w:rPr>
          <w:rFonts w:eastAsiaTheme="minorEastAsia"/>
        </w:rPr>
        <w:t>采用螺丝固定；电缆走道上的铜绞线母线，应绑扎在横档上。</w:t>
      </w:r>
    </w:p>
    <w:p w14:paraId="2E23E4F4">
      <w:pPr>
        <w:pStyle w:val="164"/>
        <w:numPr>
          <w:ilvl w:val="255"/>
          <w:numId w:val="0"/>
        </w:numPr>
        <w:autoSpaceDE w:val="0"/>
        <w:autoSpaceDN w:val="0"/>
        <w:adjustRightInd w:val="0"/>
        <w:snapToGrid w:val="0"/>
        <w:spacing w:line="330" w:lineRule="exact"/>
        <w:ind w:firstLine="1260" w:firstLineChars="600"/>
        <w:rPr>
          <w:rFonts w:eastAsiaTheme="minorEastAsia"/>
        </w:rPr>
      </w:pPr>
      <w:r>
        <w:rPr>
          <w:rFonts w:eastAsiaTheme="minorEastAsia"/>
        </w:rPr>
        <w:t>d.防雷接地安装，应严格按设计要求施工，接地安装配合土建施工同时进行。</w:t>
      </w:r>
    </w:p>
    <w:p w14:paraId="3213289A">
      <w:pPr>
        <w:pStyle w:val="164"/>
        <w:numPr>
          <w:ilvl w:val="0"/>
          <w:numId w:val="212"/>
        </w:numPr>
        <w:spacing w:line="330" w:lineRule="exact"/>
        <w:ind w:left="0" w:firstLine="420"/>
        <w:rPr>
          <w:rFonts w:eastAsiaTheme="minorEastAsia"/>
        </w:rPr>
      </w:pPr>
      <w:r>
        <w:rPr>
          <w:rFonts w:eastAsiaTheme="minorEastAsia"/>
        </w:rPr>
        <w:t>报警探测器的安装</w:t>
      </w:r>
      <w:r>
        <w:rPr>
          <w:szCs w:val="21"/>
        </w:rPr>
        <w:t>应符合下列规定：</w:t>
      </w:r>
    </w:p>
    <w:p w14:paraId="24096C1F">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空间探测器安装应</w:t>
      </w:r>
      <w:r>
        <w:rPr>
          <w:rFonts w:hint="eastAsia" w:eastAsiaTheme="minorEastAsia"/>
          <w:szCs w:val="21"/>
        </w:rPr>
        <w:t>满足</w:t>
      </w:r>
      <w:r>
        <w:rPr>
          <w:rFonts w:eastAsiaTheme="minorEastAsia"/>
          <w:szCs w:val="21"/>
        </w:rPr>
        <w:t>产品说明书要求，安装前测量高度及角度，底座固定牢靠。</w:t>
      </w:r>
    </w:p>
    <w:p w14:paraId="1885A261">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其位置</w:t>
      </w:r>
      <w:r>
        <w:rPr>
          <w:rFonts w:hint="eastAsia" w:eastAsiaTheme="minorEastAsia"/>
          <w:szCs w:val="21"/>
        </w:rPr>
        <w:t>应</w:t>
      </w:r>
      <w:r>
        <w:rPr>
          <w:rFonts w:eastAsiaTheme="minorEastAsia"/>
          <w:szCs w:val="21"/>
        </w:rPr>
        <w:t>避免日光直射、热源及强电磁辐射源，</w:t>
      </w:r>
      <w:r>
        <w:rPr>
          <w:rFonts w:hint="eastAsia" w:eastAsiaTheme="minorEastAsia"/>
          <w:szCs w:val="21"/>
        </w:rPr>
        <w:t>应</w:t>
      </w:r>
      <w:r>
        <w:rPr>
          <w:rFonts w:eastAsiaTheme="minorEastAsia"/>
          <w:szCs w:val="21"/>
        </w:rPr>
        <w:t>安装在坚固无振动墙面</w:t>
      </w:r>
      <w:r>
        <w:rPr>
          <w:rFonts w:hint="eastAsia" w:eastAsiaTheme="minorEastAsia"/>
          <w:szCs w:val="21"/>
        </w:rPr>
        <w:t>且</w:t>
      </w:r>
      <w:r>
        <w:rPr>
          <w:rFonts w:eastAsiaTheme="minorEastAsia"/>
          <w:szCs w:val="21"/>
        </w:rPr>
        <w:t>探测范围无障碍物。</w:t>
      </w:r>
    </w:p>
    <w:p w14:paraId="59B310CB">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对着门或窗安装时有效探测距离</w:t>
      </w:r>
      <w:r>
        <w:rPr>
          <w:rFonts w:hint="eastAsia" w:eastAsiaTheme="minorEastAsia"/>
          <w:szCs w:val="21"/>
        </w:rPr>
        <w:t>应</w:t>
      </w:r>
      <w:r>
        <w:rPr>
          <w:rFonts w:eastAsiaTheme="minorEastAsia"/>
          <w:szCs w:val="21"/>
        </w:rPr>
        <w:t>不超到门或窗距离，带电源的应方便更换。</w:t>
      </w:r>
    </w:p>
    <w:p w14:paraId="4598265E">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室外探测器</w:t>
      </w:r>
      <w:r>
        <w:rPr>
          <w:rFonts w:hint="eastAsia" w:eastAsiaTheme="minorEastAsia"/>
          <w:szCs w:val="21"/>
        </w:rPr>
        <w:t>应</w:t>
      </w:r>
      <w:r>
        <w:rPr>
          <w:rFonts w:eastAsiaTheme="minorEastAsia"/>
          <w:szCs w:val="21"/>
        </w:rPr>
        <w:t>安装在干燥通风处</w:t>
      </w:r>
      <w:r>
        <w:rPr>
          <w:rFonts w:hint="eastAsia" w:eastAsiaTheme="minorEastAsia"/>
          <w:szCs w:val="21"/>
        </w:rPr>
        <w:t>并</w:t>
      </w:r>
      <w:r>
        <w:rPr>
          <w:rFonts w:eastAsiaTheme="minorEastAsia"/>
          <w:szCs w:val="21"/>
        </w:rPr>
        <w:t>做好防水防潮，</w:t>
      </w:r>
      <w:r>
        <w:rPr>
          <w:rFonts w:hint="eastAsia" w:eastAsiaTheme="minorEastAsia"/>
          <w:szCs w:val="21"/>
        </w:rPr>
        <w:t>应具备</w:t>
      </w:r>
      <w:r>
        <w:rPr>
          <w:rFonts w:eastAsiaTheme="minorEastAsia"/>
          <w:szCs w:val="21"/>
        </w:rPr>
        <w:t xml:space="preserve"> 24</w:t>
      </w:r>
      <w:r>
        <w:rPr>
          <w:rFonts w:hint="eastAsia" w:eastAsiaTheme="minorEastAsia"/>
          <w:szCs w:val="21"/>
        </w:rPr>
        <w:t>小时</w:t>
      </w:r>
      <w:r>
        <w:rPr>
          <w:rFonts w:eastAsiaTheme="minorEastAsia"/>
          <w:szCs w:val="21"/>
        </w:rPr>
        <w:t>防拆功能。</w:t>
      </w:r>
    </w:p>
    <w:p w14:paraId="7904D031">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有线探测器</w:t>
      </w:r>
      <w:r>
        <w:rPr>
          <w:rFonts w:hint="eastAsia" w:eastAsiaTheme="minorEastAsia"/>
          <w:szCs w:val="21"/>
        </w:rPr>
        <w:t>应</w:t>
      </w:r>
      <w:r>
        <w:rPr>
          <w:rFonts w:eastAsiaTheme="minorEastAsia"/>
          <w:szCs w:val="21"/>
        </w:rPr>
        <w:t>按说明书接入线未电阻，磁控开关宜装在门或窗内且牢固美观。</w:t>
      </w:r>
    </w:p>
    <w:p w14:paraId="48B3E528">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振动探测器</w:t>
      </w:r>
      <w:r>
        <w:rPr>
          <w:rFonts w:hint="eastAsia" w:eastAsiaTheme="minorEastAsia"/>
          <w:szCs w:val="21"/>
        </w:rPr>
        <w:t>应</w:t>
      </w:r>
      <w:r>
        <w:rPr>
          <w:rFonts w:eastAsiaTheme="minorEastAsia"/>
          <w:szCs w:val="21"/>
        </w:rPr>
        <w:t>远离振动源，主动探测器室外</w:t>
      </w:r>
      <w:r>
        <w:rPr>
          <w:rFonts w:hint="eastAsia" w:eastAsiaTheme="minorEastAsia"/>
          <w:szCs w:val="21"/>
        </w:rPr>
        <w:t>安装应</w:t>
      </w:r>
      <w:r>
        <w:rPr>
          <w:rFonts w:eastAsiaTheme="minorEastAsia"/>
          <w:szCs w:val="21"/>
        </w:rPr>
        <w:t>注意警戒干扰物，微波多普勒探测器</w:t>
      </w:r>
      <w:r>
        <w:rPr>
          <w:rFonts w:hint="eastAsia" w:eastAsiaTheme="minorEastAsia"/>
          <w:szCs w:val="21"/>
        </w:rPr>
        <w:t>应</w:t>
      </w:r>
      <w:r>
        <w:rPr>
          <w:rFonts w:eastAsiaTheme="minorEastAsia"/>
          <w:szCs w:val="21"/>
        </w:rPr>
        <w:t>注意对准物和光源。</w:t>
      </w:r>
    </w:p>
    <w:p w14:paraId="386B0506">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玻璃破碎探测器</w:t>
      </w:r>
      <w:r>
        <w:rPr>
          <w:rFonts w:hint="eastAsia" w:eastAsiaTheme="minorEastAsia"/>
          <w:szCs w:val="21"/>
        </w:rPr>
        <w:t>应</w:t>
      </w:r>
      <w:r>
        <w:rPr>
          <w:rFonts w:eastAsiaTheme="minorEastAsia"/>
          <w:szCs w:val="21"/>
        </w:rPr>
        <w:t>靠近保护目标并调好灵敏度，声控探测器</w:t>
      </w:r>
      <w:r>
        <w:rPr>
          <w:rFonts w:hint="eastAsia" w:eastAsiaTheme="minorEastAsia"/>
          <w:szCs w:val="21"/>
        </w:rPr>
        <w:t>应</w:t>
      </w:r>
      <w:r>
        <w:rPr>
          <w:rFonts w:eastAsiaTheme="minorEastAsia"/>
          <w:szCs w:val="21"/>
        </w:rPr>
        <w:t>远离嘈杂地区。</w:t>
      </w:r>
    </w:p>
    <w:p w14:paraId="7CAC9AAE">
      <w:pPr>
        <w:pStyle w:val="164"/>
        <w:numPr>
          <w:ilvl w:val="0"/>
          <w:numId w:val="222"/>
        </w:numPr>
        <w:tabs>
          <w:tab w:val="left" w:pos="210"/>
          <w:tab w:val="left" w:pos="567"/>
        </w:tabs>
        <w:spacing w:line="330" w:lineRule="exact"/>
        <w:ind w:firstLine="630" w:firstLineChars="300"/>
        <w:rPr>
          <w:rFonts w:eastAsiaTheme="minorEastAsia"/>
          <w:szCs w:val="21"/>
        </w:rPr>
      </w:pPr>
      <w:r>
        <w:rPr>
          <w:rFonts w:eastAsiaTheme="minorEastAsia"/>
          <w:szCs w:val="21"/>
        </w:rPr>
        <w:t>地音探测器</w:t>
      </w:r>
      <w:r>
        <w:rPr>
          <w:rFonts w:hint="eastAsia" w:eastAsiaTheme="minorEastAsia"/>
          <w:szCs w:val="21"/>
        </w:rPr>
        <w:t>应</w:t>
      </w:r>
      <w:r>
        <w:rPr>
          <w:rFonts w:eastAsiaTheme="minorEastAsia"/>
          <w:szCs w:val="21"/>
        </w:rPr>
        <w:t>安装在相对安静库区周界。</w:t>
      </w:r>
    </w:p>
    <w:p w14:paraId="04B70DCF">
      <w:pPr>
        <w:pStyle w:val="164"/>
        <w:numPr>
          <w:ilvl w:val="0"/>
          <w:numId w:val="212"/>
        </w:numPr>
        <w:spacing w:line="330" w:lineRule="exact"/>
        <w:ind w:left="0" w:firstLine="420"/>
        <w:rPr>
          <w:rFonts w:eastAsiaTheme="minorEastAsia"/>
        </w:rPr>
      </w:pPr>
      <w:r>
        <w:rPr>
          <w:rFonts w:eastAsiaTheme="minorEastAsia"/>
        </w:rPr>
        <w:t>出入口控制系统的安装，对于识读设备的安装应遵循以下原则：</w:t>
      </w:r>
    </w:p>
    <w:p w14:paraId="7D9976C4">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安装前应测量前端设备到控制系统的实际距离，保证其在产品要求的有效距离之内，以确保系统能正常运行。</w:t>
      </w:r>
    </w:p>
    <w:p w14:paraId="036E42BB">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安装位置应避开电磁辐射辐射源、潮湿、有腐蚀性的环境。</w:t>
      </w:r>
    </w:p>
    <w:p w14:paraId="3802A76C">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安装前应清理安装座、孔、龛、洞，安装环境</w:t>
      </w:r>
      <w:r>
        <w:rPr>
          <w:rFonts w:hint="eastAsia" w:eastAsiaTheme="minorEastAsia"/>
          <w:szCs w:val="21"/>
        </w:rPr>
        <w:t>应</w:t>
      </w:r>
      <w:r>
        <w:rPr>
          <w:rFonts w:eastAsiaTheme="minorEastAsia"/>
          <w:szCs w:val="21"/>
        </w:rPr>
        <w:t>干燥、干净。</w:t>
      </w:r>
    </w:p>
    <w:p w14:paraId="58DDA982">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螺丝孔位置应端正，大小合适，确保安装后底座或设备各个安装孔受力均匀，无变形。</w:t>
      </w:r>
    </w:p>
    <w:p w14:paraId="4ABCC0CF">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安装应端正美观，与使用环境协调，牢固可靠</w:t>
      </w:r>
      <w:r>
        <w:rPr>
          <w:rFonts w:hint="eastAsia" w:eastAsiaTheme="minorEastAsia"/>
          <w:szCs w:val="21"/>
        </w:rPr>
        <w:t>并方便</w:t>
      </w:r>
      <w:r>
        <w:rPr>
          <w:rFonts w:eastAsiaTheme="minorEastAsia"/>
          <w:szCs w:val="21"/>
        </w:rPr>
        <w:t>维修。</w:t>
      </w:r>
    </w:p>
    <w:p w14:paraId="45D16B62">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不应擅自拆卸或更换控制器的芯片，非专业的操作会导致控制器损毁。</w:t>
      </w:r>
    </w:p>
    <w:p w14:paraId="0E11582F">
      <w:pPr>
        <w:pStyle w:val="164"/>
        <w:numPr>
          <w:ilvl w:val="0"/>
          <w:numId w:val="223"/>
        </w:numPr>
        <w:tabs>
          <w:tab w:val="left" w:pos="210"/>
          <w:tab w:val="left" w:pos="567"/>
        </w:tabs>
        <w:spacing w:line="330" w:lineRule="exact"/>
        <w:ind w:firstLine="630" w:firstLineChars="300"/>
        <w:rPr>
          <w:rFonts w:eastAsiaTheme="minorEastAsia"/>
          <w:szCs w:val="21"/>
        </w:rPr>
      </w:pPr>
      <w:r>
        <w:rPr>
          <w:rFonts w:hint="eastAsia" w:eastAsiaTheme="minorEastAsia"/>
          <w:szCs w:val="21"/>
        </w:rPr>
        <w:t>应</w:t>
      </w:r>
      <w:r>
        <w:rPr>
          <w:rFonts w:eastAsiaTheme="minorEastAsia"/>
          <w:szCs w:val="21"/>
        </w:rPr>
        <w:t>避免将控制器和其他大电流设备接在同一供电插座上。</w:t>
      </w:r>
    </w:p>
    <w:p w14:paraId="4A70C4C9">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读卡器、按钮的安装高度</w:t>
      </w:r>
      <w:r>
        <w:rPr>
          <w:rFonts w:hint="eastAsia" w:eastAsiaTheme="minorEastAsia"/>
          <w:szCs w:val="21"/>
        </w:rPr>
        <w:t>宜</w:t>
      </w:r>
      <w:r>
        <w:rPr>
          <w:rFonts w:eastAsiaTheme="minorEastAsia"/>
          <w:szCs w:val="21"/>
        </w:rPr>
        <w:t>距地面1.45m，可根据客户的使用习惯，适当增加或者降低。</w:t>
      </w:r>
    </w:p>
    <w:p w14:paraId="633A3852">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应</w:t>
      </w:r>
      <w:r>
        <w:rPr>
          <w:rFonts w:hint="eastAsia" w:eastAsiaTheme="minorEastAsia"/>
          <w:szCs w:val="21"/>
        </w:rPr>
        <w:t>增加</w:t>
      </w:r>
      <w:r>
        <w:rPr>
          <w:rFonts w:eastAsiaTheme="minorEastAsia"/>
          <w:szCs w:val="21"/>
        </w:rPr>
        <w:t>防护设备的结构面</w:t>
      </w:r>
      <w:r>
        <w:rPr>
          <w:rFonts w:hint="eastAsia" w:eastAsiaTheme="minorEastAsia"/>
          <w:szCs w:val="21"/>
        </w:rPr>
        <w:t>，</w:t>
      </w:r>
      <w:r>
        <w:rPr>
          <w:rFonts w:eastAsiaTheme="minorEastAsia"/>
          <w:szCs w:val="21"/>
        </w:rPr>
        <w:t>防止人为破坏或技术开启。</w:t>
      </w:r>
    </w:p>
    <w:p w14:paraId="4B8F91CE">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读卡器到控制器的线，宜用8芯屏蔽多股双绞网线，数据线Data1、Data0互为双绞。线径</w:t>
      </w:r>
      <w:r>
        <w:rPr>
          <w:rFonts w:hint="eastAsia" w:eastAsiaTheme="minorEastAsia"/>
          <w:szCs w:val="21"/>
        </w:rPr>
        <w:t>应≥</w:t>
      </w:r>
      <w:r>
        <w:rPr>
          <w:rFonts w:eastAsiaTheme="minorEastAsia"/>
          <w:szCs w:val="21"/>
        </w:rPr>
        <w:t>0.3mm²，最长不超过100m， 屏蔽线</w:t>
      </w:r>
      <w:r>
        <w:rPr>
          <w:rFonts w:hint="eastAsia" w:eastAsiaTheme="minorEastAsia"/>
          <w:szCs w:val="21"/>
        </w:rPr>
        <w:t>应</w:t>
      </w:r>
      <w:r>
        <w:rPr>
          <w:rFonts w:eastAsiaTheme="minorEastAsia"/>
          <w:szCs w:val="21"/>
        </w:rPr>
        <w:t>接控制器的GND。按钮到控制器的线，</w:t>
      </w:r>
      <w:r>
        <w:rPr>
          <w:rFonts w:hint="eastAsia" w:eastAsiaTheme="minorEastAsia"/>
          <w:szCs w:val="21"/>
        </w:rPr>
        <w:t>宜</w:t>
      </w:r>
      <w:r>
        <w:rPr>
          <w:rFonts w:eastAsiaTheme="minorEastAsia"/>
          <w:szCs w:val="21"/>
        </w:rPr>
        <w:t>采用两芯线，线径</w:t>
      </w:r>
      <w:r>
        <w:rPr>
          <w:rFonts w:hint="eastAsia" w:eastAsiaTheme="minorEastAsia"/>
          <w:szCs w:val="21"/>
        </w:rPr>
        <w:t>应≥</w:t>
      </w:r>
      <w:r>
        <w:rPr>
          <w:rFonts w:eastAsiaTheme="minorEastAsia"/>
          <w:szCs w:val="21"/>
        </w:rPr>
        <w:t>0.3mm² 。</w:t>
      </w:r>
    </w:p>
    <w:p w14:paraId="5DD97AE1">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电锁到控制器的线，选择两芯电源线，线径</w:t>
      </w:r>
      <w:r>
        <w:rPr>
          <w:rFonts w:hint="eastAsia" w:eastAsiaTheme="minorEastAsia"/>
          <w:szCs w:val="21"/>
        </w:rPr>
        <w:t>应≥</w:t>
      </w:r>
      <w:r>
        <w:rPr>
          <w:rFonts w:eastAsiaTheme="minorEastAsia"/>
          <w:szCs w:val="21"/>
        </w:rPr>
        <w:t>1.0 mm²，最长不超过100m。门磁到控制器的线，选择两芯线，线径</w:t>
      </w:r>
      <w:r>
        <w:rPr>
          <w:rFonts w:hint="eastAsia" w:eastAsiaTheme="minorEastAsia"/>
          <w:szCs w:val="21"/>
        </w:rPr>
        <w:t>应≥</w:t>
      </w:r>
      <w:r>
        <w:rPr>
          <w:rFonts w:eastAsiaTheme="minorEastAsia"/>
          <w:szCs w:val="21"/>
        </w:rPr>
        <w:t>0.3mm²。</w:t>
      </w:r>
    </w:p>
    <w:p w14:paraId="7B4BEAEB">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控制器到控制器之间，以及控制器到转换器的线，使用8芯屏蔽双绞网线。线径</w:t>
      </w:r>
      <w:r>
        <w:rPr>
          <w:rFonts w:hint="eastAsia" w:eastAsiaTheme="minorEastAsia"/>
          <w:szCs w:val="21"/>
        </w:rPr>
        <w:t>应≥</w:t>
      </w:r>
      <w:r>
        <w:rPr>
          <w:rFonts w:eastAsiaTheme="minorEastAsia"/>
          <w:szCs w:val="21"/>
        </w:rPr>
        <w:t>0.3 mm²，485+和485-应要互为双绞。</w:t>
      </w:r>
    </w:p>
    <w:p w14:paraId="11CF095D">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读卡器和开门按钮等，应安装在无干扰或低干扰源的地方。读卡机安装位置应离强电源30cm以上，并接地良好。</w:t>
      </w:r>
    </w:p>
    <w:p w14:paraId="4EA7015C">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控制器和读卡机间的距离，</w:t>
      </w:r>
      <w:r>
        <w:rPr>
          <w:rFonts w:hint="eastAsia" w:eastAsiaTheme="minorEastAsia"/>
          <w:szCs w:val="21"/>
        </w:rPr>
        <w:t>宜＜</w:t>
      </w:r>
      <w:r>
        <w:rPr>
          <w:rFonts w:eastAsiaTheme="minorEastAsia"/>
          <w:szCs w:val="21"/>
        </w:rPr>
        <w:t>50m，需要更远的传输距离时，应采取技术措施，</w:t>
      </w:r>
      <w:r>
        <w:rPr>
          <w:rFonts w:hint="eastAsia" w:eastAsiaTheme="minorEastAsia"/>
          <w:szCs w:val="21"/>
        </w:rPr>
        <w:t>最长</w:t>
      </w:r>
      <w:r>
        <w:rPr>
          <w:rFonts w:eastAsiaTheme="minorEastAsia"/>
          <w:szCs w:val="21"/>
        </w:rPr>
        <w:t>不超过1000m。</w:t>
      </w:r>
    </w:p>
    <w:p w14:paraId="77EC18AF">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使用人脸、眼纹、指纹、掌纹等生物识别技术进行读识的出入口控制系统，设备的安装应</w:t>
      </w:r>
      <w:r>
        <w:rPr>
          <w:rFonts w:hint="eastAsia" w:eastAsiaTheme="minorEastAsia"/>
          <w:szCs w:val="21"/>
        </w:rPr>
        <w:t>满足</w:t>
      </w:r>
      <w:r>
        <w:rPr>
          <w:rFonts w:eastAsiaTheme="minorEastAsia"/>
          <w:szCs w:val="21"/>
        </w:rPr>
        <w:t>产品技术说明书要求。</w:t>
      </w:r>
    </w:p>
    <w:p w14:paraId="377BF1DA">
      <w:pPr>
        <w:pStyle w:val="164"/>
        <w:numPr>
          <w:ilvl w:val="0"/>
          <w:numId w:val="223"/>
        </w:numPr>
        <w:tabs>
          <w:tab w:val="left" w:pos="210"/>
          <w:tab w:val="left" w:pos="567"/>
        </w:tabs>
        <w:spacing w:line="330" w:lineRule="exact"/>
        <w:ind w:firstLine="630" w:firstLineChars="300"/>
        <w:rPr>
          <w:rFonts w:eastAsiaTheme="minorEastAsia"/>
          <w:szCs w:val="21"/>
        </w:rPr>
      </w:pPr>
      <w:r>
        <w:rPr>
          <w:rFonts w:eastAsiaTheme="minorEastAsia"/>
          <w:szCs w:val="21"/>
        </w:rPr>
        <w:t>控制器箱体的安装应</w:t>
      </w:r>
      <w:r>
        <w:rPr>
          <w:rFonts w:hint="eastAsia" w:eastAsiaTheme="minorEastAsia"/>
          <w:szCs w:val="21"/>
        </w:rPr>
        <w:t>满足</w:t>
      </w:r>
      <w:r>
        <w:rPr>
          <w:rFonts w:eastAsiaTheme="minorEastAsia"/>
          <w:szCs w:val="21"/>
        </w:rPr>
        <w:t>技术说明书的要求。控制器箱体的固定应牢固。位置应隐蔽，防破坏，并有防拆报警功能。</w:t>
      </w:r>
    </w:p>
    <w:p w14:paraId="28FA10D6">
      <w:pPr>
        <w:pStyle w:val="164"/>
        <w:numPr>
          <w:ilvl w:val="0"/>
          <w:numId w:val="212"/>
        </w:numPr>
        <w:spacing w:line="330" w:lineRule="exact"/>
        <w:ind w:left="0" w:firstLine="420"/>
        <w:rPr>
          <w:rFonts w:eastAsiaTheme="minorEastAsia"/>
        </w:rPr>
      </w:pPr>
      <w:r>
        <w:rPr>
          <w:rFonts w:eastAsiaTheme="minorEastAsia"/>
        </w:rPr>
        <w:t>停车场管理系统设备的安装</w:t>
      </w:r>
      <w:r>
        <w:rPr>
          <w:szCs w:val="21"/>
        </w:rPr>
        <w:t>应符合下列规定：</w:t>
      </w:r>
    </w:p>
    <w:p w14:paraId="1C64B703">
      <w:pPr>
        <w:pStyle w:val="164"/>
        <w:numPr>
          <w:ilvl w:val="0"/>
          <w:numId w:val="224"/>
        </w:numPr>
        <w:tabs>
          <w:tab w:val="left" w:pos="210"/>
          <w:tab w:val="left" w:pos="567"/>
        </w:tabs>
        <w:spacing w:line="330" w:lineRule="exact"/>
        <w:ind w:firstLine="630" w:firstLineChars="300"/>
        <w:rPr>
          <w:rFonts w:eastAsiaTheme="minorEastAsia"/>
          <w:szCs w:val="21"/>
        </w:rPr>
      </w:pPr>
      <w:r>
        <w:rPr>
          <w:rFonts w:eastAsiaTheme="minorEastAsia"/>
          <w:szCs w:val="21"/>
        </w:rPr>
        <w:t>感应线圈埋设深度距地面</w:t>
      </w:r>
      <w:r>
        <w:rPr>
          <w:rFonts w:hint="eastAsia" w:eastAsiaTheme="minorEastAsia"/>
          <w:szCs w:val="21"/>
        </w:rPr>
        <w:t>应</w:t>
      </w:r>
      <w:r>
        <w:rPr>
          <w:rFonts w:eastAsiaTheme="minorEastAsia"/>
          <w:szCs w:val="21"/>
        </w:rPr>
        <w:t>≥0.2m，长度≤1.6m，宽度≥0.9m，至机箱处线缆应采用金属管保护，固定牢固。埋设位置在车道居中，并与读卡机、闸门机的中心间距保持在0.9m～1.2m左右。</w:t>
      </w:r>
    </w:p>
    <w:p w14:paraId="5ECDBCB0">
      <w:pPr>
        <w:pStyle w:val="164"/>
        <w:numPr>
          <w:ilvl w:val="0"/>
          <w:numId w:val="224"/>
        </w:numPr>
        <w:tabs>
          <w:tab w:val="left" w:pos="210"/>
          <w:tab w:val="left" w:pos="567"/>
        </w:tabs>
        <w:spacing w:line="330" w:lineRule="exact"/>
        <w:ind w:firstLine="630" w:firstLineChars="300"/>
        <w:rPr>
          <w:rFonts w:eastAsiaTheme="minorEastAsia"/>
          <w:szCs w:val="21"/>
        </w:rPr>
      </w:pPr>
      <w:r>
        <w:rPr>
          <w:rFonts w:eastAsiaTheme="minorEastAsia"/>
          <w:szCs w:val="21"/>
        </w:rPr>
        <w:t>闸门机应安装在平整、坚固的水泥基墩上，保持水平。安装在室外时应防水、防撞，与读卡器的中心间距应为2.4m～2.8m。</w:t>
      </w:r>
    </w:p>
    <w:p w14:paraId="15CC9A89">
      <w:pPr>
        <w:pStyle w:val="164"/>
        <w:numPr>
          <w:ilvl w:val="0"/>
          <w:numId w:val="224"/>
        </w:numPr>
        <w:tabs>
          <w:tab w:val="left" w:pos="210"/>
          <w:tab w:val="left" w:pos="567"/>
        </w:tabs>
        <w:spacing w:line="330" w:lineRule="exact"/>
        <w:ind w:firstLine="630" w:firstLineChars="300"/>
        <w:rPr>
          <w:rFonts w:eastAsiaTheme="minorEastAsia"/>
          <w:szCs w:val="21"/>
        </w:rPr>
      </w:pPr>
      <w:r>
        <w:rPr>
          <w:rFonts w:eastAsiaTheme="minorEastAsia"/>
          <w:szCs w:val="21"/>
        </w:rPr>
        <w:t>车位信号指示器应安装在车道出入口的明显位置，其底部离地面宜为2.0m～2.4m左右，安装在室外时应防水、防撞。车位引导显示器应安装在车道中央位置的上方，离地面距离2.0m～2.4m左右，显示器应≥长1.0m，宽0.3m。</w:t>
      </w:r>
    </w:p>
    <w:p w14:paraId="65513124">
      <w:pPr>
        <w:pStyle w:val="164"/>
        <w:numPr>
          <w:ilvl w:val="0"/>
          <w:numId w:val="224"/>
        </w:numPr>
        <w:tabs>
          <w:tab w:val="left" w:pos="210"/>
          <w:tab w:val="left" w:pos="567"/>
        </w:tabs>
        <w:spacing w:line="330" w:lineRule="exact"/>
        <w:ind w:firstLine="630" w:firstLineChars="300"/>
        <w:rPr>
          <w:rFonts w:eastAsiaTheme="minorEastAsia"/>
          <w:szCs w:val="21"/>
        </w:rPr>
      </w:pPr>
      <w:r>
        <w:rPr>
          <w:rFonts w:eastAsiaTheme="minorEastAsia"/>
          <w:szCs w:val="21"/>
        </w:rPr>
        <w:t>环形检测线圈施工时应注意是否碰到金属，环形线圈 0.5m 平面范围内不应有其他金属物。</w:t>
      </w:r>
    </w:p>
    <w:p w14:paraId="76D714D5">
      <w:pPr>
        <w:pStyle w:val="164"/>
        <w:numPr>
          <w:ilvl w:val="0"/>
          <w:numId w:val="224"/>
        </w:numPr>
        <w:tabs>
          <w:tab w:val="left" w:pos="210"/>
          <w:tab w:val="left" w:pos="567"/>
        </w:tabs>
        <w:spacing w:line="330" w:lineRule="exact"/>
        <w:ind w:firstLine="630" w:firstLineChars="300"/>
        <w:rPr>
          <w:rFonts w:eastAsiaTheme="minorEastAsia"/>
          <w:szCs w:val="21"/>
        </w:rPr>
      </w:pPr>
      <w:r>
        <w:rPr>
          <w:rFonts w:eastAsiaTheme="minorEastAsia"/>
          <w:szCs w:val="21"/>
        </w:rPr>
        <w:t>信号灯控制系统安装时警报灯与检测器的距离宜为10m～15m之间，车道下有融雪电热器时，不能使用环形线圈。车道两侧有墙壁时，应考虑信号灯的安装位置。</w:t>
      </w:r>
    </w:p>
    <w:p w14:paraId="344718A7">
      <w:pPr>
        <w:pStyle w:val="164"/>
        <w:numPr>
          <w:ilvl w:val="0"/>
          <w:numId w:val="224"/>
        </w:numPr>
        <w:tabs>
          <w:tab w:val="left" w:pos="210"/>
          <w:tab w:val="left" w:pos="567"/>
        </w:tabs>
        <w:spacing w:line="330" w:lineRule="exact"/>
        <w:ind w:firstLine="630" w:firstLineChars="300"/>
        <w:rPr>
          <w:rFonts w:eastAsiaTheme="minorEastAsia"/>
          <w:szCs w:val="21"/>
        </w:rPr>
      </w:pPr>
      <w:r>
        <w:rPr>
          <w:rFonts w:eastAsiaTheme="minorEastAsia"/>
          <w:szCs w:val="21"/>
        </w:rPr>
        <w:t>车库管理设备应安装在平整、坚固的水泥墩上，保持水平，不能倾斜。安装在室外时应考虑防水及防撞，与闸门机安装的中心间距应为2.4m～2.8m。</w:t>
      </w:r>
    </w:p>
    <w:p w14:paraId="2689A074">
      <w:pPr>
        <w:pStyle w:val="164"/>
        <w:numPr>
          <w:ilvl w:val="0"/>
          <w:numId w:val="212"/>
        </w:numPr>
        <w:spacing w:line="330" w:lineRule="exact"/>
        <w:ind w:left="0" w:firstLine="420"/>
        <w:rPr>
          <w:rFonts w:eastAsiaTheme="minorEastAsia"/>
        </w:rPr>
      </w:pPr>
      <w:r>
        <w:rPr>
          <w:rFonts w:eastAsiaTheme="minorEastAsia"/>
        </w:rPr>
        <w:t>停车场管理系统功能应符合下列规定：</w:t>
      </w:r>
    </w:p>
    <w:p w14:paraId="08DD3732">
      <w:pPr>
        <w:pStyle w:val="164"/>
        <w:numPr>
          <w:ilvl w:val="0"/>
          <w:numId w:val="225"/>
        </w:numPr>
        <w:tabs>
          <w:tab w:val="left" w:pos="210"/>
          <w:tab w:val="left" w:pos="567"/>
        </w:tabs>
        <w:spacing w:line="330" w:lineRule="exact"/>
        <w:ind w:firstLine="630" w:firstLineChars="300"/>
        <w:rPr>
          <w:rFonts w:eastAsiaTheme="minorEastAsia"/>
        </w:rPr>
      </w:pPr>
      <w:r>
        <w:rPr>
          <w:rFonts w:eastAsiaTheme="minorEastAsia"/>
        </w:rPr>
        <w:t>感应线圈、读卡机应能准确读取信息，并能自动开启和关闭道闸</w:t>
      </w:r>
      <w:r>
        <w:rPr>
          <w:rFonts w:hint="eastAsia" w:eastAsiaTheme="minorEastAsia"/>
        </w:rPr>
        <w:t>，</w:t>
      </w:r>
      <w:r>
        <w:rPr>
          <w:rFonts w:eastAsiaTheme="minorEastAsia"/>
        </w:rPr>
        <w:t>道闸应具有防砸功能。</w:t>
      </w:r>
    </w:p>
    <w:p w14:paraId="32DF4BF2">
      <w:pPr>
        <w:pStyle w:val="164"/>
        <w:numPr>
          <w:ilvl w:val="0"/>
          <w:numId w:val="225"/>
        </w:numPr>
        <w:tabs>
          <w:tab w:val="left" w:pos="210"/>
          <w:tab w:val="left" w:pos="567"/>
        </w:tabs>
        <w:spacing w:line="330" w:lineRule="exact"/>
        <w:ind w:firstLine="630" w:firstLineChars="300"/>
        <w:rPr>
          <w:rFonts w:eastAsiaTheme="minorEastAsia"/>
        </w:rPr>
      </w:pPr>
      <w:r>
        <w:rPr>
          <w:rFonts w:eastAsiaTheme="minorEastAsia"/>
        </w:rPr>
        <w:t>应具有系统联网功能、</w:t>
      </w:r>
      <w:r>
        <w:rPr>
          <w:rFonts w:hint="eastAsia" w:eastAsiaTheme="minorEastAsia"/>
        </w:rPr>
        <w:t>图像及</w:t>
      </w:r>
      <w:r>
        <w:rPr>
          <w:rFonts w:eastAsiaTheme="minorEastAsia"/>
        </w:rPr>
        <w:t>数据记录储存功能。</w:t>
      </w:r>
    </w:p>
    <w:p w14:paraId="3B715171">
      <w:pPr>
        <w:pStyle w:val="164"/>
        <w:numPr>
          <w:ilvl w:val="0"/>
          <w:numId w:val="212"/>
        </w:numPr>
        <w:spacing w:line="330" w:lineRule="exact"/>
        <w:ind w:left="0" w:firstLine="420"/>
        <w:rPr>
          <w:rFonts w:eastAsiaTheme="minorEastAsia"/>
        </w:rPr>
      </w:pPr>
      <w:r>
        <w:rPr>
          <w:rFonts w:hint="eastAsia" w:eastAsiaTheme="minorEastAsia"/>
        </w:rPr>
        <w:t>访客（可视）对讲系统、电子巡查管理系统、供电、防雷与接地系统安装应按现国家行标准《安全防范工程技术规范》</w:t>
      </w:r>
      <w:r>
        <w:rPr>
          <w:szCs w:val="22"/>
        </w:rPr>
        <w:t>GB 50348</w:t>
      </w:r>
      <w:r>
        <w:rPr>
          <w:rFonts w:hint="eastAsia"/>
          <w:szCs w:val="22"/>
        </w:rPr>
        <w:t>的</w:t>
      </w:r>
      <w:r>
        <w:rPr>
          <w:rFonts w:hint="eastAsia" w:eastAsiaTheme="minorEastAsia"/>
        </w:rPr>
        <w:t>相关规定执行。</w:t>
      </w:r>
    </w:p>
    <w:p w14:paraId="1CEA84C1">
      <w:pPr>
        <w:pStyle w:val="164"/>
        <w:numPr>
          <w:ilvl w:val="0"/>
          <w:numId w:val="212"/>
        </w:numPr>
        <w:spacing w:line="330" w:lineRule="exact"/>
        <w:ind w:left="0" w:firstLine="420"/>
        <w:rPr>
          <w:rFonts w:eastAsiaTheme="minorEastAsia"/>
        </w:rPr>
      </w:pPr>
      <w:r>
        <w:rPr>
          <w:rFonts w:eastAsiaTheme="minorEastAsia"/>
        </w:rPr>
        <w:t>系统接地</w:t>
      </w:r>
      <w:r>
        <w:rPr>
          <w:szCs w:val="21"/>
        </w:rPr>
        <w:t>应符合下列规定：</w:t>
      </w:r>
    </w:p>
    <w:p w14:paraId="6BF3A68B">
      <w:pPr>
        <w:pStyle w:val="164"/>
        <w:numPr>
          <w:ilvl w:val="0"/>
          <w:numId w:val="226"/>
        </w:numPr>
        <w:tabs>
          <w:tab w:val="left" w:pos="210"/>
          <w:tab w:val="left" w:pos="567"/>
        </w:tabs>
        <w:spacing w:line="330" w:lineRule="exact"/>
        <w:ind w:firstLine="630" w:firstLineChars="300"/>
        <w:rPr>
          <w:rFonts w:eastAsiaTheme="minorEastAsia"/>
        </w:rPr>
      </w:pPr>
      <w:r>
        <w:rPr>
          <w:rFonts w:eastAsiaTheme="minorEastAsia"/>
        </w:rPr>
        <w:t>采用单点接地时，接地母线应采用铜质线，采用联合接地系统，接地电阻不得大于1Ω。</w:t>
      </w:r>
    </w:p>
    <w:p w14:paraId="7D4918CE">
      <w:pPr>
        <w:pStyle w:val="164"/>
        <w:numPr>
          <w:ilvl w:val="0"/>
          <w:numId w:val="226"/>
        </w:numPr>
        <w:tabs>
          <w:tab w:val="left" w:pos="210"/>
          <w:tab w:val="left" w:pos="567"/>
        </w:tabs>
        <w:spacing w:line="330" w:lineRule="exact"/>
        <w:ind w:firstLine="630" w:firstLineChars="300"/>
        <w:rPr>
          <w:rFonts w:eastAsiaTheme="minorEastAsia"/>
        </w:rPr>
      </w:pPr>
      <w:r>
        <w:rPr>
          <w:rFonts w:eastAsiaTheme="minorEastAsia"/>
        </w:rPr>
        <w:t>每路视频信号传输应严格隔离、单独供电，信号共地点应集中在中央控制室，系统抗干扰性能应满足设计要求。</w:t>
      </w:r>
    </w:p>
    <w:p w14:paraId="78498FD8">
      <w:pPr>
        <w:pStyle w:val="164"/>
        <w:numPr>
          <w:ilvl w:val="0"/>
          <w:numId w:val="226"/>
        </w:numPr>
        <w:tabs>
          <w:tab w:val="left" w:pos="210"/>
          <w:tab w:val="left" w:pos="567"/>
        </w:tabs>
        <w:spacing w:line="330" w:lineRule="exact"/>
        <w:ind w:firstLine="630" w:firstLineChars="300"/>
        <w:rPr>
          <w:rFonts w:eastAsiaTheme="minorEastAsia"/>
        </w:rPr>
      </w:pPr>
      <w:r>
        <w:rPr>
          <w:rFonts w:eastAsiaTheme="minorEastAsia"/>
        </w:rPr>
        <w:t>每层楼配电竖井中宜设置视频电缆和控制电缆的转接箱。</w:t>
      </w:r>
    </w:p>
    <w:p w14:paraId="392038CC">
      <w:pPr>
        <w:pStyle w:val="164"/>
        <w:numPr>
          <w:ilvl w:val="0"/>
          <w:numId w:val="226"/>
        </w:numPr>
        <w:tabs>
          <w:tab w:val="left" w:pos="210"/>
          <w:tab w:val="left" w:pos="567"/>
        </w:tabs>
        <w:spacing w:line="330" w:lineRule="exact"/>
        <w:ind w:firstLine="630" w:firstLineChars="300"/>
        <w:rPr>
          <w:rFonts w:eastAsiaTheme="minorEastAsia"/>
        </w:rPr>
      </w:pPr>
      <w:r>
        <w:rPr>
          <w:rFonts w:eastAsiaTheme="minorEastAsia"/>
        </w:rPr>
        <w:t>中央控制室中的视频线、控制线、电源线应分组成束，并对每根线缆用标有数码的套管逐一编号。</w:t>
      </w:r>
    </w:p>
    <w:p w14:paraId="242FB02B">
      <w:pPr>
        <w:pStyle w:val="164"/>
        <w:spacing w:before="100" w:after="100" w:line="330" w:lineRule="exact"/>
        <w:ind w:firstLine="0" w:firstLineChars="0"/>
        <w:rPr>
          <w:szCs w:val="21"/>
        </w:rPr>
      </w:pPr>
      <w:r>
        <w:rPr>
          <w:szCs w:val="21"/>
        </w:rPr>
        <w:t>19.3.4 系统调试应符合下列规定：</w:t>
      </w:r>
    </w:p>
    <w:p w14:paraId="54863517">
      <w:pPr>
        <w:pStyle w:val="164"/>
        <w:numPr>
          <w:ilvl w:val="0"/>
          <w:numId w:val="227"/>
        </w:numPr>
        <w:spacing w:line="330" w:lineRule="exact"/>
        <w:ind w:left="0" w:firstLine="420"/>
        <w:rPr>
          <w:rFonts w:eastAsiaTheme="minorEastAsia"/>
        </w:rPr>
      </w:pPr>
      <w:r>
        <w:rPr>
          <w:rFonts w:eastAsiaTheme="minorEastAsia"/>
        </w:rPr>
        <w:t>视频监控系统调试</w:t>
      </w:r>
      <w:r>
        <w:rPr>
          <w:szCs w:val="21"/>
        </w:rPr>
        <w:t>应符合下列规定：</w:t>
      </w:r>
    </w:p>
    <w:p w14:paraId="3BAF9A88">
      <w:pPr>
        <w:pStyle w:val="164"/>
        <w:numPr>
          <w:ilvl w:val="0"/>
          <w:numId w:val="228"/>
        </w:numPr>
        <w:tabs>
          <w:tab w:val="left" w:pos="210"/>
          <w:tab w:val="left" w:pos="567"/>
        </w:tabs>
        <w:spacing w:line="330" w:lineRule="exact"/>
        <w:ind w:firstLine="630" w:firstLineChars="300"/>
        <w:rPr>
          <w:rFonts w:eastAsiaTheme="minorEastAsia"/>
          <w:szCs w:val="21"/>
        </w:rPr>
      </w:pPr>
      <w:r>
        <w:rPr>
          <w:rFonts w:eastAsiaTheme="minorEastAsia"/>
          <w:szCs w:val="21"/>
        </w:rPr>
        <w:t>摄像机监控范围应</w:t>
      </w:r>
      <w:r>
        <w:rPr>
          <w:rFonts w:hint="eastAsia" w:eastAsiaTheme="minorEastAsia"/>
          <w:szCs w:val="21"/>
        </w:rPr>
        <w:t>满足</w:t>
      </w:r>
      <w:r>
        <w:rPr>
          <w:rFonts w:eastAsiaTheme="minorEastAsia"/>
          <w:szCs w:val="21"/>
        </w:rPr>
        <w:t>设计要求，</w:t>
      </w:r>
      <w:r>
        <w:rPr>
          <w:rFonts w:hint="eastAsia" w:eastAsiaTheme="minorEastAsia"/>
          <w:szCs w:val="21"/>
        </w:rPr>
        <w:t>应</w:t>
      </w:r>
      <w:r>
        <w:rPr>
          <w:rFonts w:eastAsiaTheme="minorEastAsia"/>
          <w:szCs w:val="21"/>
        </w:rPr>
        <w:t>调整聚焦和后靶面使控制面、清晰度、灰度等级等达到系统技术指标</w:t>
      </w:r>
      <w:r>
        <w:rPr>
          <w:rFonts w:hint="eastAsia" w:eastAsiaTheme="minorEastAsia"/>
          <w:szCs w:val="21"/>
        </w:rPr>
        <w:t>要求</w:t>
      </w:r>
      <w:r>
        <w:rPr>
          <w:rFonts w:eastAsiaTheme="minorEastAsia"/>
          <w:szCs w:val="21"/>
        </w:rPr>
        <w:t>。在调整时应有足够的照度和必要的逆光处理等。摄像机云台和镜头的遥控功能应达到技术要求。应避免遥控延迟和机械冲击等不良现象。</w:t>
      </w:r>
    </w:p>
    <w:p w14:paraId="5AC831D1">
      <w:pPr>
        <w:pStyle w:val="164"/>
        <w:numPr>
          <w:ilvl w:val="0"/>
          <w:numId w:val="228"/>
        </w:numPr>
        <w:tabs>
          <w:tab w:val="left" w:pos="210"/>
          <w:tab w:val="left" w:pos="567"/>
        </w:tabs>
        <w:spacing w:line="330" w:lineRule="exact"/>
        <w:ind w:firstLine="630" w:firstLineChars="300"/>
        <w:rPr>
          <w:rFonts w:eastAsiaTheme="minorEastAsia"/>
          <w:szCs w:val="21"/>
        </w:rPr>
      </w:pPr>
      <w:r>
        <w:rPr>
          <w:rFonts w:eastAsiaTheme="minorEastAsia"/>
          <w:szCs w:val="21"/>
        </w:rPr>
        <w:t>视频控制矩阵的软件设置</w:t>
      </w:r>
      <w:r>
        <w:rPr>
          <w:rFonts w:hint="eastAsia" w:eastAsiaTheme="minorEastAsia"/>
          <w:szCs w:val="21"/>
        </w:rPr>
        <w:t>、</w:t>
      </w:r>
      <w:r>
        <w:rPr>
          <w:rFonts w:eastAsiaTheme="minorEastAsia"/>
          <w:szCs w:val="21"/>
        </w:rPr>
        <w:t>切换</w:t>
      </w:r>
      <w:r>
        <w:rPr>
          <w:rFonts w:hint="eastAsia" w:eastAsiaTheme="minorEastAsia"/>
          <w:szCs w:val="21"/>
        </w:rPr>
        <w:t>、</w:t>
      </w:r>
      <w:r>
        <w:rPr>
          <w:rFonts w:eastAsiaTheme="minorEastAsia"/>
          <w:szCs w:val="21"/>
        </w:rPr>
        <w:t>云台镜头遥控功能</w:t>
      </w:r>
      <w:r>
        <w:rPr>
          <w:rFonts w:hint="eastAsia" w:eastAsiaTheme="minorEastAsia"/>
          <w:szCs w:val="21"/>
        </w:rPr>
        <w:t>应正常</w:t>
      </w:r>
      <w:r>
        <w:rPr>
          <w:rFonts w:eastAsiaTheme="minorEastAsia"/>
          <w:szCs w:val="21"/>
        </w:rPr>
        <w:t>，图像显示画面上应叠加摄像机位置、时间、日期等字符，字符应清晰、明显。</w:t>
      </w:r>
    </w:p>
    <w:p w14:paraId="4D2BF3AB">
      <w:pPr>
        <w:pStyle w:val="164"/>
        <w:numPr>
          <w:ilvl w:val="0"/>
          <w:numId w:val="228"/>
        </w:numPr>
        <w:tabs>
          <w:tab w:val="left" w:pos="210"/>
          <w:tab w:val="left" w:pos="567"/>
        </w:tabs>
        <w:spacing w:line="330" w:lineRule="exact"/>
        <w:ind w:firstLine="630" w:firstLineChars="300"/>
        <w:rPr>
          <w:rFonts w:eastAsiaTheme="minorEastAsia"/>
          <w:szCs w:val="21"/>
        </w:rPr>
      </w:pPr>
      <w:r>
        <w:rPr>
          <w:rFonts w:eastAsiaTheme="minorEastAsia"/>
          <w:szCs w:val="21"/>
        </w:rPr>
        <w:t>摄像机应无明显逆光现象。</w:t>
      </w:r>
    </w:p>
    <w:p w14:paraId="078B7234">
      <w:pPr>
        <w:pStyle w:val="164"/>
        <w:numPr>
          <w:ilvl w:val="0"/>
          <w:numId w:val="228"/>
        </w:numPr>
        <w:tabs>
          <w:tab w:val="left" w:pos="210"/>
          <w:tab w:val="left" w:pos="567"/>
        </w:tabs>
        <w:spacing w:line="330" w:lineRule="exact"/>
        <w:ind w:firstLine="630" w:firstLineChars="300"/>
        <w:rPr>
          <w:rFonts w:eastAsiaTheme="minorEastAsia"/>
          <w:szCs w:val="21"/>
        </w:rPr>
      </w:pPr>
      <w:r>
        <w:rPr>
          <w:rFonts w:eastAsiaTheme="minorEastAsia"/>
          <w:szCs w:val="21"/>
        </w:rPr>
        <w:t>主机操作正常，记录图像的回访质量</w:t>
      </w:r>
      <w:r>
        <w:rPr>
          <w:rFonts w:hint="eastAsia" w:eastAsiaTheme="minorEastAsia"/>
          <w:szCs w:val="21"/>
        </w:rPr>
        <w:t>满足设计</w:t>
      </w:r>
      <w:r>
        <w:rPr>
          <w:rFonts w:eastAsiaTheme="minorEastAsia"/>
          <w:szCs w:val="21"/>
        </w:rPr>
        <w:t>要求。</w:t>
      </w:r>
    </w:p>
    <w:p w14:paraId="0BA8E9A5">
      <w:pPr>
        <w:pStyle w:val="164"/>
        <w:numPr>
          <w:ilvl w:val="0"/>
          <w:numId w:val="228"/>
        </w:numPr>
        <w:tabs>
          <w:tab w:val="left" w:pos="210"/>
          <w:tab w:val="left" w:pos="567"/>
        </w:tabs>
        <w:spacing w:line="330" w:lineRule="exact"/>
        <w:ind w:firstLine="630" w:firstLineChars="300"/>
        <w:rPr>
          <w:rFonts w:eastAsiaTheme="minorEastAsia"/>
          <w:szCs w:val="21"/>
        </w:rPr>
      </w:pPr>
      <w:r>
        <w:rPr>
          <w:rFonts w:eastAsiaTheme="minorEastAsia"/>
          <w:szCs w:val="21"/>
        </w:rPr>
        <w:t>电梯轿厢内摄像机图像画面应叠加楼层等标识，被拍摄人员面部特征应清晰。</w:t>
      </w:r>
    </w:p>
    <w:p w14:paraId="6A180D9F">
      <w:pPr>
        <w:pStyle w:val="164"/>
        <w:numPr>
          <w:ilvl w:val="0"/>
          <w:numId w:val="228"/>
        </w:numPr>
        <w:tabs>
          <w:tab w:val="left" w:pos="210"/>
          <w:tab w:val="left" w:pos="567"/>
        </w:tabs>
        <w:spacing w:line="330" w:lineRule="exact"/>
        <w:ind w:firstLine="630" w:firstLineChars="300"/>
        <w:rPr>
          <w:rFonts w:eastAsiaTheme="minorEastAsia"/>
          <w:szCs w:val="21"/>
        </w:rPr>
      </w:pPr>
      <w:r>
        <w:rPr>
          <w:rFonts w:eastAsiaTheme="minorEastAsia"/>
          <w:szCs w:val="21"/>
        </w:rPr>
        <w:t>数字视频系统图像还原性及延时应满足设计要求。</w:t>
      </w:r>
    </w:p>
    <w:p w14:paraId="37CF6CD2">
      <w:pPr>
        <w:pStyle w:val="164"/>
        <w:numPr>
          <w:ilvl w:val="0"/>
          <w:numId w:val="227"/>
        </w:numPr>
        <w:spacing w:line="330" w:lineRule="exact"/>
        <w:ind w:left="0" w:firstLine="420"/>
        <w:rPr>
          <w:rFonts w:eastAsiaTheme="minorEastAsia"/>
        </w:rPr>
      </w:pPr>
      <w:r>
        <w:rPr>
          <w:rFonts w:eastAsiaTheme="minorEastAsia"/>
        </w:rPr>
        <w:t>报警系统调试</w:t>
      </w:r>
      <w:r>
        <w:rPr>
          <w:szCs w:val="21"/>
        </w:rPr>
        <w:t>应符合下列规定：</w:t>
      </w:r>
    </w:p>
    <w:p w14:paraId="2B8E88E2">
      <w:pPr>
        <w:pStyle w:val="164"/>
        <w:numPr>
          <w:ilvl w:val="0"/>
          <w:numId w:val="229"/>
        </w:numPr>
        <w:tabs>
          <w:tab w:val="left" w:pos="210"/>
          <w:tab w:val="left" w:pos="567"/>
        </w:tabs>
        <w:spacing w:line="330" w:lineRule="exact"/>
        <w:ind w:firstLine="630" w:firstLineChars="300"/>
        <w:rPr>
          <w:rFonts w:eastAsiaTheme="minorEastAsia"/>
          <w:szCs w:val="21"/>
        </w:rPr>
      </w:pPr>
      <w:r>
        <w:rPr>
          <w:rFonts w:eastAsiaTheme="minorEastAsia"/>
          <w:szCs w:val="21"/>
        </w:rPr>
        <w:t>探测器的探测范围、灵敏度、误报警、漏报警、报警状态等的恢复、防拆保护等功能与指标</w:t>
      </w:r>
      <w:r>
        <w:rPr>
          <w:rFonts w:hint="eastAsia" w:eastAsiaTheme="minorEastAsia"/>
          <w:szCs w:val="21"/>
        </w:rPr>
        <w:t>应</w:t>
      </w:r>
      <w:r>
        <w:rPr>
          <w:rFonts w:eastAsiaTheme="minorEastAsia"/>
          <w:szCs w:val="21"/>
        </w:rPr>
        <w:t>满足设计要求。</w:t>
      </w:r>
    </w:p>
    <w:p w14:paraId="162622B7">
      <w:pPr>
        <w:pStyle w:val="164"/>
        <w:numPr>
          <w:ilvl w:val="0"/>
          <w:numId w:val="229"/>
        </w:numPr>
        <w:tabs>
          <w:tab w:val="left" w:pos="210"/>
          <w:tab w:val="left" w:pos="567"/>
        </w:tabs>
        <w:spacing w:line="330" w:lineRule="exact"/>
        <w:ind w:firstLine="630" w:firstLineChars="300"/>
        <w:rPr>
          <w:rFonts w:eastAsiaTheme="minorEastAsia"/>
          <w:szCs w:val="21"/>
        </w:rPr>
      </w:pPr>
      <w:r>
        <w:rPr>
          <w:rFonts w:eastAsiaTheme="minorEastAsia"/>
          <w:szCs w:val="21"/>
        </w:rPr>
        <w:t>报警联动功能</w:t>
      </w:r>
      <w:r>
        <w:rPr>
          <w:rFonts w:hint="eastAsia" w:eastAsiaTheme="minorEastAsia"/>
          <w:szCs w:val="21"/>
        </w:rPr>
        <w:t>、</w:t>
      </w:r>
      <w:r>
        <w:rPr>
          <w:rFonts w:eastAsiaTheme="minorEastAsia"/>
          <w:szCs w:val="21"/>
        </w:rPr>
        <w:t>电子地图显示功能及从报警到录像的反应时间</w:t>
      </w:r>
      <w:r>
        <w:rPr>
          <w:rFonts w:hint="eastAsia" w:eastAsiaTheme="minorEastAsia"/>
          <w:szCs w:val="21"/>
        </w:rPr>
        <w:t>应</w:t>
      </w:r>
      <w:r>
        <w:rPr>
          <w:rFonts w:eastAsiaTheme="minorEastAsia"/>
          <w:szCs w:val="21"/>
        </w:rPr>
        <w:t>满足设计要求。</w:t>
      </w:r>
    </w:p>
    <w:p w14:paraId="500E8D70">
      <w:pPr>
        <w:pStyle w:val="164"/>
        <w:numPr>
          <w:ilvl w:val="0"/>
          <w:numId w:val="227"/>
        </w:numPr>
        <w:spacing w:line="330" w:lineRule="exact"/>
        <w:ind w:left="0" w:firstLine="420"/>
        <w:rPr>
          <w:rFonts w:eastAsiaTheme="minorEastAsia"/>
        </w:rPr>
      </w:pPr>
      <w:r>
        <w:rPr>
          <w:rFonts w:eastAsiaTheme="minorEastAsia"/>
        </w:rPr>
        <w:t>出入口控制系统的系统调试</w:t>
      </w:r>
      <w:r>
        <w:rPr>
          <w:szCs w:val="21"/>
        </w:rPr>
        <w:t>应符合下列规定：</w:t>
      </w:r>
    </w:p>
    <w:p w14:paraId="5954DC0D">
      <w:pPr>
        <w:pStyle w:val="164"/>
        <w:numPr>
          <w:ilvl w:val="0"/>
          <w:numId w:val="230"/>
        </w:numPr>
        <w:tabs>
          <w:tab w:val="left" w:pos="210"/>
          <w:tab w:val="left" w:pos="567"/>
        </w:tabs>
        <w:spacing w:line="330" w:lineRule="exact"/>
        <w:ind w:firstLine="630" w:firstLineChars="300"/>
        <w:rPr>
          <w:rFonts w:eastAsiaTheme="minorEastAsia"/>
          <w:szCs w:val="21"/>
        </w:rPr>
      </w:pPr>
      <w:r>
        <w:rPr>
          <w:rFonts w:eastAsiaTheme="minorEastAsia"/>
          <w:szCs w:val="21"/>
        </w:rPr>
        <w:t>读卡系统</w:t>
      </w:r>
      <w:r>
        <w:rPr>
          <w:rFonts w:hint="eastAsia" w:eastAsiaTheme="minorEastAsia"/>
          <w:szCs w:val="21"/>
        </w:rPr>
        <w:t>应具备</w:t>
      </w:r>
      <w:r>
        <w:rPr>
          <w:rFonts w:eastAsiaTheme="minorEastAsia"/>
          <w:szCs w:val="21"/>
        </w:rPr>
        <w:t>开门、关门、提示、记忆、统计、打印等功能</w:t>
      </w:r>
      <w:r>
        <w:rPr>
          <w:rFonts w:hint="eastAsia" w:eastAsiaTheme="minorEastAsia"/>
          <w:szCs w:val="21"/>
        </w:rPr>
        <w:t>且</w:t>
      </w:r>
      <w:r>
        <w:rPr>
          <w:rFonts w:eastAsiaTheme="minorEastAsia"/>
          <w:szCs w:val="21"/>
        </w:rPr>
        <w:t>正常</w:t>
      </w:r>
      <w:r>
        <w:rPr>
          <w:rFonts w:hint="eastAsia" w:eastAsiaTheme="minorEastAsia"/>
          <w:szCs w:val="21"/>
        </w:rPr>
        <w:t>工作</w:t>
      </w:r>
      <w:r>
        <w:rPr>
          <w:rFonts w:eastAsiaTheme="minorEastAsia"/>
          <w:szCs w:val="21"/>
        </w:rPr>
        <w:t>。</w:t>
      </w:r>
    </w:p>
    <w:p w14:paraId="102D7A1C">
      <w:pPr>
        <w:pStyle w:val="164"/>
        <w:numPr>
          <w:ilvl w:val="0"/>
          <w:numId w:val="230"/>
        </w:numPr>
        <w:tabs>
          <w:tab w:val="left" w:pos="210"/>
          <w:tab w:val="left" w:pos="567"/>
        </w:tabs>
        <w:spacing w:line="330" w:lineRule="exact"/>
        <w:ind w:firstLine="630" w:firstLineChars="300"/>
        <w:rPr>
          <w:rFonts w:eastAsiaTheme="minorEastAsia"/>
          <w:szCs w:val="21"/>
        </w:rPr>
      </w:pPr>
      <w:r>
        <w:rPr>
          <w:rFonts w:eastAsiaTheme="minorEastAsia"/>
          <w:szCs w:val="21"/>
        </w:rPr>
        <w:t>系统应储存</w:t>
      </w:r>
      <w:r>
        <w:rPr>
          <w:rFonts w:hint="eastAsia" w:eastAsiaTheme="minorEastAsia"/>
          <w:szCs w:val="21"/>
        </w:rPr>
        <w:t>有效进入</w:t>
      </w:r>
      <w:r>
        <w:rPr>
          <w:rFonts w:eastAsiaTheme="minorEastAsia"/>
          <w:szCs w:val="21"/>
        </w:rPr>
        <w:t>人员的相关信息，对非有效进入及胁迫进入应有异地报警功能。</w:t>
      </w:r>
    </w:p>
    <w:p w14:paraId="3BB22EA8">
      <w:pPr>
        <w:pStyle w:val="164"/>
        <w:numPr>
          <w:ilvl w:val="0"/>
          <w:numId w:val="230"/>
        </w:numPr>
        <w:tabs>
          <w:tab w:val="left" w:pos="210"/>
          <w:tab w:val="left" w:pos="567"/>
        </w:tabs>
        <w:spacing w:line="330" w:lineRule="exact"/>
        <w:ind w:firstLine="630" w:firstLineChars="300"/>
        <w:rPr>
          <w:rFonts w:eastAsiaTheme="minorEastAsia"/>
          <w:szCs w:val="21"/>
        </w:rPr>
      </w:pPr>
      <w:r>
        <w:rPr>
          <w:rFonts w:eastAsiaTheme="minorEastAsia"/>
          <w:szCs w:val="21"/>
        </w:rPr>
        <w:t>系统应具有时间、逻辑、区域、事件和级别分档等判别及处理功能。</w:t>
      </w:r>
    </w:p>
    <w:p w14:paraId="3DB4BC7F">
      <w:pPr>
        <w:pStyle w:val="164"/>
        <w:numPr>
          <w:ilvl w:val="0"/>
          <w:numId w:val="230"/>
        </w:numPr>
        <w:tabs>
          <w:tab w:val="left" w:pos="210"/>
          <w:tab w:val="left" w:pos="567"/>
        </w:tabs>
        <w:spacing w:line="330" w:lineRule="exact"/>
        <w:ind w:firstLine="630" w:firstLineChars="300"/>
        <w:rPr>
          <w:rFonts w:eastAsiaTheme="minorEastAsia"/>
          <w:szCs w:val="21"/>
        </w:rPr>
      </w:pPr>
      <w:r>
        <w:rPr>
          <w:rFonts w:eastAsiaTheme="minorEastAsia"/>
          <w:szCs w:val="21"/>
        </w:rPr>
        <w:t>系统与考勤、计费及目标引导等一卡通联合设置时，系统的安全管理应满足设计要求。</w:t>
      </w:r>
    </w:p>
    <w:p w14:paraId="59B02954">
      <w:pPr>
        <w:pStyle w:val="164"/>
        <w:numPr>
          <w:ilvl w:val="0"/>
          <w:numId w:val="230"/>
        </w:numPr>
        <w:tabs>
          <w:tab w:val="left" w:pos="210"/>
          <w:tab w:val="left" w:pos="567"/>
        </w:tabs>
        <w:spacing w:line="330" w:lineRule="exact"/>
        <w:ind w:firstLine="630" w:firstLineChars="300"/>
        <w:rPr>
          <w:rFonts w:eastAsiaTheme="minorEastAsia"/>
          <w:szCs w:val="21"/>
        </w:rPr>
      </w:pPr>
      <w:r>
        <w:rPr>
          <w:rFonts w:eastAsiaTheme="minorEastAsia"/>
          <w:szCs w:val="21"/>
        </w:rPr>
        <w:t>应调试出入口控制系统与报警、电子巡查等系统间的联动或集成功能。调试出入口控制系统与火灾自动报警系统间的联动功能</w:t>
      </w:r>
      <w:r>
        <w:rPr>
          <w:rFonts w:hint="eastAsia" w:eastAsiaTheme="minorEastAsia"/>
          <w:szCs w:val="21"/>
        </w:rPr>
        <w:t>时</w:t>
      </w:r>
      <w:r>
        <w:rPr>
          <w:rFonts w:eastAsiaTheme="minorEastAsia"/>
          <w:szCs w:val="21"/>
        </w:rPr>
        <w:t>，联动和集成功能应满足设计要求。</w:t>
      </w:r>
    </w:p>
    <w:p w14:paraId="562E6982">
      <w:pPr>
        <w:pStyle w:val="164"/>
        <w:numPr>
          <w:ilvl w:val="0"/>
          <w:numId w:val="230"/>
        </w:numPr>
        <w:tabs>
          <w:tab w:val="left" w:pos="210"/>
          <w:tab w:val="left" w:pos="567"/>
        </w:tabs>
        <w:spacing w:line="330" w:lineRule="exact"/>
        <w:ind w:firstLine="630" w:firstLineChars="300"/>
        <w:rPr>
          <w:rFonts w:eastAsiaTheme="minorEastAsia"/>
          <w:szCs w:val="21"/>
        </w:rPr>
      </w:pPr>
      <w:r>
        <w:rPr>
          <w:rFonts w:eastAsiaTheme="minorEastAsia"/>
          <w:szCs w:val="21"/>
        </w:rPr>
        <w:t>应检查系统与计算机集成系统的联网接口以及该系统对出入口控制系统的集中管理和控制能力。</w:t>
      </w:r>
    </w:p>
    <w:p w14:paraId="4D9292F1">
      <w:pPr>
        <w:pStyle w:val="164"/>
        <w:numPr>
          <w:ilvl w:val="0"/>
          <w:numId w:val="227"/>
        </w:numPr>
        <w:spacing w:line="330" w:lineRule="exact"/>
        <w:ind w:left="0" w:firstLine="420"/>
        <w:rPr>
          <w:rFonts w:eastAsiaTheme="minorEastAsia"/>
        </w:rPr>
      </w:pPr>
      <w:r>
        <w:rPr>
          <w:rFonts w:eastAsiaTheme="minorEastAsia"/>
        </w:rPr>
        <w:t>电子巡查管理系统的调试</w:t>
      </w:r>
      <w:r>
        <w:rPr>
          <w:szCs w:val="21"/>
        </w:rPr>
        <w:t>应符合下列规定：</w:t>
      </w:r>
    </w:p>
    <w:p w14:paraId="0B1C04EA">
      <w:pPr>
        <w:pStyle w:val="164"/>
        <w:numPr>
          <w:ilvl w:val="0"/>
          <w:numId w:val="231"/>
        </w:numPr>
        <w:tabs>
          <w:tab w:val="left" w:pos="210"/>
          <w:tab w:val="left" w:pos="567"/>
        </w:tabs>
        <w:spacing w:line="330" w:lineRule="exact"/>
        <w:ind w:firstLine="630" w:firstLineChars="300"/>
        <w:rPr>
          <w:rFonts w:eastAsiaTheme="minorEastAsia"/>
          <w:szCs w:val="21"/>
        </w:rPr>
      </w:pPr>
      <w:r>
        <w:rPr>
          <w:rFonts w:eastAsiaTheme="minorEastAsia"/>
          <w:szCs w:val="21"/>
        </w:rPr>
        <w:t>读卡式巡查系统应</w:t>
      </w:r>
      <w:r>
        <w:rPr>
          <w:rFonts w:hint="eastAsia" w:eastAsiaTheme="minorEastAsia"/>
          <w:szCs w:val="21"/>
        </w:rPr>
        <w:t>正常工作</w:t>
      </w:r>
      <w:r>
        <w:rPr>
          <w:rFonts w:eastAsiaTheme="minorEastAsia"/>
          <w:szCs w:val="21"/>
        </w:rPr>
        <w:t>，实时巡查</w:t>
      </w:r>
      <w:r>
        <w:rPr>
          <w:rFonts w:hint="eastAsia" w:eastAsiaTheme="minorEastAsia"/>
          <w:szCs w:val="21"/>
        </w:rPr>
        <w:t>应与</w:t>
      </w:r>
      <w:r>
        <w:rPr>
          <w:rFonts w:eastAsiaTheme="minorEastAsia"/>
          <w:szCs w:val="21"/>
        </w:rPr>
        <w:t>计划巡查相一致，若不一致</w:t>
      </w:r>
      <w:r>
        <w:rPr>
          <w:rFonts w:hint="eastAsia" w:eastAsiaTheme="minorEastAsia"/>
          <w:szCs w:val="21"/>
        </w:rPr>
        <w:t>应</w:t>
      </w:r>
      <w:r>
        <w:rPr>
          <w:rFonts w:eastAsiaTheme="minorEastAsia"/>
          <w:szCs w:val="21"/>
        </w:rPr>
        <w:t>发出报警。</w:t>
      </w:r>
    </w:p>
    <w:p w14:paraId="4CF544EC">
      <w:pPr>
        <w:pStyle w:val="164"/>
        <w:numPr>
          <w:ilvl w:val="0"/>
          <w:numId w:val="231"/>
        </w:numPr>
        <w:tabs>
          <w:tab w:val="left" w:pos="210"/>
          <w:tab w:val="left" w:pos="567"/>
        </w:tabs>
        <w:spacing w:line="330" w:lineRule="exact"/>
        <w:ind w:firstLine="630" w:firstLineChars="300"/>
        <w:rPr>
          <w:rFonts w:eastAsiaTheme="minorEastAsia"/>
          <w:szCs w:val="21"/>
        </w:rPr>
      </w:pPr>
      <w:r>
        <w:rPr>
          <w:rFonts w:hint="eastAsia" w:eastAsiaTheme="minorEastAsia"/>
          <w:szCs w:val="21"/>
        </w:rPr>
        <w:t>系统</w:t>
      </w:r>
      <w:r>
        <w:rPr>
          <w:rFonts w:eastAsiaTheme="minorEastAsia"/>
          <w:szCs w:val="21"/>
        </w:rPr>
        <w:t>数据应能及时收集、统计、打印；</w:t>
      </w:r>
    </w:p>
    <w:p w14:paraId="6CC837C1">
      <w:pPr>
        <w:pStyle w:val="164"/>
        <w:numPr>
          <w:ilvl w:val="0"/>
          <w:numId w:val="231"/>
        </w:numPr>
        <w:tabs>
          <w:tab w:val="left" w:pos="210"/>
          <w:tab w:val="left" w:pos="567"/>
        </w:tabs>
        <w:spacing w:line="330" w:lineRule="exact"/>
        <w:ind w:firstLine="630" w:firstLineChars="300"/>
        <w:rPr>
          <w:rFonts w:eastAsiaTheme="minorEastAsia"/>
          <w:szCs w:val="21"/>
        </w:rPr>
      </w:pPr>
      <w:r>
        <w:rPr>
          <w:rFonts w:eastAsiaTheme="minorEastAsia"/>
          <w:szCs w:val="21"/>
        </w:rPr>
        <w:t>CPU 或计算机控制的系统</w:t>
      </w:r>
      <w:r>
        <w:rPr>
          <w:rFonts w:hint="eastAsia" w:eastAsiaTheme="minorEastAsia"/>
          <w:szCs w:val="21"/>
        </w:rPr>
        <w:t>应</w:t>
      </w:r>
      <w:r>
        <w:rPr>
          <w:rFonts w:eastAsiaTheme="minorEastAsia"/>
          <w:szCs w:val="21"/>
        </w:rPr>
        <w:t>具有时间、逻辑、区域、事件和级别分档等判别及处理功能。</w:t>
      </w:r>
    </w:p>
    <w:p w14:paraId="580FD70E">
      <w:pPr>
        <w:pStyle w:val="164"/>
        <w:numPr>
          <w:ilvl w:val="0"/>
          <w:numId w:val="231"/>
        </w:numPr>
        <w:tabs>
          <w:tab w:val="left" w:pos="210"/>
          <w:tab w:val="left" w:pos="567"/>
        </w:tabs>
        <w:spacing w:line="330" w:lineRule="exact"/>
        <w:ind w:firstLine="630" w:firstLineChars="300"/>
        <w:rPr>
          <w:rFonts w:eastAsiaTheme="minorEastAsia"/>
          <w:szCs w:val="21"/>
        </w:rPr>
      </w:pPr>
      <w:r>
        <w:rPr>
          <w:rFonts w:eastAsiaTheme="minorEastAsia"/>
          <w:szCs w:val="21"/>
        </w:rPr>
        <w:t>系统防劫、求助、紧急报警</w:t>
      </w:r>
      <w:r>
        <w:rPr>
          <w:rFonts w:hint="eastAsia" w:eastAsiaTheme="minorEastAsia"/>
          <w:szCs w:val="21"/>
        </w:rPr>
        <w:t>应</w:t>
      </w:r>
      <w:r>
        <w:rPr>
          <w:rFonts w:eastAsiaTheme="minorEastAsia"/>
          <w:szCs w:val="21"/>
        </w:rPr>
        <w:t>工作正常，</w:t>
      </w:r>
      <w:r>
        <w:rPr>
          <w:rFonts w:hint="eastAsia" w:eastAsiaTheme="minorEastAsia"/>
          <w:szCs w:val="21"/>
        </w:rPr>
        <w:t>并</w:t>
      </w:r>
      <w:r>
        <w:rPr>
          <w:rFonts w:eastAsiaTheme="minorEastAsia"/>
          <w:szCs w:val="21"/>
        </w:rPr>
        <w:t>具有异地声光报警与显示功能。</w:t>
      </w:r>
    </w:p>
    <w:p w14:paraId="72BA1C4F">
      <w:pPr>
        <w:pStyle w:val="164"/>
        <w:numPr>
          <w:ilvl w:val="0"/>
          <w:numId w:val="231"/>
        </w:numPr>
        <w:tabs>
          <w:tab w:val="left" w:pos="210"/>
          <w:tab w:val="left" w:pos="567"/>
        </w:tabs>
        <w:spacing w:line="330" w:lineRule="exact"/>
        <w:ind w:firstLine="630" w:firstLineChars="300"/>
        <w:rPr>
          <w:rFonts w:eastAsiaTheme="minorEastAsia"/>
          <w:szCs w:val="21"/>
        </w:rPr>
      </w:pPr>
      <w:r>
        <w:rPr>
          <w:rFonts w:eastAsiaTheme="minorEastAsia"/>
          <w:szCs w:val="21"/>
        </w:rPr>
        <w:t>系统与智能化集成系统的联网接口</w:t>
      </w:r>
      <w:r>
        <w:rPr>
          <w:rFonts w:hint="eastAsia" w:eastAsiaTheme="minorEastAsia"/>
          <w:szCs w:val="21"/>
        </w:rPr>
        <w:t>应具有</w:t>
      </w:r>
      <w:r>
        <w:rPr>
          <w:rFonts w:eastAsiaTheme="minorEastAsia"/>
          <w:szCs w:val="21"/>
        </w:rPr>
        <w:t>对出入口控制系统的集中管理和控制能力。</w:t>
      </w:r>
    </w:p>
    <w:p w14:paraId="68DCF5F0">
      <w:pPr>
        <w:pStyle w:val="164"/>
        <w:numPr>
          <w:ilvl w:val="0"/>
          <w:numId w:val="227"/>
        </w:numPr>
        <w:spacing w:line="330" w:lineRule="exact"/>
        <w:ind w:left="0" w:firstLine="420"/>
        <w:rPr>
          <w:rFonts w:eastAsiaTheme="minorEastAsia"/>
        </w:rPr>
      </w:pPr>
      <w:r>
        <w:rPr>
          <w:rFonts w:eastAsiaTheme="minorEastAsia"/>
        </w:rPr>
        <w:t>访客对讲系统的调试</w:t>
      </w:r>
      <w:r>
        <w:rPr>
          <w:szCs w:val="21"/>
        </w:rPr>
        <w:t>应符合下列规定：</w:t>
      </w:r>
    </w:p>
    <w:p w14:paraId="7FD3E01C">
      <w:pPr>
        <w:pStyle w:val="164"/>
        <w:numPr>
          <w:ilvl w:val="0"/>
          <w:numId w:val="232"/>
        </w:numPr>
        <w:tabs>
          <w:tab w:val="left" w:pos="210"/>
          <w:tab w:val="left" w:pos="567"/>
        </w:tabs>
        <w:spacing w:line="330" w:lineRule="exact"/>
        <w:ind w:firstLine="630" w:firstLineChars="300"/>
        <w:rPr>
          <w:rFonts w:eastAsiaTheme="minorEastAsia"/>
          <w:szCs w:val="21"/>
        </w:rPr>
      </w:pPr>
      <w:r>
        <w:rPr>
          <w:rFonts w:eastAsiaTheme="minorEastAsia"/>
          <w:szCs w:val="21"/>
        </w:rPr>
        <w:t>访客对讲系统</w:t>
      </w:r>
      <w:r>
        <w:rPr>
          <w:rFonts w:hint="eastAsia" w:eastAsiaTheme="minorEastAsia"/>
          <w:szCs w:val="21"/>
        </w:rPr>
        <w:t>的</w:t>
      </w:r>
      <w:r>
        <w:rPr>
          <w:rFonts w:eastAsiaTheme="minorEastAsia"/>
          <w:szCs w:val="21"/>
        </w:rPr>
        <w:t>门口机、管理机、用户单元功能应正常</w:t>
      </w:r>
      <w:r>
        <w:rPr>
          <w:rFonts w:hint="eastAsia" w:eastAsiaTheme="minorEastAsia"/>
          <w:szCs w:val="21"/>
        </w:rPr>
        <w:t>工作</w:t>
      </w:r>
      <w:r>
        <w:rPr>
          <w:rFonts w:eastAsiaTheme="minorEastAsia"/>
          <w:szCs w:val="21"/>
        </w:rPr>
        <w:t>，图像质量</w:t>
      </w:r>
      <w:r>
        <w:rPr>
          <w:rFonts w:hint="eastAsia" w:eastAsiaTheme="minorEastAsia"/>
          <w:szCs w:val="21"/>
        </w:rPr>
        <w:t>应满足设计</w:t>
      </w:r>
      <w:r>
        <w:rPr>
          <w:rFonts w:eastAsiaTheme="minorEastAsia"/>
          <w:szCs w:val="21"/>
        </w:rPr>
        <w:t>要求，声音清晰，声级应不低于80dB。</w:t>
      </w:r>
    </w:p>
    <w:p w14:paraId="7E498FE6">
      <w:pPr>
        <w:pStyle w:val="164"/>
        <w:numPr>
          <w:ilvl w:val="0"/>
          <w:numId w:val="232"/>
        </w:numPr>
        <w:tabs>
          <w:tab w:val="left" w:pos="210"/>
          <w:tab w:val="left" w:pos="567"/>
        </w:tabs>
        <w:spacing w:line="330" w:lineRule="exact"/>
        <w:ind w:firstLine="630" w:firstLineChars="300"/>
        <w:rPr>
          <w:rFonts w:eastAsiaTheme="minorEastAsia"/>
          <w:szCs w:val="21"/>
        </w:rPr>
      </w:pPr>
      <w:r>
        <w:rPr>
          <w:rFonts w:eastAsiaTheme="minorEastAsia"/>
          <w:szCs w:val="21"/>
        </w:rPr>
        <w:t>附有报警和紧急按钮的系统，应调试报警与紧急按钮的响应速度。</w:t>
      </w:r>
    </w:p>
    <w:p w14:paraId="672262F6">
      <w:pPr>
        <w:pStyle w:val="164"/>
        <w:numPr>
          <w:ilvl w:val="0"/>
          <w:numId w:val="232"/>
        </w:numPr>
        <w:tabs>
          <w:tab w:val="left" w:pos="210"/>
          <w:tab w:val="left" w:pos="567"/>
        </w:tabs>
        <w:spacing w:line="330" w:lineRule="exact"/>
        <w:ind w:firstLine="630" w:firstLineChars="300"/>
        <w:rPr>
          <w:rFonts w:eastAsiaTheme="minorEastAsia"/>
          <w:szCs w:val="21"/>
        </w:rPr>
      </w:pPr>
      <w:r>
        <w:rPr>
          <w:rFonts w:eastAsiaTheme="minorEastAsia"/>
          <w:szCs w:val="21"/>
        </w:rPr>
        <w:t>系统双向对讲、遥控开锁、密码开锁、备用电池</w:t>
      </w:r>
      <w:r>
        <w:rPr>
          <w:rFonts w:hint="eastAsia" w:eastAsiaTheme="minorEastAsia"/>
          <w:szCs w:val="21"/>
        </w:rPr>
        <w:t>应符合现行国家标准</w:t>
      </w:r>
      <w:r>
        <w:rPr>
          <w:rFonts w:eastAsiaTheme="minorEastAsia"/>
          <w:szCs w:val="21"/>
        </w:rPr>
        <w:t>《楼寓对讲系统及电控防盗门通用技术条件》</w:t>
      </w:r>
      <w:r>
        <w:rPr>
          <w:szCs w:val="22"/>
        </w:rPr>
        <w:t xml:space="preserve">GA/T 72 </w:t>
      </w:r>
      <w:r>
        <w:rPr>
          <w:rFonts w:eastAsiaTheme="minorEastAsia"/>
          <w:szCs w:val="21"/>
        </w:rPr>
        <w:t>的相关</w:t>
      </w:r>
      <w:r>
        <w:rPr>
          <w:rFonts w:hint="eastAsia" w:eastAsiaTheme="minorEastAsia"/>
          <w:szCs w:val="21"/>
        </w:rPr>
        <w:t>规定</w:t>
      </w:r>
      <w:r>
        <w:rPr>
          <w:rFonts w:eastAsiaTheme="minorEastAsia"/>
          <w:szCs w:val="21"/>
        </w:rPr>
        <w:t>。</w:t>
      </w:r>
    </w:p>
    <w:p w14:paraId="2D3B73AD">
      <w:pPr>
        <w:pStyle w:val="164"/>
        <w:numPr>
          <w:ilvl w:val="0"/>
          <w:numId w:val="232"/>
        </w:numPr>
        <w:tabs>
          <w:tab w:val="left" w:pos="210"/>
          <w:tab w:val="left" w:pos="567"/>
        </w:tabs>
        <w:spacing w:line="330" w:lineRule="exact"/>
        <w:ind w:firstLine="630" w:firstLineChars="300"/>
        <w:rPr>
          <w:rFonts w:eastAsiaTheme="minorEastAsia"/>
          <w:szCs w:val="21"/>
        </w:rPr>
      </w:pPr>
      <w:r>
        <w:rPr>
          <w:rFonts w:eastAsiaTheme="minorEastAsia"/>
          <w:szCs w:val="21"/>
        </w:rPr>
        <w:t>应保证报警及紧急救助功能及响应速度。</w:t>
      </w:r>
    </w:p>
    <w:p w14:paraId="5CD1746F">
      <w:pPr>
        <w:pStyle w:val="164"/>
        <w:numPr>
          <w:ilvl w:val="0"/>
          <w:numId w:val="227"/>
        </w:numPr>
        <w:spacing w:line="330" w:lineRule="exact"/>
        <w:ind w:left="0" w:firstLine="420"/>
        <w:rPr>
          <w:rFonts w:eastAsiaTheme="minorEastAsia"/>
        </w:rPr>
      </w:pPr>
      <w:r>
        <w:rPr>
          <w:rFonts w:eastAsiaTheme="minorEastAsia"/>
        </w:rPr>
        <w:t>停车库管理系统调试</w:t>
      </w:r>
      <w:r>
        <w:rPr>
          <w:szCs w:val="21"/>
        </w:rPr>
        <w:t>应符合下列规定：</w:t>
      </w:r>
    </w:p>
    <w:p w14:paraId="6A6CB631">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感应线圈的位置和响应速度</w:t>
      </w:r>
      <w:r>
        <w:rPr>
          <w:rFonts w:hint="eastAsia" w:eastAsiaTheme="minorEastAsia"/>
          <w:szCs w:val="21"/>
        </w:rPr>
        <w:t>应</w:t>
      </w:r>
      <w:r>
        <w:rPr>
          <w:rFonts w:eastAsiaTheme="minorEastAsia"/>
          <w:szCs w:val="21"/>
        </w:rPr>
        <w:t>满足设计要求。</w:t>
      </w:r>
    </w:p>
    <w:p w14:paraId="679656E8">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应检查和调试车库管理系统的车辆进出、分类收费、收费标志牌，导向指示，闸门机工作，进口出口车牌号车型复核等功能。</w:t>
      </w:r>
    </w:p>
    <w:p w14:paraId="0D90EBB5">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应检查读卡器正确刷卡后的响应速度。</w:t>
      </w:r>
    </w:p>
    <w:p w14:paraId="0BAF480A">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应检查闸门的开放和关闭的动作时间。</w:t>
      </w:r>
    </w:p>
    <w:p w14:paraId="5E6B4D78">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应检查按不同建筑物要求而设置的不同管理方式是否正常工作。</w:t>
      </w:r>
    </w:p>
    <w:p w14:paraId="5587EA61">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收费管理处的设备</w:t>
      </w:r>
      <w:r>
        <w:rPr>
          <w:rFonts w:hint="eastAsia" w:eastAsiaTheme="minorEastAsia"/>
          <w:szCs w:val="21"/>
        </w:rPr>
        <w:t>应具备</w:t>
      </w:r>
      <w:r>
        <w:rPr>
          <w:rFonts w:eastAsiaTheme="minorEastAsia"/>
          <w:szCs w:val="21"/>
        </w:rPr>
        <w:t>车道设备实时通信，车道设备的监视与控制</w:t>
      </w:r>
      <w:r>
        <w:rPr>
          <w:rFonts w:hint="eastAsia" w:eastAsiaTheme="minorEastAsia"/>
          <w:szCs w:val="21"/>
        </w:rPr>
        <w:t>功能</w:t>
      </w:r>
      <w:r>
        <w:rPr>
          <w:rFonts w:eastAsiaTheme="minorEastAsia"/>
          <w:szCs w:val="21"/>
        </w:rPr>
        <w:t>，收费管理系统</w:t>
      </w:r>
      <w:r>
        <w:rPr>
          <w:rFonts w:hint="eastAsia" w:eastAsiaTheme="minorEastAsia"/>
          <w:szCs w:val="21"/>
        </w:rPr>
        <w:t>应具备</w:t>
      </w:r>
      <w:r>
        <w:rPr>
          <w:rFonts w:eastAsiaTheme="minorEastAsia"/>
          <w:szCs w:val="21"/>
        </w:rPr>
        <w:t>参数设置、IC 卡发售、挂失处理及数据收集、统计、汇总、报表打印等功能。</w:t>
      </w:r>
    </w:p>
    <w:p w14:paraId="5A3779C2">
      <w:pPr>
        <w:pStyle w:val="164"/>
        <w:numPr>
          <w:ilvl w:val="0"/>
          <w:numId w:val="233"/>
        </w:numPr>
        <w:tabs>
          <w:tab w:val="left" w:pos="210"/>
          <w:tab w:val="left" w:pos="567"/>
        </w:tabs>
        <w:spacing w:line="330" w:lineRule="exact"/>
        <w:ind w:firstLine="630" w:firstLineChars="300"/>
        <w:rPr>
          <w:rFonts w:eastAsiaTheme="minorEastAsia"/>
          <w:szCs w:val="21"/>
        </w:rPr>
      </w:pPr>
      <w:r>
        <w:rPr>
          <w:rFonts w:eastAsiaTheme="minorEastAsia"/>
          <w:szCs w:val="21"/>
        </w:rPr>
        <w:t>应检查系统与集成系统的联网接口以及该系统对车库管理系统的集中管理和控制能力。</w:t>
      </w:r>
    </w:p>
    <w:p w14:paraId="1D46DE3F">
      <w:pPr>
        <w:pStyle w:val="164"/>
        <w:numPr>
          <w:ilvl w:val="0"/>
          <w:numId w:val="227"/>
        </w:numPr>
        <w:spacing w:line="330" w:lineRule="exact"/>
        <w:ind w:left="0" w:firstLine="420"/>
        <w:rPr>
          <w:rFonts w:eastAsiaTheme="minorEastAsia"/>
        </w:rPr>
      </w:pPr>
      <w:r>
        <w:rPr>
          <w:rFonts w:eastAsiaTheme="minorEastAsia"/>
        </w:rPr>
        <w:t>系统的联动与功能集成</w:t>
      </w:r>
      <w:r>
        <w:rPr>
          <w:szCs w:val="21"/>
        </w:rPr>
        <w:t>应符合下列规定：</w:t>
      </w:r>
    </w:p>
    <w:p w14:paraId="42C8D766">
      <w:pPr>
        <w:pStyle w:val="164"/>
        <w:numPr>
          <w:ilvl w:val="0"/>
          <w:numId w:val="234"/>
        </w:numPr>
        <w:tabs>
          <w:tab w:val="left" w:pos="210"/>
          <w:tab w:val="left" w:pos="567"/>
        </w:tabs>
        <w:spacing w:line="330" w:lineRule="exact"/>
        <w:ind w:firstLine="630" w:firstLineChars="300"/>
        <w:rPr>
          <w:rFonts w:eastAsiaTheme="minorEastAsia"/>
          <w:szCs w:val="21"/>
        </w:rPr>
      </w:pPr>
      <w:r>
        <w:rPr>
          <w:rFonts w:eastAsiaTheme="minorEastAsia"/>
          <w:szCs w:val="21"/>
        </w:rPr>
        <w:t>应按系统设计要求和相关设备的技术说明书对各子系统进行检查和调试，各子系统应工作正常。</w:t>
      </w:r>
    </w:p>
    <w:p w14:paraId="2DFC4CF5">
      <w:pPr>
        <w:pStyle w:val="164"/>
        <w:numPr>
          <w:ilvl w:val="0"/>
          <w:numId w:val="234"/>
        </w:numPr>
        <w:tabs>
          <w:tab w:val="left" w:pos="210"/>
          <w:tab w:val="left" w:pos="567"/>
        </w:tabs>
        <w:spacing w:line="330" w:lineRule="exact"/>
        <w:ind w:firstLine="630" w:firstLineChars="300"/>
        <w:rPr>
          <w:rFonts w:eastAsiaTheme="minorEastAsia"/>
          <w:szCs w:val="21"/>
        </w:rPr>
      </w:pPr>
      <w:r>
        <w:rPr>
          <w:rFonts w:eastAsiaTheme="minorEastAsia"/>
          <w:szCs w:val="21"/>
        </w:rPr>
        <w:t>应保证模拟输入报警信号后，视频监控系统的联动功能应满足设计要求。</w:t>
      </w:r>
    </w:p>
    <w:p w14:paraId="432111DE">
      <w:pPr>
        <w:pStyle w:val="164"/>
        <w:numPr>
          <w:ilvl w:val="0"/>
          <w:numId w:val="234"/>
        </w:numPr>
        <w:tabs>
          <w:tab w:val="left" w:pos="210"/>
          <w:tab w:val="left" w:pos="567"/>
        </w:tabs>
        <w:spacing w:line="330" w:lineRule="exact"/>
        <w:ind w:firstLine="630" w:firstLineChars="300"/>
        <w:rPr>
          <w:rFonts w:eastAsiaTheme="minorEastAsia"/>
          <w:szCs w:val="21"/>
        </w:rPr>
      </w:pPr>
      <w:r>
        <w:rPr>
          <w:rFonts w:eastAsiaTheme="minorEastAsia"/>
          <w:szCs w:val="21"/>
        </w:rPr>
        <w:t>视频监控系统、出入口控制系统应与火灾自动报警系统联动，联动功能应满足设计要求。</w:t>
      </w:r>
    </w:p>
    <w:p w14:paraId="66B75AB2">
      <w:pPr>
        <w:pStyle w:val="164"/>
        <w:numPr>
          <w:ilvl w:val="0"/>
          <w:numId w:val="234"/>
        </w:numPr>
        <w:tabs>
          <w:tab w:val="left" w:pos="210"/>
          <w:tab w:val="left" w:pos="567"/>
        </w:tabs>
        <w:spacing w:line="330" w:lineRule="exact"/>
        <w:ind w:firstLine="630" w:firstLineChars="300"/>
        <w:rPr>
          <w:rFonts w:eastAsiaTheme="minorEastAsia"/>
          <w:szCs w:val="21"/>
        </w:rPr>
      </w:pPr>
      <w:r>
        <w:rPr>
          <w:rFonts w:eastAsiaTheme="minorEastAsia"/>
          <w:szCs w:val="21"/>
        </w:rPr>
        <w:t>各子系统的输入应能在集成控制系统中实现输入。</w:t>
      </w:r>
    </w:p>
    <w:p w14:paraId="231F51D5">
      <w:pPr>
        <w:pStyle w:val="164"/>
        <w:numPr>
          <w:ilvl w:val="0"/>
          <w:numId w:val="234"/>
        </w:numPr>
        <w:tabs>
          <w:tab w:val="left" w:pos="210"/>
          <w:tab w:val="left" w:pos="567"/>
        </w:tabs>
        <w:spacing w:line="330" w:lineRule="exact"/>
        <w:ind w:firstLine="630" w:firstLineChars="300"/>
        <w:rPr>
          <w:rFonts w:eastAsiaTheme="minorEastAsia"/>
          <w:szCs w:val="21"/>
        </w:rPr>
      </w:pPr>
      <w:r>
        <w:rPr>
          <w:rFonts w:eastAsiaTheme="minorEastAsia"/>
          <w:szCs w:val="21"/>
        </w:rPr>
        <w:t>各子系统的输出应能在集成控制系统中实现输出，其显示和记录能反映各子系统的相关关系。</w:t>
      </w:r>
    </w:p>
    <w:p w14:paraId="039312D4">
      <w:pPr>
        <w:pStyle w:val="3"/>
        <w:spacing w:before="240" w:after="120" w:afterLines="50" w:line="330" w:lineRule="exact"/>
        <w:rPr>
          <w:rFonts w:eastAsia="黑体"/>
          <w:b w:val="0"/>
          <w:bCs w:val="0"/>
          <w:sz w:val="21"/>
          <w:szCs w:val="21"/>
          <w:lang w:val="en-US"/>
        </w:rPr>
      </w:pPr>
      <w:bookmarkStart w:id="213" w:name="_Toc182487999"/>
      <w:bookmarkStart w:id="214" w:name="_Toc45092847"/>
      <w:bookmarkStart w:id="215" w:name="_Toc56517705"/>
      <w:bookmarkStart w:id="216" w:name="_Toc44618480"/>
      <w:bookmarkStart w:id="217" w:name="_Toc171955170"/>
      <w:bookmarkStart w:id="218" w:name="_Toc44618580"/>
      <w:r>
        <w:rPr>
          <w:rFonts w:eastAsia="黑体"/>
          <w:b w:val="0"/>
          <w:bCs w:val="0"/>
          <w:sz w:val="21"/>
          <w:szCs w:val="21"/>
          <w:lang w:val="en-US"/>
        </w:rPr>
        <w:t>19.4 质量记录</w:t>
      </w:r>
      <w:bookmarkEnd w:id="213"/>
      <w:bookmarkEnd w:id="214"/>
      <w:bookmarkEnd w:id="215"/>
      <w:bookmarkEnd w:id="216"/>
      <w:bookmarkEnd w:id="217"/>
      <w:bookmarkEnd w:id="218"/>
    </w:p>
    <w:p w14:paraId="3C45F634">
      <w:pPr>
        <w:ind w:left="105" w:hanging="105"/>
        <w:rPr>
          <w:rFonts w:ascii="Times New Roman" w:hAnsi="Times New Roman"/>
        </w:rPr>
      </w:pPr>
      <w:r>
        <w:rPr>
          <w:rFonts w:ascii="Times New Roman" w:hAnsi="Times New Roman"/>
        </w:rPr>
        <w:t>19.4.1 质量记录应包含下列内容：</w:t>
      </w:r>
    </w:p>
    <w:p w14:paraId="630302A7">
      <w:pPr>
        <w:pStyle w:val="164"/>
        <w:numPr>
          <w:ilvl w:val="0"/>
          <w:numId w:val="235"/>
        </w:numPr>
        <w:spacing w:line="330" w:lineRule="exact"/>
        <w:ind w:left="0" w:firstLine="420"/>
        <w:rPr>
          <w:rFonts w:eastAsiaTheme="minorEastAsia"/>
        </w:rPr>
      </w:pPr>
      <w:r>
        <w:rPr>
          <w:rFonts w:eastAsiaTheme="minorEastAsia"/>
        </w:rPr>
        <w:t>所用材料及设备的出厂合格证、使用说明书、质量检验报告、进场抽样检查报告。</w:t>
      </w:r>
    </w:p>
    <w:p w14:paraId="0589B1BD">
      <w:pPr>
        <w:pStyle w:val="164"/>
        <w:numPr>
          <w:ilvl w:val="0"/>
          <w:numId w:val="235"/>
        </w:numPr>
        <w:spacing w:line="330" w:lineRule="exact"/>
        <w:ind w:left="0" w:firstLine="420"/>
        <w:rPr>
          <w:rFonts w:eastAsiaTheme="minorEastAsia"/>
        </w:rPr>
      </w:pPr>
      <w:r>
        <w:rPr>
          <w:rFonts w:eastAsiaTheme="minorEastAsia"/>
        </w:rPr>
        <w:t>隐蔽工程安装质量检查记录。</w:t>
      </w:r>
    </w:p>
    <w:p w14:paraId="0E7456D0">
      <w:pPr>
        <w:pStyle w:val="164"/>
        <w:numPr>
          <w:ilvl w:val="0"/>
          <w:numId w:val="235"/>
        </w:numPr>
        <w:spacing w:line="330" w:lineRule="exact"/>
        <w:ind w:left="0" w:firstLine="420"/>
        <w:rPr>
          <w:rFonts w:eastAsiaTheme="minorEastAsia"/>
        </w:rPr>
      </w:pPr>
      <w:r>
        <w:rPr>
          <w:rFonts w:eastAsiaTheme="minorEastAsia"/>
        </w:rPr>
        <w:t>安装后电气性能测试记录。</w:t>
      </w:r>
    </w:p>
    <w:p w14:paraId="2033110D">
      <w:pPr>
        <w:pStyle w:val="164"/>
        <w:numPr>
          <w:ilvl w:val="0"/>
          <w:numId w:val="235"/>
        </w:numPr>
        <w:spacing w:line="330" w:lineRule="exact"/>
        <w:ind w:left="0" w:firstLine="420"/>
        <w:rPr>
          <w:rFonts w:eastAsiaTheme="minorEastAsia"/>
        </w:rPr>
      </w:pPr>
      <w:r>
        <w:rPr>
          <w:rFonts w:eastAsiaTheme="minorEastAsia"/>
        </w:rPr>
        <w:t>工程安装质量及观感质量</w:t>
      </w:r>
      <w:r>
        <w:rPr>
          <w:rFonts w:hint="eastAsia" w:eastAsiaTheme="minorEastAsia"/>
        </w:rPr>
        <w:t>检验</w:t>
      </w:r>
      <w:r>
        <w:rPr>
          <w:rFonts w:eastAsiaTheme="minorEastAsia"/>
        </w:rPr>
        <w:t>记录。</w:t>
      </w:r>
    </w:p>
    <w:p w14:paraId="4341CC9D">
      <w:pPr>
        <w:ind w:left="0" w:firstLine="0" w:firstLineChars="0"/>
        <w:rPr>
          <w:rFonts w:ascii="Times New Roman" w:hAnsi="Times New Roman"/>
        </w:rPr>
        <w:sectPr>
          <w:pgSz w:w="11900" w:h="16840"/>
          <w:pgMar w:top="1558" w:right="1544" w:bottom="1113" w:left="1564" w:header="0" w:footer="567" w:gutter="0"/>
          <w:cols w:space="720" w:num="1"/>
          <w:docGrid w:linePitch="360" w:charSpace="0"/>
        </w:sectPr>
      </w:pPr>
    </w:p>
    <w:p w14:paraId="1E7E06B8">
      <w:pPr>
        <w:pStyle w:val="16"/>
        <w:tabs>
          <w:tab w:val="left" w:pos="425"/>
        </w:tabs>
        <w:spacing w:before="240" w:beforeLines="100" w:afterLines="50"/>
        <w:jc w:val="center"/>
        <w:outlineLvl w:val="0"/>
        <w:rPr>
          <w:rFonts w:ascii="Times New Roman" w:hAnsi="Times New Roman" w:eastAsia="黑体"/>
          <w:bCs/>
          <w:sz w:val="28"/>
          <w:szCs w:val="28"/>
        </w:rPr>
      </w:pPr>
      <w:bookmarkStart w:id="219" w:name="_Toc171955171"/>
      <w:bookmarkStart w:id="220" w:name="_Toc14751"/>
      <w:bookmarkStart w:id="221" w:name="_Toc552"/>
      <w:bookmarkStart w:id="222" w:name="_Toc182488000"/>
      <w:bookmarkStart w:id="223" w:name="_Toc20021"/>
      <w:bookmarkStart w:id="224" w:name="_Toc4213"/>
      <w:bookmarkStart w:id="225" w:name="_Toc617"/>
      <w:r>
        <w:rPr>
          <w:rFonts w:ascii="Times New Roman" w:hAnsi="Times New Roman" w:eastAsia="黑体"/>
          <w:bCs/>
          <w:sz w:val="28"/>
          <w:szCs w:val="28"/>
        </w:rPr>
        <w:t>20 应急响应系统</w:t>
      </w:r>
      <w:bookmarkEnd w:id="219"/>
      <w:bookmarkEnd w:id="220"/>
      <w:bookmarkEnd w:id="221"/>
      <w:bookmarkEnd w:id="222"/>
      <w:bookmarkEnd w:id="223"/>
      <w:bookmarkEnd w:id="224"/>
      <w:bookmarkEnd w:id="225"/>
    </w:p>
    <w:p w14:paraId="63D47358">
      <w:pPr>
        <w:pStyle w:val="3"/>
        <w:spacing w:before="240" w:after="120" w:afterLines="50" w:line="330" w:lineRule="exact"/>
        <w:rPr>
          <w:rFonts w:eastAsia="黑体"/>
          <w:b w:val="0"/>
          <w:bCs w:val="0"/>
          <w:sz w:val="21"/>
          <w:szCs w:val="21"/>
          <w:lang w:val="en-US"/>
        </w:rPr>
      </w:pPr>
      <w:bookmarkStart w:id="226" w:name="_Toc171955172"/>
      <w:bookmarkStart w:id="227" w:name="_Toc31341"/>
      <w:bookmarkStart w:id="228" w:name="_Toc3602"/>
      <w:bookmarkStart w:id="229" w:name="_Toc182488001"/>
      <w:bookmarkStart w:id="230" w:name="_Toc17057"/>
      <w:bookmarkStart w:id="231" w:name="_Toc7395"/>
      <w:bookmarkStart w:id="232" w:name="_Toc11807"/>
      <w:bookmarkStart w:id="233" w:name="_Toc3296"/>
      <w:r>
        <w:rPr>
          <w:rFonts w:eastAsia="黑体"/>
          <w:b w:val="0"/>
          <w:bCs w:val="0"/>
          <w:sz w:val="21"/>
          <w:szCs w:val="21"/>
          <w:lang w:val="en-US"/>
        </w:rPr>
        <w:t>20.1 一般规定</w:t>
      </w:r>
      <w:bookmarkEnd w:id="226"/>
      <w:bookmarkEnd w:id="227"/>
      <w:bookmarkEnd w:id="228"/>
      <w:bookmarkEnd w:id="229"/>
      <w:bookmarkEnd w:id="230"/>
      <w:bookmarkEnd w:id="231"/>
      <w:bookmarkEnd w:id="232"/>
      <w:bookmarkEnd w:id="233"/>
    </w:p>
    <w:p w14:paraId="6859E124">
      <w:pPr>
        <w:pStyle w:val="164"/>
        <w:spacing w:before="100" w:after="100" w:line="330" w:lineRule="exact"/>
        <w:ind w:firstLine="0" w:firstLineChars="0"/>
        <w:rPr>
          <w:szCs w:val="21"/>
        </w:rPr>
      </w:pPr>
      <w:r>
        <w:rPr>
          <w:szCs w:val="21"/>
        </w:rPr>
        <w:t>20.1.1应建立统一的视频指挥调度系统，实现具有单向远程视频监控及音、视频双向交互视频指挥调度平台。实现各区域实施应急可视化指挥调度和日常值勤管理指示的下达和下级情况的汇报。</w:t>
      </w:r>
    </w:p>
    <w:p w14:paraId="5B1F0AAD">
      <w:pPr>
        <w:pStyle w:val="164"/>
        <w:spacing w:before="100" w:after="100" w:line="330" w:lineRule="exact"/>
        <w:ind w:firstLine="0" w:firstLineChars="0"/>
        <w:rPr>
          <w:szCs w:val="21"/>
        </w:rPr>
      </w:pPr>
      <w:r>
        <w:rPr>
          <w:szCs w:val="21"/>
        </w:rPr>
        <w:t>20.1.2视频指挥调度系统应具有视频监控系统接入能力。</w:t>
      </w:r>
    </w:p>
    <w:p w14:paraId="28A953D9">
      <w:pPr>
        <w:pStyle w:val="3"/>
        <w:spacing w:before="240" w:after="120" w:afterLines="50" w:line="330" w:lineRule="exact"/>
        <w:rPr>
          <w:rFonts w:eastAsia="黑体"/>
          <w:b w:val="0"/>
          <w:bCs w:val="0"/>
          <w:sz w:val="21"/>
          <w:szCs w:val="21"/>
          <w:lang w:val="en-US"/>
        </w:rPr>
      </w:pPr>
      <w:bookmarkStart w:id="234" w:name="_Toc182488002"/>
      <w:bookmarkStart w:id="235" w:name="_Toc16458"/>
      <w:bookmarkStart w:id="236" w:name="_Toc19436"/>
      <w:bookmarkStart w:id="237" w:name="_Toc19733"/>
      <w:bookmarkStart w:id="238" w:name="_Toc171955173"/>
      <w:bookmarkStart w:id="239" w:name="_Toc18534"/>
      <w:bookmarkStart w:id="240" w:name="_Toc5201"/>
      <w:bookmarkStart w:id="241" w:name="_Toc24126"/>
      <w:r>
        <w:rPr>
          <w:rFonts w:eastAsia="黑体"/>
          <w:b w:val="0"/>
          <w:bCs w:val="0"/>
          <w:sz w:val="21"/>
          <w:szCs w:val="21"/>
          <w:lang w:val="en-US"/>
        </w:rPr>
        <w:t>20.2施工准备</w:t>
      </w:r>
      <w:bookmarkEnd w:id="234"/>
      <w:bookmarkEnd w:id="235"/>
      <w:bookmarkEnd w:id="236"/>
      <w:bookmarkEnd w:id="237"/>
      <w:bookmarkEnd w:id="238"/>
      <w:bookmarkEnd w:id="239"/>
      <w:bookmarkEnd w:id="240"/>
      <w:bookmarkEnd w:id="241"/>
    </w:p>
    <w:p w14:paraId="03027724">
      <w:pPr>
        <w:pStyle w:val="164"/>
        <w:spacing w:before="100" w:after="100" w:line="330" w:lineRule="exact"/>
        <w:ind w:firstLine="0" w:firstLineChars="0"/>
        <w:rPr>
          <w:szCs w:val="21"/>
        </w:rPr>
      </w:pPr>
      <w:r>
        <w:rPr>
          <w:szCs w:val="21"/>
        </w:rPr>
        <w:t>20.2.</w:t>
      </w:r>
      <w:r>
        <w:rPr>
          <w:rFonts w:hint="eastAsia"/>
          <w:szCs w:val="21"/>
        </w:rPr>
        <w:t>1</w:t>
      </w:r>
      <w:r>
        <w:rPr>
          <w:szCs w:val="21"/>
        </w:rPr>
        <w:t>主要材料</w:t>
      </w:r>
      <w:r>
        <w:rPr>
          <w:rFonts w:hint="eastAsia"/>
          <w:szCs w:val="21"/>
        </w:rPr>
        <w:t>有</w:t>
      </w:r>
      <w:r>
        <w:rPr>
          <w:szCs w:val="21"/>
        </w:rPr>
        <w:t>服务器、工作站、网关、防火墙、系统软件、应用软件、开发工具、通信接口转换器、打印机、U盘等。</w:t>
      </w:r>
    </w:p>
    <w:p w14:paraId="10A14240">
      <w:pPr>
        <w:pStyle w:val="164"/>
        <w:spacing w:before="100" w:after="100" w:line="330" w:lineRule="exact"/>
        <w:ind w:left="105" w:firstLine="0" w:firstLineChars="0"/>
      </w:pPr>
      <w:r>
        <w:rPr>
          <w:szCs w:val="21"/>
        </w:rPr>
        <w:t>20.2.</w:t>
      </w:r>
      <w:r>
        <w:rPr>
          <w:rFonts w:hint="eastAsia"/>
          <w:szCs w:val="21"/>
        </w:rPr>
        <w:t>2</w:t>
      </w:r>
      <w:r>
        <w:rPr>
          <w:szCs w:val="21"/>
        </w:rPr>
        <w:t>主要机具</w:t>
      </w:r>
      <w:r>
        <w:rPr>
          <w:rFonts w:hint="eastAsia"/>
          <w:szCs w:val="21"/>
        </w:rPr>
        <w:t>有</w:t>
      </w:r>
      <w:r>
        <w:rPr>
          <w:szCs w:val="21"/>
        </w:rPr>
        <w:t>移动计算机、电工工具、对讲机、网络测试工具、测试软件及仪器等。</w:t>
      </w:r>
    </w:p>
    <w:p w14:paraId="7B43B932">
      <w:pPr>
        <w:pStyle w:val="3"/>
        <w:spacing w:before="240" w:after="120" w:afterLines="50"/>
        <w:rPr>
          <w:rFonts w:eastAsia="黑体"/>
          <w:b w:val="0"/>
          <w:bCs w:val="0"/>
          <w:sz w:val="21"/>
          <w:szCs w:val="21"/>
          <w:lang w:val="en-US"/>
        </w:rPr>
      </w:pPr>
      <w:bookmarkStart w:id="242" w:name="_Toc6939"/>
      <w:bookmarkStart w:id="243" w:name="_Toc171955174"/>
      <w:bookmarkStart w:id="244" w:name="_Toc182488003"/>
      <w:bookmarkStart w:id="245" w:name="_Toc27882"/>
      <w:bookmarkStart w:id="246" w:name="_Toc26123"/>
      <w:r>
        <w:rPr>
          <w:rFonts w:eastAsia="黑体"/>
          <w:b w:val="0"/>
          <w:bCs w:val="0"/>
          <w:sz w:val="21"/>
          <w:szCs w:val="21"/>
          <w:lang w:val="en-US"/>
        </w:rPr>
        <w:t>20.3施工工艺</w:t>
      </w:r>
      <w:bookmarkEnd w:id="242"/>
      <w:bookmarkEnd w:id="243"/>
      <w:bookmarkEnd w:id="244"/>
      <w:bookmarkEnd w:id="245"/>
      <w:bookmarkEnd w:id="246"/>
    </w:p>
    <w:p w14:paraId="7024B4CA">
      <w:pPr>
        <w:pStyle w:val="164"/>
        <w:spacing w:before="100" w:after="100" w:line="330" w:lineRule="exact"/>
        <w:ind w:firstLine="0" w:firstLineChars="0"/>
        <w:rPr>
          <w:szCs w:val="21"/>
        </w:rPr>
      </w:pPr>
      <w:r>
        <w:rPr>
          <w:szCs w:val="21"/>
        </w:rPr>
        <w:t>20.3.1</w:t>
      </w:r>
      <w:r>
        <w:rPr>
          <w:rFonts w:eastAsiaTheme="minorEastAsia"/>
          <w:szCs w:val="21"/>
        </w:rPr>
        <w:t>应急响应系统施工工艺流程见图20.3.1。</w:t>
      </w:r>
    </w:p>
    <w:p w14:paraId="4B388C83">
      <w:pPr>
        <w:ind w:left="96" w:leftChars="23" w:hanging="48" w:hangingChars="23"/>
        <w:jc w:val="left"/>
        <w:rPr>
          <w:rFonts w:ascii="Times New Roman" w:hAnsi="Times New Roman" w:eastAsiaTheme="minorEastAsia"/>
          <w:sz w:val="17"/>
        </w:rPr>
      </w:pPr>
      <w:r>
        <w:rPr>
          <w:rFonts w:ascii="Times New Roman" w:hAnsi="Times New Roman"/>
        </w:rPr>
        <mc:AlternateContent>
          <mc:Choice Requires="wpg">
            <w:drawing>
              <wp:inline distT="0" distB="0" distL="0" distR="0">
                <wp:extent cx="5144135" cy="983615"/>
                <wp:effectExtent l="0" t="0" r="37465" b="26035"/>
                <wp:docPr id="1769971783" name="组合 1769971783"/>
                <wp:cNvGraphicFramePr/>
                <a:graphic xmlns:a="http://schemas.openxmlformats.org/drawingml/2006/main">
                  <a:graphicData uri="http://schemas.microsoft.com/office/word/2010/wordprocessingGroup">
                    <wpg:wgp>
                      <wpg:cNvGrpSpPr/>
                      <wpg:grpSpPr>
                        <a:xfrm>
                          <a:off x="0" y="0"/>
                          <a:ext cx="5144565" cy="983615"/>
                          <a:chOff x="-2634" y="-163"/>
                          <a:chExt cx="8387" cy="1549"/>
                        </a:xfrm>
                      </wpg:grpSpPr>
                      <wps:wsp>
                        <wps:cNvPr id="1727104667" name="Rectangle 3"/>
                        <wps:cNvSpPr>
                          <a:spLocks noChangeArrowheads="1"/>
                        </wps:cNvSpPr>
                        <wps:spPr bwMode="auto">
                          <a:xfrm>
                            <a:off x="464" y="-162"/>
                            <a:ext cx="2208" cy="588"/>
                          </a:xfrm>
                          <a:prstGeom prst="rect">
                            <a:avLst/>
                          </a:prstGeom>
                          <a:solidFill>
                            <a:srgbClr val="FFFFFF"/>
                          </a:solidFill>
                          <a:ln w="9525">
                            <a:solidFill>
                              <a:srgbClr val="000000"/>
                            </a:solidFill>
                            <a:miter lim="800000"/>
                          </a:ln>
                        </wps:spPr>
                        <wps:txbx>
                          <w:txbxContent>
                            <w:p w14:paraId="74573396">
                              <w:pPr>
                                <w:ind w:left="105" w:hanging="105"/>
                                <w:jc w:val="center"/>
                                <w:rPr>
                                  <w:rFonts w:ascii="宋体" w:hAnsi="宋体"/>
                                  <w:kern w:val="0"/>
                                </w:rPr>
                              </w:pPr>
                              <w:r>
                                <w:rPr>
                                  <w:rFonts w:hint="eastAsia"/>
                                  <w:szCs w:val="21"/>
                                </w:rPr>
                                <w:t>网络控制设备安装</w:t>
                              </w:r>
                            </w:p>
                          </w:txbxContent>
                        </wps:txbx>
                        <wps:bodyPr rot="0" vert="horz" wrap="square" lIns="91440" tIns="82800" rIns="91440" bIns="45720" anchor="t" anchorCtr="0" upright="1">
                          <a:noAutofit/>
                        </wps:bodyPr>
                      </wps:wsp>
                      <wps:wsp>
                        <wps:cNvPr id="1936656513" name="Rectangle 4"/>
                        <wps:cNvSpPr>
                          <a:spLocks noChangeArrowheads="1"/>
                        </wps:cNvSpPr>
                        <wps:spPr bwMode="auto">
                          <a:xfrm>
                            <a:off x="-2634" y="-162"/>
                            <a:ext cx="2611" cy="588"/>
                          </a:xfrm>
                          <a:prstGeom prst="rect">
                            <a:avLst/>
                          </a:prstGeom>
                          <a:solidFill>
                            <a:srgbClr val="FFFFFF"/>
                          </a:solidFill>
                          <a:ln w="9525">
                            <a:solidFill>
                              <a:srgbClr val="000000"/>
                            </a:solidFill>
                            <a:miter lim="800000"/>
                          </a:ln>
                        </wps:spPr>
                        <wps:txbx>
                          <w:txbxContent>
                            <w:p w14:paraId="7DDB02B9">
                              <w:pPr>
                                <w:ind w:left="105" w:hanging="105"/>
                                <w:jc w:val="center"/>
                              </w:pPr>
                              <w:r>
                                <w:rPr>
                                  <w:rFonts w:hint="eastAsia"/>
                                  <w:szCs w:val="21"/>
                                </w:rPr>
                                <w:t>视频指挥调度系统安装</w:t>
                              </w:r>
                            </w:p>
                          </w:txbxContent>
                        </wps:txbx>
                        <wps:bodyPr rot="0" vert="horz" wrap="square" lIns="91440" tIns="82800" rIns="91440" bIns="45720" anchor="t" anchorCtr="0" upright="1">
                          <a:noAutofit/>
                        </wps:bodyPr>
                      </wps:wsp>
                      <wps:wsp>
                        <wps:cNvPr id="65270681" name="Rectangle 5"/>
                        <wps:cNvSpPr>
                          <a:spLocks noChangeArrowheads="1"/>
                        </wps:cNvSpPr>
                        <wps:spPr bwMode="auto">
                          <a:xfrm>
                            <a:off x="3099" y="-163"/>
                            <a:ext cx="2114" cy="588"/>
                          </a:xfrm>
                          <a:prstGeom prst="rect">
                            <a:avLst/>
                          </a:prstGeom>
                          <a:solidFill>
                            <a:srgbClr val="FFFFFF"/>
                          </a:solidFill>
                          <a:ln w="9525">
                            <a:solidFill>
                              <a:srgbClr val="000000"/>
                            </a:solidFill>
                            <a:miter lim="800000"/>
                          </a:ln>
                        </wps:spPr>
                        <wps:txbx>
                          <w:txbxContent>
                            <w:p w14:paraId="02CC807B">
                              <w:pPr>
                                <w:ind w:left="105" w:hanging="105"/>
                                <w:jc w:val="center"/>
                                <w:rPr>
                                  <w:rFonts w:ascii="宋体" w:hAnsi="宋体"/>
                                  <w:kern w:val="0"/>
                                </w:rPr>
                              </w:pPr>
                              <w:r>
                                <w:rPr>
                                  <w:rFonts w:hint="eastAsia"/>
                                  <w:szCs w:val="21"/>
                                </w:rPr>
                                <w:t>监控前端设备安装</w:t>
                              </w:r>
                            </w:p>
                          </w:txbxContent>
                        </wps:txbx>
                        <wps:bodyPr rot="0" vert="horz" wrap="square" lIns="91440" tIns="82800" rIns="91440" bIns="45720" anchor="t" anchorCtr="0" upright="1">
                          <a:noAutofit/>
                        </wps:bodyPr>
                      </wps:wsp>
                      <wps:wsp>
                        <wps:cNvPr id="952736525" name="Rectangle 7"/>
                        <wps:cNvSpPr>
                          <a:spLocks noChangeArrowheads="1"/>
                        </wps:cNvSpPr>
                        <wps:spPr bwMode="auto">
                          <a:xfrm>
                            <a:off x="-2619" y="798"/>
                            <a:ext cx="2208" cy="588"/>
                          </a:xfrm>
                          <a:prstGeom prst="rect">
                            <a:avLst/>
                          </a:prstGeom>
                          <a:solidFill>
                            <a:srgbClr val="FFFFFF"/>
                          </a:solidFill>
                          <a:ln w="9525">
                            <a:solidFill>
                              <a:srgbClr val="000000"/>
                            </a:solidFill>
                            <a:miter lim="800000"/>
                          </a:ln>
                        </wps:spPr>
                        <wps:txbx>
                          <w:txbxContent>
                            <w:p w14:paraId="40FD7663">
                              <w:pPr>
                                <w:ind w:left="105" w:hanging="105"/>
                                <w:jc w:val="center"/>
                                <w:rPr>
                                  <w:rFonts w:ascii="宋体" w:hAnsi="宋体"/>
                                  <w:kern w:val="0"/>
                                </w:rPr>
                              </w:pPr>
                              <w:r>
                                <w:rPr>
                                  <w:rFonts w:hint="eastAsia"/>
                                  <w:szCs w:val="21"/>
                                </w:rPr>
                                <w:t>用户终端设备安装</w:t>
                              </w:r>
                            </w:p>
                          </w:txbxContent>
                        </wps:txbx>
                        <wps:bodyPr rot="0" vert="horz" wrap="square" lIns="91440" tIns="82800" rIns="91440" bIns="45720" anchor="t" anchorCtr="0" upright="1">
                          <a:noAutofit/>
                        </wps:bodyPr>
                      </wps:wsp>
                      <wps:wsp>
                        <wps:cNvPr id="1552362666" name="Line 8"/>
                        <wps:cNvCnPr>
                          <a:cxnSpLocks noChangeShapeType="1"/>
                          <a:stCxn id="1936656513" idx="3"/>
                          <a:endCxn id="1727104667" idx="1"/>
                        </wps:cNvCnPr>
                        <wps:spPr bwMode="auto">
                          <a:xfrm>
                            <a:off x="-23" y="132"/>
                            <a:ext cx="487" cy="0"/>
                          </a:xfrm>
                          <a:prstGeom prst="line">
                            <a:avLst/>
                          </a:prstGeom>
                          <a:noFill/>
                          <a:ln w="9525">
                            <a:solidFill>
                              <a:srgbClr val="000000"/>
                            </a:solidFill>
                            <a:round/>
                            <a:tailEnd type="triangle" w="med" len="med"/>
                          </a:ln>
                        </wps:spPr>
                        <wps:bodyPr/>
                      </wps:wsp>
                      <wps:wsp>
                        <wps:cNvPr id="125893717" name="Line 9"/>
                        <wps:cNvCnPr>
                          <a:cxnSpLocks noChangeShapeType="1"/>
                          <a:stCxn id="1727104667" idx="3"/>
                          <a:endCxn id="65270681" idx="1"/>
                        </wps:cNvCnPr>
                        <wps:spPr bwMode="auto">
                          <a:xfrm flipV="1">
                            <a:off x="2672" y="131"/>
                            <a:ext cx="427" cy="1"/>
                          </a:xfrm>
                          <a:prstGeom prst="line">
                            <a:avLst/>
                          </a:prstGeom>
                          <a:noFill/>
                          <a:ln w="9525">
                            <a:solidFill>
                              <a:srgbClr val="000000"/>
                            </a:solidFill>
                            <a:round/>
                            <a:tailEnd type="triangle" w="med" len="med"/>
                          </a:ln>
                        </wps:spPr>
                        <wps:bodyPr/>
                      </wps:wsp>
                      <wps:wsp>
                        <wps:cNvPr id="2068695415" name="Line 10"/>
                        <wps:cNvCnPr>
                          <a:cxnSpLocks noChangeShapeType="1"/>
                        </wps:cNvCnPr>
                        <wps:spPr bwMode="auto">
                          <a:xfrm>
                            <a:off x="5213" y="102"/>
                            <a:ext cx="540" cy="0"/>
                          </a:xfrm>
                          <a:prstGeom prst="line">
                            <a:avLst/>
                          </a:prstGeom>
                          <a:noFill/>
                          <a:ln w="9525">
                            <a:solidFill>
                              <a:srgbClr val="000000"/>
                            </a:solidFill>
                            <a:round/>
                            <a:tailEnd type="triangle" w="med" len="med"/>
                          </a:ln>
                        </wps:spPr>
                        <wps:bodyPr/>
                      </wps:wsp>
                      <wps:wsp>
                        <wps:cNvPr id="255887424" name="Rectangle 12"/>
                        <wps:cNvSpPr>
                          <a:spLocks noChangeArrowheads="1"/>
                        </wps:cNvSpPr>
                        <wps:spPr bwMode="auto">
                          <a:xfrm>
                            <a:off x="13" y="798"/>
                            <a:ext cx="2484" cy="588"/>
                          </a:xfrm>
                          <a:prstGeom prst="rect">
                            <a:avLst/>
                          </a:prstGeom>
                          <a:solidFill>
                            <a:srgbClr val="FFFFFF"/>
                          </a:solidFill>
                          <a:ln w="9525">
                            <a:solidFill>
                              <a:srgbClr val="000000"/>
                            </a:solidFill>
                            <a:miter lim="800000"/>
                          </a:ln>
                        </wps:spPr>
                        <wps:txbx>
                          <w:txbxContent>
                            <w:p w14:paraId="43C0CD93">
                              <w:pPr>
                                <w:ind w:left="105" w:hanging="105"/>
                                <w:jc w:val="center"/>
                                <w:rPr>
                                  <w:rFonts w:ascii="宋体" w:hAnsi="宋体"/>
                                  <w:kern w:val="0"/>
                                </w:rPr>
                              </w:pPr>
                              <w:r>
                                <w:rPr>
                                  <w:rFonts w:hint="eastAsia"/>
                                  <w:szCs w:val="21"/>
                                </w:rPr>
                                <w:t>调度发言系统安装</w:t>
                              </w:r>
                            </w:p>
                          </w:txbxContent>
                        </wps:txbx>
                        <wps:bodyPr rot="0" vert="horz" wrap="square" lIns="91440" tIns="82800" rIns="91440" bIns="45720" anchor="t" anchorCtr="0" upright="1">
                          <a:noAutofit/>
                        </wps:bodyPr>
                      </wps:wsp>
                      <wps:wsp>
                        <wps:cNvPr id="1644911948" name="Line 13"/>
                        <wps:cNvCnPr>
                          <a:cxnSpLocks noChangeShapeType="1"/>
                          <a:stCxn id="952736525" idx="3"/>
                          <a:endCxn id="255887424" idx="1"/>
                        </wps:cNvCnPr>
                        <wps:spPr bwMode="auto">
                          <a:xfrm>
                            <a:off x="-411" y="1092"/>
                            <a:ext cx="424" cy="0"/>
                          </a:xfrm>
                          <a:prstGeom prst="line">
                            <a:avLst/>
                          </a:prstGeom>
                          <a:noFill/>
                          <a:ln w="9525">
                            <a:solidFill>
                              <a:srgbClr val="000000"/>
                            </a:solidFill>
                            <a:round/>
                            <a:tailEnd type="triangle" w="med" len="med"/>
                          </a:ln>
                        </wps:spPr>
                        <wps:bodyPr/>
                      </wps:wsp>
                      <wps:wsp>
                        <wps:cNvPr id="2144128585" name="Rectangle 14"/>
                        <wps:cNvSpPr>
                          <a:spLocks noChangeArrowheads="1"/>
                        </wps:cNvSpPr>
                        <wps:spPr bwMode="auto">
                          <a:xfrm>
                            <a:off x="2929" y="798"/>
                            <a:ext cx="1933" cy="588"/>
                          </a:xfrm>
                          <a:prstGeom prst="rect">
                            <a:avLst/>
                          </a:prstGeom>
                          <a:solidFill>
                            <a:srgbClr val="FFFFFF"/>
                          </a:solidFill>
                          <a:ln w="9525">
                            <a:solidFill>
                              <a:srgbClr val="000000"/>
                            </a:solidFill>
                            <a:miter lim="800000"/>
                          </a:ln>
                        </wps:spPr>
                        <wps:txbx>
                          <w:txbxContent>
                            <w:p w14:paraId="1FA59C6C">
                              <w:pPr>
                                <w:ind w:left="105" w:hanging="105"/>
                                <w:jc w:val="center"/>
                                <w:rPr>
                                  <w:rFonts w:ascii="宋体" w:hAnsi="宋体"/>
                                  <w:kern w:val="0"/>
                                </w:rPr>
                              </w:pPr>
                              <w:r>
                                <w:rPr>
                                  <w:rFonts w:hint="eastAsia" w:ascii="宋体" w:hAnsi="宋体"/>
                                  <w:kern w:val="0"/>
                                </w:rPr>
                                <w:t>系统调试</w:t>
                              </w:r>
                            </w:p>
                          </w:txbxContent>
                        </wps:txbx>
                        <wps:bodyPr rot="0" vert="horz" wrap="square" lIns="91440" tIns="82800" rIns="91440" bIns="45720" anchor="t" anchorCtr="0" upright="1">
                          <a:noAutofit/>
                        </wps:bodyPr>
                      </wps:wsp>
                      <wps:wsp>
                        <wps:cNvPr id="48008825" name="Line 16"/>
                        <wps:cNvCnPr>
                          <a:cxnSpLocks noChangeShapeType="1"/>
                          <a:stCxn id="255887424" idx="3"/>
                          <a:endCxn id="2144128585" idx="1"/>
                        </wps:cNvCnPr>
                        <wps:spPr bwMode="auto">
                          <a:xfrm>
                            <a:off x="2497" y="1092"/>
                            <a:ext cx="432"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77.45pt;width:405.05pt;" coordorigin="-2634,-163" coordsize="8387,1549" o:gfxdata="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9gzdItYAAAAFAQAADwAAAAAAAAABACAAAAAiAAAA&#10;ZHJzL2Rvd25yZXYueG1sUEsBAhQAFAAAAAgAh07iQDG981/uBAAAAh4AAA4AAAAAAAAAAQAgAAAA&#10;JQEAAGRycy9lMm9Eb2MueG1sUEsFBgAAAAAGAAYAWQEAAIUIAAAAAA==&#10;">
                <o:lock v:ext="edit" aspectratio="f"/>
                <v:rect id="Rectangle 3" o:spid="_x0000_s1026" o:spt="1" style="position:absolute;left:464;top:-162;height:588;width:2208;" fillcolor="#FFFFFF" filled="t" stroked="t" coordsize="21600,21600" o:gfxdata="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UeV&#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2.54mm,2.3mm,2.54mm,1.27mm">
                    <w:txbxContent>
                      <w:p w14:paraId="74573396">
                        <w:pPr>
                          <w:ind w:left="105" w:hanging="105"/>
                          <w:jc w:val="center"/>
                          <w:rPr>
                            <w:rFonts w:ascii="宋体" w:hAnsi="宋体"/>
                            <w:kern w:val="0"/>
                          </w:rPr>
                        </w:pPr>
                        <w:r>
                          <w:rPr>
                            <w:rFonts w:hint="eastAsia"/>
                            <w:szCs w:val="21"/>
                          </w:rPr>
                          <w:t>网络控制设备安装</w:t>
                        </w:r>
                      </w:p>
                    </w:txbxContent>
                  </v:textbox>
                </v:rect>
                <v:rect id="Rectangle 4" o:spid="_x0000_s1026" o:spt="1" style="position:absolute;left:-2634;top:-162;height:588;width:2611;" fillcolor="#FFFFFF" filled="t" stroked="t" coordsize="21600,21600" o:gfxdata="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xW&#10;RM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2.3mm,2.54mm,1.27mm">
                    <w:txbxContent>
                      <w:p w14:paraId="7DDB02B9">
                        <w:pPr>
                          <w:ind w:left="105" w:hanging="105"/>
                          <w:jc w:val="center"/>
                        </w:pPr>
                        <w:r>
                          <w:rPr>
                            <w:rFonts w:hint="eastAsia"/>
                            <w:szCs w:val="21"/>
                          </w:rPr>
                          <w:t>视频指挥调度系统安装</w:t>
                        </w:r>
                      </w:p>
                    </w:txbxContent>
                  </v:textbox>
                </v:rect>
                <v:rect id="Rectangle 5" o:spid="_x0000_s1026" o:spt="1" style="position:absolute;left:3099;top:-163;height:588;width:2114;" fillcolor="#FFFFFF" filled="t" stroked="t" coordsize="21600,21600" o:gfxdata="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6R&#10;7xfCAAAA4Q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2.3mm,2.54mm,1.27mm">
                    <w:txbxContent>
                      <w:p w14:paraId="02CC807B">
                        <w:pPr>
                          <w:ind w:left="105" w:hanging="105"/>
                          <w:jc w:val="center"/>
                          <w:rPr>
                            <w:rFonts w:ascii="宋体" w:hAnsi="宋体"/>
                            <w:kern w:val="0"/>
                          </w:rPr>
                        </w:pPr>
                        <w:r>
                          <w:rPr>
                            <w:rFonts w:hint="eastAsia"/>
                            <w:szCs w:val="21"/>
                          </w:rPr>
                          <w:t>监控前端设备安装</w:t>
                        </w:r>
                      </w:p>
                    </w:txbxContent>
                  </v:textbox>
                </v:rect>
                <v:rect id="Rectangle 7" o:spid="_x0000_s1026" o:spt="1" style="position:absolute;left:-2619;top:798;height:588;width:2208;" fillcolor="#FFFFFF" filled="t" stroked="t" coordsize="21600,21600" o:gfxdata="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8WJhMQAAADi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40FD7663">
                        <w:pPr>
                          <w:ind w:left="105" w:hanging="105"/>
                          <w:jc w:val="center"/>
                          <w:rPr>
                            <w:rFonts w:ascii="宋体" w:hAnsi="宋体"/>
                            <w:kern w:val="0"/>
                          </w:rPr>
                        </w:pPr>
                        <w:r>
                          <w:rPr>
                            <w:rFonts w:hint="eastAsia"/>
                            <w:szCs w:val="21"/>
                          </w:rPr>
                          <w:t>用户终端设备安装</w:t>
                        </w:r>
                      </w:p>
                    </w:txbxContent>
                  </v:textbox>
                </v:rect>
                <v:line id="Line 8" o:spid="_x0000_s1026" o:spt="20" style="position:absolute;left:-23;top:132;height:0;width:487;" filled="f" stroked="t" coordsize="21600,21600" o:gfxdata="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l3Rd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line id="Line 9" o:spid="_x0000_s1026" o:spt="20" style="position:absolute;left:2672;top:131;flip:y;height:1;width:427;" filled="f" stroked="t" coordsize="21600,21600" o:gfxdata="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zk&#10;CM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0" o:spid="_x0000_s1026" o:spt="20" style="position:absolute;left:5213;top:102;height:0;width:540;" filled="f" stroked="t" coordsize="21600,21600" o:gfxdata="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EvW2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ect id="Rectangle 12" o:spid="_x0000_s1026" o:spt="1" style="position:absolute;left:13;top:798;height:588;width:2484;" fillcolor="#FFFFFF" filled="t" stroked="t" coordsize="21600,21600" o:gfxdata="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Ot10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43C0CD93">
                        <w:pPr>
                          <w:ind w:left="105" w:hanging="105"/>
                          <w:jc w:val="center"/>
                          <w:rPr>
                            <w:rFonts w:ascii="宋体" w:hAnsi="宋体"/>
                            <w:kern w:val="0"/>
                          </w:rPr>
                        </w:pPr>
                        <w:r>
                          <w:rPr>
                            <w:rFonts w:hint="eastAsia"/>
                            <w:szCs w:val="21"/>
                          </w:rPr>
                          <w:t>调度发言系统安装</w:t>
                        </w:r>
                      </w:p>
                    </w:txbxContent>
                  </v:textbox>
                </v:rect>
                <v:line id="Line 13" o:spid="_x0000_s1026" o:spt="20" style="position:absolute;left:-411;top:1092;height:0;width:424;" filled="f" stroked="t" coordsize="21600,21600" o:gfxdata="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seRIq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ect id="Rectangle 14" o:spid="_x0000_s1026" o:spt="1" style="position:absolute;left:2929;top:798;height:588;width:1933;" fillcolor="#FFFFFF" filled="t" stroked="t" coordsize="21600,21600" o:gfxdata="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HvJt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1FA59C6C">
                        <w:pPr>
                          <w:ind w:left="105" w:hanging="105"/>
                          <w:jc w:val="center"/>
                          <w:rPr>
                            <w:rFonts w:ascii="宋体" w:hAnsi="宋体"/>
                            <w:kern w:val="0"/>
                          </w:rPr>
                        </w:pPr>
                        <w:r>
                          <w:rPr>
                            <w:rFonts w:hint="eastAsia" w:ascii="宋体" w:hAnsi="宋体"/>
                            <w:kern w:val="0"/>
                          </w:rPr>
                          <w:t>系统调试</w:t>
                        </w:r>
                      </w:p>
                    </w:txbxContent>
                  </v:textbox>
                </v:rect>
                <v:line id="Line 16" o:spid="_x0000_s1026" o:spt="20" style="position:absolute;left:2497;top:1092;height:0;width:432;" filled="f" stroked="t" coordsize="21600,21600" o:gfxdata="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SRiFwwAAAOE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w10:wrap type="none"/>
                <w10:anchorlock/>
              </v:group>
            </w:pict>
          </mc:Fallback>
        </mc:AlternateContent>
      </w:r>
    </w:p>
    <w:p w14:paraId="5373636B">
      <w:pPr>
        <w:ind w:left="0" w:firstLine="0" w:firstLineChars="0"/>
        <w:jc w:val="center"/>
        <w:rPr>
          <w:rFonts w:ascii="Times New Roman" w:hAnsi="Times New Roman" w:eastAsiaTheme="minorEastAsia"/>
          <w:sz w:val="20"/>
          <w:szCs w:val="21"/>
        </w:rPr>
      </w:pPr>
    </w:p>
    <w:p w14:paraId="0CB9D3F2">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图20.3.1   应急响应系统施工工艺流程图</w:t>
      </w:r>
    </w:p>
    <w:p w14:paraId="500496BF">
      <w:pPr>
        <w:pStyle w:val="164"/>
        <w:spacing w:before="100" w:after="100" w:line="330" w:lineRule="exact"/>
        <w:ind w:firstLine="0" w:firstLineChars="0"/>
        <w:rPr>
          <w:szCs w:val="21"/>
        </w:rPr>
      </w:pPr>
      <w:r>
        <w:rPr>
          <w:szCs w:val="21"/>
        </w:rPr>
        <w:t>20.3.2视频指挥调度系统安装应符合下列规定：</w:t>
      </w:r>
    </w:p>
    <w:p w14:paraId="5B180131">
      <w:pPr>
        <w:pStyle w:val="164"/>
        <w:spacing w:before="100" w:after="100" w:line="330" w:lineRule="exact"/>
        <w:ind w:firstLine="422"/>
        <w:rPr>
          <w:szCs w:val="21"/>
        </w:rPr>
      </w:pPr>
      <w:r>
        <w:rPr>
          <w:b/>
          <w:bCs/>
          <w:szCs w:val="21"/>
        </w:rPr>
        <w:t>1</w:t>
      </w:r>
      <w:r>
        <w:rPr>
          <w:szCs w:val="21"/>
        </w:rPr>
        <w:t>可选用集中式、分散式或集中分散相结合的安装方式，并应满足全场覆盖及声场均匀度要求</w:t>
      </w:r>
      <w:r>
        <w:rPr>
          <w:rFonts w:hint="eastAsia"/>
          <w:szCs w:val="21"/>
        </w:rPr>
        <w:t>。</w:t>
      </w:r>
    </w:p>
    <w:p w14:paraId="42F28C8B">
      <w:pPr>
        <w:pStyle w:val="164"/>
        <w:spacing w:before="100" w:after="100" w:line="330" w:lineRule="exact"/>
        <w:ind w:firstLine="422"/>
        <w:rPr>
          <w:szCs w:val="21"/>
        </w:rPr>
      </w:pPr>
      <w:r>
        <w:rPr>
          <w:b/>
          <w:bCs/>
          <w:szCs w:val="21"/>
        </w:rPr>
        <w:t>2</w:t>
      </w:r>
      <w:r>
        <w:rPr>
          <w:rFonts w:hint="eastAsia"/>
          <w:szCs w:val="21"/>
        </w:rPr>
        <w:t>位置</w:t>
      </w:r>
      <w:r>
        <w:rPr>
          <w:szCs w:val="21"/>
        </w:rPr>
        <w:t>应安全可靠，安装高度和安装角度应</w:t>
      </w:r>
      <w:r>
        <w:rPr>
          <w:rFonts w:hint="eastAsia"/>
          <w:szCs w:val="21"/>
        </w:rPr>
        <w:t>满足</w:t>
      </w:r>
      <w:r>
        <w:rPr>
          <w:szCs w:val="21"/>
        </w:rPr>
        <w:t>声场设计的要求</w:t>
      </w:r>
      <w:r>
        <w:rPr>
          <w:rFonts w:hint="eastAsia"/>
          <w:szCs w:val="21"/>
        </w:rPr>
        <w:t>。</w:t>
      </w:r>
    </w:p>
    <w:p w14:paraId="6E067EDE">
      <w:pPr>
        <w:pStyle w:val="164"/>
        <w:spacing w:before="100" w:after="100" w:line="330" w:lineRule="exact"/>
        <w:ind w:firstLine="422"/>
        <w:rPr>
          <w:szCs w:val="21"/>
        </w:rPr>
      </w:pPr>
      <w:r>
        <w:rPr>
          <w:b/>
          <w:bCs/>
          <w:szCs w:val="21"/>
        </w:rPr>
        <w:t>3</w:t>
      </w:r>
      <w:r>
        <w:rPr>
          <w:szCs w:val="21"/>
        </w:rPr>
        <w:t>利用建筑结构安装支架或吊杆等附件时，应检查建筑结构的承重能力</w:t>
      </w:r>
      <w:r>
        <w:rPr>
          <w:rFonts w:hint="eastAsia"/>
          <w:szCs w:val="21"/>
        </w:rPr>
        <w:t>。</w:t>
      </w:r>
    </w:p>
    <w:p w14:paraId="0A3E0AB4">
      <w:pPr>
        <w:pStyle w:val="164"/>
        <w:spacing w:before="100" w:after="100" w:line="330" w:lineRule="exact"/>
        <w:ind w:firstLine="422"/>
        <w:rPr>
          <w:szCs w:val="21"/>
        </w:rPr>
      </w:pPr>
      <w:r>
        <w:rPr>
          <w:b/>
          <w:bCs/>
          <w:szCs w:val="21"/>
        </w:rPr>
        <w:t>4</w:t>
      </w:r>
      <w:r>
        <w:rPr>
          <w:szCs w:val="21"/>
        </w:rPr>
        <w:t>安装空间尺寸应</w:t>
      </w:r>
      <w:r>
        <w:rPr>
          <w:rFonts w:hint="eastAsia"/>
          <w:szCs w:val="21"/>
        </w:rPr>
        <w:t>能满足</w:t>
      </w:r>
      <w:r>
        <w:rPr>
          <w:szCs w:val="21"/>
        </w:rPr>
        <w:t>视频指挥调度在其内能进行辐射角调整</w:t>
      </w:r>
      <w:r>
        <w:rPr>
          <w:rFonts w:hint="eastAsia"/>
          <w:szCs w:val="21"/>
        </w:rPr>
        <w:t>，</w:t>
      </w:r>
      <w:r>
        <w:rPr>
          <w:szCs w:val="21"/>
        </w:rPr>
        <w:t>并作吸声处理</w:t>
      </w:r>
      <w:r>
        <w:rPr>
          <w:rFonts w:hint="eastAsia"/>
          <w:szCs w:val="21"/>
        </w:rPr>
        <w:t>。</w:t>
      </w:r>
    </w:p>
    <w:p w14:paraId="092D5F34">
      <w:pPr>
        <w:pStyle w:val="164"/>
        <w:spacing w:before="100" w:after="100" w:line="330" w:lineRule="exact"/>
        <w:ind w:firstLine="422"/>
        <w:rPr>
          <w:szCs w:val="21"/>
        </w:rPr>
      </w:pPr>
      <w:r>
        <w:rPr>
          <w:b/>
          <w:bCs/>
          <w:szCs w:val="21"/>
        </w:rPr>
        <w:t>5</w:t>
      </w:r>
      <w:r>
        <w:rPr>
          <w:szCs w:val="21"/>
        </w:rPr>
        <w:t>吸顶安装时，视频指挥调度布置应满足声场均匀度和布局美观要求；</w:t>
      </w:r>
    </w:p>
    <w:p w14:paraId="2CAA1021">
      <w:pPr>
        <w:pStyle w:val="164"/>
        <w:spacing w:before="100" w:after="100" w:line="330" w:lineRule="exact"/>
        <w:ind w:firstLine="422"/>
        <w:rPr>
          <w:szCs w:val="21"/>
        </w:rPr>
      </w:pPr>
      <w:r>
        <w:rPr>
          <w:b/>
          <w:bCs/>
          <w:szCs w:val="21"/>
        </w:rPr>
        <w:t>6</w:t>
      </w:r>
      <w:r>
        <w:rPr>
          <w:szCs w:val="21"/>
        </w:rPr>
        <w:t>应釆取可靠的安全保障措施，工作时不应产生机械噪声；</w:t>
      </w:r>
    </w:p>
    <w:p w14:paraId="13398B59">
      <w:pPr>
        <w:pStyle w:val="164"/>
        <w:spacing w:before="100" w:after="100" w:line="330" w:lineRule="exact"/>
        <w:ind w:firstLine="422"/>
        <w:rPr>
          <w:szCs w:val="21"/>
        </w:rPr>
      </w:pPr>
      <w:r>
        <w:rPr>
          <w:b/>
          <w:bCs/>
          <w:szCs w:val="21"/>
        </w:rPr>
        <w:t xml:space="preserve">7 </w:t>
      </w:r>
      <w:r>
        <w:rPr>
          <w:szCs w:val="21"/>
        </w:rPr>
        <w:t>吊装视频指挥调度箱及号筒视频指挥调度时，应采用原装附带的吊挂安装件；如无原配件时，可选用钢丝绳或镀锌铁链等专用视频指挥调度箱吊挂安装件；</w:t>
      </w:r>
    </w:p>
    <w:p w14:paraId="21A38224">
      <w:pPr>
        <w:pStyle w:val="164"/>
        <w:spacing w:before="100" w:after="100" w:line="330" w:lineRule="exact"/>
        <w:ind w:firstLine="422"/>
        <w:rPr>
          <w:szCs w:val="21"/>
        </w:rPr>
      </w:pPr>
      <w:r>
        <w:rPr>
          <w:b/>
          <w:bCs/>
          <w:szCs w:val="21"/>
        </w:rPr>
        <w:t>8</w:t>
      </w:r>
      <w:r>
        <w:rPr>
          <w:szCs w:val="21"/>
        </w:rPr>
        <w:t xml:space="preserve"> 室外视频指挥调度系统应具有防潮和防腐的特性，紧固件应具有足够的承载能力；</w:t>
      </w:r>
    </w:p>
    <w:p w14:paraId="18C46A62">
      <w:pPr>
        <w:pStyle w:val="164"/>
        <w:spacing w:before="100" w:after="100" w:line="330" w:lineRule="exact"/>
        <w:ind w:firstLine="422"/>
        <w:rPr>
          <w:szCs w:val="21"/>
        </w:rPr>
      </w:pPr>
      <w:r>
        <w:rPr>
          <w:b/>
          <w:bCs/>
          <w:szCs w:val="21"/>
        </w:rPr>
        <w:t>9</w:t>
      </w:r>
      <w:r>
        <w:rPr>
          <w:szCs w:val="21"/>
        </w:rPr>
        <w:t xml:space="preserve"> 用于火灾隐患区的视频指挥调度应由阻燃材料制成或采用阻燃后罩；广播视频指挥调度在短期喷淋的条件下应能正常工作。</w:t>
      </w:r>
    </w:p>
    <w:p w14:paraId="4231FA22">
      <w:pPr>
        <w:pStyle w:val="164"/>
        <w:spacing w:before="100" w:after="100" w:line="330" w:lineRule="exact"/>
        <w:ind w:firstLine="0" w:firstLineChars="0"/>
        <w:rPr>
          <w:szCs w:val="21"/>
        </w:rPr>
      </w:pPr>
      <w:r>
        <w:rPr>
          <w:szCs w:val="21"/>
        </w:rPr>
        <w:t>20.3.3 网络控制设备安装应符合下列规定：</w:t>
      </w:r>
    </w:p>
    <w:p w14:paraId="1255BD9A">
      <w:pPr>
        <w:pStyle w:val="164"/>
        <w:spacing w:before="100" w:after="100" w:line="330" w:lineRule="exact"/>
        <w:ind w:firstLine="422"/>
        <w:rPr>
          <w:szCs w:val="21"/>
        </w:rPr>
      </w:pPr>
      <w:r>
        <w:rPr>
          <w:b/>
          <w:bCs/>
          <w:szCs w:val="21"/>
        </w:rPr>
        <w:t>1</w:t>
      </w:r>
      <w:r>
        <w:rPr>
          <w:szCs w:val="21"/>
        </w:rPr>
        <w:t xml:space="preserve"> 设备安装顺序应与信号流程一致；</w:t>
      </w:r>
    </w:p>
    <w:p w14:paraId="7E5768DA">
      <w:pPr>
        <w:pStyle w:val="164"/>
        <w:spacing w:before="100" w:after="100" w:line="330" w:lineRule="exact"/>
        <w:ind w:firstLine="422"/>
        <w:rPr>
          <w:szCs w:val="21"/>
        </w:rPr>
      </w:pPr>
      <w:r>
        <w:rPr>
          <w:b/>
          <w:bCs/>
          <w:szCs w:val="21"/>
        </w:rPr>
        <w:t>2</w:t>
      </w:r>
      <w:r>
        <w:rPr>
          <w:szCs w:val="21"/>
        </w:rPr>
        <w:t xml:space="preserve"> 机柜安装顺序应上轻下重，视频交换机等设备应安装于机柜上部；转发服务器等较重设备应安装于机柜下部，并应由导轨支撑；</w:t>
      </w:r>
    </w:p>
    <w:p w14:paraId="1147C6CB">
      <w:pPr>
        <w:pStyle w:val="164"/>
        <w:spacing w:before="100" w:after="100" w:line="330" w:lineRule="exact"/>
        <w:ind w:firstLine="422" w:firstLineChars="0"/>
        <w:rPr>
          <w:szCs w:val="21"/>
        </w:rPr>
      </w:pPr>
      <w:r>
        <w:rPr>
          <w:b/>
          <w:bCs/>
          <w:szCs w:val="21"/>
        </w:rPr>
        <w:t xml:space="preserve">3 </w:t>
      </w:r>
      <w:r>
        <w:rPr>
          <w:szCs w:val="21"/>
        </w:rPr>
        <w:t>系统线缆均应通过金属管、线槽引入控制室架空地板下，再引至机柜和控制台下方；</w:t>
      </w:r>
    </w:p>
    <w:p w14:paraId="09A2092E">
      <w:pPr>
        <w:pStyle w:val="164"/>
        <w:spacing w:before="100" w:after="100" w:line="330" w:lineRule="exact"/>
        <w:ind w:firstLine="422"/>
        <w:rPr>
          <w:szCs w:val="21"/>
        </w:rPr>
      </w:pPr>
      <w:r>
        <w:rPr>
          <w:b/>
          <w:bCs/>
          <w:szCs w:val="21"/>
        </w:rPr>
        <w:t xml:space="preserve">4 </w:t>
      </w:r>
      <w:r>
        <w:rPr>
          <w:szCs w:val="21"/>
        </w:rPr>
        <w:t>控制室预留的电源箱内，应设有防电磁脉冲的措施，配备带滤波的稳压电源装置，供电容量应满足系统设备全部开通时的容量；若系统具有火灾应急广播功能时，应按一级负荷供电；双电源末端应互投，并应配置不间断电源；</w:t>
      </w:r>
    </w:p>
    <w:p w14:paraId="2846DC5D">
      <w:pPr>
        <w:pStyle w:val="164"/>
        <w:spacing w:before="100" w:after="100" w:line="330" w:lineRule="exact"/>
        <w:ind w:firstLine="422"/>
        <w:rPr>
          <w:szCs w:val="21"/>
        </w:rPr>
      </w:pPr>
      <w:r>
        <w:rPr>
          <w:b/>
          <w:bCs/>
          <w:szCs w:val="21"/>
        </w:rPr>
        <w:t xml:space="preserve">5 </w:t>
      </w:r>
      <w:r>
        <w:rPr>
          <w:szCs w:val="21"/>
        </w:rPr>
        <w:t>机柜应采用螺栓固定在基础型钢上，安装后应对垂直度进行检查、调整；控制台应与基础固定牢固、摆放整齐；</w:t>
      </w:r>
    </w:p>
    <w:p w14:paraId="4180AD88">
      <w:pPr>
        <w:pStyle w:val="164"/>
        <w:spacing w:before="100" w:after="100" w:line="330" w:lineRule="exact"/>
        <w:ind w:firstLine="422"/>
        <w:rPr>
          <w:szCs w:val="21"/>
        </w:rPr>
      </w:pPr>
      <w:r>
        <w:rPr>
          <w:b/>
          <w:bCs/>
          <w:szCs w:val="21"/>
        </w:rPr>
        <w:t>6</w:t>
      </w:r>
      <w:r>
        <w:rPr>
          <w:szCs w:val="21"/>
        </w:rPr>
        <w:t xml:space="preserve"> 机柜设备安装应平稳、端正，面板应排列整齐，并应拧紧面板螺钉；带轨道的设备应推拉灵活；内部线缆分类应排列整齐；各设备之间应留有充分的散热间隙安装通风面板或盲板；</w:t>
      </w:r>
    </w:p>
    <w:p w14:paraId="008E1AC5">
      <w:pPr>
        <w:pStyle w:val="164"/>
        <w:spacing w:before="100" w:after="100" w:line="330" w:lineRule="exact"/>
        <w:ind w:firstLine="422"/>
        <w:rPr>
          <w:szCs w:val="21"/>
        </w:rPr>
      </w:pPr>
      <w:r>
        <w:rPr>
          <w:b/>
          <w:bCs/>
          <w:szCs w:val="21"/>
        </w:rPr>
        <w:t xml:space="preserve">7 </w:t>
      </w:r>
      <w:r>
        <w:rPr>
          <w:szCs w:val="21"/>
        </w:rPr>
        <w:t>电缆两端的接插件应采用专用工具制作，不得虚焊或假焊；接插件需要压接的部位，应保证压接质量，不得松动脱落；制作完成后应检测合格后方可使用；平衡接线方式不应受外界电磁场干扰、音质好；</w:t>
      </w:r>
    </w:p>
    <w:p w14:paraId="66A59B4E">
      <w:pPr>
        <w:pStyle w:val="164"/>
        <w:spacing w:before="100" w:after="100" w:line="330" w:lineRule="exact"/>
        <w:ind w:firstLine="422"/>
        <w:rPr>
          <w:szCs w:val="21"/>
        </w:rPr>
      </w:pPr>
      <w:r>
        <w:rPr>
          <w:b/>
          <w:bCs/>
          <w:szCs w:val="21"/>
        </w:rPr>
        <w:t>8</w:t>
      </w:r>
      <w:r>
        <w:rPr>
          <w:szCs w:val="21"/>
        </w:rPr>
        <w:t xml:space="preserve"> 电缆两端的接插件附近应有标明端别和用途的标识，不得错接和漏接；</w:t>
      </w:r>
    </w:p>
    <w:p w14:paraId="7A43F1D3">
      <w:pPr>
        <w:pStyle w:val="164"/>
        <w:spacing w:before="100" w:after="100" w:line="330" w:lineRule="exact"/>
        <w:ind w:firstLine="422"/>
        <w:rPr>
          <w:szCs w:val="21"/>
        </w:rPr>
      </w:pPr>
      <w:r>
        <w:rPr>
          <w:b/>
          <w:bCs/>
          <w:szCs w:val="21"/>
        </w:rPr>
        <w:t>9</w:t>
      </w:r>
      <w:r>
        <w:rPr>
          <w:szCs w:val="21"/>
        </w:rPr>
        <w:t xml:space="preserve"> 时序电源应按照开机顺序依次连接，安装位置应兼顾所有设备电源线的长度；</w:t>
      </w:r>
    </w:p>
    <w:p w14:paraId="1BA125F0">
      <w:pPr>
        <w:pStyle w:val="164"/>
        <w:spacing w:before="100" w:after="100" w:line="330" w:lineRule="exact"/>
        <w:ind w:firstLine="422"/>
        <w:rPr>
          <w:szCs w:val="21"/>
        </w:rPr>
      </w:pPr>
      <w:r>
        <w:rPr>
          <w:b/>
          <w:bCs/>
          <w:szCs w:val="21"/>
        </w:rPr>
        <w:t>10</w:t>
      </w:r>
      <w:r>
        <w:rPr>
          <w:szCs w:val="21"/>
        </w:rPr>
        <w:t xml:space="preserve"> </w:t>
      </w:r>
      <w:r>
        <w:rPr>
          <w:rFonts w:hint="eastAsia"/>
          <w:szCs w:val="21"/>
        </w:rPr>
        <w:t>应</w:t>
      </w:r>
      <w:r>
        <w:rPr>
          <w:szCs w:val="21"/>
        </w:rPr>
        <w:t>根据机柜内设备器材选择</w:t>
      </w:r>
      <w:r>
        <w:rPr>
          <w:rFonts w:hint="eastAsia"/>
          <w:szCs w:val="21"/>
        </w:rPr>
        <w:t>对应</w:t>
      </w:r>
      <w:r>
        <w:rPr>
          <w:szCs w:val="21"/>
        </w:rPr>
        <w:t>的避震器材。</w:t>
      </w:r>
    </w:p>
    <w:p w14:paraId="10392C73">
      <w:pPr>
        <w:pStyle w:val="164"/>
        <w:spacing w:before="100" w:after="100" w:line="330" w:lineRule="exact"/>
        <w:ind w:firstLine="0" w:firstLineChars="0"/>
        <w:rPr>
          <w:szCs w:val="21"/>
        </w:rPr>
      </w:pPr>
      <w:r>
        <w:rPr>
          <w:szCs w:val="21"/>
        </w:rPr>
        <w:t>20.3.4监控前端设备安装应符合下列规定：</w:t>
      </w:r>
    </w:p>
    <w:p w14:paraId="7C6AFD75">
      <w:pPr>
        <w:pStyle w:val="164"/>
        <w:spacing w:before="100" w:after="100" w:line="330" w:lineRule="exact"/>
        <w:ind w:firstLine="422"/>
        <w:rPr>
          <w:szCs w:val="21"/>
        </w:rPr>
      </w:pPr>
      <w:r>
        <w:rPr>
          <w:b/>
          <w:bCs/>
          <w:szCs w:val="21"/>
        </w:rPr>
        <w:t>1</w:t>
      </w:r>
      <w:r>
        <w:rPr>
          <w:szCs w:val="21"/>
        </w:rPr>
        <w:t xml:space="preserve"> 显示器屏幕安装时应避免反射光、眩光等现象；墙壁、地板宜使用不易反光材料；</w:t>
      </w:r>
    </w:p>
    <w:p w14:paraId="2F8A6EDC">
      <w:pPr>
        <w:pStyle w:val="164"/>
        <w:spacing w:before="100" w:after="100" w:line="330" w:lineRule="exact"/>
        <w:ind w:firstLine="422"/>
        <w:rPr>
          <w:szCs w:val="21"/>
        </w:rPr>
      </w:pPr>
      <w:r>
        <w:rPr>
          <w:b/>
          <w:bCs/>
          <w:szCs w:val="21"/>
        </w:rPr>
        <w:t>2</w:t>
      </w:r>
      <w:r>
        <w:rPr>
          <w:szCs w:val="21"/>
        </w:rPr>
        <w:t xml:space="preserve"> 传输电缆距离超过选用端口支持的标准长度时，应使用信号放大设备、线路补偿设备，或选用光缆传输；</w:t>
      </w:r>
    </w:p>
    <w:p w14:paraId="6CCBC36A">
      <w:pPr>
        <w:pStyle w:val="164"/>
        <w:spacing w:before="100" w:after="100" w:line="330" w:lineRule="exact"/>
        <w:ind w:firstLine="422"/>
        <w:rPr>
          <w:szCs w:val="21"/>
        </w:rPr>
      </w:pPr>
      <w:r>
        <w:rPr>
          <w:b/>
          <w:bCs/>
          <w:szCs w:val="21"/>
        </w:rPr>
        <w:t>3</w:t>
      </w:r>
      <w:r>
        <w:rPr>
          <w:szCs w:val="21"/>
        </w:rPr>
        <w:t xml:space="preserve"> 显示设备宜使用电源滤波插座单独供电；</w:t>
      </w:r>
    </w:p>
    <w:p w14:paraId="60149D03">
      <w:pPr>
        <w:pStyle w:val="164"/>
        <w:spacing w:before="100" w:after="100" w:line="330" w:lineRule="exact"/>
        <w:ind w:firstLine="422"/>
        <w:rPr>
          <w:szCs w:val="21"/>
        </w:rPr>
      </w:pPr>
      <w:r>
        <w:rPr>
          <w:b/>
          <w:bCs/>
          <w:szCs w:val="21"/>
        </w:rPr>
        <w:t>4</w:t>
      </w:r>
      <w:r>
        <w:rPr>
          <w:szCs w:val="21"/>
        </w:rPr>
        <w:t xml:space="preserve"> 显示器应安装牢固，固定设备的墙体、支架承重应满足设计要求；应选择合适的安装支撑架、吊架及固定件，螺丝、螺栓应紧固到位；</w:t>
      </w:r>
    </w:p>
    <w:p w14:paraId="11D85E53">
      <w:pPr>
        <w:pStyle w:val="164"/>
        <w:spacing w:before="100" w:after="100" w:line="330" w:lineRule="exact"/>
        <w:ind w:firstLine="422"/>
        <w:rPr>
          <w:szCs w:val="21"/>
        </w:rPr>
      </w:pPr>
      <w:r>
        <w:rPr>
          <w:b/>
          <w:bCs/>
          <w:szCs w:val="21"/>
        </w:rPr>
        <w:t>5</w:t>
      </w:r>
      <w:r>
        <w:rPr>
          <w:szCs w:val="21"/>
        </w:rPr>
        <w:t xml:space="preserve"> 镶嵌在墙内的大屏幕显示器、墙挂式显示器等的安装位置应满足最佳观看视距的要求。</w:t>
      </w:r>
    </w:p>
    <w:p w14:paraId="34A74EA6">
      <w:pPr>
        <w:pStyle w:val="164"/>
        <w:spacing w:before="100" w:after="100" w:line="330" w:lineRule="exact"/>
        <w:ind w:firstLine="0" w:firstLineChars="0"/>
        <w:rPr>
          <w:szCs w:val="21"/>
        </w:rPr>
      </w:pPr>
      <w:r>
        <w:rPr>
          <w:szCs w:val="21"/>
        </w:rPr>
        <w:t>20.3.5用户终端设备安装应符合下列规定：</w:t>
      </w:r>
    </w:p>
    <w:p w14:paraId="11810E80">
      <w:pPr>
        <w:pStyle w:val="164"/>
        <w:spacing w:before="100" w:after="100" w:line="330" w:lineRule="exact"/>
        <w:ind w:firstLine="422"/>
        <w:rPr>
          <w:szCs w:val="21"/>
        </w:rPr>
      </w:pPr>
      <w:r>
        <w:rPr>
          <w:b/>
          <w:bCs/>
          <w:szCs w:val="21"/>
        </w:rPr>
        <w:t>1</w:t>
      </w:r>
      <w:r>
        <w:rPr>
          <w:szCs w:val="21"/>
        </w:rPr>
        <w:t xml:space="preserve"> 用户终端设备应包括视频指挥调度多点控制单元、指挥调度终端、接入网关、音频扩声及视频显示等部分；</w:t>
      </w:r>
    </w:p>
    <w:p w14:paraId="1F15EFF6">
      <w:pPr>
        <w:pStyle w:val="164"/>
        <w:spacing w:before="100" w:after="100" w:line="330" w:lineRule="exact"/>
        <w:ind w:firstLine="422"/>
        <w:rPr>
          <w:szCs w:val="21"/>
        </w:rPr>
      </w:pPr>
      <w:r>
        <w:rPr>
          <w:b/>
          <w:bCs/>
          <w:szCs w:val="21"/>
        </w:rPr>
        <w:t>2</w:t>
      </w:r>
      <w:r>
        <w:rPr>
          <w:szCs w:val="21"/>
        </w:rPr>
        <w:t xml:space="preserve"> 设备布置宜避开视频指挥调度的主辐射区，并应达到声场均匀、自然清晰、声源感觉良好等要求；</w:t>
      </w:r>
    </w:p>
    <w:p w14:paraId="27A37155">
      <w:pPr>
        <w:pStyle w:val="164"/>
        <w:spacing w:before="100" w:after="100" w:line="330" w:lineRule="exact"/>
        <w:ind w:firstLine="422"/>
        <w:rPr>
          <w:szCs w:val="21"/>
        </w:rPr>
      </w:pPr>
      <w:r>
        <w:rPr>
          <w:b/>
          <w:bCs/>
          <w:szCs w:val="21"/>
        </w:rPr>
        <w:t>3</w:t>
      </w:r>
      <w:r>
        <w:rPr>
          <w:szCs w:val="21"/>
        </w:rPr>
        <w:t xml:space="preserve"> 用户终端设备的布置应使被摄人物收入视角范围之内，宜从多个方位摄取画面，并应能获得会场全景或局部特写镜头；</w:t>
      </w:r>
    </w:p>
    <w:p w14:paraId="443F8FDD">
      <w:pPr>
        <w:pStyle w:val="164"/>
        <w:spacing w:before="100" w:after="100" w:line="330" w:lineRule="exact"/>
        <w:ind w:firstLine="422"/>
        <w:rPr>
          <w:szCs w:val="21"/>
        </w:rPr>
      </w:pPr>
      <w:r>
        <w:rPr>
          <w:b/>
          <w:bCs/>
          <w:szCs w:val="21"/>
        </w:rPr>
        <w:t>4</w:t>
      </w:r>
      <w:r>
        <w:rPr>
          <w:szCs w:val="21"/>
        </w:rPr>
        <w:t xml:space="preserve"> 监视器或大屏幕显示器的布置，宜使与会者处在较好的视距和视角范围之内。</w:t>
      </w:r>
    </w:p>
    <w:p w14:paraId="557EDDC9">
      <w:pPr>
        <w:pStyle w:val="164"/>
        <w:spacing w:before="100" w:after="100" w:line="330" w:lineRule="exact"/>
        <w:ind w:firstLine="0" w:firstLineChars="0"/>
        <w:rPr>
          <w:szCs w:val="21"/>
        </w:rPr>
      </w:pPr>
      <w:r>
        <w:rPr>
          <w:szCs w:val="21"/>
        </w:rPr>
        <w:t>20.3.6调度发言系统安装应符合下列规定：</w:t>
      </w:r>
    </w:p>
    <w:p w14:paraId="7F0F5350">
      <w:pPr>
        <w:pStyle w:val="164"/>
        <w:spacing w:before="100" w:after="100" w:line="330" w:lineRule="exact"/>
        <w:ind w:firstLine="422"/>
        <w:rPr>
          <w:szCs w:val="21"/>
        </w:rPr>
      </w:pPr>
      <w:r>
        <w:rPr>
          <w:b/>
          <w:bCs/>
          <w:szCs w:val="21"/>
        </w:rPr>
        <w:t xml:space="preserve">1 </w:t>
      </w:r>
      <w:r>
        <w:rPr>
          <w:szCs w:val="21"/>
        </w:rPr>
        <w:t>采用串联方式的专业有线指挥调度系统，传声器之间的连接线缆应端接牢固；</w:t>
      </w:r>
    </w:p>
    <w:p w14:paraId="09FC2877">
      <w:pPr>
        <w:pStyle w:val="164"/>
        <w:spacing w:before="100" w:after="100" w:line="330" w:lineRule="exact"/>
        <w:ind w:firstLine="422"/>
        <w:rPr>
          <w:szCs w:val="21"/>
        </w:rPr>
      </w:pPr>
      <w:r>
        <w:rPr>
          <w:b/>
          <w:bCs/>
          <w:szCs w:val="21"/>
        </w:rPr>
        <w:t>2</w:t>
      </w:r>
      <w:r>
        <w:rPr>
          <w:szCs w:val="21"/>
        </w:rPr>
        <w:t xml:space="preserve"> 采用传声器直联扩声设备组成的系统，传声器传输线应选用专用屏蔽线；</w:t>
      </w:r>
    </w:p>
    <w:p w14:paraId="29A90F36">
      <w:pPr>
        <w:pStyle w:val="164"/>
        <w:spacing w:before="100" w:after="100" w:line="330" w:lineRule="exact"/>
        <w:ind w:firstLine="422"/>
        <w:rPr>
          <w:szCs w:val="21"/>
        </w:rPr>
      </w:pPr>
      <w:r>
        <w:rPr>
          <w:b/>
          <w:bCs/>
          <w:szCs w:val="21"/>
        </w:rPr>
        <w:t>3</w:t>
      </w:r>
      <w:r>
        <w:rPr>
          <w:szCs w:val="21"/>
        </w:rPr>
        <w:t xml:space="preserve"> 采用移动式传声器应做好线缆防护;</w:t>
      </w:r>
    </w:p>
    <w:p w14:paraId="55B94403">
      <w:pPr>
        <w:pStyle w:val="164"/>
        <w:spacing w:before="100" w:after="100" w:line="330" w:lineRule="exact"/>
        <w:ind w:firstLine="422"/>
        <w:rPr>
          <w:szCs w:val="21"/>
        </w:rPr>
      </w:pPr>
      <w:r>
        <w:rPr>
          <w:b/>
          <w:bCs/>
          <w:szCs w:val="21"/>
        </w:rPr>
        <w:t xml:space="preserve">4 </w:t>
      </w:r>
      <w:r>
        <w:rPr>
          <w:szCs w:val="21"/>
        </w:rPr>
        <w:t>采用无线传声器传输距离较远时，应加装机外接收天线，安装在桌面时宜装备固定座托。</w:t>
      </w:r>
    </w:p>
    <w:p w14:paraId="3F73062D">
      <w:pPr>
        <w:pStyle w:val="164"/>
        <w:spacing w:before="100" w:after="100" w:line="330" w:lineRule="exact"/>
        <w:ind w:firstLine="0" w:firstLineChars="0"/>
        <w:rPr>
          <w:szCs w:val="21"/>
        </w:rPr>
      </w:pPr>
      <w:bookmarkStart w:id="247" w:name="bookmark1901"/>
      <w:bookmarkStart w:id="248" w:name="bookmark1902"/>
      <w:bookmarkStart w:id="249" w:name="bookmark1900"/>
      <w:r>
        <w:rPr>
          <w:szCs w:val="21"/>
        </w:rPr>
        <w:t>20.3.7系统调试</w:t>
      </w:r>
      <w:bookmarkEnd w:id="247"/>
      <w:bookmarkEnd w:id="248"/>
      <w:bookmarkEnd w:id="249"/>
      <w:r>
        <w:rPr>
          <w:szCs w:val="21"/>
        </w:rPr>
        <w:t>应符合下列规定：</w:t>
      </w:r>
    </w:p>
    <w:p w14:paraId="3AC0B315">
      <w:pPr>
        <w:pStyle w:val="164"/>
        <w:spacing w:before="100" w:after="100" w:line="330" w:lineRule="exact"/>
        <w:ind w:firstLine="422"/>
        <w:rPr>
          <w:szCs w:val="21"/>
        </w:rPr>
      </w:pPr>
      <w:r>
        <w:rPr>
          <w:b/>
          <w:bCs/>
          <w:szCs w:val="21"/>
        </w:rPr>
        <w:t>1</w:t>
      </w:r>
      <w:r>
        <w:rPr>
          <w:szCs w:val="21"/>
        </w:rPr>
        <w:t xml:space="preserve"> 应急响应系统调试应在火灾自动报警系统、安全技术防范系统、智能化集成系统等调试完成后进行。</w:t>
      </w:r>
    </w:p>
    <w:p w14:paraId="0DA2F217">
      <w:pPr>
        <w:pStyle w:val="164"/>
        <w:spacing w:before="100" w:after="100" w:line="330" w:lineRule="exact"/>
        <w:ind w:firstLine="422"/>
        <w:rPr>
          <w:szCs w:val="21"/>
        </w:rPr>
      </w:pPr>
      <w:r>
        <w:rPr>
          <w:b/>
          <w:bCs/>
          <w:szCs w:val="21"/>
        </w:rPr>
        <w:t>2</w:t>
      </w:r>
      <w:r>
        <w:rPr>
          <w:szCs w:val="21"/>
        </w:rPr>
        <w:t xml:space="preserve"> 实现平台指挥调度分级管理，用户</w:t>
      </w:r>
      <w:r>
        <w:rPr>
          <w:rFonts w:hint="eastAsia"/>
          <w:szCs w:val="21"/>
        </w:rPr>
        <w:t>应</w:t>
      </w:r>
      <w:r>
        <w:rPr>
          <w:szCs w:val="21"/>
        </w:rPr>
        <w:t>可根据自身隶属关系进行灵活的级别管理，实现指挥权、监视权和控制权的管理配置，满足各级部门建立有效的指挥调度关系。</w:t>
      </w:r>
    </w:p>
    <w:p w14:paraId="3F2E1E71">
      <w:pPr>
        <w:pStyle w:val="3"/>
        <w:spacing w:before="240" w:after="120" w:afterLines="50" w:line="330" w:lineRule="exact"/>
        <w:rPr>
          <w:rFonts w:eastAsia="黑体"/>
          <w:b w:val="0"/>
          <w:bCs w:val="0"/>
          <w:sz w:val="21"/>
          <w:szCs w:val="21"/>
          <w:lang w:val="en-US"/>
        </w:rPr>
      </w:pPr>
      <w:bookmarkStart w:id="250" w:name="_Toc171955175"/>
      <w:bookmarkStart w:id="251" w:name="_Toc182488004"/>
      <w:r>
        <w:rPr>
          <w:rFonts w:eastAsia="黑体"/>
          <w:b w:val="0"/>
          <w:bCs w:val="0"/>
          <w:sz w:val="21"/>
          <w:szCs w:val="21"/>
          <w:lang w:val="en-US"/>
        </w:rPr>
        <w:t>20.4质量记录</w:t>
      </w:r>
      <w:bookmarkEnd w:id="250"/>
      <w:bookmarkEnd w:id="251"/>
    </w:p>
    <w:p w14:paraId="6752B6D5">
      <w:pPr>
        <w:ind w:left="105" w:hanging="105"/>
        <w:rPr>
          <w:rFonts w:ascii="Times New Roman" w:hAnsi="Times New Roman"/>
        </w:rPr>
      </w:pPr>
      <w:r>
        <w:rPr>
          <w:rFonts w:ascii="Times New Roman" w:hAnsi="Times New Roman"/>
        </w:rPr>
        <w:t>20.4.1 质量记录应包含下列内容：</w:t>
      </w:r>
    </w:p>
    <w:p w14:paraId="6B3CE4CA">
      <w:pPr>
        <w:pStyle w:val="164"/>
        <w:numPr>
          <w:ilvl w:val="0"/>
          <w:numId w:val="236"/>
        </w:numPr>
        <w:spacing w:line="330" w:lineRule="exact"/>
        <w:ind w:left="0" w:firstLine="420"/>
        <w:rPr>
          <w:rFonts w:eastAsiaTheme="minorEastAsia"/>
        </w:rPr>
      </w:pPr>
      <w:r>
        <w:rPr>
          <w:rFonts w:eastAsiaTheme="minorEastAsia"/>
        </w:rPr>
        <w:t>所用材料及设备的出厂合格证、使用说明书、质量检验报告、进场抽样检查报告。</w:t>
      </w:r>
    </w:p>
    <w:p w14:paraId="1A220A4D">
      <w:pPr>
        <w:pStyle w:val="164"/>
        <w:numPr>
          <w:ilvl w:val="0"/>
          <w:numId w:val="236"/>
        </w:numPr>
        <w:spacing w:line="330" w:lineRule="exact"/>
        <w:ind w:left="0" w:firstLine="420"/>
        <w:rPr>
          <w:rFonts w:eastAsiaTheme="minorEastAsia"/>
        </w:rPr>
      </w:pPr>
      <w:r>
        <w:rPr>
          <w:rFonts w:eastAsiaTheme="minorEastAsia"/>
        </w:rPr>
        <w:t>视频监控设备安装质量检查记录。</w:t>
      </w:r>
    </w:p>
    <w:p w14:paraId="26F1FBA0">
      <w:pPr>
        <w:pStyle w:val="164"/>
        <w:numPr>
          <w:ilvl w:val="0"/>
          <w:numId w:val="236"/>
        </w:numPr>
        <w:spacing w:line="330" w:lineRule="exact"/>
        <w:ind w:left="0" w:firstLine="420"/>
        <w:rPr>
          <w:rFonts w:eastAsiaTheme="minorEastAsia"/>
        </w:rPr>
      </w:pPr>
      <w:r>
        <w:rPr>
          <w:rFonts w:eastAsiaTheme="minorEastAsia"/>
        </w:rPr>
        <w:t>调度发言平台安装质量检查记录。</w:t>
      </w:r>
    </w:p>
    <w:p w14:paraId="2C4EDFD3">
      <w:pPr>
        <w:pStyle w:val="164"/>
        <w:numPr>
          <w:ilvl w:val="0"/>
          <w:numId w:val="236"/>
        </w:numPr>
        <w:spacing w:line="330" w:lineRule="exact"/>
        <w:ind w:left="0" w:firstLine="420"/>
        <w:rPr>
          <w:rFonts w:eastAsiaTheme="minorEastAsia"/>
        </w:rPr>
      </w:pPr>
      <w:r>
        <w:rPr>
          <w:rFonts w:eastAsiaTheme="minorEastAsia"/>
        </w:rPr>
        <w:t>安装后电气性能测试记录。</w:t>
      </w:r>
    </w:p>
    <w:p w14:paraId="68ED6C0E">
      <w:pPr>
        <w:pStyle w:val="164"/>
        <w:numPr>
          <w:ilvl w:val="0"/>
          <w:numId w:val="236"/>
        </w:numPr>
        <w:spacing w:line="330" w:lineRule="exact"/>
        <w:ind w:left="0" w:firstLine="420"/>
        <w:rPr>
          <w:rFonts w:eastAsiaTheme="minorEastAsia"/>
        </w:rPr>
      </w:pPr>
      <w:r>
        <w:rPr>
          <w:rFonts w:eastAsiaTheme="minorEastAsia"/>
        </w:rPr>
        <w:t>工程安装质量及观感质量</w:t>
      </w:r>
      <w:r>
        <w:rPr>
          <w:rFonts w:hint="eastAsia" w:eastAsiaTheme="minorEastAsia"/>
        </w:rPr>
        <w:t>检验</w:t>
      </w:r>
      <w:r>
        <w:rPr>
          <w:rFonts w:eastAsiaTheme="minorEastAsia"/>
        </w:rPr>
        <w:t>记录。</w:t>
      </w:r>
    </w:p>
    <w:p w14:paraId="77573D15">
      <w:pPr>
        <w:ind w:left="0" w:firstLine="0" w:firstLineChars="0"/>
        <w:rPr>
          <w:rFonts w:ascii="Times New Roman" w:hAnsi="Times New Roman"/>
        </w:rPr>
      </w:pPr>
    </w:p>
    <w:p w14:paraId="26CBE9D3">
      <w:pPr>
        <w:ind w:left="0" w:firstLine="0" w:firstLineChars="0"/>
        <w:rPr>
          <w:rFonts w:ascii="Times New Roman" w:hAnsi="Times New Roman"/>
        </w:rPr>
        <w:sectPr>
          <w:headerReference r:id="rId21" w:type="default"/>
          <w:headerReference r:id="rId22" w:type="even"/>
          <w:footerReference r:id="rId23" w:type="even"/>
          <w:pgSz w:w="11900" w:h="16840"/>
          <w:pgMar w:top="1558" w:right="1544" w:bottom="1113" w:left="1564" w:header="0" w:footer="567" w:gutter="0"/>
          <w:cols w:space="720" w:num="1"/>
          <w:docGrid w:linePitch="360" w:charSpace="0"/>
        </w:sectPr>
      </w:pPr>
    </w:p>
    <w:p w14:paraId="74BC8B5D">
      <w:pPr>
        <w:pStyle w:val="16"/>
        <w:tabs>
          <w:tab w:val="left" w:pos="425"/>
        </w:tabs>
        <w:spacing w:before="240" w:beforeLines="100" w:afterLines="50"/>
        <w:jc w:val="center"/>
        <w:outlineLvl w:val="0"/>
        <w:rPr>
          <w:rFonts w:ascii="Times New Roman" w:hAnsi="Times New Roman" w:eastAsia="黑体"/>
          <w:sz w:val="28"/>
          <w:szCs w:val="28"/>
        </w:rPr>
      </w:pPr>
      <w:bookmarkStart w:id="252" w:name="_Toc17117"/>
      <w:bookmarkStart w:id="253" w:name="_Toc19511"/>
      <w:bookmarkStart w:id="254" w:name="_Toc2903"/>
      <w:bookmarkStart w:id="255" w:name="_Toc6430"/>
      <w:bookmarkStart w:id="256" w:name="_Toc8129"/>
      <w:bookmarkStart w:id="257" w:name="_Toc182488005"/>
      <w:bookmarkStart w:id="258" w:name="_Toc171955176"/>
      <w:r>
        <w:rPr>
          <w:rFonts w:ascii="Times New Roman" w:hAnsi="Times New Roman" w:eastAsia="黑体"/>
          <w:sz w:val="28"/>
          <w:szCs w:val="28"/>
        </w:rPr>
        <w:t>21 机房工程</w:t>
      </w:r>
      <w:bookmarkEnd w:id="252"/>
      <w:bookmarkEnd w:id="253"/>
      <w:bookmarkEnd w:id="254"/>
      <w:bookmarkEnd w:id="255"/>
      <w:bookmarkEnd w:id="256"/>
      <w:bookmarkEnd w:id="257"/>
      <w:bookmarkEnd w:id="258"/>
    </w:p>
    <w:p w14:paraId="003B646D">
      <w:pPr>
        <w:pStyle w:val="3"/>
        <w:spacing w:before="240" w:after="120" w:afterLines="50" w:line="330" w:lineRule="exact"/>
        <w:rPr>
          <w:rFonts w:eastAsia="黑体"/>
          <w:b w:val="0"/>
          <w:bCs w:val="0"/>
          <w:sz w:val="21"/>
          <w:szCs w:val="21"/>
          <w:lang w:val="en-US"/>
        </w:rPr>
      </w:pPr>
      <w:bookmarkStart w:id="259" w:name="_Toc2738"/>
      <w:bookmarkStart w:id="260" w:name="_Toc7952"/>
      <w:bookmarkStart w:id="261" w:name="_Toc22931"/>
      <w:bookmarkStart w:id="262" w:name="_Toc8404"/>
      <w:bookmarkStart w:id="263" w:name="_Toc182488006"/>
      <w:bookmarkStart w:id="264" w:name="_Toc29422"/>
      <w:bookmarkStart w:id="265" w:name="_Toc171955177"/>
      <w:bookmarkStart w:id="266" w:name="_Toc11618"/>
      <w:r>
        <w:rPr>
          <w:rFonts w:eastAsia="黑体"/>
          <w:b w:val="0"/>
          <w:bCs w:val="0"/>
          <w:sz w:val="21"/>
          <w:szCs w:val="21"/>
          <w:lang w:val="en-US"/>
        </w:rPr>
        <w:t>21.1 一般规定</w:t>
      </w:r>
      <w:bookmarkEnd w:id="259"/>
      <w:bookmarkEnd w:id="260"/>
      <w:bookmarkEnd w:id="261"/>
      <w:bookmarkEnd w:id="262"/>
      <w:bookmarkEnd w:id="263"/>
      <w:bookmarkEnd w:id="264"/>
      <w:bookmarkEnd w:id="265"/>
      <w:bookmarkEnd w:id="266"/>
    </w:p>
    <w:p w14:paraId="2817C41C">
      <w:pPr>
        <w:pStyle w:val="164"/>
        <w:spacing w:before="100" w:after="100" w:line="330" w:lineRule="exact"/>
        <w:ind w:firstLine="0" w:firstLineChars="0"/>
        <w:rPr>
          <w:szCs w:val="21"/>
        </w:rPr>
      </w:pPr>
      <w:r>
        <w:rPr>
          <w:szCs w:val="21"/>
        </w:rPr>
        <w:t>21.1.</w:t>
      </w:r>
      <w:r>
        <w:rPr>
          <w:rFonts w:hint="eastAsia"/>
          <w:szCs w:val="21"/>
        </w:rPr>
        <w:t xml:space="preserve">1 </w:t>
      </w:r>
      <w:r>
        <w:rPr>
          <w:szCs w:val="21"/>
        </w:rPr>
        <w:t>机房工程包括供配电系统、防雷与接地系统、空气调节系统、给水排水系统、综合布线系统、监控与安全防范系统、消防系统、室内装饰装修和电磁屏蔽等。</w:t>
      </w:r>
    </w:p>
    <w:p w14:paraId="32CB2051">
      <w:pPr>
        <w:pStyle w:val="164"/>
        <w:spacing w:before="100" w:after="100" w:line="330" w:lineRule="exact"/>
        <w:ind w:firstLine="0" w:firstLineChars="0"/>
        <w:rPr>
          <w:szCs w:val="21"/>
        </w:rPr>
      </w:pPr>
      <w:r>
        <w:rPr>
          <w:szCs w:val="21"/>
        </w:rPr>
        <w:t>21.1.</w:t>
      </w:r>
      <w:r>
        <w:rPr>
          <w:rFonts w:hint="eastAsia"/>
          <w:szCs w:val="21"/>
        </w:rPr>
        <w:t xml:space="preserve">2 </w:t>
      </w:r>
      <w:r>
        <w:rPr>
          <w:szCs w:val="21"/>
        </w:rPr>
        <w:t>本规程防火性能要求的装饰装修材料应检查防火性能证明文件和产品合格证。</w:t>
      </w:r>
    </w:p>
    <w:p w14:paraId="35A39B78">
      <w:pPr>
        <w:pStyle w:val="3"/>
        <w:spacing w:before="240" w:after="120" w:afterLines="50" w:line="330" w:lineRule="exact"/>
        <w:rPr>
          <w:rFonts w:eastAsia="黑体"/>
          <w:b w:val="0"/>
          <w:bCs w:val="0"/>
          <w:sz w:val="21"/>
          <w:szCs w:val="21"/>
          <w:lang w:val="en-US"/>
        </w:rPr>
      </w:pPr>
      <w:bookmarkStart w:id="267" w:name="_Toc3797"/>
      <w:bookmarkStart w:id="268" w:name="_Toc1859"/>
      <w:bookmarkStart w:id="269" w:name="_Toc3812"/>
      <w:bookmarkStart w:id="270" w:name="_Toc1435"/>
      <w:bookmarkStart w:id="271" w:name="_Toc182488007"/>
      <w:bookmarkStart w:id="272" w:name="_Toc7986"/>
      <w:bookmarkStart w:id="273" w:name="_Toc2670"/>
      <w:bookmarkStart w:id="274" w:name="_Toc171955178"/>
      <w:r>
        <w:rPr>
          <w:rFonts w:eastAsia="黑体"/>
          <w:b w:val="0"/>
          <w:bCs w:val="0"/>
          <w:sz w:val="21"/>
          <w:szCs w:val="21"/>
          <w:lang w:val="en-US"/>
        </w:rPr>
        <w:t>21.2施工准备</w:t>
      </w:r>
      <w:bookmarkEnd w:id="267"/>
      <w:bookmarkEnd w:id="268"/>
      <w:bookmarkEnd w:id="269"/>
      <w:bookmarkEnd w:id="270"/>
      <w:bookmarkEnd w:id="271"/>
      <w:bookmarkEnd w:id="272"/>
      <w:bookmarkEnd w:id="273"/>
      <w:bookmarkEnd w:id="274"/>
    </w:p>
    <w:p w14:paraId="7A95FF94">
      <w:pPr>
        <w:pStyle w:val="164"/>
        <w:spacing w:before="100" w:after="100" w:line="330" w:lineRule="exact"/>
        <w:ind w:firstLine="0" w:firstLineChars="0"/>
        <w:rPr>
          <w:szCs w:val="21"/>
        </w:rPr>
      </w:pPr>
      <w:bookmarkStart w:id="275" w:name="bookmark1906"/>
      <w:bookmarkStart w:id="276" w:name="bookmark1907"/>
      <w:bookmarkStart w:id="277" w:name="bookmark1908"/>
      <w:r>
        <w:rPr>
          <w:szCs w:val="21"/>
        </w:rPr>
        <w:t>21.2.</w:t>
      </w:r>
      <w:r>
        <w:rPr>
          <w:rFonts w:hint="eastAsia"/>
          <w:szCs w:val="21"/>
        </w:rPr>
        <w:t>1</w:t>
      </w:r>
      <w:r>
        <w:rPr>
          <w:szCs w:val="21"/>
        </w:rPr>
        <w:t>主要材料</w:t>
      </w:r>
      <w:bookmarkEnd w:id="275"/>
      <w:bookmarkEnd w:id="276"/>
      <w:bookmarkEnd w:id="277"/>
      <w:r>
        <w:rPr>
          <w:rFonts w:hint="eastAsia"/>
          <w:szCs w:val="21"/>
        </w:rPr>
        <w:t>有</w:t>
      </w:r>
      <w:r>
        <w:rPr>
          <w:szCs w:val="21"/>
        </w:rPr>
        <w:t>防尘漆、饰面板、隔断、门窗、吊顶、地板、保温板、型钢</w:t>
      </w:r>
      <w:r>
        <w:rPr>
          <w:rFonts w:hint="eastAsia"/>
          <w:szCs w:val="21"/>
        </w:rPr>
        <w:t>、</w:t>
      </w:r>
      <w:r>
        <w:rPr>
          <w:szCs w:val="21"/>
        </w:rPr>
        <w:t>配电箱、电线、电缆、列头柜、柴油发电机、UPS主机、蓄电池、电池柜、线管、桥架、灯具、插座、工业连接器</w:t>
      </w:r>
      <w:r>
        <w:rPr>
          <w:rFonts w:hint="eastAsia"/>
          <w:szCs w:val="21"/>
        </w:rPr>
        <w:t>、</w:t>
      </w:r>
      <w:r>
        <w:rPr>
          <w:szCs w:val="21"/>
        </w:rPr>
        <w:t>浪涌保护器、防雷器、接地导线、电缆、管材型材、铜箔、铜排、接地端子、绝缘子、紧固件</w:t>
      </w:r>
      <w:r>
        <w:rPr>
          <w:rFonts w:hint="eastAsia"/>
          <w:szCs w:val="21"/>
        </w:rPr>
        <w:t>、</w:t>
      </w:r>
      <w:r>
        <w:rPr>
          <w:szCs w:val="21"/>
        </w:rPr>
        <w:t>精密空调、型钢、电缆、风管、阀门、保温材料</w:t>
      </w:r>
      <w:r>
        <w:rPr>
          <w:rFonts w:hint="eastAsia"/>
          <w:szCs w:val="21"/>
        </w:rPr>
        <w:t>、</w:t>
      </w:r>
      <w:r>
        <w:rPr>
          <w:szCs w:val="21"/>
        </w:rPr>
        <w:t>管材、支吊架、保温材料、地漏</w:t>
      </w:r>
      <w:r>
        <w:rPr>
          <w:rFonts w:hint="eastAsia"/>
          <w:szCs w:val="21"/>
        </w:rPr>
        <w:t>、</w:t>
      </w:r>
      <w:r>
        <w:rPr>
          <w:szCs w:val="21"/>
        </w:rPr>
        <w:t>线缆、连接件、机柜、型钢、线管、支架、配线架、理线架、网络交换设备、路由设备、网络安全设备</w:t>
      </w:r>
      <w:r>
        <w:rPr>
          <w:rFonts w:hint="eastAsia"/>
          <w:szCs w:val="21"/>
        </w:rPr>
        <w:t>、</w:t>
      </w:r>
      <w:r>
        <w:rPr>
          <w:szCs w:val="21"/>
        </w:rPr>
        <w:t>摄像机、传感器、探测器、线缆、管材、监视器</w:t>
      </w:r>
      <w:r>
        <w:rPr>
          <w:rFonts w:hint="eastAsia"/>
          <w:szCs w:val="21"/>
        </w:rPr>
        <w:t>、</w:t>
      </w:r>
      <w:r>
        <w:rPr>
          <w:szCs w:val="21"/>
        </w:rPr>
        <w:t>屏蔽壳体、屏蔽门、各类滤波器、截止通风波导窗、屏蔽玻璃窗、信号接口板、配套电磁屏蔽装置、型钢等。</w:t>
      </w:r>
    </w:p>
    <w:p w14:paraId="677ABA90">
      <w:pPr>
        <w:pStyle w:val="164"/>
        <w:spacing w:before="100" w:after="100" w:line="330" w:lineRule="exact"/>
        <w:ind w:firstLine="0" w:firstLineChars="0"/>
        <w:rPr>
          <w:szCs w:val="21"/>
        </w:rPr>
      </w:pPr>
      <w:r>
        <w:rPr>
          <w:szCs w:val="21"/>
        </w:rPr>
        <w:t>21.2.</w:t>
      </w:r>
      <w:r>
        <w:rPr>
          <w:rFonts w:hint="eastAsia"/>
          <w:szCs w:val="21"/>
        </w:rPr>
        <w:t>2</w:t>
      </w:r>
      <w:r>
        <w:rPr>
          <w:szCs w:val="21"/>
        </w:rPr>
        <w:t xml:space="preserve"> </w:t>
      </w:r>
      <w:r>
        <w:rPr>
          <w:rFonts w:hint="eastAsia"/>
          <w:szCs w:val="21"/>
        </w:rPr>
        <w:t>主要</w:t>
      </w:r>
      <w:r>
        <w:rPr>
          <w:szCs w:val="21"/>
        </w:rPr>
        <w:t>机具</w:t>
      </w:r>
      <w:r>
        <w:rPr>
          <w:rFonts w:hint="eastAsia"/>
          <w:szCs w:val="21"/>
        </w:rPr>
        <w:t>有</w:t>
      </w:r>
      <w:r>
        <w:rPr>
          <w:szCs w:val="21"/>
        </w:rPr>
        <w:t>电焊机、切割机、电钻、水钻、冲击电钻、电工工具、对讲机等施工</w:t>
      </w:r>
      <w:r>
        <w:rPr>
          <w:rFonts w:hint="eastAsia"/>
          <w:szCs w:val="21"/>
        </w:rPr>
        <w:t>机具</w:t>
      </w:r>
      <w:r>
        <w:rPr>
          <w:szCs w:val="21"/>
        </w:rPr>
        <w:t>；接地电阻测试仪、兆欧表、数字万用表、测线仪等测试机具。</w:t>
      </w:r>
    </w:p>
    <w:p w14:paraId="380EB65E">
      <w:pPr>
        <w:pStyle w:val="164"/>
        <w:spacing w:before="100" w:after="100" w:line="330" w:lineRule="exact"/>
        <w:ind w:firstLine="0" w:firstLineChars="0"/>
        <w:rPr>
          <w:szCs w:val="21"/>
        </w:rPr>
      </w:pPr>
      <w:bookmarkStart w:id="278" w:name="bookmark1910"/>
      <w:bookmarkStart w:id="279" w:name="bookmark1911"/>
      <w:bookmarkStart w:id="280" w:name="bookmark1909"/>
      <w:r>
        <w:rPr>
          <w:szCs w:val="21"/>
        </w:rPr>
        <w:t xml:space="preserve">21.2.3 </w:t>
      </w:r>
      <w:bookmarkEnd w:id="278"/>
      <w:bookmarkEnd w:id="279"/>
      <w:bookmarkEnd w:id="280"/>
      <w:r>
        <w:rPr>
          <w:rFonts w:hint="eastAsia"/>
          <w:szCs w:val="21"/>
        </w:rPr>
        <w:t>作业条件应符合下列规定：</w:t>
      </w:r>
    </w:p>
    <w:p w14:paraId="277716FB">
      <w:pPr>
        <w:pStyle w:val="164"/>
        <w:spacing w:before="100" w:after="100" w:line="330" w:lineRule="exact"/>
        <w:ind w:firstLine="422"/>
        <w:rPr>
          <w:szCs w:val="21"/>
        </w:rPr>
      </w:pPr>
      <w:r>
        <w:rPr>
          <w:b/>
          <w:bCs/>
          <w:szCs w:val="21"/>
        </w:rPr>
        <w:t>1</w:t>
      </w:r>
      <w:r>
        <w:rPr>
          <w:rFonts w:hint="eastAsia"/>
          <w:szCs w:val="21"/>
        </w:rPr>
        <w:t>机房区域土建部分已施工完毕；</w:t>
      </w:r>
    </w:p>
    <w:p w14:paraId="1EB96511">
      <w:pPr>
        <w:pStyle w:val="164"/>
        <w:spacing w:before="100" w:after="100" w:line="330" w:lineRule="exact"/>
        <w:ind w:firstLine="422"/>
        <w:rPr>
          <w:szCs w:val="21"/>
        </w:rPr>
      </w:pPr>
      <w:r>
        <w:rPr>
          <w:b/>
          <w:bCs/>
          <w:szCs w:val="21"/>
        </w:rPr>
        <w:t>2</w:t>
      </w:r>
      <w:r>
        <w:rPr>
          <w:szCs w:val="21"/>
        </w:rPr>
        <w:t xml:space="preserve"> </w:t>
      </w:r>
      <w:r>
        <w:rPr>
          <w:rFonts w:hint="eastAsia"/>
          <w:szCs w:val="21"/>
        </w:rPr>
        <w:t>预埋管及预留孔满足设计要求；</w:t>
      </w:r>
    </w:p>
    <w:p w14:paraId="4966F466">
      <w:pPr>
        <w:pStyle w:val="164"/>
        <w:spacing w:before="100" w:after="100" w:line="330" w:lineRule="exact"/>
        <w:ind w:firstLine="422"/>
        <w:rPr>
          <w:szCs w:val="21"/>
        </w:rPr>
      </w:pPr>
      <w:r>
        <w:rPr>
          <w:b/>
          <w:bCs/>
          <w:szCs w:val="21"/>
        </w:rPr>
        <w:t>3</w:t>
      </w:r>
      <w:r>
        <w:rPr>
          <w:szCs w:val="21"/>
        </w:rPr>
        <w:t xml:space="preserve"> </w:t>
      </w:r>
      <w:r>
        <w:rPr>
          <w:rFonts w:hint="eastAsia"/>
          <w:szCs w:val="21"/>
        </w:rPr>
        <w:t>房间门窗达到封闭条件；</w:t>
      </w:r>
    </w:p>
    <w:p w14:paraId="0DBAC1E0">
      <w:pPr>
        <w:pStyle w:val="164"/>
        <w:spacing w:before="100" w:after="100" w:line="330" w:lineRule="exact"/>
        <w:ind w:firstLine="422"/>
        <w:rPr>
          <w:szCs w:val="21"/>
        </w:rPr>
      </w:pPr>
      <w:r>
        <w:rPr>
          <w:b/>
          <w:bCs/>
          <w:szCs w:val="21"/>
        </w:rPr>
        <w:t>4</w:t>
      </w:r>
      <w:r>
        <w:rPr>
          <w:szCs w:val="21"/>
        </w:rPr>
        <w:t xml:space="preserve"> </w:t>
      </w:r>
      <w:r>
        <w:rPr>
          <w:rFonts w:hint="eastAsia"/>
          <w:szCs w:val="21"/>
        </w:rPr>
        <w:t>电源接入点、正式给水排水汇接点已落实；</w:t>
      </w:r>
    </w:p>
    <w:p w14:paraId="50AC7987">
      <w:pPr>
        <w:pStyle w:val="164"/>
        <w:spacing w:before="100" w:after="100" w:line="330" w:lineRule="exact"/>
        <w:ind w:firstLine="422"/>
        <w:rPr>
          <w:szCs w:val="21"/>
        </w:rPr>
      </w:pPr>
      <w:r>
        <w:rPr>
          <w:b/>
          <w:bCs/>
          <w:szCs w:val="21"/>
        </w:rPr>
        <w:t>5</w:t>
      </w:r>
      <w:r>
        <w:rPr>
          <w:szCs w:val="21"/>
        </w:rPr>
        <w:t xml:space="preserve"> </w:t>
      </w:r>
      <w:r>
        <w:rPr>
          <w:rFonts w:hint="eastAsia"/>
          <w:szCs w:val="21"/>
        </w:rPr>
        <w:t>独立接地系统室外部分已经完成。</w:t>
      </w:r>
    </w:p>
    <w:p w14:paraId="03BF1101">
      <w:pPr>
        <w:pStyle w:val="3"/>
        <w:spacing w:before="240" w:after="120" w:afterLines="50" w:line="330" w:lineRule="exact"/>
        <w:rPr>
          <w:rFonts w:eastAsia="黑体"/>
          <w:b w:val="0"/>
          <w:bCs w:val="0"/>
          <w:sz w:val="21"/>
          <w:szCs w:val="21"/>
          <w:lang w:val="en-US"/>
        </w:rPr>
      </w:pPr>
      <w:bookmarkStart w:id="281" w:name="_Toc30422"/>
      <w:bookmarkStart w:id="282" w:name="_Toc18180"/>
      <w:bookmarkStart w:id="283" w:name="_Toc4064"/>
      <w:bookmarkStart w:id="284" w:name="_Toc31754"/>
      <w:bookmarkStart w:id="285" w:name="_Toc15254"/>
      <w:bookmarkStart w:id="286" w:name="_Toc20764"/>
      <w:bookmarkStart w:id="287" w:name="_Toc171955179"/>
      <w:bookmarkStart w:id="288" w:name="_Toc182488008"/>
      <w:r>
        <w:rPr>
          <w:rFonts w:eastAsia="黑体"/>
          <w:b w:val="0"/>
          <w:bCs w:val="0"/>
          <w:sz w:val="21"/>
          <w:szCs w:val="21"/>
          <w:lang w:val="en-US"/>
        </w:rPr>
        <w:t>21.3施工工艺</w:t>
      </w:r>
      <w:bookmarkEnd w:id="281"/>
      <w:bookmarkEnd w:id="282"/>
      <w:bookmarkEnd w:id="283"/>
      <w:bookmarkEnd w:id="284"/>
      <w:bookmarkEnd w:id="285"/>
      <w:bookmarkEnd w:id="286"/>
      <w:bookmarkEnd w:id="287"/>
      <w:bookmarkEnd w:id="288"/>
    </w:p>
    <w:p w14:paraId="53FC087D">
      <w:pPr>
        <w:pStyle w:val="164"/>
        <w:spacing w:before="100" w:after="100" w:line="330" w:lineRule="exact"/>
        <w:ind w:firstLine="0" w:firstLineChars="0"/>
        <w:rPr>
          <w:szCs w:val="21"/>
        </w:rPr>
      </w:pPr>
      <w:bookmarkStart w:id="289" w:name="bookmark1919"/>
      <w:bookmarkStart w:id="290" w:name="bookmark1917"/>
      <w:bookmarkStart w:id="291" w:name="bookmark1918"/>
      <w:r>
        <w:rPr>
          <w:szCs w:val="21"/>
        </w:rPr>
        <w:t xml:space="preserve">21.3.1 </w:t>
      </w:r>
      <w:bookmarkEnd w:id="289"/>
      <w:bookmarkEnd w:id="290"/>
      <w:bookmarkEnd w:id="291"/>
      <w:r>
        <w:rPr>
          <w:rFonts w:eastAsiaTheme="minorEastAsia"/>
          <w:szCs w:val="21"/>
        </w:rPr>
        <w:t>机房工程施工工艺流程见图21.3.1。</w:t>
      </w:r>
    </w:p>
    <w:p w14:paraId="06DE74F0">
      <w:pPr>
        <w:ind w:left="96" w:leftChars="23" w:hanging="48" w:hangingChars="23"/>
        <w:jc w:val="left"/>
        <w:rPr>
          <w:rFonts w:ascii="Times New Roman" w:hAnsi="Times New Roman" w:eastAsiaTheme="minorEastAsia"/>
          <w:sz w:val="17"/>
        </w:rPr>
      </w:pPr>
      <w:r>
        <w:rPr>
          <w:rFonts w:ascii="Times New Roman" w:hAnsi="Times New Roman"/>
        </w:rPr>
        <mc:AlternateContent>
          <mc:Choice Requires="wpg">
            <w:drawing>
              <wp:inline distT="0" distB="0" distL="0" distR="0">
                <wp:extent cx="5223510" cy="1694180"/>
                <wp:effectExtent l="0" t="0" r="72390" b="20320"/>
                <wp:docPr id="1289193671" name="组合 1289193671"/>
                <wp:cNvGraphicFramePr/>
                <a:graphic xmlns:a="http://schemas.openxmlformats.org/drawingml/2006/main">
                  <a:graphicData uri="http://schemas.microsoft.com/office/word/2010/wordprocessingGroup">
                    <wpg:wgp>
                      <wpg:cNvGrpSpPr/>
                      <wpg:grpSpPr>
                        <a:xfrm>
                          <a:off x="0" y="0"/>
                          <a:ext cx="5223692" cy="1694180"/>
                          <a:chOff x="-528" y="-7"/>
                          <a:chExt cx="8516" cy="2668"/>
                        </a:xfrm>
                      </wpg:grpSpPr>
                      <wps:wsp>
                        <wps:cNvPr id="79251118" name="Rectangle 3"/>
                        <wps:cNvSpPr>
                          <a:spLocks noChangeArrowheads="1"/>
                        </wps:cNvSpPr>
                        <wps:spPr bwMode="auto">
                          <a:xfrm>
                            <a:off x="1563" y="3"/>
                            <a:ext cx="1708" cy="624"/>
                          </a:xfrm>
                          <a:prstGeom prst="rect">
                            <a:avLst/>
                          </a:prstGeom>
                          <a:solidFill>
                            <a:srgbClr val="FFFFFF"/>
                          </a:solidFill>
                          <a:ln w="9525">
                            <a:solidFill>
                              <a:srgbClr val="000000"/>
                            </a:solidFill>
                            <a:miter lim="800000"/>
                          </a:ln>
                        </wps:spPr>
                        <wps:txbx>
                          <w:txbxContent>
                            <w:p w14:paraId="4405F882">
                              <w:pPr>
                                <w:ind w:left="105" w:hanging="105"/>
                                <w:jc w:val="center"/>
                                <w:rPr>
                                  <w:rFonts w:ascii="宋体" w:hAnsi="宋体"/>
                                  <w:kern w:val="0"/>
                                </w:rPr>
                              </w:pPr>
                              <w:r>
                                <w:rPr>
                                  <w:rFonts w:hint="eastAsia"/>
                                  <w:szCs w:val="21"/>
                                </w:rPr>
                                <w:t>电磁屏蔽系统</w:t>
                              </w:r>
                            </w:p>
                          </w:txbxContent>
                        </wps:txbx>
                        <wps:bodyPr rot="0" vert="horz" wrap="square" lIns="91440" tIns="82800" rIns="91440" bIns="45720" anchor="t" anchorCtr="0" upright="1">
                          <a:noAutofit/>
                        </wps:bodyPr>
                      </wps:wsp>
                      <wps:wsp>
                        <wps:cNvPr id="835422037" name="Rectangle 4"/>
                        <wps:cNvSpPr>
                          <a:spLocks noChangeArrowheads="1"/>
                        </wps:cNvSpPr>
                        <wps:spPr bwMode="auto">
                          <a:xfrm>
                            <a:off x="-528" y="2"/>
                            <a:ext cx="1676" cy="624"/>
                          </a:xfrm>
                          <a:prstGeom prst="rect">
                            <a:avLst/>
                          </a:prstGeom>
                          <a:solidFill>
                            <a:srgbClr val="FFFFFF"/>
                          </a:solidFill>
                          <a:ln w="9525">
                            <a:solidFill>
                              <a:srgbClr val="000000"/>
                            </a:solidFill>
                            <a:miter lim="800000"/>
                          </a:ln>
                        </wps:spPr>
                        <wps:txbx>
                          <w:txbxContent>
                            <w:p w14:paraId="19A748B2">
                              <w:pPr>
                                <w:ind w:left="105" w:hanging="105"/>
                                <w:jc w:val="center"/>
                              </w:pPr>
                              <w:r>
                                <w:rPr>
                                  <w:rFonts w:hint="eastAsia"/>
                                  <w:szCs w:val="21"/>
                                </w:rPr>
                                <w:t>室内装饰装修</w:t>
                              </w:r>
                            </w:p>
                          </w:txbxContent>
                        </wps:txbx>
                        <wps:bodyPr rot="0" vert="horz" wrap="square" lIns="91440" tIns="82800" rIns="91440" bIns="45720" anchor="t" anchorCtr="0" upright="1">
                          <a:noAutofit/>
                        </wps:bodyPr>
                      </wps:wsp>
                      <wps:wsp>
                        <wps:cNvPr id="2015678044" name="Rectangle 5"/>
                        <wps:cNvSpPr>
                          <a:spLocks noChangeArrowheads="1"/>
                        </wps:cNvSpPr>
                        <wps:spPr bwMode="auto">
                          <a:xfrm>
                            <a:off x="3669" y="1"/>
                            <a:ext cx="1756" cy="624"/>
                          </a:xfrm>
                          <a:prstGeom prst="rect">
                            <a:avLst/>
                          </a:prstGeom>
                          <a:solidFill>
                            <a:srgbClr val="FFFFFF"/>
                          </a:solidFill>
                          <a:ln w="9525">
                            <a:solidFill>
                              <a:srgbClr val="000000"/>
                            </a:solidFill>
                            <a:miter lim="800000"/>
                          </a:ln>
                        </wps:spPr>
                        <wps:txbx>
                          <w:txbxContent>
                            <w:p w14:paraId="31CB68F4">
                              <w:pPr>
                                <w:ind w:left="105" w:hanging="105"/>
                                <w:jc w:val="center"/>
                                <w:rPr>
                                  <w:rFonts w:ascii="宋体" w:hAnsi="宋体"/>
                                  <w:kern w:val="0"/>
                                </w:rPr>
                              </w:pPr>
                              <w:r>
                                <w:rPr>
                                  <w:rFonts w:hint="eastAsia"/>
                                  <w:szCs w:val="21"/>
                                </w:rPr>
                                <w:t>综合布线系统</w:t>
                              </w:r>
                            </w:p>
                          </w:txbxContent>
                        </wps:txbx>
                        <wps:bodyPr rot="0" vert="horz" wrap="square" lIns="91440" tIns="82800" rIns="91440" bIns="45720" anchor="t" anchorCtr="0" upright="1">
                          <a:noAutofit/>
                        </wps:bodyPr>
                      </wps:wsp>
                      <wps:wsp>
                        <wps:cNvPr id="555877237" name="Rectangle 6"/>
                        <wps:cNvSpPr>
                          <a:spLocks noChangeArrowheads="1"/>
                        </wps:cNvSpPr>
                        <wps:spPr bwMode="auto">
                          <a:xfrm>
                            <a:off x="5810" y="-7"/>
                            <a:ext cx="1457" cy="624"/>
                          </a:xfrm>
                          <a:prstGeom prst="rect">
                            <a:avLst/>
                          </a:prstGeom>
                          <a:solidFill>
                            <a:srgbClr val="FFFFFF"/>
                          </a:solidFill>
                          <a:ln w="9525">
                            <a:solidFill>
                              <a:srgbClr val="000000"/>
                            </a:solidFill>
                            <a:miter lim="800000"/>
                          </a:ln>
                        </wps:spPr>
                        <wps:txbx>
                          <w:txbxContent>
                            <w:p w14:paraId="2A4658A8">
                              <w:pPr>
                                <w:ind w:left="105" w:hanging="105"/>
                                <w:jc w:val="center"/>
                                <w:rPr>
                                  <w:rFonts w:ascii="宋体" w:hAnsi="宋体"/>
                                  <w:kern w:val="0"/>
                                </w:rPr>
                              </w:pPr>
                              <w:r>
                                <w:rPr>
                                  <w:rFonts w:hint="eastAsia"/>
                                  <w:szCs w:val="21"/>
                                </w:rPr>
                                <w:t>供配电系统</w:t>
                              </w:r>
                            </w:p>
                          </w:txbxContent>
                        </wps:txbx>
                        <wps:bodyPr rot="0" vert="horz" wrap="square" lIns="91440" tIns="82800" rIns="91440" bIns="45720" anchor="t" anchorCtr="0" upright="1">
                          <a:noAutofit/>
                        </wps:bodyPr>
                      </wps:wsp>
                      <wps:wsp>
                        <wps:cNvPr id="1422063578" name="Rectangle 7"/>
                        <wps:cNvSpPr>
                          <a:spLocks noChangeArrowheads="1"/>
                        </wps:cNvSpPr>
                        <wps:spPr bwMode="auto">
                          <a:xfrm>
                            <a:off x="-507" y="1037"/>
                            <a:ext cx="1947" cy="624"/>
                          </a:xfrm>
                          <a:prstGeom prst="rect">
                            <a:avLst/>
                          </a:prstGeom>
                          <a:solidFill>
                            <a:srgbClr val="FFFFFF"/>
                          </a:solidFill>
                          <a:ln w="9525">
                            <a:solidFill>
                              <a:srgbClr val="000000"/>
                            </a:solidFill>
                            <a:miter lim="800000"/>
                          </a:ln>
                        </wps:spPr>
                        <wps:txbx>
                          <w:txbxContent>
                            <w:p w14:paraId="61E52769">
                              <w:pPr>
                                <w:ind w:left="105" w:hanging="105"/>
                                <w:jc w:val="center"/>
                                <w:rPr>
                                  <w:rFonts w:ascii="宋体" w:hAnsi="宋体"/>
                                  <w:kern w:val="0"/>
                                </w:rPr>
                              </w:pPr>
                              <w:r>
                                <w:rPr>
                                  <w:rFonts w:hint="eastAsia"/>
                                  <w:szCs w:val="21"/>
                                </w:rPr>
                                <w:t>防雷与接地系统</w:t>
                              </w:r>
                            </w:p>
                          </w:txbxContent>
                        </wps:txbx>
                        <wps:bodyPr rot="0" vert="horz" wrap="square" lIns="91440" tIns="82800" rIns="91440" bIns="45720" anchor="t" anchorCtr="0" upright="1">
                          <a:noAutofit/>
                        </wps:bodyPr>
                      </wps:wsp>
                      <wps:wsp>
                        <wps:cNvPr id="1838255982" name="Line 8"/>
                        <wps:cNvCnPr>
                          <a:cxnSpLocks noChangeShapeType="1"/>
                          <a:stCxn id="835422037" idx="3"/>
                          <a:endCxn id="79251118" idx="1"/>
                        </wps:cNvCnPr>
                        <wps:spPr bwMode="auto">
                          <a:xfrm>
                            <a:off x="1148" y="314"/>
                            <a:ext cx="415" cy="1"/>
                          </a:xfrm>
                          <a:prstGeom prst="line">
                            <a:avLst/>
                          </a:prstGeom>
                          <a:noFill/>
                          <a:ln w="9525">
                            <a:solidFill>
                              <a:srgbClr val="000000"/>
                            </a:solidFill>
                            <a:round/>
                            <a:tailEnd type="triangle" w="med" len="med"/>
                          </a:ln>
                        </wps:spPr>
                        <wps:bodyPr/>
                      </wps:wsp>
                      <wps:wsp>
                        <wps:cNvPr id="962653474" name="Line 9"/>
                        <wps:cNvCnPr>
                          <a:cxnSpLocks noChangeShapeType="1"/>
                          <a:stCxn id="79251118" idx="3"/>
                          <a:endCxn id="2015678044" idx="1"/>
                        </wps:cNvCnPr>
                        <wps:spPr bwMode="auto">
                          <a:xfrm flipV="1">
                            <a:off x="3271" y="313"/>
                            <a:ext cx="398" cy="2"/>
                          </a:xfrm>
                          <a:prstGeom prst="line">
                            <a:avLst/>
                          </a:prstGeom>
                          <a:noFill/>
                          <a:ln w="9525">
                            <a:solidFill>
                              <a:srgbClr val="000000"/>
                            </a:solidFill>
                            <a:round/>
                            <a:tailEnd type="triangle" w="med" len="med"/>
                          </a:ln>
                        </wps:spPr>
                        <wps:bodyPr/>
                      </wps:wsp>
                      <wps:wsp>
                        <wps:cNvPr id="323156607" name="Line 10"/>
                        <wps:cNvCnPr>
                          <a:cxnSpLocks noChangeShapeType="1"/>
                          <a:stCxn id="2015678044" idx="3"/>
                          <a:endCxn id="555877237" idx="1"/>
                        </wps:cNvCnPr>
                        <wps:spPr bwMode="auto">
                          <a:xfrm flipV="1">
                            <a:off x="5425" y="305"/>
                            <a:ext cx="385" cy="8"/>
                          </a:xfrm>
                          <a:prstGeom prst="line">
                            <a:avLst/>
                          </a:prstGeom>
                          <a:noFill/>
                          <a:ln w="9525">
                            <a:solidFill>
                              <a:srgbClr val="000000"/>
                            </a:solidFill>
                            <a:round/>
                            <a:tailEnd type="triangle" w="med" len="med"/>
                          </a:ln>
                        </wps:spPr>
                        <wps:bodyPr/>
                      </wps:wsp>
                      <wps:wsp>
                        <wps:cNvPr id="1494950094" name="Line 11"/>
                        <wps:cNvCnPr>
                          <a:cxnSpLocks noChangeShapeType="1"/>
                        </wps:cNvCnPr>
                        <wps:spPr bwMode="auto">
                          <a:xfrm>
                            <a:off x="7262" y="327"/>
                            <a:ext cx="540" cy="0"/>
                          </a:xfrm>
                          <a:prstGeom prst="line">
                            <a:avLst/>
                          </a:prstGeom>
                          <a:noFill/>
                          <a:ln w="9525">
                            <a:solidFill>
                              <a:srgbClr val="000000"/>
                            </a:solidFill>
                            <a:round/>
                            <a:tailEnd type="triangle" w="med" len="med"/>
                          </a:ln>
                        </wps:spPr>
                        <wps:bodyPr/>
                      </wps:wsp>
                      <wps:wsp>
                        <wps:cNvPr id="150122798" name="Rectangle 12"/>
                        <wps:cNvSpPr>
                          <a:spLocks noChangeArrowheads="1"/>
                        </wps:cNvSpPr>
                        <wps:spPr bwMode="auto">
                          <a:xfrm>
                            <a:off x="1980" y="1037"/>
                            <a:ext cx="1620" cy="624"/>
                          </a:xfrm>
                          <a:prstGeom prst="rect">
                            <a:avLst/>
                          </a:prstGeom>
                          <a:solidFill>
                            <a:srgbClr val="FFFFFF"/>
                          </a:solidFill>
                          <a:ln w="9525">
                            <a:solidFill>
                              <a:srgbClr val="000000"/>
                            </a:solidFill>
                            <a:miter lim="800000"/>
                          </a:ln>
                        </wps:spPr>
                        <wps:txbx>
                          <w:txbxContent>
                            <w:p w14:paraId="5943745E">
                              <w:pPr>
                                <w:ind w:left="105" w:hanging="105"/>
                                <w:jc w:val="center"/>
                                <w:rPr>
                                  <w:rFonts w:ascii="宋体" w:hAnsi="宋体"/>
                                  <w:kern w:val="0"/>
                                </w:rPr>
                              </w:pPr>
                              <w:r>
                                <w:rPr>
                                  <w:rFonts w:hint="eastAsia"/>
                                  <w:szCs w:val="21"/>
                                </w:rPr>
                                <w:t>空气调节系统</w:t>
                              </w:r>
                            </w:p>
                          </w:txbxContent>
                        </wps:txbx>
                        <wps:bodyPr rot="0" vert="horz" wrap="square" lIns="91440" tIns="82800" rIns="91440" bIns="45720" anchor="t" anchorCtr="0" upright="1">
                          <a:noAutofit/>
                        </wps:bodyPr>
                      </wps:wsp>
                      <wps:wsp>
                        <wps:cNvPr id="1925746240" name="Line 13"/>
                        <wps:cNvCnPr>
                          <a:cxnSpLocks noChangeShapeType="1"/>
                          <a:stCxn id="1422063578" idx="3"/>
                          <a:endCxn id="150122798" idx="1"/>
                        </wps:cNvCnPr>
                        <wps:spPr bwMode="auto">
                          <a:xfrm>
                            <a:off x="1440" y="1349"/>
                            <a:ext cx="540" cy="0"/>
                          </a:xfrm>
                          <a:prstGeom prst="line">
                            <a:avLst/>
                          </a:prstGeom>
                          <a:noFill/>
                          <a:ln w="9525">
                            <a:solidFill>
                              <a:srgbClr val="000000"/>
                            </a:solidFill>
                            <a:round/>
                            <a:tailEnd type="triangle" w="med" len="med"/>
                          </a:ln>
                        </wps:spPr>
                        <wps:bodyPr/>
                      </wps:wsp>
                      <wps:wsp>
                        <wps:cNvPr id="1473012268" name="Rectangle 14"/>
                        <wps:cNvSpPr>
                          <a:spLocks noChangeArrowheads="1"/>
                        </wps:cNvSpPr>
                        <wps:spPr bwMode="auto">
                          <a:xfrm>
                            <a:off x="4139" y="987"/>
                            <a:ext cx="1260" cy="724"/>
                          </a:xfrm>
                          <a:prstGeom prst="rect">
                            <a:avLst/>
                          </a:prstGeom>
                          <a:solidFill>
                            <a:srgbClr val="FFFFFF"/>
                          </a:solidFill>
                          <a:ln w="9525">
                            <a:solidFill>
                              <a:srgbClr val="000000"/>
                            </a:solidFill>
                            <a:miter lim="800000"/>
                          </a:ln>
                        </wps:spPr>
                        <wps:txbx>
                          <w:txbxContent>
                            <w:p w14:paraId="661A7406">
                              <w:pPr>
                                <w:ind w:left="105" w:hanging="105"/>
                                <w:jc w:val="center"/>
                                <w:rPr>
                                  <w:rFonts w:ascii="宋体" w:hAnsi="宋体"/>
                                  <w:kern w:val="0"/>
                                </w:rPr>
                              </w:pPr>
                              <w:r>
                                <w:rPr>
                                  <w:rFonts w:hint="eastAsia"/>
                                  <w:szCs w:val="21"/>
                                </w:rPr>
                                <w:t>给水排水系统</w:t>
                              </w:r>
                            </w:p>
                          </w:txbxContent>
                        </wps:txbx>
                        <wps:bodyPr rot="0" vert="horz" wrap="square" lIns="91440" tIns="82800" rIns="91440" bIns="45720" anchor="t" anchorCtr="0" upright="1">
                          <a:noAutofit/>
                        </wps:bodyPr>
                      </wps:wsp>
                      <wps:wsp>
                        <wps:cNvPr id="355328852" name="Line 16"/>
                        <wps:cNvCnPr>
                          <a:cxnSpLocks noChangeShapeType="1"/>
                          <a:stCxn id="150122798" idx="3"/>
                          <a:endCxn id="1473012268" idx="1"/>
                        </wps:cNvCnPr>
                        <wps:spPr bwMode="auto">
                          <a:xfrm>
                            <a:off x="3600" y="1349"/>
                            <a:ext cx="539" cy="0"/>
                          </a:xfrm>
                          <a:prstGeom prst="line">
                            <a:avLst/>
                          </a:prstGeom>
                          <a:noFill/>
                          <a:ln w="9525">
                            <a:solidFill>
                              <a:srgbClr val="000000"/>
                            </a:solidFill>
                            <a:round/>
                            <a:tailEnd type="triangle" w="med" len="med"/>
                          </a:ln>
                        </wps:spPr>
                        <wps:bodyPr/>
                      </wps:wsp>
                      <wps:wsp>
                        <wps:cNvPr id="1798099444" name="Rectangle 14"/>
                        <wps:cNvSpPr>
                          <a:spLocks noChangeArrowheads="1"/>
                        </wps:cNvSpPr>
                        <wps:spPr bwMode="auto">
                          <a:xfrm>
                            <a:off x="6023" y="987"/>
                            <a:ext cx="1425" cy="724"/>
                          </a:xfrm>
                          <a:prstGeom prst="rect">
                            <a:avLst/>
                          </a:prstGeom>
                          <a:solidFill>
                            <a:srgbClr val="FFFFFF"/>
                          </a:solidFill>
                          <a:ln w="9525">
                            <a:solidFill>
                              <a:srgbClr val="000000"/>
                            </a:solidFill>
                            <a:miter lim="800000"/>
                          </a:ln>
                        </wps:spPr>
                        <wps:txbx>
                          <w:txbxContent>
                            <w:p w14:paraId="39C7108A">
                              <w:pPr>
                                <w:ind w:left="105" w:hanging="105"/>
                                <w:jc w:val="center"/>
                                <w:rPr>
                                  <w:rFonts w:ascii="宋体" w:hAnsi="宋体"/>
                                  <w:kern w:val="0"/>
                                </w:rPr>
                              </w:pPr>
                              <w:r>
                                <w:rPr>
                                  <w:rFonts w:hint="eastAsia"/>
                                  <w:szCs w:val="21"/>
                                </w:rPr>
                                <w:t>监控与安全防范系统</w:t>
                              </w:r>
                            </w:p>
                          </w:txbxContent>
                        </wps:txbx>
                        <wps:bodyPr rot="0" vert="horz" wrap="square" lIns="91440" tIns="82800" rIns="91440" bIns="45720" anchor="t" anchorCtr="0" upright="1">
                          <a:noAutofit/>
                        </wps:bodyPr>
                      </wps:wsp>
                      <wps:wsp>
                        <wps:cNvPr id="140603608" name="Rectangle 14"/>
                        <wps:cNvSpPr>
                          <a:spLocks noChangeArrowheads="1"/>
                        </wps:cNvSpPr>
                        <wps:spPr bwMode="auto">
                          <a:xfrm>
                            <a:off x="-507" y="2037"/>
                            <a:ext cx="1964" cy="624"/>
                          </a:xfrm>
                          <a:prstGeom prst="rect">
                            <a:avLst/>
                          </a:prstGeom>
                          <a:solidFill>
                            <a:srgbClr val="FFFFFF"/>
                          </a:solidFill>
                          <a:ln w="9525">
                            <a:solidFill>
                              <a:srgbClr val="000000"/>
                            </a:solidFill>
                            <a:miter lim="800000"/>
                          </a:ln>
                        </wps:spPr>
                        <wps:txbx>
                          <w:txbxContent>
                            <w:p w14:paraId="3224588C">
                              <w:pPr>
                                <w:ind w:left="105" w:hanging="105"/>
                                <w:jc w:val="center"/>
                                <w:rPr>
                                  <w:rFonts w:ascii="宋体" w:hAnsi="宋体"/>
                                  <w:kern w:val="0"/>
                                </w:rPr>
                              </w:pPr>
                              <w:r>
                                <w:rPr>
                                  <w:rFonts w:hint="eastAsia"/>
                                  <w:szCs w:val="21"/>
                                </w:rPr>
                                <w:t>消防系统系统</w:t>
                              </w:r>
                            </w:p>
                          </w:txbxContent>
                        </wps:txbx>
                        <wps:bodyPr rot="0" vert="horz" wrap="square" lIns="91440" tIns="82800" rIns="91440" bIns="45720" anchor="t" anchorCtr="0" upright="1">
                          <a:noAutofit/>
                        </wps:bodyPr>
                      </wps:wsp>
                      <wps:wsp>
                        <wps:cNvPr id="2008508655" name="Rectangle 14"/>
                        <wps:cNvSpPr>
                          <a:spLocks noChangeArrowheads="1"/>
                        </wps:cNvSpPr>
                        <wps:spPr bwMode="auto">
                          <a:xfrm>
                            <a:off x="2064" y="2037"/>
                            <a:ext cx="1964" cy="624"/>
                          </a:xfrm>
                          <a:prstGeom prst="rect">
                            <a:avLst/>
                          </a:prstGeom>
                          <a:solidFill>
                            <a:srgbClr val="FFFFFF"/>
                          </a:solidFill>
                          <a:ln w="9525">
                            <a:solidFill>
                              <a:srgbClr val="000000"/>
                            </a:solidFill>
                            <a:miter lim="800000"/>
                          </a:ln>
                        </wps:spPr>
                        <wps:txbx>
                          <w:txbxContent>
                            <w:p w14:paraId="560C107A">
                              <w:pPr>
                                <w:ind w:left="105" w:hanging="105"/>
                                <w:jc w:val="center"/>
                                <w:rPr>
                                  <w:rFonts w:ascii="宋体" w:hAnsi="宋体"/>
                                  <w:kern w:val="0"/>
                                </w:rPr>
                              </w:pPr>
                              <w:r>
                                <w:rPr>
                                  <w:rFonts w:hint="eastAsia"/>
                                  <w:szCs w:val="21"/>
                                </w:rPr>
                                <w:t>整体系统测试</w:t>
                              </w:r>
                            </w:p>
                          </w:txbxContent>
                        </wps:txbx>
                        <wps:bodyPr rot="0" vert="horz" wrap="square" lIns="91440" tIns="82800" rIns="91440" bIns="45720" anchor="t" anchorCtr="0" upright="1">
                          <a:noAutofit/>
                        </wps:bodyPr>
                      </wps:wsp>
                      <wps:wsp>
                        <wps:cNvPr id="1212134165" name="Line 16"/>
                        <wps:cNvCnPr>
                          <a:cxnSpLocks noChangeShapeType="1"/>
                          <a:stCxn id="1473012268" idx="3"/>
                          <a:endCxn id="1798099444" idx="1"/>
                        </wps:cNvCnPr>
                        <wps:spPr bwMode="auto">
                          <a:xfrm>
                            <a:off x="5399" y="1349"/>
                            <a:ext cx="624" cy="0"/>
                          </a:xfrm>
                          <a:prstGeom prst="line">
                            <a:avLst/>
                          </a:prstGeom>
                          <a:noFill/>
                          <a:ln w="9525">
                            <a:solidFill>
                              <a:srgbClr val="000000"/>
                            </a:solidFill>
                            <a:round/>
                            <a:tailEnd type="triangle" w="med" len="med"/>
                          </a:ln>
                        </wps:spPr>
                        <wps:bodyPr/>
                      </wps:wsp>
                      <wps:wsp>
                        <wps:cNvPr id="1167183296" name="Line 16"/>
                        <wps:cNvCnPr>
                          <a:cxnSpLocks noChangeShapeType="1"/>
                          <a:stCxn id="140603608" idx="3"/>
                          <a:endCxn id="2008508655" idx="1"/>
                        </wps:cNvCnPr>
                        <wps:spPr bwMode="auto">
                          <a:xfrm>
                            <a:off x="1457" y="2349"/>
                            <a:ext cx="607" cy="0"/>
                          </a:xfrm>
                          <a:prstGeom prst="line">
                            <a:avLst/>
                          </a:prstGeom>
                          <a:noFill/>
                          <a:ln w="9525">
                            <a:solidFill>
                              <a:srgbClr val="000000"/>
                            </a:solidFill>
                            <a:round/>
                            <a:tailEnd type="triangle" w="med" len="med"/>
                          </a:ln>
                        </wps:spPr>
                        <wps:bodyPr/>
                      </wps:wsp>
                      <wps:wsp>
                        <wps:cNvPr id="1941768583" name="Line 11"/>
                        <wps:cNvCnPr>
                          <a:cxnSpLocks noChangeShapeType="1"/>
                        </wps:cNvCnPr>
                        <wps:spPr bwMode="auto">
                          <a:xfrm>
                            <a:off x="7448" y="1339"/>
                            <a:ext cx="540"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133.4pt;width:411.3pt;" coordorigin="-528,-7" coordsize="8516,2668" o:gfxdata="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grEw+9YAAAAFAQAADwAAAAAA&#10;AAABACAAAAAiAAAAZHJzL2Rvd25yZXYueG1sUEsBAhQAFAAAAAgAh07iQG21lHsXBgAAWTEAAA4A&#10;AAAAAAAAAQAgAAAAJQEAAGRycy9lMm9Eb2MueG1sUEsFBgAAAAAGAAYAWQEAAK4JAAAAAA==&#10;">
                <o:lock v:ext="edit" aspectratio="f"/>
                <v:rect id="Rectangle 3" o:spid="_x0000_s1026" o:spt="1" style="position:absolute;left:1563;top:3;height:624;width:1708;" fillcolor="#FFFFFF" filled="t" stroked="t" coordsize="21600,21600" o:gfxdata="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MXp2/&#10;AAAA4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2.3mm,2.54mm,1.27mm">
                    <w:txbxContent>
                      <w:p w14:paraId="4405F882">
                        <w:pPr>
                          <w:ind w:left="105" w:hanging="105"/>
                          <w:jc w:val="center"/>
                          <w:rPr>
                            <w:rFonts w:ascii="宋体" w:hAnsi="宋体"/>
                            <w:kern w:val="0"/>
                          </w:rPr>
                        </w:pPr>
                        <w:r>
                          <w:rPr>
                            <w:rFonts w:hint="eastAsia"/>
                            <w:szCs w:val="21"/>
                          </w:rPr>
                          <w:t>电磁屏蔽系统</w:t>
                        </w:r>
                      </w:p>
                    </w:txbxContent>
                  </v:textbox>
                </v:rect>
                <v:rect id="Rectangle 4" o:spid="_x0000_s1026" o:spt="1" style="position:absolute;left:-528;top:2;height:624;width:1676;" fillcolor="#FFFFFF" filled="t" stroked="t" coordsize="21600,21600" o:gfxdata="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eZxf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19A748B2">
                        <w:pPr>
                          <w:ind w:left="105" w:hanging="105"/>
                          <w:jc w:val="center"/>
                        </w:pPr>
                        <w:r>
                          <w:rPr>
                            <w:rFonts w:hint="eastAsia"/>
                            <w:szCs w:val="21"/>
                          </w:rPr>
                          <w:t>室内装饰装修</w:t>
                        </w:r>
                      </w:p>
                    </w:txbxContent>
                  </v:textbox>
                </v:rect>
                <v:rect id="Rectangle 5" o:spid="_x0000_s1026" o:spt="1" style="position:absolute;left:3669;top:1;height:624;width:1756;" fillcolor="#FFFFFF" filled="t" stroked="t" coordsize="21600,21600" o:gfxdata="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UEB3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31CB68F4">
                        <w:pPr>
                          <w:ind w:left="105" w:hanging="105"/>
                          <w:jc w:val="center"/>
                          <w:rPr>
                            <w:rFonts w:ascii="宋体" w:hAnsi="宋体"/>
                            <w:kern w:val="0"/>
                          </w:rPr>
                        </w:pPr>
                        <w:r>
                          <w:rPr>
                            <w:rFonts w:hint="eastAsia"/>
                            <w:szCs w:val="21"/>
                          </w:rPr>
                          <w:t>综合布线系统</w:t>
                        </w:r>
                      </w:p>
                    </w:txbxContent>
                  </v:textbox>
                </v:rect>
                <v:rect id="Rectangle 6" o:spid="_x0000_s1026" o:spt="1" style="position:absolute;left:5810;top:-7;height:624;width:1457;" fillcolor="#FFFFFF" filled="t" stroked="t" coordsize="21600,21600" o:gfxdata="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u7lJ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2A4658A8">
                        <w:pPr>
                          <w:ind w:left="105" w:hanging="105"/>
                          <w:jc w:val="center"/>
                          <w:rPr>
                            <w:rFonts w:ascii="宋体" w:hAnsi="宋体"/>
                            <w:kern w:val="0"/>
                          </w:rPr>
                        </w:pPr>
                        <w:r>
                          <w:rPr>
                            <w:rFonts w:hint="eastAsia"/>
                            <w:szCs w:val="21"/>
                          </w:rPr>
                          <w:t>供配电系统</w:t>
                        </w:r>
                      </w:p>
                    </w:txbxContent>
                  </v:textbox>
                </v:rect>
                <v:rect id="Rectangle 7" o:spid="_x0000_s1026" o:spt="1" style="position:absolute;left:-507;top:1037;height:624;width:1947;" fillcolor="#FFFFFF" filled="t" stroked="t" coordsize="21600,21600" o:gfxdata="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2tBQ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2.54mm,2.3mm,2.54mm,1.27mm">
                    <w:txbxContent>
                      <w:p w14:paraId="61E52769">
                        <w:pPr>
                          <w:ind w:left="105" w:hanging="105"/>
                          <w:jc w:val="center"/>
                          <w:rPr>
                            <w:rFonts w:ascii="宋体" w:hAnsi="宋体"/>
                            <w:kern w:val="0"/>
                          </w:rPr>
                        </w:pPr>
                        <w:r>
                          <w:rPr>
                            <w:rFonts w:hint="eastAsia"/>
                            <w:szCs w:val="21"/>
                          </w:rPr>
                          <w:t>防雷与接地系统</w:t>
                        </w:r>
                      </w:p>
                    </w:txbxContent>
                  </v:textbox>
                </v:rect>
                <v:line id="Line 8" o:spid="_x0000_s1026" o:spt="20" style="position:absolute;left:1148;top:314;height:1;width:415;" filled="f" stroked="t" coordsize="21600,21600" o:gfxdata="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rGf+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line id="Line 9" o:spid="_x0000_s1026" o:spt="20" style="position:absolute;left:3271;top:313;flip:y;height:2;width:398;" filled="f" stroked="t" coordsize="21600,21600" o:gfxdata="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K5l0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v:line id="Line 10" o:spid="_x0000_s1026" o:spt="20" style="position:absolute;left:5425;top:305;flip:y;height:8;width:385;" filled="f" stroked="t" coordsize="21600,21600" o:gfxdata="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Gfcec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v:line id="Line 11" o:spid="_x0000_s1026" o:spt="20" style="position:absolute;left:7262;top:327;height:0;width:540;" filled="f" stroked="t" coordsize="21600,21600" o:gfxdata="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2k1W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rect id="Rectangle 12" o:spid="_x0000_s1026" o:spt="1" style="position:absolute;left:1980;top:1037;height:624;width:1620;" fillcolor="#FFFFFF" filled="t" stroked="t" coordsize="21600,21600" o:gfxdata="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Brge/&#10;AAAA4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2.3mm,2.54mm,1.27mm">
                    <w:txbxContent>
                      <w:p w14:paraId="5943745E">
                        <w:pPr>
                          <w:ind w:left="105" w:hanging="105"/>
                          <w:jc w:val="center"/>
                          <w:rPr>
                            <w:rFonts w:ascii="宋体" w:hAnsi="宋体"/>
                            <w:kern w:val="0"/>
                          </w:rPr>
                        </w:pPr>
                        <w:r>
                          <w:rPr>
                            <w:rFonts w:hint="eastAsia"/>
                            <w:szCs w:val="21"/>
                          </w:rPr>
                          <w:t>空气调节系统</w:t>
                        </w:r>
                      </w:p>
                    </w:txbxContent>
                  </v:textbox>
                </v:rect>
                <v:line id="Line 13" o:spid="_x0000_s1026" o:spt="20" style="position:absolute;left:1440;top:1349;height:0;width:540;" filled="f" stroked="t" coordsize="21600,21600" o:gfxdata="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ttNLzccAAADjAAAADwAAAAAAAAABACAAAAAiAAAAZHJzL2Rvd25yZXYueG1sUEsBAhQAFAAA&#10;AAgAh07iQDMvBZ47AAAAOQAAABAAAAAAAAAAAQAgAAAAFgEAAGRycy9zaGFwZXhtbC54bWxQSwUG&#10;AAAAAAYABgBbAQAAwAMAAAAA&#10;">
                  <v:fill on="f" focussize="0,0"/>
                  <v:stroke color="#000000" joinstyle="round" endarrow="block"/>
                  <v:imagedata o:title=""/>
                  <o:lock v:ext="edit" aspectratio="f"/>
                </v:line>
                <v:rect id="Rectangle 14" o:spid="_x0000_s1026" o:spt="1" style="position:absolute;left:4139;top:987;height:724;width:1260;" fillcolor="#FFFFFF" filled="t" stroked="t" coordsize="21600,21600" o:gfxdata="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AMBv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2.3mm,2.54mm,1.27mm">
                    <w:txbxContent>
                      <w:p w14:paraId="661A7406">
                        <w:pPr>
                          <w:ind w:left="105" w:hanging="105"/>
                          <w:jc w:val="center"/>
                          <w:rPr>
                            <w:rFonts w:ascii="宋体" w:hAnsi="宋体"/>
                            <w:kern w:val="0"/>
                          </w:rPr>
                        </w:pPr>
                        <w:r>
                          <w:rPr>
                            <w:rFonts w:hint="eastAsia"/>
                            <w:szCs w:val="21"/>
                          </w:rPr>
                          <w:t>给水排水系统</w:t>
                        </w:r>
                      </w:p>
                    </w:txbxContent>
                  </v:textbox>
                </v:rect>
                <v:line id="Line 16" o:spid="_x0000_s1026" o:spt="20" style="position:absolute;left:3600;top:1349;height:0;width:539;" filled="f" stroked="t" coordsize="21600,21600" o:gfxdata="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4O3aX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rect id="Rectangle 14" o:spid="_x0000_s1026" o:spt="1" style="position:absolute;left:6023;top:987;height:724;width:1425;" fillcolor="#FFFFFF" filled="t" stroked="t" coordsize="21600,21600" o:gfxdata="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6Kw&#10;mc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2.3mm,2.54mm,1.27mm">
                    <w:txbxContent>
                      <w:p w14:paraId="39C7108A">
                        <w:pPr>
                          <w:ind w:left="105" w:hanging="105"/>
                          <w:jc w:val="center"/>
                          <w:rPr>
                            <w:rFonts w:ascii="宋体" w:hAnsi="宋体"/>
                            <w:kern w:val="0"/>
                          </w:rPr>
                        </w:pPr>
                        <w:r>
                          <w:rPr>
                            <w:rFonts w:hint="eastAsia"/>
                            <w:szCs w:val="21"/>
                          </w:rPr>
                          <w:t>监控与安全防范系统</w:t>
                        </w:r>
                      </w:p>
                    </w:txbxContent>
                  </v:textbox>
                </v:rect>
                <v:rect id="Rectangle 14" o:spid="_x0000_s1026" o:spt="1" style="position:absolute;left:-507;top:2037;height:624;width:1964;" fillcolor="#FFFFFF" filled="t" stroked="t" coordsize="21600,21600" o:gfxdata="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oH9S/&#10;AAAA4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2.3mm,2.54mm,1.27mm">
                    <w:txbxContent>
                      <w:p w14:paraId="3224588C">
                        <w:pPr>
                          <w:ind w:left="105" w:hanging="105"/>
                          <w:jc w:val="center"/>
                          <w:rPr>
                            <w:rFonts w:ascii="宋体" w:hAnsi="宋体"/>
                            <w:kern w:val="0"/>
                          </w:rPr>
                        </w:pPr>
                        <w:r>
                          <w:rPr>
                            <w:rFonts w:hint="eastAsia"/>
                            <w:szCs w:val="21"/>
                          </w:rPr>
                          <w:t>消防系统系统</w:t>
                        </w:r>
                      </w:p>
                    </w:txbxContent>
                  </v:textbox>
                </v:rect>
                <v:rect id="Rectangle 14" o:spid="_x0000_s1026" o:spt="1" style="position:absolute;left:2064;top:2037;height:624;width:1964;" fillcolor="#FFFFFF" filled="t" stroked="t" coordsize="21600,21600" o:gfxdata="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tz&#10;2ur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2.3mm,2.54mm,1.27mm">
                    <w:txbxContent>
                      <w:p w14:paraId="560C107A">
                        <w:pPr>
                          <w:ind w:left="105" w:hanging="105"/>
                          <w:jc w:val="center"/>
                          <w:rPr>
                            <w:rFonts w:ascii="宋体" w:hAnsi="宋体"/>
                            <w:kern w:val="0"/>
                          </w:rPr>
                        </w:pPr>
                        <w:r>
                          <w:rPr>
                            <w:rFonts w:hint="eastAsia"/>
                            <w:szCs w:val="21"/>
                          </w:rPr>
                          <w:t>整体系统测试</w:t>
                        </w:r>
                      </w:p>
                    </w:txbxContent>
                  </v:textbox>
                </v:rect>
                <v:line id="Line 16" o:spid="_x0000_s1026" o:spt="20" style="position:absolute;left:5399;top:1349;height:0;width:624;" filled="f" stroked="t" coordsize="21600,21600" o:gfxdata="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dlMv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line id="Line 16" o:spid="_x0000_s1026" o:spt="20" style="position:absolute;left:1457;top:2349;height:0;width:607;" filled="f" stroked="t" coordsize="21600,21600" o:gfxdata="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fKwn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line id="Line 11" o:spid="_x0000_s1026" o:spt="20" style="position:absolute;left:7448;top:1339;height:0;width:540;" filled="f" stroked="t" coordsize="21600,21600" o:gfxdata="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vMFuc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w10:wrap type="none"/>
                <w10:anchorlock/>
              </v:group>
            </w:pict>
          </mc:Fallback>
        </mc:AlternateContent>
      </w:r>
    </w:p>
    <w:p w14:paraId="1F38C048">
      <w:pPr>
        <w:ind w:left="0" w:firstLine="0" w:firstLineChars="0"/>
        <w:jc w:val="center"/>
        <w:rPr>
          <w:rFonts w:ascii="Times New Roman" w:hAnsi="Times New Roman" w:eastAsiaTheme="minorEastAsia"/>
          <w:sz w:val="20"/>
          <w:szCs w:val="21"/>
        </w:rPr>
      </w:pPr>
    </w:p>
    <w:p w14:paraId="5F353A42">
      <w:pPr>
        <w:ind w:left="0" w:firstLine="0" w:firstLineChars="0"/>
        <w:jc w:val="center"/>
        <w:rPr>
          <w:rFonts w:ascii="Times New Roman" w:hAnsi="Times New Roman" w:eastAsiaTheme="minorEastAsia"/>
          <w:sz w:val="20"/>
          <w:szCs w:val="21"/>
        </w:rPr>
      </w:pPr>
      <w:r>
        <w:rPr>
          <w:rFonts w:ascii="Times New Roman" w:hAnsi="Times New Roman" w:eastAsiaTheme="minorEastAsia"/>
          <w:sz w:val="20"/>
          <w:szCs w:val="21"/>
        </w:rPr>
        <w:t>图21.3.1   机房工程施工工艺流程图</w:t>
      </w:r>
    </w:p>
    <w:p w14:paraId="1808E759">
      <w:pPr>
        <w:pStyle w:val="164"/>
        <w:spacing w:before="100" w:after="100" w:line="330" w:lineRule="exact"/>
        <w:ind w:firstLine="0" w:firstLineChars="0"/>
        <w:rPr>
          <w:szCs w:val="21"/>
        </w:rPr>
      </w:pPr>
      <w:r>
        <w:rPr>
          <w:szCs w:val="21"/>
        </w:rPr>
        <w:t>21.3.2 室内装饰装修应包括吊顶、隔墙、地面、活动地板、内墙、顶棚、柱面、门窗等作业的施工</w:t>
      </w:r>
      <w:r>
        <w:rPr>
          <w:rFonts w:hint="eastAsia"/>
          <w:szCs w:val="21"/>
        </w:rPr>
        <w:t>，并应符合下列规定：</w:t>
      </w:r>
    </w:p>
    <w:p w14:paraId="1A79E6A4">
      <w:pPr>
        <w:pStyle w:val="164"/>
        <w:spacing w:before="100" w:after="100" w:line="330" w:lineRule="exact"/>
        <w:rPr>
          <w:szCs w:val="21"/>
        </w:rPr>
      </w:pPr>
      <w:r>
        <w:rPr>
          <w:rFonts w:hint="eastAsia"/>
          <w:szCs w:val="21"/>
        </w:rPr>
        <w:t>1</w:t>
      </w:r>
      <w:r>
        <w:rPr>
          <w:szCs w:val="21"/>
        </w:rPr>
        <w:t>室内装饰装修施工宜按由上而下、由里到外的顺序进行</w:t>
      </w:r>
      <w:r>
        <w:rPr>
          <w:rFonts w:hint="eastAsia"/>
          <w:szCs w:val="21"/>
        </w:rPr>
        <w:t>，</w:t>
      </w:r>
      <w:r>
        <w:rPr>
          <w:szCs w:val="21"/>
        </w:rPr>
        <w:t>吊顶安装需满足下列要求：</w:t>
      </w:r>
    </w:p>
    <w:p w14:paraId="5191F25A">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吊顶点固定件位置应按设计标高及安装位置确定。</w:t>
      </w:r>
    </w:p>
    <w:p w14:paraId="670B3930">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吊杆和龙骨的材质、规格、安装间隙与连接方式应满足设计要求。预埋吊杆或预设钢板，应在吊顶施工前完成。未做防锈处理的金属吊挂件应除锈，并应涂不少于两遍防锈漆。</w:t>
      </w:r>
    </w:p>
    <w:p w14:paraId="349DE61E">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吊顶内空间表面的防尘涂覆应满足设计要求，不得起皮或龟裂。</w:t>
      </w:r>
    </w:p>
    <w:p w14:paraId="2891D428">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吊顶板上铺设的防火、保温、吸声材料应满足设计要求，包封应严密，板块间应无明显缝隙。</w:t>
      </w:r>
    </w:p>
    <w:p w14:paraId="7D84D267">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吊顶板应表面平整、边缘整齐、颜色一致，图案或布置应满足设计要求，不得有变色、翘曲、缺损、裂缝、腐蚀等缺陷。</w:t>
      </w:r>
    </w:p>
    <w:p w14:paraId="6B88AB62">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吊顶与墙面、柱面、窗帘盒的交接应满足设计要求，并应紧密、美观。</w:t>
      </w:r>
    </w:p>
    <w:p w14:paraId="7523B314">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吸顶安装的各种设备、装置与吊顶板面应紧密搭接。</w:t>
      </w:r>
    </w:p>
    <w:p w14:paraId="7599F66E">
      <w:pPr>
        <w:pStyle w:val="164"/>
        <w:numPr>
          <w:ilvl w:val="0"/>
          <w:numId w:val="237"/>
        </w:numPr>
        <w:tabs>
          <w:tab w:val="left" w:pos="210"/>
          <w:tab w:val="left" w:pos="567"/>
        </w:tabs>
        <w:spacing w:line="330" w:lineRule="exact"/>
        <w:ind w:firstLine="630" w:firstLineChars="300"/>
        <w:rPr>
          <w:rFonts w:eastAsiaTheme="minorEastAsia"/>
          <w:szCs w:val="21"/>
        </w:rPr>
      </w:pPr>
      <w:r>
        <w:rPr>
          <w:rFonts w:eastAsiaTheme="minorEastAsia"/>
          <w:szCs w:val="21"/>
        </w:rPr>
        <w:t>安装吊顶板前应完成吊顶上隐蔽工程的施工及</w:t>
      </w:r>
      <w:r>
        <w:rPr>
          <w:rFonts w:hint="eastAsia" w:eastAsiaTheme="minorEastAsia"/>
          <w:szCs w:val="21"/>
        </w:rPr>
        <w:t>检验</w:t>
      </w:r>
      <w:r>
        <w:rPr>
          <w:rFonts w:eastAsiaTheme="minorEastAsia"/>
          <w:szCs w:val="21"/>
        </w:rPr>
        <w:t>。</w:t>
      </w:r>
    </w:p>
    <w:p w14:paraId="2E8FD705">
      <w:pPr>
        <w:pStyle w:val="164"/>
        <w:numPr>
          <w:ilvl w:val="0"/>
          <w:numId w:val="237"/>
        </w:numPr>
        <w:tabs>
          <w:tab w:val="left" w:pos="210"/>
          <w:tab w:val="left" w:pos="567"/>
        </w:tabs>
        <w:spacing w:line="330" w:lineRule="exact"/>
        <w:ind w:firstLine="630" w:firstLineChars="300"/>
        <w:rPr>
          <w:szCs w:val="21"/>
        </w:rPr>
      </w:pPr>
      <w:r>
        <w:rPr>
          <w:rFonts w:eastAsiaTheme="minorEastAsia"/>
          <w:szCs w:val="21"/>
        </w:rPr>
        <w:t>对于不安装吊顶的楼板应按设计进行防尘涂覆和保温处理。</w:t>
      </w:r>
    </w:p>
    <w:p w14:paraId="5F38946F">
      <w:pPr>
        <w:pStyle w:val="164"/>
        <w:spacing w:before="100" w:after="100" w:line="330" w:lineRule="exact"/>
        <w:ind w:firstLine="422"/>
        <w:rPr>
          <w:szCs w:val="21"/>
        </w:rPr>
      </w:pPr>
      <w:r>
        <w:rPr>
          <w:b/>
          <w:bCs/>
          <w:szCs w:val="21"/>
        </w:rPr>
        <w:t>2</w:t>
      </w:r>
      <w:r>
        <w:rPr>
          <w:szCs w:val="21"/>
        </w:rPr>
        <w:t xml:space="preserve"> 隔墙安装需满足下列要求：</w:t>
      </w:r>
    </w:p>
    <w:p w14:paraId="18A35A51">
      <w:pPr>
        <w:pStyle w:val="164"/>
        <w:numPr>
          <w:ilvl w:val="0"/>
          <w:numId w:val="238"/>
        </w:numPr>
        <w:tabs>
          <w:tab w:val="left" w:pos="210"/>
          <w:tab w:val="left" w:pos="567"/>
        </w:tabs>
        <w:spacing w:line="330" w:lineRule="exact"/>
        <w:ind w:firstLine="630" w:firstLineChars="300"/>
        <w:rPr>
          <w:rFonts w:eastAsiaTheme="minorEastAsia"/>
          <w:szCs w:val="21"/>
        </w:rPr>
      </w:pPr>
      <w:r>
        <w:rPr>
          <w:rFonts w:eastAsiaTheme="minorEastAsia"/>
          <w:szCs w:val="21"/>
        </w:rPr>
        <w:t>机房安装的隔墙应包括金属饰面板隔墙、轻钢龙骨隔墙和玻璃隔墙等非承重轻质隔墙及实体隔墙。隔墙施工前应按设计要求划线定位。</w:t>
      </w:r>
    </w:p>
    <w:p w14:paraId="4DCC8FCB">
      <w:pPr>
        <w:pStyle w:val="164"/>
        <w:numPr>
          <w:ilvl w:val="0"/>
          <w:numId w:val="238"/>
        </w:numPr>
        <w:tabs>
          <w:tab w:val="left" w:pos="210"/>
          <w:tab w:val="left" w:pos="567"/>
        </w:tabs>
        <w:spacing w:line="330" w:lineRule="exact"/>
        <w:ind w:firstLine="630" w:firstLineChars="300"/>
        <w:rPr>
          <w:rFonts w:eastAsiaTheme="minorEastAsia"/>
          <w:szCs w:val="21"/>
        </w:rPr>
      </w:pPr>
      <w:r>
        <w:rPr>
          <w:rFonts w:eastAsiaTheme="minorEastAsia"/>
          <w:szCs w:val="21"/>
        </w:rPr>
        <w:t>轻钢龙骨隔墙安装应符合下列规定：</w:t>
      </w:r>
    </w:p>
    <w:p w14:paraId="3BB54BB1">
      <w:pPr>
        <w:pStyle w:val="164"/>
        <w:numPr>
          <w:ilvl w:val="0"/>
          <w:numId w:val="239"/>
        </w:numPr>
        <w:autoSpaceDE w:val="0"/>
        <w:autoSpaceDN w:val="0"/>
        <w:adjustRightInd w:val="0"/>
        <w:snapToGrid w:val="0"/>
        <w:spacing w:line="330" w:lineRule="exact"/>
        <w:ind w:left="0" w:firstLine="840" w:firstLineChars="400"/>
        <w:rPr>
          <w:szCs w:val="21"/>
        </w:rPr>
      </w:pPr>
      <w:r>
        <w:rPr>
          <w:szCs w:val="21"/>
        </w:rPr>
        <w:t>隔墙的沿地、沿顶及沿墙龙骨位置应准确，安装应牢固；</w:t>
      </w:r>
    </w:p>
    <w:p w14:paraId="3525A330">
      <w:pPr>
        <w:pStyle w:val="164"/>
        <w:numPr>
          <w:ilvl w:val="0"/>
          <w:numId w:val="239"/>
        </w:numPr>
        <w:autoSpaceDE w:val="0"/>
        <w:autoSpaceDN w:val="0"/>
        <w:adjustRightInd w:val="0"/>
        <w:snapToGrid w:val="0"/>
        <w:spacing w:line="330" w:lineRule="exact"/>
        <w:ind w:left="0" w:firstLine="840" w:firstLineChars="400"/>
        <w:rPr>
          <w:szCs w:val="21"/>
        </w:rPr>
      </w:pPr>
      <w:r>
        <w:rPr>
          <w:szCs w:val="21"/>
        </w:rPr>
        <w:t>竖龙骨及横向贯通龙骨的安装应</w:t>
      </w:r>
      <w:r>
        <w:rPr>
          <w:rFonts w:hint="eastAsia"/>
          <w:szCs w:val="21"/>
        </w:rPr>
        <w:t>满足</w:t>
      </w:r>
      <w:r>
        <w:rPr>
          <w:szCs w:val="21"/>
        </w:rPr>
        <w:t>设计及产品说明书要求；</w:t>
      </w:r>
    </w:p>
    <w:p w14:paraId="7FF232C3">
      <w:pPr>
        <w:pStyle w:val="164"/>
        <w:numPr>
          <w:ilvl w:val="0"/>
          <w:numId w:val="239"/>
        </w:numPr>
        <w:autoSpaceDE w:val="0"/>
        <w:autoSpaceDN w:val="0"/>
        <w:adjustRightInd w:val="0"/>
        <w:snapToGrid w:val="0"/>
        <w:spacing w:line="330" w:lineRule="exact"/>
        <w:ind w:left="0" w:firstLine="840" w:firstLineChars="400"/>
        <w:rPr>
          <w:szCs w:val="21"/>
        </w:rPr>
      </w:pPr>
      <w:r>
        <w:rPr>
          <w:szCs w:val="21"/>
        </w:rPr>
        <w:t>有耐火极限要求的隔墙安装应符合下列规定：</w:t>
      </w:r>
    </w:p>
    <w:p w14:paraId="09926A3D">
      <w:pPr>
        <w:pStyle w:val="164"/>
        <w:numPr>
          <w:ilvl w:val="0"/>
          <w:numId w:val="240"/>
        </w:numPr>
        <w:autoSpaceDE w:val="0"/>
        <w:autoSpaceDN w:val="0"/>
        <w:adjustRightInd w:val="0"/>
        <w:snapToGrid w:val="0"/>
        <w:spacing w:line="330" w:lineRule="exact"/>
        <w:ind w:firstLineChars="0"/>
        <w:rPr>
          <w:szCs w:val="21"/>
        </w:rPr>
      </w:pPr>
      <w:r>
        <w:rPr>
          <w:szCs w:val="21"/>
        </w:rPr>
        <w:t>竖龙骨的长度应小于隔墙的高度30mm,上下应形成15mm的膨胀缝；</w:t>
      </w:r>
    </w:p>
    <w:p w14:paraId="51026254">
      <w:pPr>
        <w:pStyle w:val="164"/>
        <w:numPr>
          <w:ilvl w:val="0"/>
          <w:numId w:val="240"/>
        </w:numPr>
        <w:autoSpaceDE w:val="0"/>
        <w:autoSpaceDN w:val="0"/>
        <w:adjustRightInd w:val="0"/>
        <w:snapToGrid w:val="0"/>
        <w:spacing w:line="330" w:lineRule="exact"/>
        <w:ind w:firstLineChars="0"/>
        <w:rPr>
          <w:szCs w:val="21"/>
        </w:rPr>
      </w:pPr>
      <w:r>
        <w:rPr>
          <w:rFonts w:hint="eastAsia"/>
          <w:szCs w:val="21"/>
        </w:rPr>
        <w:t>竖</w:t>
      </w:r>
      <w:r>
        <w:rPr>
          <w:szCs w:val="21"/>
        </w:rPr>
        <w:t>隔墙板应与竖龙骨平行铺设；</w:t>
      </w:r>
    </w:p>
    <w:p w14:paraId="638304E2">
      <w:pPr>
        <w:pStyle w:val="164"/>
        <w:numPr>
          <w:ilvl w:val="0"/>
          <w:numId w:val="240"/>
        </w:numPr>
        <w:autoSpaceDE w:val="0"/>
        <w:autoSpaceDN w:val="0"/>
        <w:adjustRightInd w:val="0"/>
        <w:snapToGrid w:val="0"/>
        <w:spacing w:line="330" w:lineRule="exact"/>
        <w:ind w:firstLineChars="0"/>
        <w:rPr>
          <w:szCs w:val="21"/>
        </w:rPr>
      </w:pPr>
      <w:r>
        <w:rPr>
          <w:szCs w:val="21"/>
        </w:rPr>
        <w:t>隔墙两面墙板接缝不得在同一根龙骨上，安装双层墙板时，面层与基层的接缝不得在同一根龙骨上；</w:t>
      </w:r>
    </w:p>
    <w:p w14:paraId="345F402C">
      <w:pPr>
        <w:pStyle w:val="172"/>
        <w:numPr>
          <w:ilvl w:val="0"/>
          <w:numId w:val="241"/>
        </w:numPr>
        <w:autoSpaceDE w:val="0"/>
        <w:autoSpaceDN w:val="0"/>
        <w:adjustRightInd w:val="0"/>
        <w:snapToGrid w:val="0"/>
        <w:spacing w:line="330" w:lineRule="exact"/>
        <w:ind w:left="0" w:firstLine="840" w:firstLineChars="400"/>
        <w:rPr>
          <w:vanish/>
          <w:szCs w:val="21"/>
        </w:rPr>
      </w:pPr>
    </w:p>
    <w:p w14:paraId="452DAB4E">
      <w:pPr>
        <w:pStyle w:val="172"/>
        <w:numPr>
          <w:ilvl w:val="0"/>
          <w:numId w:val="241"/>
        </w:numPr>
        <w:autoSpaceDE w:val="0"/>
        <w:autoSpaceDN w:val="0"/>
        <w:adjustRightInd w:val="0"/>
        <w:snapToGrid w:val="0"/>
        <w:spacing w:line="330" w:lineRule="exact"/>
        <w:ind w:left="0" w:firstLine="840" w:firstLineChars="400"/>
        <w:rPr>
          <w:vanish/>
          <w:szCs w:val="21"/>
        </w:rPr>
      </w:pPr>
    </w:p>
    <w:p w14:paraId="0411A894">
      <w:pPr>
        <w:pStyle w:val="172"/>
        <w:numPr>
          <w:ilvl w:val="0"/>
          <w:numId w:val="241"/>
        </w:numPr>
        <w:autoSpaceDE w:val="0"/>
        <w:autoSpaceDN w:val="0"/>
        <w:adjustRightInd w:val="0"/>
        <w:snapToGrid w:val="0"/>
        <w:spacing w:line="330" w:lineRule="exact"/>
        <w:ind w:left="0" w:firstLine="840" w:firstLineChars="400"/>
        <w:rPr>
          <w:vanish/>
          <w:szCs w:val="21"/>
        </w:rPr>
      </w:pPr>
    </w:p>
    <w:p w14:paraId="347CF60E">
      <w:pPr>
        <w:pStyle w:val="164"/>
        <w:numPr>
          <w:ilvl w:val="0"/>
          <w:numId w:val="241"/>
        </w:numPr>
        <w:autoSpaceDE w:val="0"/>
        <w:autoSpaceDN w:val="0"/>
        <w:adjustRightInd w:val="0"/>
        <w:snapToGrid w:val="0"/>
        <w:spacing w:line="330" w:lineRule="exact"/>
        <w:ind w:left="0" w:firstLine="840" w:firstLineChars="400"/>
        <w:rPr>
          <w:szCs w:val="21"/>
        </w:rPr>
      </w:pPr>
      <w:r>
        <w:rPr>
          <w:szCs w:val="21"/>
        </w:rPr>
        <w:t>隔墙内填充的材料品种与规格应满足设计要求，并应充满、密实、均匀。</w:t>
      </w:r>
    </w:p>
    <w:p w14:paraId="38F84B15">
      <w:pPr>
        <w:pStyle w:val="164"/>
        <w:numPr>
          <w:ilvl w:val="0"/>
          <w:numId w:val="238"/>
        </w:numPr>
        <w:tabs>
          <w:tab w:val="left" w:pos="210"/>
          <w:tab w:val="left" w:pos="567"/>
        </w:tabs>
        <w:spacing w:line="330" w:lineRule="exact"/>
        <w:ind w:firstLine="630" w:firstLineChars="300"/>
        <w:rPr>
          <w:szCs w:val="21"/>
        </w:rPr>
      </w:pPr>
      <w:r>
        <w:rPr>
          <w:szCs w:val="21"/>
        </w:rPr>
        <w:t>非阻燃材料装饰面板隔墙安装应符合下列</w:t>
      </w:r>
      <w:r>
        <w:rPr>
          <w:rFonts w:hint="eastAsia"/>
          <w:szCs w:val="21"/>
        </w:rPr>
        <w:t>规定</w:t>
      </w:r>
      <w:r>
        <w:rPr>
          <w:szCs w:val="21"/>
        </w:rPr>
        <w:t>：</w:t>
      </w:r>
    </w:p>
    <w:p w14:paraId="28652FDC">
      <w:pPr>
        <w:pStyle w:val="164"/>
        <w:numPr>
          <w:ilvl w:val="0"/>
          <w:numId w:val="242"/>
        </w:numPr>
        <w:autoSpaceDE w:val="0"/>
        <w:autoSpaceDN w:val="0"/>
        <w:adjustRightInd w:val="0"/>
        <w:snapToGrid w:val="0"/>
        <w:spacing w:line="330" w:lineRule="exact"/>
        <w:ind w:left="0" w:firstLine="840" w:firstLineChars="400"/>
        <w:rPr>
          <w:szCs w:val="21"/>
        </w:rPr>
      </w:pPr>
      <w:r>
        <w:rPr>
          <w:szCs w:val="21"/>
        </w:rPr>
        <w:t>衬层内表面应做防火处理；</w:t>
      </w:r>
    </w:p>
    <w:p w14:paraId="4CE9CC7C">
      <w:pPr>
        <w:pStyle w:val="164"/>
        <w:numPr>
          <w:ilvl w:val="0"/>
          <w:numId w:val="242"/>
        </w:numPr>
        <w:autoSpaceDE w:val="0"/>
        <w:autoSpaceDN w:val="0"/>
        <w:adjustRightInd w:val="0"/>
        <w:snapToGrid w:val="0"/>
        <w:spacing w:line="330" w:lineRule="exact"/>
        <w:ind w:left="0" w:firstLine="840" w:firstLineChars="400"/>
        <w:rPr>
          <w:szCs w:val="21"/>
        </w:rPr>
      </w:pPr>
      <w:r>
        <w:rPr>
          <w:szCs w:val="21"/>
        </w:rPr>
        <w:t>黏结剂应根据装饰面板性能或产品说明书要求</w:t>
      </w:r>
      <w:r>
        <w:rPr>
          <w:rFonts w:hint="eastAsia"/>
          <w:szCs w:val="21"/>
        </w:rPr>
        <w:t>选择，并应</w:t>
      </w:r>
      <w:r>
        <w:rPr>
          <w:szCs w:val="21"/>
        </w:rPr>
        <w:t>满涂、均匀；</w:t>
      </w:r>
    </w:p>
    <w:p w14:paraId="52BC1C67">
      <w:pPr>
        <w:pStyle w:val="164"/>
        <w:numPr>
          <w:ilvl w:val="0"/>
          <w:numId w:val="242"/>
        </w:numPr>
        <w:autoSpaceDE w:val="0"/>
        <w:autoSpaceDN w:val="0"/>
        <w:adjustRightInd w:val="0"/>
        <w:snapToGrid w:val="0"/>
        <w:spacing w:line="330" w:lineRule="exact"/>
        <w:ind w:left="0" w:firstLine="840" w:firstLineChars="400"/>
        <w:rPr>
          <w:szCs w:val="21"/>
        </w:rPr>
      </w:pPr>
      <w:r>
        <w:rPr>
          <w:szCs w:val="21"/>
        </w:rPr>
        <w:t>饰面板粘接应牢固，对缝图案应</w:t>
      </w:r>
      <w:r>
        <w:rPr>
          <w:rFonts w:hint="eastAsia"/>
          <w:szCs w:val="21"/>
        </w:rPr>
        <w:t>满足设计要求</w:t>
      </w:r>
      <w:r>
        <w:rPr>
          <w:szCs w:val="21"/>
        </w:rPr>
        <w:t>。</w:t>
      </w:r>
    </w:p>
    <w:p w14:paraId="159A89B7">
      <w:pPr>
        <w:pStyle w:val="164"/>
        <w:numPr>
          <w:ilvl w:val="0"/>
          <w:numId w:val="238"/>
        </w:numPr>
        <w:tabs>
          <w:tab w:val="left" w:pos="210"/>
          <w:tab w:val="left" w:pos="567"/>
        </w:tabs>
        <w:spacing w:line="330" w:lineRule="exact"/>
        <w:ind w:firstLine="630" w:firstLineChars="300"/>
        <w:rPr>
          <w:szCs w:val="21"/>
        </w:rPr>
      </w:pPr>
      <w:r>
        <w:rPr>
          <w:szCs w:val="21"/>
        </w:rPr>
        <w:t>金属饰面板隔墙安装应符合下列</w:t>
      </w:r>
      <w:r>
        <w:rPr>
          <w:rFonts w:hint="eastAsia"/>
          <w:szCs w:val="21"/>
        </w:rPr>
        <w:t>规定</w:t>
      </w:r>
      <w:r>
        <w:rPr>
          <w:szCs w:val="21"/>
        </w:rPr>
        <w:t>：</w:t>
      </w:r>
    </w:p>
    <w:p w14:paraId="64A1F357">
      <w:pPr>
        <w:pStyle w:val="164"/>
        <w:numPr>
          <w:ilvl w:val="0"/>
          <w:numId w:val="243"/>
        </w:numPr>
        <w:autoSpaceDE w:val="0"/>
        <w:autoSpaceDN w:val="0"/>
        <w:adjustRightInd w:val="0"/>
        <w:snapToGrid w:val="0"/>
        <w:spacing w:line="330" w:lineRule="exact"/>
        <w:ind w:left="0" w:firstLine="840" w:firstLineChars="400"/>
        <w:rPr>
          <w:szCs w:val="21"/>
        </w:rPr>
      </w:pPr>
      <w:r>
        <w:rPr>
          <w:szCs w:val="21"/>
        </w:rPr>
        <w:t>金属饰面板表面应无压痕、划痕、污染、变色、锈迹,界面端头应无变形；</w:t>
      </w:r>
    </w:p>
    <w:p w14:paraId="340143D9">
      <w:pPr>
        <w:pStyle w:val="164"/>
        <w:numPr>
          <w:ilvl w:val="0"/>
          <w:numId w:val="243"/>
        </w:numPr>
        <w:autoSpaceDE w:val="0"/>
        <w:autoSpaceDN w:val="0"/>
        <w:adjustRightInd w:val="0"/>
        <w:snapToGrid w:val="0"/>
        <w:spacing w:line="330" w:lineRule="exact"/>
        <w:ind w:left="0" w:firstLine="840" w:firstLineChars="400"/>
        <w:rPr>
          <w:szCs w:val="21"/>
        </w:rPr>
      </w:pPr>
      <w:r>
        <w:rPr>
          <w:szCs w:val="21"/>
        </w:rPr>
        <w:t>工程验收前不宜揭掉保护膜；</w:t>
      </w:r>
    </w:p>
    <w:p w14:paraId="2F949D3F">
      <w:pPr>
        <w:pStyle w:val="164"/>
        <w:numPr>
          <w:ilvl w:val="0"/>
          <w:numId w:val="243"/>
        </w:numPr>
        <w:autoSpaceDE w:val="0"/>
        <w:autoSpaceDN w:val="0"/>
        <w:adjustRightInd w:val="0"/>
        <w:snapToGrid w:val="0"/>
        <w:spacing w:line="330" w:lineRule="exact"/>
        <w:ind w:left="0" w:firstLine="840" w:firstLineChars="400"/>
        <w:rPr>
          <w:szCs w:val="21"/>
        </w:rPr>
      </w:pPr>
      <w:r>
        <w:rPr>
          <w:szCs w:val="21"/>
        </w:rPr>
        <w:t>隔墙未到顶时，上端龙骨应按设计要求与顶棚或梁、柱固定；</w:t>
      </w:r>
    </w:p>
    <w:p w14:paraId="73614350">
      <w:pPr>
        <w:pStyle w:val="164"/>
        <w:numPr>
          <w:ilvl w:val="0"/>
          <w:numId w:val="243"/>
        </w:numPr>
        <w:autoSpaceDE w:val="0"/>
        <w:autoSpaceDN w:val="0"/>
        <w:adjustRightInd w:val="0"/>
        <w:snapToGrid w:val="0"/>
        <w:spacing w:line="330" w:lineRule="exact"/>
        <w:ind w:left="0" w:firstLine="840" w:firstLineChars="400"/>
        <w:rPr>
          <w:szCs w:val="21"/>
        </w:rPr>
      </w:pPr>
      <w:r>
        <w:rPr>
          <w:szCs w:val="21"/>
        </w:rPr>
        <w:t>板面应平直，接缝宽度应均匀、一致。</w:t>
      </w:r>
    </w:p>
    <w:p w14:paraId="75605490">
      <w:pPr>
        <w:pStyle w:val="164"/>
        <w:numPr>
          <w:ilvl w:val="0"/>
          <w:numId w:val="238"/>
        </w:numPr>
        <w:tabs>
          <w:tab w:val="left" w:pos="210"/>
          <w:tab w:val="left" w:pos="567"/>
        </w:tabs>
        <w:spacing w:line="330" w:lineRule="exact"/>
        <w:ind w:firstLine="630" w:firstLineChars="300"/>
        <w:rPr>
          <w:szCs w:val="21"/>
        </w:rPr>
      </w:pPr>
      <w:r>
        <w:rPr>
          <w:szCs w:val="21"/>
        </w:rPr>
        <w:t>玻璃隔墙的安装应符合下列</w:t>
      </w:r>
      <w:r>
        <w:rPr>
          <w:rFonts w:hint="eastAsia"/>
          <w:szCs w:val="21"/>
        </w:rPr>
        <w:t>规定</w:t>
      </w:r>
      <w:r>
        <w:rPr>
          <w:szCs w:val="21"/>
        </w:rPr>
        <w:t>：</w:t>
      </w:r>
    </w:p>
    <w:p w14:paraId="0B9905F0">
      <w:pPr>
        <w:pStyle w:val="164"/>
        <w:numPr>
          <w:ilvl w:val="0"/>
          <w:numId w:val="244"/>
        </w:numPr>
        <w:autoSpaceDE w:val="0"/>
        <w:autoSpaceDN w:val="0"/>
        <w:adjustRightInd w:val="0"/>
        <w:snapToGrid w:val="0"/>
        <w:spacing w:line="330" w:lineRule="exact"/>
        <w:ind w:left="0" w:firstLine="840" w:firstLineChars="400"/>
        <w:rPr>
          <w:szCs w:val="21"/>
        </w:rPr>
      </w:pPr>
      <w:r>
        <w:rPr>
          <w:szCs w:val="21"/>
        </w:rPr>
        <w:t>玻璃支撑材料品种、型号、规格、材质应满足设计要求；</w:t>
      </w:r>
    </w:p>
    <w:p w14:paraId="088571C7">
      <w:pPr>
        <w:pStyle w:val="164"/>
        <w:numPr>
          <w:ilvl w:val="0"/>
          <w:numId w:val="244"/>
        </w:numPr>
        <w:autoSpaceDE w:val="0"/>
        <w:autoSpaceDN w:val="0"/>
        <w:adjustRightInd w:val="0"/>
        <w:snapToGrid w:val="0"/>
        <w:spacing w:line="330" w:lineRule="exact"/>
        <w:ind w:left="0" w:firstLine="840" w:firstLineChars="400"/>
        <w:rPr>
          <w:szCs w:val="21"/>
        </w:rPr>
      </w:pPr>
      <w:r>
        <w:rPr>
          <w:szCs w:val="21"/>
        </w:rPr>
        <w:t>支撑材料表面应光滑、无污垢和划痕；</w:t>
      </w:r>
    </w:p>
    <w:p w14:paraId="026A8B81">
      <w:pPr>
        <w:pStyle w:val="164"/>
        <w:numPr>
          <w:ilvl w:val="0"/>
          <w:numId w:val="244"/>
        </w:numPr>
        <w:autoSpaceDE w:val="0"/>
        <w:autoSpaceDN w:val="0"/>
        <w:adjustRightInd w:val="0"/>
        <w:snapToGrid w:val="0"/>
        <w:spacing w:line="330" w:lineRule="exact"/>
        <w:ind w:left="0" w:firstLine="840" w:firstLineChars="400"/>
        <w:rPr>
          <w:szCs w:val="21"/>
        </w:rPr>
      </w:pPr>
      <w:r>
        <w:rPr>
          <w:szCs w:val="21"/>
        </w:rPr>
        <w:t>隔墙未到顶时，上端龙骨应按设计要求与顶棚或梁、柱固定；</w:t>
      </w:r>
    </w:p>
    <w:p w14:paraId="4C768DC8">
      <w:pPr>
        <w:pStyle w:val="164"/>
        <w:numPr>
          <w:ilvl w:val="0"/>
          <w:numId w:val="244"/>
        </w:numPr>
        <w:autoSpaceDE w:val="0"/>
        <w:autoSpaceDN w:val="0"/>
        <w:adjustRightInd w:val="0"/>
        <w:snapToGrid w:val="0"/>
        <w:spacing w:line="330" w:lineRule="exact"/>
        <w:ind w:left="0" w:firstLine="840" w:firstLineChars="400"/>
        <w:rPr>
          <w:szCs w:val="21"/>
        </w:rPr>
      </w:pPr>
      <w:r>
        <w:rPr>
          <w:szCs w:val="21"/>
        </w:rPr>
        <w:t>安装玻璃的槽口应清洁，下槽口应衬垫软性材料；</w:t>
      </w:r>
    </w:p>
    <w:p w14:paraId="7B2A1B28">
      <w:pPr>
        <w:pStyle w:val="164"/>
        <w:numPr>
          <w:ilvl w:val="0"/>
          <w:numId w:val="244"/>
        </w:numPr>
        <w:autoSpaceDE w:val="0"/>
        <w:autoSpaceDN w:val="0"/>
        <w:adjustRightInd w:val="0"/>
        <w:snapToGrid w:val="0"/>
        <w:spacing w:line="330" w:lineRule="exact"/>
        <w:ind w:left="0" w:firstLine="840" w:firstLineChars="400"/>
        <w:rPr>
          <w:szCs w:val="21"/>
        </w:rPr>
      </w:pPr>
      <w:r>
        <w:rPr>
          <w:szCs w:val="21"/>
        </w:rPr>
        <w:t>玻璃之间或玻璃与扣条之间嵌缝灌注的密封胶应饱满、均匀、美观；</w:t>
      </w:r>
    </w:p>
    <w:p w14:paraId="1960B4C9">
      <w:pPr>
        <w:pStyle w:val="164"/>
        <w:numPr>
          <w:ilvl w:val="0"/>
          <w:numId w:val="244"/>
        </w:numPr>
        <w:autoSpaceDE w:val="0"/>
        <w:autoSpaceDN w:val="0"/>
        <w:adjustRightInd w:val="0"/>
        <w:snapToGrid w:val="0"/>
        <w:spacing w:line="330" w:lineRule="exact"/>
        <w:ind w:left="0" w:firstLine="840" w:firstLineChars="400"/>
        <w:rPr>
          <w:szCs w:val="21"/>
        </w:rPr>
      </w:pPr>
      <w:r>
        <w:rPr>
          <w:szCs w:val="21"/>
        </w:rPr>
        <w:t>填塞的弹性密封胶条应牢固、严密，不得起鼓和缺漏；</w:t>
      </w:r>
    </w:p>
    <w:p w14:paraId="2E04422F">
      <w:pPr>
        <w:pStyle w:val="164"/>
        <w:numPr>
          <w:ilvl w:val="0"/>
          <w:numId w:val="244"/>
        </w:numPr>
        <w:autoSpaceDE w:val="0"/>
        <w:autoSpaceDN w:val="0"/>
        <w:adjustRightInd w:val="0"/>
        <w:snapToGrid w:val="0"/>
        <w:spacing w:line="330" w:lineRule="exact"/>
        <w:ind w:left="0" w:firstLine="840" w:firstLineChars="400"/>
        <w:rPr>
          <w:szCs w:val="21"/>
        </w:rPr>
      </w:pPr>
      <w:r>
        <w:rPr>
          <w:szCs w:val="21"/>
        </w:rPr>
        <w:t>工程验收前</w:t>
      </w:r>
      <w:r>
        <w:rPr>
          <w:rFonts w:hint="eastAsia"/>
          <w:szCs w:val="21"/>
        </w:rPr>
        <w:t>应</w:t>
      </w:r>
      <w:r>
        <w:rPr>
          <w:szCs w:val="21"/>
        </w:rPr>
        <w:t>在玻璃上粘贴明显标志。</w:t>
      </w:r>
      <w:r>
        <w:rPr>
          <w:szCs w:val="21"/>
        </w:rPr>
        <w:tab/>
      </w:r>
    </w:p>
    <w:p w14:paraId="746BE3A1">
      <w:pPr>
        <w:pStyle w:val="164"/>
        <w:numPr>
          <w:ilvl w:val="0"/>
          <w:numId w:val="238"/>
        </w:numPr>
        <w:tabs>
          <w:tab w:val="left" w:pos="210"/>
          <w:tab w:val="left" w:pos="567"/>
        </w:tabs>
        <w:spacing w:line="330" w:lineRule="exact"/>
        <w:ind w:firstLine="630" w:firstLineChars="300"/>
        <w:rPr>
          <w:szCs w:val="21"/>
        </w:rPr>
      </w:pPr>
      <w:r>
        <w:rPr>
          <w:szCs w:val="21"/>
        </w:rPr>
        <w:t>隔墙与其他墙体、柱体的连接缝隙应填充阻燃密封材料。</w:t>
      </w:r>
    </w:p>
    <w:p w14:paraId="6A08A088">
      <w:pPr>
        <w:pStyle w:val="164"/>
        <w:spacing w:before="100" w:after="100" w:line="330" w:lineRule="exact"/>
        <w:ind w:firstLine="422"/>
        <w:rPr>
          <w:szCs w:val="21"/>
        </w:rPr>
      </w:pPr>
      <w:r>
        <w:rPr>
          <w:b/>
          <w:bCs/>
          <w:szCs w:val="21"/>
        </w:rPr>
        <w:t>3</w:t>
      </w:r>
      <w:r>
        <w:rPr>
          <w:szCs w:val="21"/>
        </w:rPr>
        <w:t xml:space="preserve"> 地面装修应符合下列</w:t>
      </w:r>
      <w:r>
        <w:rPr>
          <w:rFonts w:hint="eastAsia"/>
          <w:szCs w:val="21"/>
        </w:rPr>
        <w:t>规定</w:t>
      </w:r>
      <w:r>
        <w:rPr>
          <w:szCs w:val="21"/>
        </w:rPr>
        <w:t>：</w:t>
      </w:r>
    </w:p>
    <w:p w14:paraId="4DBFB4B1">
      <w:pPr>
        <w:pStyle w:val="164"/>
        <w:numPr>
          <w:ilvl w:val="0"/>
          <w:numId w:val="245"/>
        </w:numPr>
        <w:tabs>
          <w:tab w:val="left" w:pos="210"/>
          <w:tab w:val="left" w:pos="567"/>
        </w:tabs>
        <w:spacing w:line="330" w:lineRule="exact"/>
        <w:ind w:firstLine="630" w:firstLineChars="300"/>
        <w:rPr>
          <w:szCs w:val="21"/>
        </w:rPr>
      </w:pPr>
      <w:r>
        <w:rPr>
          <w:szCs w:val="21"/>
        </w:rPr>
        <w:t>机房的地面施工应</w:t>
      </w:r>
      <w:r>
        <w:rPr>
          <w:rFonts w:hint="eastAsia"/>
          <w:szCs w:val="21"/>
        </w:rPr>
        <w:t>进行</w:t>
      </w:r>
      <w:r>
        <w:rPr>
          <w:szCs w:val="21"/>
        </w:rPr>
        <w:t>‌</w:t>
      </w:r>
      <w:r>
        <w:rPr>
          <w:rFonts w:hint="eastAsia"/>
          <w:szCs w:val="21"/>
        </w:rPr>
        <w:t>地面粉刷防尘漆，</w:t>
      </w:r>
      <w:r>
        <w:rPr>
          <w:szCs w:val="21"/>
        </w:rPr>
        <w:t>‌</w:t>
      </w:r>
      <w:r>
        <w:rPr>
          <w:rFonts w:hint="eastAsia"/>
          <w:szCs w:val="21"/>
        </w:rPr>
        <w:t>铺设高级抗静电地板，</w:t>
      </w:r>
      <w:r>
        <w:rPr>
          <w:szCs w:val="21"/>
        </w:rPr>
        <w:t>‌</w:t>
      </w:r>
      <w:r>
        <w:rPr>
          <w:rFonts w:hint="eastAsia"/>
          <w:szCs w:val="21"/>
        </w:rPr>
        <w:t>安装防静电地板。</w:t>
      </w:r>
    </w:p>
    <w:p w14:paraId="4E83D872">
      <w:pPr>
        <w:pStyle w:val="164"/>
        <w:numPr>
          <w:ilvl w:val="0"/>
          <w:numId w:val="245"/>
        </w:numPr>
        <w:tabs>
          <w:tab w:val="left" w:pos="210"/>
          <w:tab w:val="left" w:pos="567"/>
        </w:tabs>
        <w:spacing w:line="330" w:lineRule="exact"/>
        <w:ind w:firstLine="630" w:firstLineChars="300"/>
        <w:rPr>
          <w:szCs w:val="21"/>
        </w:rPr>
      </w:pPr>
      <w:r>
        <w:rPr>
          <w:szCs w:val="21"/>
        </w:rPr>
        <w:t>地面施工宜在隐蔽工程、吊顶工程、墙面与柱面的抹灰工程完成后进行。</w:t>
      </w:r>
    </w:p>
    <w:p w14:paraId="60D57DA9">
      <w:pPr>
        <w:pStyle w:val="164"/>
        <w:numPr>
          <w:ilvl w:val="0"/>
          <w:numId w:val="245"/>
        </w:numPr>
        <w:tabs>
          <w:tab w:val="left" w:pos="210"/>
          <w:tab w:val="left" w:pos="567"/>
        </w:tabs>
        <w:spacing w:line="330" w:lineRule="exact"/>
        <w:ind w:firstLine="630" w:firstLineChars="300"/>
        <w:rPr>
          <w:szCs w:val="21"/>
        </w:rPr>
      </w:pPr>
      <w:r>
        <w:rPr>
          <w:szCs w:val="21"/>
        </w:rPr>
        <w:t>地面施工按设计要求铺设的防潮层或保温层，应做到均匀、平整、牢固、无缝隙。</w:t>
      </w:r>
    </w:p>
    <w:p w14:paraId="7942B301">
      <w:pPr>
        <w:pStyle w:val="164"/>
        <w:spacing w:before="100" w:after="100" w:line="330" w:lineRule="exact"/>
        <w:ind w:firstLine="422"/>
        <w:rPr>
          <w:szCs w:val="21"/>
        </w:rPr>
      </w:pPr>
      <w:r>
        <w:rPr>
          <w:b/>
          <w:bCs/>
          <w:szCs w:val="21"/>
        </w:rPr>
        <w:t>4</w:t>
      </w:r>
      <w:r>
        <w:rPr>
          <w:szCs w:val="21"/>
        </w:rPr>
        <w:t xml:space="preserve"> 活动地板安装应符合下列</w:t>
      </w:r>
      <w:r>
        <w:rPr>
          <w:rFonts w:hint="eastAsia"/>
          <w:szCs w:val="21"/>
        </w:rPr>
        <w:t>规定</w:t>
      </w:r>
      <w:r>
        <w:rPr>
          <w:szCs w:val="21"/>
        </w:rPr>
        <w:t>：</w:t>
      </w:r>
      <w:r>
        <w:rPr>
          <w:szCs w:val="21"/>
        </w:rPr>
        <w:tab/>
      </w:r>
    </w:p>
    <w:p w14:paraId="0EDA1BD0">
      <w:pPr>
        <w:pStyle w:val="164"/>
        <w:numPr>
          <w:ilvl w:val="0"/>
          <w:numId w:val="246"/>
        </w:numPr>
        <w:tabs>
          <w:tab w:val="left" w:pos="210"/>
          <w:tab w:val="left" w:pos="567"/>
        </w:tabs>
        <w:spacing w:line="330" w:lineRule="exact"/>
        <w:ind w:firstLine="630" w:firstLineChars="300"/>
        <w:rPr>
          <w:szCs w:val="21"/>
        </w:rPr>
      </w:pPr>
      <w:r>
        <w:rPr>
          <w:szCs w:val="21"/>
        </w:rPr>
        <w:t xml:space="preserve">活动地板的铺设应在其他室内装修施工及设备基座安装完成后进行。 </w:t>
      </w:r>
      <w:r>
        <w:rPr>
          <w:szCs w:val="21"/>
        </w:rPr>
        <w:tab/>
      </w:r>
    </w:p>
    <w:p w14:paraId="6069A425">
      <w:pPr>
        <w:pStyle w:val="164"/>
        <w:numPr>
          <w:ilvl w:val="0"/>
          <w:numId w:val="246"/>
        </w:numPr>
        <w:tabs>
          <w:tab w:val="left" w:pos="210"/>
          <w:tab w:val="left" w:pos="567"/>
        </w:tabs>
        <w:spacing w:line="330" w:lineRule="exact"/>
        <w:ind w:firstLine="630" w:firstLineChars="300"/>
        <w:rPr>
          <w:szCs w:val="21"/>
        </w:rPr>
      </w:pPr>
      <w:r>
        <w:rPr>
          <w:szCs w:val="21"/>
        </w:rPr>
        <w:t>建筑地面应干燥、坚硬、平整、不起尘。活动地板下空间的原建筑表面应进行清洁处理并做防尘涂覆，涂覆面不得起皮或龟裂。</w:t>
      </w:r>
    </w:p>
    <w:p w14:paraId="4FCB1860">
      <w:pPr>
        <w:pStyle w:val="164"/>
        <w:numPr>
          <w:ilvl w:val="0"/>
          <w:numId w:val="246"/>
        </w:numPr>
        <w:tabs>
          <w:tab w:val="left" w:pos="210"/>
          <w:tab w:val="left" w:pos="567"/>
        </w:tabs>
        <w:spacing w:line="330" w:lineRule="exact"/>
        <w:ind w:firstLine="630" w:firstLineChars="300"/>
        <w:rPr>
          <w:szCs w:val="21"/>
        </w:rPr>
      </w:pPr>
      <w:r>
        <w:rPr>
          <w:szCs w:val="21"/>
        </w:rPr>
        <w:t>活动地板铺设前，应按设计标高及位置准确放线。沿墙单块地板的最小宽度不宜小于整块地板边长的1/4。</w:t>
      </w:r>
    </w:p>
    <w:p w14:paraId="3D72FB29">
      <w:pPr>
        <w:pStyle w:val="164"/>
        <w:numPr>
          <w:ilvl w:val="0"/>
          <w:numId w:val="246"/>
        </w:numPr>
        <w:tabs>
          <w:tab w:val="left" w:pos="210"/>
          <w:tab w:val="left" w:pos="567"/>
        </w:tabs>
        <w:spacing w:line="330" w:lineRule="exact"/>
        <w:ind w:firstLine="630" w:firstLineChars="300"/>
        <w:rPr>
          <w:szCs w:val="21"/>
        </w:rPr>
      </w:pPr>
      <w:r>
        <w:rPr>
          <w:szCs w:val="21"/>
        </w:rPr>
        <w:t>活动地板铺设时应随时调整水平，遇到障碍物或不规则墙面、柱面时应按实际尺寸切割，相应位置应增加支撑部件。</w:t>
      </w:r>
    </w:p>
    <w:p w14:paraId="7F1A1707">
      <w:pPr>
        <w:pStyle w:val="164"/>
        <w:numPr>
          <w:ilvl w:val="0"/>
          <w:numId w:val="246"/>
        </w:numPr>
        <w:tabs>
          <w:tab w:val="left" w:pos="210"/>
          <w:tab w:val="left" w:pos="567"/>
        </w:tabs>
        <w:spacing w:line="330" w:lineRule="exact"/>
        <w:ind w:firstLine="630" w:firstLineChars="300"/>
        <w:rPr>
          <w:szCs w:val="21"/>
        </w:rPr>
      </w:pPr>
      <w:r>
        <w:rPr>
          <w:szCs w:val="21"/>
        </w:rPr>
        <w:t>铺设风口地板和开口地板时，现场切割地板的切割面应光滑、无毛刺，并应进行防火、防尘处理。</w:t>
      </w:r>
    </w:p>
    <w:p w14:paraId="26F25E28">
      <w:pPr>
        <w:pStyle w:val="164"/>
        <w:numPr>
          <w:ilvl w:val="0"/>
          <w:numId w:val="246"/>
        </w:numPr>
        <w:tabs>
          <w:tab w:val="left" w:pos="210"/>
          <w:tab w:val="left" w:pos="567"/>
        </w:tabs>
        <w:spacing w:line="330" w:lineRule="exact"/>
        <w:ind w:firstLine="630" w:firstLineChars="300"/>
        <w:rPr>
          <w:szCs w:val="21"/>
        </w:rPr>
      </w:pPr>
      <w:r>
        <w:rPr>
          <w:szCs w:val="21"/>
        </w:rPr>
        <w:t>在原建筑地面铺设保温材料的品种、规格应满足设计要求，铺设应严密、平整，粘接牢固。</w:t>
      </w:r>
    </w:p>
    <w:p w14:paraId="3B12ECB0">
      <w:pPr>
        <w:pStyle w:val="164"/>
        <w:numPr>
          <w:ilvl w:val="0"/>
          <w:numId w:val="246"/>
        </w:numPr>
        <w:tabs>
          <w:tab w:val="left" w:pos="210"/>
          <w:tab w:val="left" w:pos="567"/>
        </w:tabs>
        <w:spacing w:line="330" w:lineRule="exact"/>
        <w:ind w:firstLine="630" w:firstLineChars="300"/>
        <w:rPr>
          <w:szCs w:val="21"/>
        </w:rPr>
      </w:pPr>
      <w:r>
        <w:rPr>
          <w:szCs w:val="21"/>
        </w:rPr>
        <w:t xml:space="preserve">在搬运、储藏、安装活动地板过程中，应做好装饰面和边角的保护，并应保持装饰面的清洁。 </w:t>
      </w:r>
    </w:p>
    <w:p w14:paraId="600EF2B4">
      <w:pPr>
        <w:pStyle w:val="164"/>
        <w:numPr>
          <w:ilvl w:val="0"/>
          <w:numId w:val="246"/>
        </w:numPr>
        <w:tabs>
          <w:tab w:val="left" w:pos="210"/>
          <w:tab w:val="left" w:pos="567"/>
        </w:tabs>
        <w:spacing w:line="330" w:lineRule="exact"/>
        <w:ind w:firstLine="630" w:firstLineChars="300"/>
        <w:rPr>
          <w:szCs w:val="21"/>
        </w:rPr>
      </w:pPr>
      <w:r>
        <w:rPr>
          <w:szCs w:val="21"/>
        </w:rPr>
        <w:t>在活动地板上安装设备时，应对地板装饰面进行防护。</w:t>
      </w:r>
    </w:p>
    <w:p w14:paraId="3881CA45">
      <w:pPr>
        <w:pStyle w:val="164"/>
        <w:spacing w:before="100" w:after="100" w:line="330" w:lineRule="exact"/>
        <w:ind w:firstLine="422"/>
        <w:rPr>
          <w:szCs w:val="21"/>
        </w:rPr>
      </w:pPr>
      <w:r>
        <w:rPr>
          <w:b/>
          <w:bCs/>
          <w:szCs w:val="21"/>
        </w:rPr>
        <w:t>5</w:t>
      </w:r>
      <w:r>
        <w:rPr>
          <w:szCs w:val="21"/>
        </w:rPr>
        <w:t xml:space="preserve"> 内墙、顶棚及柱面安装应符合下列</w:t>
      </w:r>
      <w:r>
        <w:rPr>
          <w:rFonts w:hint="eastAsia"/>
          <w:szCs w:val="21"/>
        </w:rPr>
        <w:t>规定</w:t>
      </w:r>
      <w:r>
        <w:rPr>
          <w:szCs w:val="21"/>
        </w:rPr>
        <w:t xml:space="preserve">： </w:t>
      </w:r>
      <w:r>
        <w:rPr>
          <w:szCs w:val="21"/>
        </w:rPr>
        <w:tab/>
      </w:r>
    </w:p>
    <w:p w14:paraId="66397B9A">
      <w:pPr>
        <w:pStyle w:val="164"/>
        <w:numPr>
          <w:ilvl w:val="0"/>
          <w:numId w:val="247"/>
        </w:numPr>
        <w:tabs>
          <w:tab w:val="left" w:pos="210"/>
          <w:tab w:val="left" w:pos="567"/>
        </w:tabs>
        <w:spacing w:line="330" w:lineRule="exact"/>
        <w:ind w:firstLine="630" w:firstLineChars="300"/>
        <w:rPr>
          <w:szCs w:val="21"/>
        </w:rPr>
      </w:pPr>
      <w:r>
        <w:rPr>
          <w:szCs w:val="21"/>
        </w:rPr>
        <w:t>内墙、顶棚及柱面的处理应包括表面涂覆、壁纸及织物粘贴、装饰板材安装、饰面砖或石材等材料的铺贴。</w:t>
      </w:r>
    </w:p>
    <w:p w14:paraId="4647A82C">
      <w:pPr>
        <w:pStyle w:val="164"/>
        <w:numPr>
          <w:ilvl w:val="0"/>
          <w:numId w:val="247"/>
        </w:numPr>
        <w:tabs>
          <w:tab w:val="left" w:pos="210"/>
          <w:tab w:val="left" w:pos="567"/>
        </w:tabs>
        <w:spacing w:line="330" w:lineRule="exact"/>
        <w:ind w:firstLine="630" w:firstLineChars="300"/>
        <w:rPr>
          <w:szCs w:val="21"/>
        </w:rPr>
      </w:pPr>
      <w:r>
        <w:rPr>
          <w:szCs w:val="21"/>
        </w:rPr>
        <w:t>面涂覆、壁纸或织物粘贴、饰面砖或石材等材料的铺贴</w:t>
      </w:r>
      <w:r>
        <w:rPr>
          <w:szCs w:val="21"/>
        </w:rPr>
        <w:tab/>
      </w:r>
    </w:p>
    <w:p w14:paraId="460B8909">
      <w:pPr>
        <w:pStyle w:val="164"/>
        <w:numPr>
          <w:ilvl w:val="0"/>
          <w:numId w:val="247"/>
        </w:numPr>
        <w:tabs>
          <w:tab w:val="left" w:pos="210"/>
          <w:tab w:val="left" w:pos="567"/>
        </w:tabs>
        <w:spacing w:line="330" w:lineRule="exact"/>
        <w:ind w:firstLine="630" w:firstLineChars="300"/>
        <w:rPr>
          <w:szCs w:val="21"/>
        </w:rPr>
      </w:pPr>
      <w:r>
        <w:rPr>
          <w:szCs w:val="21"/>
        </w:rPr>
        <w:t xml:space="preserve">应在墙面隐蔽工程完成后、吊顶板安装及活动地板铺设之前进行。 </w:t>
      </w:r>
      <w:r>
        <w:rPr>
          <w:szCs w:val="21"/>
        </w:rPr>
        <w:tab/>
      </w:r>
    </w:p>
    <w:p w14:paraId="4394EB12">
      <w:pPr>
        <w:pStyle w:val="164"/>
        <w:numPr>
          <w:ilvl w:val="0"/>
          <w:numId w:val="247"/>
        </w:numPr>
        <w:tabs>
          <w:tab w:val="left" w:pos="210"/>
          <w:tab w:val="left" w:pos="567"/>
        </w:tabs>
        <w:spacing w:line="330" w:lineRule="exact"/>
        <w:ind w:firstLine="630" w:firstLineChars="300"/>
        <w:rPr>
          <w:szCs w:val="21"/>
        </w:rPr>
      </w:pPr>
      <w:r>
        <w:rPr>
          <w:szCs w:val="21"/>
        </w:rPr>
        <w:t>金属饰面板安装应牢固、平直、稳定，与墙面、柱面应保留50mm以上的间隙。</w:t>
      </w:r>
    </w:p>
    <w:p w14:paraId="430AF259">
      <w:pPr>
        <w:pStyle w:val="164"/>
        <w:spacing w:before="100" w:after="100" w:line="330" w:lineRule="exact"/>
        <w:ind w:firstLine="422"/>
        <w:rPr>
          <w:szCs w:val="21"/>
        </w:rPr>
      </w:pPr>
      <w:r>
        <w:rPr>
          <w:b/>
          <w:bCs/>
          <w:szCs w:val="21"/>
        </w:rPr>
        <w:t>6</w:t>
      </w:r>
      <w:r>
        <w:rPr>
          <w:szCs w:val="21"/>
        </w:rPr>
        <w:t xml:space="preserve"> 门窗及其他安装应符合下列</w:t>
      </w:r>
      <w:r>
        <w:rPr>
          <w:rFonts w:hint="eastAsia"/>
          <w:szCs w:val="21"/>
        </w:rPr>
        <w:t>规定</w:t>
      </w:r>
      <w:r>
        <w:rPr>
          <w:szCs w:val="21"/>
        </w:rPr>
        <w:t>：</w:t>
      </w:r>
      <w:r>
        <w:rPr>
          <w:szCs w:val="21"/>
        </w:rPr>
        <w:tab/>
      </w:r>
    </w:p>
    <w:p w14:paraId="16000DE3">
      <w:pPr>
        <w:pStyle w:val="164"/>
        <w:numPr>
          <w:ilvl w:val="0"/>
          <w:numId w:val="248"/>
        </w:numPr>
        <w:tabs>
          <w:tab w:val="left" w:pos="210"/>
          <w:tab w:val="left" w:pos="567"/>
        </w:tabs>
        <w:spacing w:line="330" w:lineRule="exact"/>
        <w:ind w:firstLine="630" w:firstLineChars="300"/>
        <w:rPr>
          <w:szCs w:val="21"/>
        </w:rPr>
      </w:pPr>
      <w:r>
        <w:rPr>
          <w:szCs w:val="21"/>
        </w:rPr>
        <w:t>门窗及其他施工应包括门窗、门窗套、窗帘盒、暖气罩、踢脚板等制作与安装。</w:t>
      </w:r>
    </w:p>
    <w:p w14:paraId="1B2170DE">
      <w:pPr>
        <w:pStyle w:val="164"/>
        <w:numPr>
          <w:ilvl w:val="0"/>
          <w:numId w:val="248"/>
        </w:numPr>
        <w:tabs>
          <w:tab w:val="left" w:pos="210"/>
          <w:tab w:val="left" w:pos="567"/>
        </w:tabs>
        <w:spacing w:line="330" w:lineRule="exact"/>
        <w:ind w:firstLine="630" w:firstLineChars="300"/>
        <w:rPr>
          <w:szCs w:val="21"/>
        </w:rPr>
      </w:pPr>
      <w:r>
        <w:rPr>
          <w:szCs w:val="21"/>
        </w:rPr>
        <w:t>门窗的运输、存放应符合下列规定：</w:t>
      </w:r>
    </w:p>
    <w:p w14:paraId="6CF3BF59">
      <w:pPr>
        <w:pStyle w:val="164"/>
        <w:numPr>
          <w:ilvl w:val="0"/>
          <w:numId w:val="249"/>
        </w:numPr>
        <w:autoSpaceDE w:val="0"/>
        <w:autoSpaceDN w:val="0"/>
        <w:adjustRightInd w:val="0"/>
        <w:snapToGrid w:val="0"/>
        <w:spacing w:line="330" w:lineRule="exact"/>
        <w:ind w:left="0" w:firstLine="840" w:firstLineChars="400"/>
        <w:rPr>
          <w:szCs w:val="21"/>
        </w:rPr>
      </w:pPr>
      <w:r>
        <w:rPr>
          <w:szCs w:val="21"/>
        </w:rPr>
        <w:t>木门窗应采取防潮措施，不得碰伤、玷污和暴晒；</w:t>
      </w:r>
    </w:p>
    <w:p w14:paraId="5E00BD34">
      <w:pPr>
        <w:pStyle w:val="164"/>
        <w:numPr>
          <w:ilvl w:val="0"/>
          <w:numId w:val="249"/>
        </w:numPr>
        <w:autoSpaceDE w:val="0"/>
        <w:autoSpaceDN w:val="0"/>
        <w:adjustRightInd w:val="0"/>
        <w:snapToGrid w:val="0"/>
        <w:spacing w:line="330" w:lineRule="exact"/>
        <w:ind w:left="0" w:firstLine="840" w:firstLineChars="400"/>
        <w:rPr>
          <w:szCs w:val="21"/>
        </w:rPr>
      </w:pPr>
      <w:r>
        <w:rPr>
          <w:szCs w:val="21"/>
        </w:rPr>
        <w:t>塑钢门窗安装、存放环境温度应低于50 ℃；</w:t>
      </w:r>
    </w:p>
    <w:p w14:paraId="5D67681A">
      <w:pPr>
        <w:pStyle w:val="164"/>
        <w:numPr>
          <w:ilvl w:val="0"/>
          <w:numId w:val="249"/>
        </w:numPr>
        <w:autoSpaceDE w:val="0"/>
        <w:autoSpaceDN w:val="0"/>
        <w:adjustRightInd w:val="0"/>
        <w:snapToGrid w:val="0"/>
        <w:spacing w:line="330" w:lineRule="exact"/>
        <w:ind w:left="0" w:firstLine="840" w:firstLineChars="400"/>
        <w:rPr>
          <w:szCs w:val="21"/>
        </w:rPr>
      </w:pPr>
      <w:r>
        <w:rPr>
          <w:szCs w:val="21"/>
        </w:rPr>
        <w:t xml:space="preserve">塑钢门窗存放处应远离热源； </w:t>
      </w:r>
      <w:r>
        <w:rPr>
          <w:szCs w:val="21"/>
        </w:rPr>
        <w:tab/>
      </w:r>
    </w:p>
    <w:p w14:paraId="6311A315">
      <w:pPr>
        <w:pStyle w:val="164"/>
        <w:numPr>
          <w:ilvl w:val="0"/>
          <w:numId w:val="249"/>
        </w:numPr>
        <w:autoSpaceDE w:val="0"/>
        <w:autoSpaceDN w:val="0"/>
        <w:adjustRightInd w:val="0"/>
        <w:snapToGrid w:val="0"/>
        <w:spacing w:line="330" w:lineRule="exact"/>
        <w:ind w:left="0" w:firstLine="840" w:firstLineChars="400"/>
        <w:rPr>
          <w:szCs w:val="21"/>
        </w:rPr>
      </w:pPr>
      <w:r>
        <w:rPr>
          <w:szCs w:val="21"/>
        </w:rPr>
        <w:t>环境温度低于0 ℃时，塑钢门窗安装前应在室温下放置24 h；</w:t>
      </w:r>
    </w:p>
    <w:p w14:paraId="36AA3D36">
      <w:pPr>
        <w:pStyle w:val="164"/>
        <w:numPr>
          <w:ilvl w:val="0"/>
          <w:numId w:val="249"/>
        </w:numPr>
        <w:autoSpaceDE w:val="0"/>
        <w:autoSpaceDN w:val="0"/>
        <w:adjustRightInd w:val="0"/>
        <w:snapToGrid w:val="0"/>
        <w:spacing w:line="330" w:lineRule="exact"/>
        <w:ind w:left="0" w:firstLine="840" w:firstLineChars="400"/>
        <w:rPr>
          <w:szCs w:val="21"/>
        </w:rPr>
      </w:pPr>
      <w:r>
        <w:rPr>
          <w:szCs w:val="21"/>
        </w:rPr>
        <w:t>铝合金、塑钢、不锈钢门窗的保护贴膜在验收前不得损坏；</w:t>
      </w:r>
    </w:p>
    <w:p w14:paraId="3BFB1FA0">
      <w:pPr>
        <w:pStyle w:val="164"/>
        <w:numPr>
          <w:ilvl w:val="0"/>
          <w:numId w:val="249"/>
        </w:numPr>
        <w:autoSpaceDE w:val="0"/>
        <w:autoSpaceDN w:val="0"/>
        <w:adjustRightInd w:val="0"/>
        <w:snapToGrid w:val="0"/>
        <w:spacing w:line="330" w:lineRule="exact"/>
        <w:ind w:left="0" w:firstLine="840" w:firstLineChars="400"/>
        <w:rPr>
          <w:szCs w:val="21"/>
        </w:rPr>
      </w:pPr>
      <w:r>
        <w:rPr>
          <w:szCs w:val="21"/>
        </w:rPr>
        <w:t>在运输、存放铝合金、塑钢、不锈钢门窗时应稳定立放,并应用软质材料相隔；</w:t>
      </w:r>
    </w:p>
    <w:p w14:paraId="2BF92341">
      <w:pPr>
        <w:pStyle w:val="164"/>
        <w:numPr>
          <w:ilvl w:val="0"/>
          <w:numId w:val="249"/>
        </w:numPr>
        <w:autoSpaceDE w:val="0"/>
        <w:autoSpaceDN w:val="0"/>
        <w:adjustRightInd w:val="0"/>
        <w:snapToGrid w:val="0"/>
        <w:spacing w:line="330" w:lineRule="exact"/>
        <w:ind w:left="0" w:firstLine="840" w:firstLineChars="400"/>
        <w:rPr>
          <w:szCs w:val="21"/>
        </w:rPr>
      </w:pPr>
      <w:r>
        <w:rPr>
          <w:szCs w:val="21"/>
        </w:rPr>
        <w:t xml:space="preserve">钢质防火门安装前不应拆除包装，并应存放在清洁、干燥的场所，不得磨损和锈蚀。 </w:t>
      </w:r>
    </w:p>
    <w:p w14:paraId="0FCA3E32">
      <w:pPr>
        <w:pStyle w:val="164"/>
        <w:numPr>
          <w:ilvl w:val="0"/>
          <w:numId w:val="248"/>
        </w:numPr>
        <w:tabs>
          <w:tab w:val="left" w:pos="210"/>
          <w:tab w:val="left" w:pos="567"/>
        </w:tabs>
        <w:spacing w:line="330" w:lineRule="exact"/>
        <w:ind w:firstLine="630" w:firstLineChars="300"/>
        <w:rPr>
          <w:szCs w:val="21"/>
        </w:rPr>
      </w:pPr>
      <w:r>
        <w:rPr>
          <w:szCs w:val="21"/>
        </w:rPr>
        <w:t>各类门的安装应符合下列规定：</w:t>
      </w:r>
    </w:p>
    <w:p w14:paraId="5CC0C5E0">
      <w:pPr>
        <w:pStyle w:val="164"/>
        <w:numPr>
          <w:ilvl w:val="0"/>
          <w:numId w:val="250"/>
        </w:numPr>
        <w:autoSpaceDE w:val="0"/>
        <w:autoSpaceDN w:val="0"/>
        <w:adjustRightInd w:val="0"/>
        <w:snapToGrid w:val="0"/>
        <w:spacing w:line="330" w:lineRule="exact"/>
        <w:ind w:left="0" w:firstLine="840" w:firstLineChars="400"/>
        <w:rPr>
          <w:szCs w:val="21"/>
        </w:rPr>
      </w:pPr>
      <w:r>
        <w:rPr>
          <w:szCs w:val="21"/>
        </w:rPr>
        <w:t>安装位置</w:t>
      </w:r>
      <w:r>
        <w:rPr>
          <w:rFonts w:hint="eastAsia"/>
          <w:szCs w:val="21"/>
        </w:rPr>
        <w:t>及</w:t>
      </w:r>
      <w:r>
        <w:rPr>
          <w:szCs w:val="21"/>
        </w:rPr>
        <w:t xml:space="preserve">开闭方向应满足设计要求，并应平整、牢固； </w:t>
      </w:r>
      <w:r>
        <w:rPr>
          <w:szCs w:val="21"/>
        </w:rPr>
        <w:tab/>
      </w:r>
    </w:p>
    <w:p w14:paraId="005767DF">
      <w:pPr>
        <w:pStyle w:val="164"/>
        <w:numPr>
          <w:ilvl w:val="0"/>
          <w:numId w:val="250"/>
        </w:numPr>
        <w:autoSpaceDE w:val="0"/>
        <w:autoSpaceDN w:val="0"/>
        <w:adjustRightInd w:val="0"/>
        <w:snapToGrid w:val="0"/>
        <w:spacing w:line="330" w:lineRule="exact"/>
        <w:ind w:left="0" w:firstLine="840" w:firstLineChars="400"/>
        <w:rPr>
          <w:szCs w:val="21"/>
        </w:rPr>
      </w:pPr>
      <w:r>
        <w:rPr>
          <w:szCs w:val="21"/>
        </w:rPr>
        <w:t>推拉门与门框接缝应严密、推拉灵活；</w:t>
      </w:r>
    </w:p>
    <w:p w14:paraId="34387854">
      <w:pPr>
        <w:pStyle w:val="164"/>
        <w:numPr>
          <w:ilvl w:val="0"/>
          <w:numId w:val="250"/>
        </w:numPr>
        <w:tabs>
          <w:tab w:val="left" w:pos="1590"/>
        </w:tabs>
        <w:autoSpaceDE w:val="0"/>
        <w:autoSpaceDN w:val="0"/>
        <w:adjustRightInd w:val="0"/>
        <w:snapToGrid w:val="0"/>
        <w:spacing w:line="330" w:lineRule="exact"/>
        <w:ind w:left="0" w:firstLine="840" w:firstLineChars="400"/>
        <w:rPr>
          <w:szCs w:val="21"/>
        </w:rPr>
      </w:pPr>
      <w:r>
        <w:rPr>
          <w:szCs w:val="21"/>
        </w:rPr>
        <w:t>平开门与门框接缝应严密、开闭自如；</w:t>
      </w:r>
    </w:p>
    <w:p w14:paraId="756D0FB2">
      <w:pPr>
        <w:pStyle w:val="164"/>
        <w:numPr>
          <w:ilvl w:val="0"/>
          <w:numId w:val="250"/>
        </w:numPr>
        <w:tabs>
          <w:tab w:val="left" w:pos="1590"/>
        </w:tabs>
        <w:autoSpaceDE w:val="0"/>
        <w:autoSpaceDN w:val="0"/>
        <w:adjustRightInd w:val="0"/>
        <w:snapToGrid w:val="0"/>
        <w:spacing w:line="330" w:lineRule="exact"/>
        <w:ind w:left="0" w:firstLine="840" w:firstLineChars="400"/>
        <w:rPr>
          <w:szCs w:val="21"/>
        </w:rPr>
      </w:pPr>
      <w:r>
        <w:rPr>
          <w:szCs w:val="21"/>
        </w:rPr>
        <w:t xml:space="preserve">自由门与门框的缝隙应一致。 </w:t>
      </w:r>
      <w:r>
        <w:rPr>
          <w:szCs w:val="21"/>
        </w:rPr>
        <w:tab/>
      </w:r>
    </w:p>
    <w:p w14:paraId="74001E71">
      <w:pPr>
        <w:pStyle w:val="164"/>
        <w:numPr>
          <w:ilvl w:val="0"/>
          <w:numId w:val="248"/>
        </w:numPr>
        <w:tabs>
          <w:tab w:val="left" w:pos="210"/>
          <w:tab w:val="left" w:pos="567"/>
        </w:tabs>
        <w:spacing w:line="330" w:lineRule="exact"/>
        <w:ind w:firstLine="630" w:firstLineChars="300"/>
        <w:rPr>
          <w:szCs w:val="21"/>
        </w:rPr>
      </w:pPr>
      <w:r>
        <w:rPr>
          <w:szCs w:val="21"/>
        </w:rPr>
        <w:t>门窗框与洞口的间隙应填充弹性材料，并用密封胶密封,密封处应严密、均匀和美观。</w:t>
      </w:r>
    </w:p>
    <w:p w14:paraId="439CBBC7">
      <w:pPr>
        <w:pStyle w:val="164"/>
        <w:numPr>
          <w:ilvl w:val="0"/>
          <w:numId w:val="248"/>
        </w:numPr>
        <w:tabs>
          <w:tab w:val="left" w:pos="210"/>
          <w:tab w:val="left" w:pos="567"/>
        </w:tabs>
        <w:spacing w:line="330" w:lineRule="exact"/>
        <w:ind w:firstLine="630" w:firstLineChars="300"/>
        <w:rPr>
          <w:szCs w:val="21"/>
        </w:rPr>
      </w:pPr>
      <w:r>
        <w:rPr>
          <w:szCs w:val="21"/>
        </w:rPr>
        <w:t>门窗套、窗帘盒、暖气罩、踢脚板等其装饰面应光洁、平整、色泽一致、线条顺直、接缝严密，不得有裂缝、翘曲和损坏。</w:t>
      </w:r>
    </w:p>
    <w:p w14:paraId="206636F5">
      <w:pPr>
        <w:pStyle w:val="164"/>
        <w:spacing w:before="100" w:after="100" w:line="330" w:lineRule="exact"/>
        <w:ind w:firstLine="0" w:firstLineChars="0"/>
        <w:rPr>
          <w:szCs w:val="21"/>
        </w:rPr>
      </w:pPr>
      <w:r>
        <w:rPr>
          <w:szCs w:val="21"/>
        </w:rPr>
        <w:t>21.3.3电磁屏蔽系统应符合下列</w:t>
      </w:r>
      <w:r>
        <w:rPr>
          <w:rFonts w:hint="eastAsia"/>
          <w:szCs w:val="21"/>
        </w:rPr>
        <w:t>规定</w:t>
      </w:r>
      <w:r>
        <w:rPr>
          <w:szCs w:val="21"/>
        </w:rPr>
        <w:t xml:space="preserve">： </w:t>
      </w:r>
      <w:r>
        <w:rPr>
          <w:szCs w:val="21"/>
        </w:rPr>
        <w:tab/>
      </w:r>
    </w:p>
    <w:p w14:paraId="037F9641">
      <w:pPr>
        <w:pStyle w:val="164"/>
        <w:numPr>
          <w:ilvl w:val="0"/>
          <w:numId w:val="251"/>
        </w:numPr>
        <w:tabs>
          <w:tab w:val="left" w:pos="210"/>
          <w:tab w:val="left" w:pos="567"/>
        </w:tabs>
        <w:spacing w:line="330" w:lineRule="exact"/>
        <w:ind w:firstLine="630" w:firstLineChars="300"/>
        <w:rPr>
          <w:szCs w:val="21"/>
        </w:rPr>
      </w:pPr>
      <w:r>
        <w:rPr>
          <w:rFonts w:hint="eastAsia"/>
          <w:szCs w:val="21"/>
        </w:rPr>
        <w:t>安装电磁屏蔽室的建筑墙地面应坚硬、平整，并应保持干燥。</w:t>
      </w:r>
      <w:r>
        <w:rPr>
          <w:szCs w:val="21"/>
        </w:rPr>
        <w:tab/>
      </w:r>
    </w:p>
    <w:p w14:paraId="50B3ED24">
      <w:pPr>
        <w:pStyle w:val="164"/>
        <w:numPr>
          <w:ilvl w:val="0"/>
          <w:numId w:val="251"/>
        </w:numPr>
        <w:tabs>
          <w:tab w:val="left" w:pos="210"/>
          <w:tab w:val="left" w:pos="567"/>
        </w:tabs>
        <w:spacing w:line="330" w:lineRule="exact"/>
        <w:ind w:firstLine="630" w:firstLineChars="300"/>
        <w:rPr>
          <w:szCs w:val="21"/>
        </w:rPr>
      </w:pPr>
      <w:r>
        <w:rPr>
          <w:rFonts w:hint="eastAsia"/>
          <w:szCs w:val="21"/>
        </w:rPr>
        <w:t>屏蔽结构体安装前，围护结构内的预埋件、管道施工及预留孔洞应完成。</w:t>
      </w:r>
    </w:p>
    <w:p w14:paraId="219D5A64">
      <w:pPr>
        <w:pStyle w:val="164"/>
        <w:numPr>
          <w:ilvl w:val="0"/>
          <w:numId w:val="251"/>
        </w:numPr>
        <w:tabs>
          <w:tab w:val="left" w:pos="210"/>
          <w:tab w:val="left" w:pos="567"/>
        </w:tabs>
        <w:spacing w:line="330" w:lineRule="exact"/>
        <w:ind w:firstLine="630" w:firstLineChars="300"/>
        <w:rPr>
          <w:szCs w:val="21"/>
        </w:rPr>
      </w:pPr>
      <w:r>
        <w:rPr>
          <w:rFonts w:hint="eastAsia"/>
          <w:szCs w:val="21"/>
        </w:rPr>
        <w:t>施工中所有焊接应牢固、可靠；焊缝应光滑、致密，不得有熔渣、裂纹、气泡、气孔和虚焊。焊接后应对全部焊缝进行除锈、防腐处理。</w:t>
      </w:r>
    </w:p>
    <w:p w14:paraId="2CA17FC7">
      <w:pPr>
        <w:pStyle w:val="164"/>
        <w:numPr>
          <w:ilvl w:val="0"/>
          <w:numId w:val="251"/>
        </w:numPr>
        <w:tabs>
          <w:tab w:val="left" w:pos="210"/>
          <w:tab w:val="left" w:pos="567"/>
        </w:tabs>
        <w:spacing w:line="330" w:lineRule="exact"/>
        <w:ind w:firstLine="630" w:firstLineChars="300"/>
        <w:rPr>
          <w:szCs w:val="21"/>
        </w:rPr>
      </w:pPr>
      <w:r>
        <w:rPr>
          <w:rFonts w:hint="eastAsia"/>
          <w:szCs w:val="21"/>
        </w:rPr>
        <w:t>所有屏蔽设备在屏蔽界面的内外应粘贴安全使用警示标志。</w:t>
      </w:r>
      <w:r>
        <w:rPr>
          <w:szCs w:val="21"/>
        </w:rPr>
        <w:t xml:space="preserve"> </w:t>
      </w:r>
      <w:r>
        <w:rPr>
          <w:szCs w:val="21"/>
        </w:rPr>
        <w:tab/>
      </w:r>
    </w:p>
    <w:p w14:paraId="4AAFB9C7">
      <w:pPr>
        <w:pStyle w:val="164"/>
        <w:numPr>
          <w:ilvl w:val="0"/>
          <w:numId w:val="251"/>
        </w:numPr>
        <w:tabs>
          <w:tab w:val="left" w:pos="210"/>
          <w:tab w:val="left" w:pos="567"/>
        </w:tabs>
        <w:spacing w:line="330" w:lineRule="exact"/>
        <w:ind w:firstLine="630" w:firstLineChars="300"/>
        <w:rPr>
          <w:szCs w:val="21"/>
        </w:rPr>
      </w:pPr>
      <w:r>
        <w:rPr>
          <w:rFonts w:hint="eastAsia"/>
          <w:szCs w:val="21"/>
        </w:rPr>
        <w:t>电磁屏蔽室施工时不宜与土建、水电专业同时施工。</w:t>
      </w:r>
    </w:p>
    <w:p w14:paraId="5276E1E1">
      <w:pPr>
        <w:pStyle w:val="164"/>
        <w:spacing w:before="100" w:after="100" w:line="330" w:lineRule="exact"/>
        <w:ind w:firstLine="422"/>
        <w:rPr>
          <w:szCs w:val="21"/>
        </w:rPr>
      </w:pPr>
      <w:r>
        <w:rPr>
          <w:b/>
          <w:bCs/>
          <w:szCs w:val="21"/>
        </w:rPr>
        <w:t>2</w:t>
      </w:r>
      <w:r>
        <w:rPr>
          <w:szCs w:val="21"/>
        </w:rPr>
        <w:t xml:space="preserve"> 电磁屏蔽结构体施工安装应符合下列</w:t>
      </w:r>
      <w:r>
        <w:rPr>
          <w:rFonts w:hint="eastAsia"/>
          <w:szCs w:val="21"/>
        </w:rPr>
        <w:t>规定</w:t>
      </w:r>
      <w:r>
        <w:rPr>
          <w:szCs w:val="21"/>
        </w:rPr>
        <w:t xml:space="preserve">：  </w:t>
      </w:r>
      <w:r>
        <w:rPr>
          <w:szCs w:val="21"/>
        </w:rPr>
        <w:tab/>
      </w:r>
      <w:r>
        <w:rPr>
          <w:szCs w:val="21"/>
        </w:rPr>
        <w:t xml:space="preserve"> </w:t>
      </w:r>
      <w:r>
        <w:rPr>
          <w:szCs w:val="21"/>
        </w:rPr>
        <w:tab/>
      </w:r>
    </w:p>
    <w:p w14:paraId="35C465BB">
      <w:pPr>
        <w:pStyle w:val="164"/>
        <w:numPr>
          <w:ilvl w:val="0"/>
          <w:numId w:val="252"/>
        </w:numPr>
        <w:tabs>
          <w:tab w:val="left" w:pos="210"/>
          <w:tab w:val="left" w:pos="567"/>
        </w:tabs>
        <w:spacing w:line="330" w:lineRule="exact"/>
        <w:ind w:firstLine="630" w:firstLineChars="300"/>
        <w:rPr>
          <w:szCs w:val="21"/>
        </w:rPr>
      </w:pPr>
      <w:r>
        <w:rPr>
          <w:szCs w:val="21"/>
        </w:rPr>
        <w:t xml:space="preserve">电磁屏蔽结构体施工应包括组装式电磁屏蔽室、自撑式电磁屏蔽室和直贴式电磁屏蔽结构体的施工。 </w:t>
      </w:r>
      <w:r>
        <w:rPr>
          <w:szCs w:val="21"/>
        </w:rPr>
        <w:tab/>
      </w:r>
    </w:p>
    <w:p w14:paraId="4A7F8D7A">
      <w:pPr>
        <w:pStyle w:val="164"/>
        <w:numPr>
          <w:ilvl w:val="0"/>
          <w:numId w:val="252"/>
        </w:numPr>
        <w:tabs>
          <w:tab w:val="left" w:pos="210"/>
          <w:tab w:val="left" w:pos="567"/>
        </w:tabs>
        <w:spacing w:line="330" w:lineRule="exact"/>
        <w:ind w:firstLine="630" w:firstLineChars="300"/>
        <w:rPr>
          <w:szCs w:val="21"/>
        </w:rPr>
      </w:pPr>
      <w:r>
        <w:rPr>
          <w:szCs w:val="21"/>
        </w:rPr>
        <w:t>组装式电磁屏蔽室结构体的施工应符合下列规定：</w:t>
      </w:r>
    </w:p>
    <w:p w14:paraId="1A63534B">
      <w:pPr>
        <w:pStyle w:val="164"/>
        <w:numPr>
          <w:ilvl w:val="0"/>
          <w:numId w:val="253"/>
        </w:numPr>
        <w:autoSpaceDE w:val="0"/>
        <w:autoSpaceDN w:val="0"/>
        <w:adjustRightInd w:val="0"/>
        <w:snapToGrid w:val="0"/>
        <w:spacing w:line="330" w:lineRule="exact"/>
        <w:ind w:left="0" w:firstLine="840" w:firstLineChars="400"/>
        <w:rPr>
          <w:szCs w:val="21"/>
        </w:rPr>
      </w:pPr>
      <w:r>
        <w:rPr>
          <w:szCs w:val="21"/>
        </w:rPr>
        <w:t xml:space="preserve">应按设计要求核对壁板的规格、尺寸和数量； </w:t>
      </w:r>
      <w:r>
        <w:rPr>
          <w:szCs w:val="21"/>
        </w:rPr>
        <w:tab/>
      </w:r>
    </w:p>
    <w:p w14:paraId="6F7F3325">
      <w:pPr>
        <w:pStyle w:val="164"/>
        <w:numPr>
          <w:ilvl w:val="0"/>
          <w:numId w:val="253"/>
        </w:numPr>
        <w:autoSpaceDE w:val="0"/>
        <w:autoSpaceDN w:val="0"/>
        <w:adjustRightInd w:val="0"/>
        <w:snapToGrid w:val="0"/>
        <w:spacing w:line="330" w:lineRule="exact"/>
        <w:ind w:left="0" w:firstLine="840" w:firstLineChars="400"/>
        <w:rPr>
          <w:szCs w:val="21"/>
        </w:rPr>
      </w:pPr>
      <w:r>
        <w:rPr>
          <w:szCs w:val="21"/>
        </w:rPr>
        <w:t>在建筑地面上应铺设防潮、绝缘层；</w:t>
      </w:r>
    </w:p>
    <w:p w14:paraId="7DD9F68B">
      <w:pPr>
        <w:pStyle w:val="164"/>
        <w:numPr>
          <w:ilvl w:val="0"/>
          <w:numId w:val="253"/>
        </w:numPr>
        <w:autoSpaceDE w:val="0"/>
        <w:autoSpaceDN w:val="0"/>
        <w:adjustRightInd w:val="0"/>
        <w:snapToGrid w:val="0"/>
        <w:spacing w:line="330" w:lineRule="exact"/>
        <w:ind w:left="0" w:firstLine="840" w:firstLineChars="400"/>
        <w:rPr>
          <w:szCs w:val="21"/>
        </w:rPr>
      </w:pPr>
      <w:r>
        <w:rPr>
          <w:szCs w:val="21"/>
        </w:rPr>
        <w:t>对壁板的连接面应进行导电清洁处理；</w:t>
      </w:r>
      <w:r>
        <w:rPr>
          <w:szCs w:val="21"/>
        </w:rPr>
        <w:tab/>
      </w:r>
    </w:p>
    <w:p w14:paraId="2DD4261D">
      <w:pPr>
        <w:pStyle w:val="164"/>
        <w:numPr>
          <w:ilvl w:val="0"/>
          <w:numId w:val="253"/>
        </w:numPr>
        <w:autoSpaceDE w:val="0"/>
        <w:autoSpaceDN w:val="0"/>
        <w:adjustRightInd w:val="0"/>
        <w:snapToGrid w:val="0"/>
        <w:spacing w:line="330" w:lineRule="exact"/>
        <w:ind w:left="0" w:firstLine="840" w:firstLineChars="400"/>
        <w:rPr>
          <w:szCs w:val="21"/>
        </w:rPr>
      </w:pPr>
      <w:r>
        <w:rPr>
          <w:szCs w:val="21"/>
        </w:rPr>
        <w:t>壁板拼装应按设计要求或产品技术文件的顺序进行；</w:t>
      </w:r>
    </w:p>
    <w:p w14:paraId="3EC6E480">
      <w:pPr>
        <w:pStyle w:val="164"/>
        <w:numPr>
          <w:ilvl w:val="0"/>
          <w:numId w:val="253"/>
        </w:numPr>
        <w:autoSpaceDE w:val="0"/>
        <w:autoSpaceDN w:val="0"/>
        <w:adjustRightInd w:val="0"/>
        <w:snapToGrid w:val="0"/>
        <w:spacing w:line="330" w:lineRule="exact"/>
        <w:ind w:left="0" w:firstLine="840" w:firstLineChars="400"/>
        <w:rPr>
          <w:szCs w:val="21"/>
        </w:rPr>
      </w:pPr>
      <w:r>
        <w:rPr>
          <w:szCs w:val="21"/>
        </w:rPr>
        <w:t>安装过程应保证导电衬垫接触良好，接缝应密闭可靠。</w:t>
      </w:r>
    </w:p>
    <w:p w14:paraId="6F38E4A7">
      <w:pPr>
        <w:pStyle w:val="164"/>
        <w:numPr>
          <w:ilvl w:val="0"/>
          <w:numId w:val="252"/>
        </w:numPr>
        <w:tabs>
          <w:tab w:val="left" w:pos="210"/>
          <w:tab w:val="left" w:pos="567"/>
        </w:tabs>
        <w:spacing w:line="330" w:lineRule="exact"/>
        <w:ind w:firstLine="630" w:firstLineChars="300"/>
        <w:rPr>
          <w:szCs w:val="21"/>
        </w:rPr>
      </w:pPr>
      <w:r>
        <w:rPr>
          <w:szCs w:val="21"/>
        </w:rPr>
        <w:t>自撑式电磁屏蔽室结构体的施工应符合下列规定:</w:t>
      </w:r>
    </w:p>
    <w:p w14:paraId="74A8D8EB">
      <w:pPr>
        <w:pStyle w:val="164"/>
        <w:numPr>
          <w:ilvl w:val="0"/>
          <w:numId w:val="254"/>
        </w:numPr>
        <w:autoSpaceDE w:val="0"/>
        <w:autoSpaceDN w:val="0"/>
        <w:adjustRightInd w:val="0"/>
        <w:snapToGrid w:val="0"/>
        <w:spacing w:line="330" w:lineRule="exact"/>
        <w:ind w:left="0" w:firstLine="840" w:firstLineChars="400"/>
        <w:rPr>
          <w:szCs w:val="21"/>
        </w:rPr>
      </w:pPr>
      <w:r>
        <w:rPr>
          <w:szCs w:val="21"/>
        </w:rPr>
        <w:t>焊接前应对焊接点进行清洁处理；</w:t>
      </w:r>
    </w:p>
    <w:p w14:paraId="0C96B220">
      <w:pPr>
        <w:pStyle w:val="164"/>
        <w:numPr>
          <w:ilvl w:val="0"/>
          <w:numId w:val="254"/>
        </w:numPr>
        <w:autoSpaceDE w:val="0"/>
        <w:autoSpaceDN w:val="0"/>
        <w:adjustRightInd w:val="0"/>
        <w:snapToGrid w:val="0"/>
        <w:spacing w:line="330" w:lineRule="exact"/>
        <w:ind w:left="0" w:firstLine="840" w:firstLineChars="400"/>
        <w:rPr>
          <w:szCs w:val="21"/>
        </w:rPr>
      </w:pPr>
      <w:r>
        <w:rPr>
          <w:szCs w:val="21"/>
        </w:rPr>
        <w:t>应按设计位置进行地梁、侧梁、顶梁的拼装焊接，并应随时校核尺寸；</w:t>
      </w:r>
    </w:p>
    <w:p w14:paraId="0C3C27C1">
      <w:pPr>
        <w:pStyle w:val="164"/>
        <w:numPr>
          <w:ilvl w:val="0"/>
          <w:numId w:val="254"/>
        </w:numPr>
        <w:autoSpaceDE w:val="0"/>
        <w:autoSpaceDN w:val="0"/>
        <w:adjustRightInd w:val="0"/>
        <w:snapToGrid w:val="0"/>
        <w:spacing w:line="330" w:lineRule="exact"/>
        <w:ind w:left="0" w:firstLine="840" w:firstLineChars="400"/>
        <w:rPr>
          <w:szCs w:val="21"/>
        </w:rPr>
      </w:pPr>
      <w:r>
        <w:rPr>
          <w:szCs w:val="21"/>
        </w:rPr>
        <w:t>焊接宜为电焊，梁体不得有明显的变形，平面不平度不应大于3%；</w:t>
      </w:r>
    </w:p>
    <w:p w14:paraId="7ACDDE71">
      <w:pPr>
        <w:pStyle w:val="164"/>
        <w:numPr>
          <w:ilvl w:val="0"/>
          <w:numId w:val="254"/>
        </w:numPr>
        <w:autoSpaceDE w:val="0"/>
        <w:autoSpaceDN w:val="0"/>
        <w:adjustRightInd w:val="0"/>
        <w:snapToGrid w:val="0"/>
        <w:spacing w:line="330" w:lineRule="exact"/>
        <w:ind w:left="0" w:firstLine="840" w:firstLineChars="400"/>
        <w:rPr>
          <w:szCs w:val="21"/>
        </w:rPr>
      </w:pPr>
      <w:r>
        <w:rPr>
          <w:szCs w:val="21"/>
        </w:rPr>
        <w:t>壁板之间的连接应为连续焊接；</w:t>
      </w:r>
    </w:p>
    <w:p w14:paraId="46DB9242">
      <w:pPr>
        <w:pStyle w:val="164"/>
        <w:numPr>
          <w:ilvl w:val="0"/>
          <w:numId w:val="254"/>
        </w:numPr>
        <w:autoSpaceDE w:val="0"/>
        <w:autoSpaceDN w:val="0"/>
        <w:adjustRightInd w:val="0"/>
        <w:snapToGrid w:val="0"/>
        <w:spacing w:line="330" w:lineRule="exact"/>
        <w:ind w:left="0" w:firstLine="840" w:firstLineChars="400"/>
        <w:rPr>
          <w:szCs w:val="21"/>
        </w:rPr>
      </w:pPr>
      <w:r>
        <w:rPr>
          <w:szCs w:val="21"/>
        </w:rPr>
        <w:t>在安装电磁屏蔽室装饰结构件时应进行点焊，不得将板体焊穿。</w:t>
      </w:r>
    </w:p>
    <w:p w14:paraId="7086B588">
      <w:pPr>
        <w:pStyle w:val="164"/>
        <w:numPr>
          <w:ilvl w:val="0"/>
          <w:numId w:val="252"/>
        </w:numPr>
        <w:tabs>
          <w:tab w:val="left" w:pos="210"/>
          <w:tab w:val="left" w:pos="567"/>
        </w:tabs>
        <w:spacing w:line="330" w:lineRule="exact"/>
        <w:ind w:firstLine="630" w:firstLineChars="300"/>
        <w:rPr>
          <w:szCs w:val="21"/>
        </w:rPr>
      </w:pPr>
      <w:r>
        <w:rPr>
          <w:szCs w:val="21"/>
        </w:rPr>
        <w:t>直贴式电磁屏蔽室结构体的施工应符合下列规定：</w:t>
      </w:r>
    </w:p>
    <w:p w14:paraId="7AEF0E26">
      <w:pPr>
        <w:pStyle w:val="164"/>
        <w:numPr>
          <w:ilvl w:val="0"/>
          <w:numId w:val="255"/>
        </w:numPr>
        <w:autoSpaceDE w:val="0"/>
        <w:autoSpaceDN w:val="0"/>
        <w:adjustRightInd w:val="0"/>
        <w:snapToGrid w:val="0"/>
        <w:spacing w:line="330" w:lineRule="exact"/>
        <w:ind w:left="0" w:firstLine="840" w:firstLineChars="400"/>
        <w:rPr>
          <w:szCs w:val="21"/>
        </w:rPr>
      </w:pPr>
      <w:r>
        <w:rPr>
          <w:szCs w:val="21"/>
        </w:rPr>
        <w:t>应在建筑墙面和顶板上安装龙骨，安装应牢固、可靠；</w:t>
      </w:r>
    </w:p>
    <w:p w14:paraId="3FFECFCD">
      <w:pPr>
        <w:pStyle w:val="164"/>
        <w:numPr>
          <w:ilvl w:val="0"/>
          <w:numId w:val="255"/>
        </w:numPr>
        <w:autoSpaceDE w:val="0"/>
        <w:autoSpaceDN w:val="0"/>
        <w:adjustRightInd w:val="0"/>
        <w:snapToGrid w:val="0"/>
        <w:spacing w:line="330" w:lineRule="exact"/>
        <w:ind w:left="0" w:firstLine="840" w:firstLineChars="400"/>
        <w:rPr>
          <w:szCs w:val="21"/>
        </w:rPr>
      </w:pPr>
      <w:r>
        <w:rPr>
          <w:szCs w:val="21"/>
        </w:rPr>
        <w:t>应按设计将壁板固定在龙骨上；</w:t>
      </w:r>
    </w:p>
    <w:p w14:paraId="2D76B906">
      <w:pPr>
        <w:pStyle w:val="164"/>
        <w:numPr>
          <w:ilvl w:val="0"/>
          <w:numId w:val="255"/>
        </w:numPr>
        <w:autoSpaceDE w:val="0"/>
        <w:autoSpaceDN w:val="0"/>
        <w:adjustRightInd w:val="0"/>
        <w:snapToGrid w:val="0"/>
        <w:spacing w:line="330" w:lineRule="exact"/>
        <w:ind w:left="0" w:firstLine="840" w:firstLineChars="400"/>
        <w:rPr>
          <w:szCs w:val="21"/>
        </w:rPr>
      </w:pPr>
      <w:r>
        <w:rPr>
          <w:szCs w:val="21"/>
        </w:rPr>
        <w:t>壁板在安装前应先对其焊接边进行导电清洁处理；</w:t>
      </w:r>
    </w:p>
    <w:p w14:paraId="3EA4F4F2">
      <w:pPr>
        <w:pStyle w:val="164"/>
        <w:numPr>
          <w:ilvl w:val="0"/>
          <w:numId w:val="255"/>
        </w:numPr>
        <w:autoSpaceDE w:val="0"/>
        <w:autoSpaceDN w:val="0"/>
        <w:adjustRightInd w:val="0"/>
        <w:snapToGrid w:val="0"/>
        <w:spacing w:line="330" w:lineRule="exact"/>
        <w:ind w:left="0" w:firstLine="840" w:firstLineChars="400"/>
        <w:rPr>
          <w:szCs w:val="21"/>
        </w:rPr>
      </w:pPr>
      <w:r>
        <w:rPr>
          <w:szCs w:val="21"/>
        </w:rPr>
        <w:t>壁板的焊缝应为连续焊接。</w:t>
      </w:r>
    </w:p>
    <w:p w14:paraId="5955B29E">
      <w:pPr>
        <w:pStyle w:val="164"/>
        <w:spacing w:before="100" w:after="100" w:line="330" w:lineRule="exact"/>
        <w:ind w:firstLine="422"/>
        <w:rPr>
          <w:szCs w:val="21"/>
        </w:rPr>
      </w:pPr>
      <w:r>
        <w:rPr>
          <w:b/>
          <w:bCs/>
          <w:szCs w:val="21"/>
        </w:rPr>
        <w:t>3</w:t>
      </w:r>
      <w:r>
        <w:rPr>
          <w:szCs w:val="21"/>
        </w:rPr>
        <w:t xml:space="preserve"> 电磁屏蔽门安装需满足下列要求：</w:t>
      </w:r>
    </w:p>
    <w:p w14:paraId="47B234E9">
      <w:pPr>
        <w:pStyle w:val="164"/>
        <w:numPr>
          <w:ilvl w:val="0"/>
          <w:numId w:val="256"/>
        </w:numPr>
        <w:tabs>
          <w:tab w:val="left" w:pos="210"/>
          <w:tab w:val="left" w:pos="567"/>
        </w:tabs>
        <w:spacing w:line="330" w:lineRule="exact"/>
        <w:ind w:firstLine="630" w:firstLineChars="300"/>
        <w:rPr>
          <w:szCs w:val="21"/>
        </w:rPr>
      </w:pPr>
      <w:r>
        <w:rPr>
          <w:szCs w:val="21"/>
        </w:rPr>
        <w:t>旋转电磁屏蔽门施工应符合下列规定：</w:t>
      </w:r>
    </w:p>
    <w:p w14:paraId="1AA49C7F">
      <w:pPr>
        <w:pStyle w:val="164"/>
        <w:numPr>
          <w:ilvl w:val="0"/>
          <w:numId w:val="257"/>
        </w:numPr>
        <w:autoSpaceDE w:val="0"/>
        <w:autoSpaceDN w:val="0"/>
        <w:adjustRightInd w:val="0"/>
        <w:snapToGrid w:val="0"/>
        <w:spacing w:line="330" w:lineRule="exact"/>
        <w:ind w:left="0" w:firstLine="840" w:firstLineChars="400"/>
        <w:rPr>
          <w:szCs w:val="21"/>
        </w:rPr>
      </w:pPr>
      <w:r>
        <w:rPr>
          <w:szCs w:val="21"/>
        </w:rPr>
        <w:t>在焊接或拼装门框时，不得使门框变形，门框平面不平度不应大于2%;</w:t>
      </w:r>
    </w:p>
    <w:p w14:paraId="38148369">
      <w:pPr>
        <w:pStyle w:val="164"/>
        <w:numPr>
          <w:ilvl w:val="0"/>
          <w:numId w:val="257"/>
        </w:numPr>
        <w:autoSpaceDE w:val="0"/>
        <w:autoSpaceDN w:val="0"/>
        <w:adjustRightInd w:val="0"/>
        <w:snapToGrid w:val="0"/>
        <w:spacing w:line="330" w:lineRule="exact"/>
        <w:ind w:left="0" w:firstLine="840" w:firstLineChars="400"/>
        <w:rPr>
          <w:szCs w:val="21"/>
        </w:rPr>
      </w:pPr>
      <w:r>
        <w:rPr>
          <w:szCs w:val="21"/>
        </w:rPr>
        <w:t>门框安装后应进行操作机构的调试和试运行，在无误后进行门扇安装；</w:t>
      </w:r>
    </w:p>
    <w:p w14:paraId="060233BB">
      <w:pPr>
        <w:pStyle w:val="164"/>
        <w:numPr>
          <w:ilvl w:val="0"/>
          <w:numId w:val="257"/>
        </w:numPr>
        <w:autoSpaceDE w:val="0"/>
        <w:autoSpaceDN w:val="0"/>
        <w:adjustRightInd w:val="0"/>
        <w:snapToGrid w:val="0"/>
        <w:spacing w:line="330" w:lineRule="exact"/>
        <w:ind w:left="0" w:firstLine="840" w:firstLineChars="400"/>
        <w:rPr>
          <w:szCs w:val="21"/>
        </w:rPr>
      </w:pPr>
      <w:r>
        <w:rPr>
          <w:szCs w:val="21"/>
        </w:rPr>
        <w:t>安装门扇时，门扇上的刀口与门框上的簧片接触应均匀一致。</w:t>
      </w:r>
    </w:p>
    <w:p w14:paraId="1D874595">
      <w:pPr>
        <w:pStyle w:val="164"/>
        <w:numPr>
          <w:ilvl w:val="0"/>
          <w:numId w:val="256"/>
        </w:numPr>
        <w:tabs>
          <w:tab w:val="left" w:pos="210"/>
          <w:tab w:val="left" w:pos="567"/>
        </w:tabs>
        <w:spacing w:line="330" w:lineRule="exact"/>
        <w:ind w:firstLine="630" w:firstLineChars="300"/>
        <w:rPr>
          <w:szCs w:val="21"/>
        </w:rPr>
      </w:pPr>
      <w:r>
        <w:rPr>
          <w:szCs w:val="21"/>
        </w:rPr>
        <w:t>平移电磁屏蔽门的安装应符合下列规定：</w:t>
      </w:r>
    </w:p>
    <w:p w14:paraId="698524E4">
      <w:pPr>
        <w:pStyle w:val="164"/>
        <w:numPr>
          <w:ilvl w:val="0"/>
          <w:numId w:val="258"/>
        </w:numPr>
        <w:autoSpaceDE w:val="0"/>
        <w:autoSpaceDN w:val="0"/>
        <w:adjustRightInd w:val="0"/>
        <w:snapToGrid w:val="0"/>
        <w:spacing w:line="330" w:lineRule="exact"/>
        <w:ind w:left="0" w:firstLine="840" w:firstLineChars="400"/>
        <w:rPr>
          <w:szCs w:val="21"/>
        </w:rPr>
      </w:pPr>
      <w:r>
        <w:rPr>
          <w:szCs w:val="21"/>
        </w:rPr>
        <w:t>焊接后的变形量及间距应满足设计要求</w:t>
      </w:r>
      <w:r>
        <w:rPr>
          <w:rFonts w:hint="eastAsia"/>
          <w:szCs w:val="21"/>
        </w:rPr>
        <w:t>；</w:t>
      </w:r>
    </w:p>
    <w:p w14:paraId="33E52EC6">
      <w:pPr>
        <w:pStyle w:val="164"/>
        <w:numPr>
          <w:ilvl w:val="0"/>
          <w:numId w:val="258"/>
        </w:numPr>
        <w:autoSpaceDE w:val="0"/>
        <w:autoSpaceDN w:val="0"/>
        <w:adjustRightInd w:val="0"/>
        <w:snapToGrid w:val="0"/>
        <w:spacing w:line="330" w:lineRule="exact"/>
        <w:ind w:left="0" w:firstLine="840" w:firstLineChars="400"/>
        <w:rPr>
          <w:szCs w:val="21"/>
        </w:rPr>
      </w:pPr>
      <w:r>
        <w:rPr>
          <w:szCs w:val="21"/>
        </w:rPr>
        <w:t>门扇、门框平面不平度不应大于1</w:t>
      </w:r>
      <w:r>
        <w:rPr>
          <w:rFonts w:hint="eastAsia"/>
          <w:szCs w:val="21"/>
        </w:rPr>
        <w:t>%</w:t>
      </w:r>
      <w:r>
        <w:rPr>
          <w:szCs w:val="21"/>
        </w:rPr>
        <w:t>-5%，门扇对中位移不应大于1.5mm；</w:t>
      </w:r>
    </w:p>
    <w:p w14:paraId="7A4023A3">
      <w:pPr>
        <w:pStyle w:val="164"/>
        <w:numPr>
          <w:ilvl w:val="0"/>
          <w:numId w:val="258"/>
        </w:numPr>
        <w:autoSpaceDE w:val="0"/>
        <w:autoSpaceDN w:val="0"/>
        <w:adjustRightInd w:val="0"/>
        <w:snapToGrid w:val="0"/>
        <w:spacing w:line="330" w:lineRule="exact"/>
        <w:ind w:left="0" w:firstLine="840" w:firstLineChars="400"/>
        <w:rPr>
          <w:szCs w:val="21"/>
        </w:rPr>
      </w:pPr>
      <w:r>
        <w:rPr>
          <w:szCs w:val="21"/>
        </w:rPr>
        <w:t>在安装气密电磁屏蔽门扇时，应保证内外气压囊压力均匀一致，充气压力不应小于0.15MPa,气管连接处不应漏气。</w:t>
      </w:r>
    </w:p>
    <w:p w14:paraId="09A42FE3">
      <w:pPr>
        <w:pStyle w:val="164"/>
        <w:spacing w:before="100" w:after="100" w:line="330" w:lineRule="exact"/>
        <w:ind w:firstLine="422"/>
        <w:rPr>
          <w:szCs w:val="21"/>
        </w:rPr>
      </w:pPr>
      <w:r>
        <w:rPr>
          <w:b/>
          <w:bCs/>
          <w:szCs w:val="21"/>
        </w:rPr>
        <w:t>4</w:t>
      </w:r>
      <w:r>
        <w:rPr>
          <w:szCs w:val="21"/>
        </w:rPr>
        <w:t xml:space="preserve"> 滤波器、截止波导通风窗及屏蔽玻璃的安装应符合下列</w:t>
      </w:r>
      <w:r>
        <w:rPr>
          <w:rFonts w:hint="eastAsia"/>
          <w:szCs w:val="21"/>
        </w:rPr>
        <w:t>规定</w:t>
      </w:r>
      <w:r>
        <w:rPr>
          <w:szCs w:val="21"/>
        </w:rPr>
        <w:t>：</w:t>
      </w:r>
    </w:p>
    <w:p w14:paraId="7ACDBAC1">
      <w:pPr>
        <w:pStyle w:val="164"/>
        <w:numPr>
          <w:ilvl w:val="0"/>
          <w:numId w:val="259"/>
        </w:numPr>
        <w:tabs>
          <w:tab w:val="left" w:pos="210"/>
          <w:tab w:val="left" w:pos="567"/>
        </w:tabs>
        <w:spacing w:line="330" w:lineRule="exact"/>
        <w:ind w:firstLine="630" w:firstLineChars="300"/>
        <w:rPr>
          <w:szCs w:val="21"/>
        </w:rPr>
      </w:pPr>
      <w:r>
        <w:rPr>
          <w:szCs w:val="21"/>
        </w:rPr>
        <w:t>滤波器安装应符合下列规定：</w:t>
      </w:r>
    </w:p>
    <w:p w14:paraId="41826D28">
      <w:pPr>
        <w:pStyle w:val="164"/>
        <w:numPr>
          <w:ilvl w:val="0"/>
          <w:numId w:val="260"/>
        </w:numPr>
        <w:autoSpaceDE w:val="0"/>
        <w:autoSpaceDN w:val="0"/>
        <w:adjustRightInd w:val="0"/>
        <w:snapToGrid w:val="0"/>
        <w:spacing w:line="330" w:lineRule="exact"/>
        <w:ind w:left="0" w:firstLine="840" w:firstLineChars="400"/>
        <w:rPr>
          <w:szCs w:val="21"/>
        </w:rPr>
      </w:pPr>
      <w:r>
        <w:rPr>
          <w:szCs w:val="21"/>
        </w:rPr>
        <w:t>在安装滤波器时，应将壁板和滤波器接触面的油漆清除干净，滤波器接触面的导电性应保持良好；</w:t>
      </w:r>
    </w:p>
    <w:p w14:paraId="43A278DD">
      <w:pPr>
        <w:pStyle w:val="164"/>
        <w:numPr>
          <w:ilvl w:val="0"/>
          <w:numId w:val="260"/>
        </w:numPr>
        <w:autoSpaceDE w:val="0"/>
        <w:autoSpaceDN w:val="0"/>
        <w:adjustRightInd w:val="0"/>
        <w:snapToGrid w:val="0"/>
        <w:spacing w:line="330" w:lineRule="exact"/>
        <w:ind w:left="0" w:firstLine="840" w:firstLineChars="400"/>
        <w:rPr>
          <w:szCs w:val="21"/>
        </w:rPr>
      </w:pPr>
      <w:r>
        <w:rPr>
          <w:szCs w:val="21"/>
        </w:rPr>
        <w:t>应按设计要求在滤波器接触面放置导电衬垫，并应用螺栓固定、压紧，接触面应严密；</w:t>
      </w:r>
    </w:p>
    <w:p w14:paraId="62751087">
      <w:pPr>
        <w:pStyle w:val="164"/>
        <w:numPr>
          <w:ilvl w:val="0"/>
          <w:numId w:val="260"/>
        </w:numPr>
        <w:autoSpaceDE w:val="0"/>
        <w:autoSpaceDN w:val="0"/>
        <w:adjustRightInd w:val="0"/>
        <w:snapToGrid w:val="0"/>
        <w:spacing w:line="330" w:lineRule="exact"/>
        <w:ind w:left="0" w:firstLine="840" w:firstLineChars="400"/>
        <w:rPr>
          <w:szCs w:val="21"/>
        </w:rPr>
      </w:pPr>
      <w:r>
        <w:rPr>
          <w:szCs w:val="21"/>
        </w:rPr>
        <w:t>滤波器应按设计位置安装</w:t>
      </w:r>
      <w:r>
        <w:rPr>
          <w:rFonts w:hint="eastAsia"/>
          <w:szCs w:val="21"/>
        </w:rPr>
        <w:t>，</w:t>
      </w:r>
      <w:r>
        <w:rPr>
          <w:szCs w:val="21"/>
        </w:rPr>
        <w:t>不同型号、不同参数的滤波器不得混用;</w:t>
      </w:r>
    </w:p>
    <w:p w14:paraId="4007FEBC">
      <w:pPr>
        <w:pStyle w:val="164"/>
        <w:numPr>
          <w:ilvl w:val="0"/>
          <w:numId w:val="260"/>
        </w:numPr>
        <w:autoSpaceDE w:val="0"/>
        <w:autoSpaceDN w:val="0"/>
        <w:adjustRightInd w:val="0"/>
        <w:snapToGrid w:val="0"/>
        <w:spacing w:line="330" w:lineRule="exact"/>
        <w:ind w:left="0" w:firstLine="840" w:firstLineChars="400"/>
        <w:rPr>
          <w:szCs w:val="21"/>
        </w:rPr>
      </w:pPr>
      <w:r>
        <w:rPr>
          <w:szCs w:val="21"/>
        </w:rPr>
        <w:t>电源滤波器与信号滤波器应分开安装，并应保持2m以上的距离，且不得混合安装；</w:t>
      </w:r>
    </w:p>
    <w:p w14:paraId="0DC43729">
      <w:pPr>
        <w:pStyle w:val="164"/>
        <w:numPr>
          <w:ilvl w:val="0"/>
          <w:numId w:val="260"/>
        </w:numPr>
        <w:autoSpaceDE w:val="0"/>
        <w:autoSpaceDN w:val="0"/>
        <w:adjustRightInd w:val="0"/>
        <w:snapToGrid w:val="0"/>
        <w:spacing w:line="330" w:lineRule="exact"/>
        <w:ind w:left="0" w:firstLine="840" w:firstLineChars="400"/>
        <w:rPr>
          <w:szCs w:val="21"/>
        </w:rPr>
      </w:pPr>
      <w:r>
        <w:rPr>
          <w:szCs w:val="21"/>
        </w:rPr>
        <w:t>滤波器两端电缆线应吊挂标识牌；</w:t>
      </w:r>
    </w:p>
    <w:p w14:paraId="3B84D099">
      <w:pPr>
        <w:pStyle w:val="164"/>
        <w:numPr>
          <w:ilvl w:val="0"/>
          <w:numId w:val="260"/>
        </w:numPr>
        <w:autoSpaceDE w:val="0"/>
        <w:autoSpaceDN w:val="0"/>
        <w:adjustRightInd w:val="0"/>
        <w:snapToGrid w:val="0"/>
        <w:spacing w:line="330" w:lineRule="exact"/>
        <w:ind w:left="0" w:firstLine="840" w:firstLineChars="400"/>
        <w:rPr>
          <w:szCs w:val="21"/>
        </w:rPr>
      </w:pPr>
      <w:r>
        <w:rPr>
          <w:szCs w:val="21"/>
        </w:rPr>
        <w:t>滤波器的支架安装应牢固可靠，并应与壁板有良好的电气连接。</w:t>
      </w:r>
    </w:p>
    <w:p w14:paraId="714359F7">
      <w:pPr>
        <w:pStyle w:val="164"/>
        <w:numPr>
          <w:ilvl w:val="0"/>
          <w:numId w:val="259"/>
        </w:numPr>
        <w:tabs>
          <w:tab w:val="left" w:pos="210"/>
          <w:tab w:val="left" w:pos="567"/>
        </w:tabs>
        <w:spacing w:line="330" w:lineRule="exact"/>
        <w:ind w:firstLine="630" w:firstLineChars="300"/>
        <w:rPr>
          <w:szCs w:val="21"/>
        </w:rPr>
      </w:pPr>
      <w:r>
        <w:rPr>
          <w:szCs w:val="21"/>
        </w:rPr>
        <w:t>截止波导通风窗施工应符合下列规定：</w:t>
      </w:r>
    </w:p>
    <w:p w14:paraId="3FDF5782">
      <w:pPr>
        <w:pStyle w:val="164"/>
        <w:numPr>
          <w:ilvl w:val="0"/>
          <w:numId w:val="261"/>
        </w:numPr>
        <w:autoSpaceDE w:val="0"/>
        <w:autoSpaceDN w:val="0"/>
        <w:adjustRightInd w:val="0"/>
        <w:snapToGrid w:val="0"/>
        <w:spacing w:line="330" w:lineRule="exact"/>
        <w:ind w:left="0" w:firstLine="840" w:firstLineChars="400"/>
        <w:rPr>
          <w:szCs w:val="21"/>
        </w:rPr>
      </w:pPr>
      <w:r>
        <w:rPr>
          <w:szCs w:val="21"/>
        </w:rPr>
        <w:t>波导芯、波导围框表面油脂污垢应清除，并应用锡钎焊将波导芯、波导围框焊成一体；</w:t>
      </w:r>
    </w:p>
    <w:p w14:paraId="762CFCF3">
      <w:pPr>
        <w:pStyle w:val="164"/>
        <w:numPr>
          <w:ilvl w:val="0"/>
          <w:numId w:val="261"/>
        </w:numPr>
        <w:autoSpaceDE w:val="0"/>
        <w:autoSpaceDN w:val="0"/>
        <w:adjustRightInd w:val="0"/>
        <w:snapToGrid w:val="0"/>
        <w:spacing w:line="330" w:lineRule="exact"/>
        <w:ind w:left="0" w:firstLine="840" w:firstLineChars="400"/>
        <w:rPr>
          <w:szCs w:val="21"/>
        </w:rPr>
      </w:pPr>
      <w:r>
        <w:rPr>
          <w:szCs w:val="21"/>
        </w:rPr>
        <w:t>焊接应可靠、无松动，不得使波导芯焊缝开裂；</w:t>
      </w:r>
    </w:p>
    <w:p w14:paraId="36F0F79B">
      <w:pPr>
        <w:pStyle w:val="164"/>
        <w:numPr>
          <w:ilvl w:val="0"/>
          <w:numId w:val="261"/>
        </w:numPr>
        <w:autoSpaceDE w:val="0"/>
        <w:autoSpaceDN w:val="0"/>
        <w:adjustRightInd w:val="0"/>
        <w:snapToGrid w:val="0"/>
        <w:spacing w:line="330" w:lineRule="exact"/>
        <w:ind w:left="0" w:firstLine="840" w:firstLineChars="400"/>
        <w:rPr>
          <w:szCs w:val="21"/>
        </w:rPr>
      </w:pPr>
      <w:r>
        <w:rPr>
          <w:szCs w:val="21"/>
        </w:rPr>
        <w:t>截止波导通风窗与壁板的连接应牢固、可靠、导电密封；</w:t>
      </w:r>
    </w:p>
    <w:p w14:paraId="5557BC90">
      <w:pPr>
        <w:pStyle w:val="164"/>
        <w:numPr>
          <w:ilvl w:val="0"/>
          <w:numId w:val="261"/>
        </w:numPr>
        <w:autoSpaceDE w:val="0"/>
        <w:autoSpaceDN w:val="0"/>
        <w:adjustRightInd w:val="0"/>
        <w:snapToGrid w:val="0"/>
        <w:spacing w:line="330" w:lineRule="exact"/>
        <w:ind w:left="0" w:firstLine="840" w:firstLineChars="400"/>
        <w:rPr>
          <w:szCs w:val="21"/>
        </w:rPr>
      </w:pPr>
      <w:r>
        <w:rPr>
          <w:szCs w:val="21"/>
        </w:rPr>
        <w:t>采用焊接时，截止波导通风窗焊缝不得开裂；</w:t>
      </w:r>
    </w:p>
    <w:p w14:paraId="21E9D68D">
      <w:pPr>
        <w:pStyle w:val="164"/>
        <w:numPr>
          <w:ilvl w:val="0"/>
          <w:numId w:val="261"/>
        </w:numPr>
        <w:autoSpaceDE w:val="0"/>
        <w:autoSpaceDN w:val="0"/>
        <w:adjustRightInd w:val="0"/>
        <w:snapToGrid w:val="0"/>
        <w:spacing w:line="330" w:lineRule="exact"/>
        <w:ind w:left="0" w:firstLine="840" w:firstLineChars="400"/>
        <w:rPr>
          <w:szCs w:val="21"/>
        </w:rPr>
      </w:pPr>
      <w:r>
        <w:rPr>
          <w:szCs w:val="21"/>
        </w:rPr>
        <w:t>通风风管与截止波导通风窗连接宜采用非金属软连接，连接孔应在截止波导窗围框的上端，不得在截止波导通风窗芯体上打孔。</w:t>
      </w:r>
    </w:p>
    <w:p w14:paraId="22D8AAD4">
      <w:pPr>
        <w:pStyle w:val="164"/>
        <w:numPr>
          <w:ilvl w:val="0"/>
          <w:numId w:val="259"/>
        </w:numPr>
        <w:tabs>
          <w:tab w:val="left" w:pos="210"/>
          <w:tab w:val="left" w:pos="567"/>
        </w:tabs>
        <w:spacing w:line="330" w:lineRule="exact"/>
        <w:ind w:firstLine="630" w:firstLineChars="300"/>
        <w:rPr>
          <w:szCs w:val="21"/>
        </w:rPr>
      </w:pPr>
      <w:r>
        <w:rPr>
          <w:szCs w:val="21"/>
        </w:rPr>
        <w:t>电磁屏蔽玻璃安装应符合下列规定：</w:t>
      </w:r>
    </w:p>
    <w:p w14:paraId="6D1E450E">
      <w:pPr>
        <w:pStyle w:val="164"/>
        <w:numPr>
          <w:ilvl w:val="0"/>
          <w:numId w:val="262"/>
        </w:numPr>
        <w:autoSpaceDE w:val="0"/>
        <w:autoSpaceDN w:val="0"/>
        <w:adjustRightInd w:val="0"/>
        <w:snapToGrid w:val="0"/>
        <w:spacing w:line="330" w:lineRule="exact"/>
        <w:ind w:left="0" w:firstLine="840" w:firstLineChars="400"/>
        <w:rPr>
          <w:szCs w:val="21"/>
        </w:rPr>
      </w:pPr>
      <w:r>
        <w:rPr>
          <w:szCs w:val="21"/>
        </w:rPr>
        <w:t>电磁屏蔽玻璃四周外延的金属网应平整无破损；</w:t>
      </w:r>
    </w:p>
    <w:p w14:paraId="3D4C1336">
      <w:pPr>
        <w:pStyle w:val="164"/>
        <w:numPr>
          <w:ilvl w:val="0"/>
          <w:numId w:val="262"/>
        </w:numPr>
        <w:autoSpaceDE w:val="0"/>
        <w:autoSpaceDN w:val="0"/>
        <w:adjustRightInd w:val="0"/>
        <w:snapToGrid w:val="0"/>
        <w:spacing w:line="330" w:lineRule="exact"/>
        <w:ind w:left="0" w:firstLine="840" w:firstLineChars="400"/>
        <w:rPr>
          <w:szCs w:val="21"/>
        </w:rPr>
      </w:pPr>
      <w:r>
        <w:rPr>
          <w:szCs w:val="21"/>
        </w:rPr>
        <w:t>电磁屏蔽玻璃四周的金属网和电磁屏蔽玻璃框连接处应进行去锈除污处理，并应釆用压接方式将二者连接成一体。连接应可靠、无松动，导电密封应良好；</w:t>
      </w:r>
    </w:p>
    <w:p w14:paraId="2A89D277">
      <w:pPr>
        <w:pStyle w:val="164"/>
        <w:numPr>
          <w:ilvl w:val="0"/>
          <w:numId w:val="262"/>
        </w:numPr>
        <w:autoSpaceDE w:val="0"/>
        <w:autoSpaceDN w:val="0"/>
        <w:adjustRightInd w:val="0"/>
        <w:snapToGrid w:val="0"/>
        <w:spacing w:line="330" w:lineRule="exact"/>
        <w:ind w:left="0" w:firstLine="840" w:firstLineChars="400"/>
        <w:rPr>
          <w:szCs w:val="21"/>
        </w:rPr>
      </w:pPr>
      <w:r>
        <w:rPr>
          <w:szCs w:val="21"/>
        </w:rPr>
        <w:t>安装电磁屏蔽玻璃时用力应适度，电磁屏蔽玻璃与电磁屏蔽壳体的连接处不得破碎。</w:t>
      </w:r>
    </w:p>
    <w:p w14:paraId="045BDC87">
      <w:pPr>
        <w:pStyle w:val="164"/>
        <w:spacing w:before="100" w:after="100" w:line="330" w:lineRule="exact"/>
        <w:ind w:firstLine="422"/>
        <w:rPr>
          <w:szCs w:val="21"/>
        </w:rPr>
      </w:pPr>
      <w:r>
        <w:rPr>
          <w:b/>
          <w:bCs/>
          <w:szCs w:val="21"/>
        </w:rPr>
        <w:t>5</w:t>
      </w:r>
      <w:r>
        <w:rPr>
          <w:szCs w:val="21"/>
        </w:rPr>
        <w:t xml:space="preserve"> 电磁屏蔽施工应符合下列</w:t>
      </w:r>
      <w:r>
        <w:rPr>
          <w:rFonts w:hint="eastAsia"/>
          <w:szCs w:val="21"/>
        </w:rPr>
        <w:t>规定</w:t>
      </w:r>
      <w:r>
        <w:rPr>
          <w:szCs w:val="21"/>
        </w:rPr>
        <w:t>：</w:t>
      </w:r>
    </w:p>
    <w:p w14:paraId="5327CA7C">
      <w:pPr>
        <w:pStyle w:val="164"/>
        <w:numPr>
          <w:ilvl w:val="0"/>
          <w:numId w:val="263"/>
        </w:numPr>
        <w:tabs>
          <w:tab w:val="left" w:pos="210"/>
          <w:tab w:val="left" w:pos="567"/>
        </w:tabs>
        <w:spacing w:line="330" w:lineRule="exact"/>
        <w:ind w:firstLine="630" w:firstLineChars="300"/>
        <w:rPr>
          <w:szCs w:val="21"/>
        </w:rPr>
      </w:pPr>
      <w:r>
        <w:rPr>
          <w:szCs w:val="21"/>
        </w:rPr>
        <w:t>电磁屏蔽室内的配电、空气调节、给水排水、综合布线、监控及安全防范、防雷与接地、消防、室内装饰装修等专业施工应在电磁屏蔽结构体自检测合格后进行，施工时不得破坏屏蔽层结构体。</w:t>
      </w:r>
      <w:r>
        <w:rPr>
          <w:szCs w:val="21"/>
        </w:rPr>
        <w:tab/>
      </w:r>
    </w:p>
    <w:p w14:paraId="388FCDAA">
      <w:pPr>
        <w:pStyle w:val="164"/>
        <w:numPr>
          <w:ilvl w:val="0"/>
          <w:numId w:val="263"/>
        </w:numPr>
        <w:tabs>
          <w:tab w:val="left" w:pos="210"/>
          <w:tab w:val="left" w:pos="567"/>
        </w:tabs>
        <w:spacing w:line="330" w:lineRule="exact"/>
        <w:ind w:firstLine="630" w:firstLineChars="300"/>
        <w:rPr>
          <w:szCs w:val="21"/>
        </w:rPr>
      </w:pPr>
      <w:r>
        <w:rPr>
          <w:szCs w:val="21"/>
        </w:rPr>
        <w:t xml:space="preserve">所有穿越电磁屏蔽结构体的管、线应按设计要求进行安装连接，不得自行开孔直接穿越连接。 </w:t>
      </w:r>
      <w:r>
        <w:rPr>
          <w:szCs w:val="21"/>
        </w:rPr>
        <w:tab/>
      </w:r>
    </w:p>
    <w:p w14:paraId="7FD1CBB2">
      <w:pPr>
        <w:pStyle w:val="164"/>
        <w:numPr>
          <w:ilvl w:val="0"/>
          <w:numId w:val="263"/>
        </w:numPr>
        <w:tabs>
          <w:tab w:val="left" w:pos="210"/>
          <w:tab w:val="left" w:pos="567"/>
        </w:tabs>
        <w:spacing w:line="330" w:lineRule="exact"/>
        <w:ind w:firstLine="630" w:firstLineChars="300"/>
        <w:rPr>
          <w:szCs w:val="21"/>
        </w:rPr>
      </w:pPr>
      <w:r>
        <w:rPr>
          <w:szCs w:val="21"/>
        </w:rPr>
        <w:t>同一信号接口板上的信号转接座应有标识区分线路的名称；不同信号接口板应有区分的识别标识。</w:t>
      </w:r>
    </w:p>
    <w:p w14:paraId="2E805CCF">
      <w:pPr>
        <w:pStyle w:val="164"/>
        <w:numPr>
          <w:ilvl w:val="0"/>
          <w:numId w:val="263"/>
        </w:numPr>
        <w:tabs>
          <w:tab w:val="left" w:pos="210"/>
          <w:tab w:val="left" w:pos="567"/>
        </w:tabs>
        <w:spacing w:line="330" w:lineRule="exact"/>
        <w:ind w:firstLine="630" w:firstLineChars="300"/>
        <w:rPr>
          <w:szCs w:val="21"/>
        </w:rPr>
      </w:pPr>
      <w:r>
        <w:rPr>
          <w:szCs w:val="21"/>
        </w:rPr>
        <w:t>室内装饰装修固定点宜采用过渡方式与屏蔽体连接固定</w:t>
      </w:r>
      <w:r>
        <w:rPr>
          <w:rFonts w:hint="eastAsia"/>
          <w:szCs w:val="21"/>
        </w:rPr>
        <w:t>，</w:t>
      </w:r>
      <w:r>
        <w:rPr>
          <w:szCs w:val="21"/>
        </w:rPr>
        <w:t>不得在屏蔽结构体穿孔直接螺栓连接。</w:t>
      </w:r>
      <w:r>
        <w:rPr>
          <w:szCs w:val="21"/>
        </w:rPr>
        <w:tab/>
      </w:r>
    </w:p>
    <w:p w14:paraId="0D752F78">
      <w:pPr>
        <w:pStyle w:val="164"/>
        <w:numPr>
          <w:ilvl w:val="0"/>
          <w:numId w:val="263"/>
        </w:numPr>
        <w:tabs>
          <w:tab w:val="left" w:pos="210"/>
          <w:tab w:val="left" w:pos="567"/>
        </w:tabs>
        <w:spacing w:line="330" w:lineRule="exact"/>
        <w:ind w:firstLine="630" w:firstLineChars="300"/>
        <w:rPr>
          <w:szCs w:val="21"/>
        </w:rPr>
      </w:pPr>
      <w:r>
        <w:rPr>
          <w:szCs w:val="21"/>
        </w:rPr>
        <w:t>空气调节系统与屏蔽体连接应在调试完毕后做好保温处理，结露装置排水口应保证在最低点并畅通。</w:t>
      </w:r>
    </w:p>
    <w:p w14:paraId="63AABFE5">
      <w:pPr>
        <w:pStyle w:val="164"/>
        <w:numPr>
          <w:ilvl w:val="0"/>
          <w:numId w:val="263"/>
        </w:numPr>
        <w:tabs>
          <w:tab w:val="left" w:pos="210"/>
          <w:tab w:val="left" w:pos="567"/>
        </w:tabs>
        <w:spacing w:line="330" w:lineRule="exact"/>
        <w:ind w:firstLine="630" w:firstLineChars="300"/>
        <w:rPr>
          <w:szCs w:val="21"/>
        </w:rPr>
      </w:pPr>
      <w:r>
        <w:rPr>
          <w:szCs w:val="21"/>
        </w:rPr>
        <w:t>其他专业施工结束后应按各专业的设计要求进行试运行</w:t>
      </w:r>
      <w:r>
        <w:rPr>
          <w:rFonts w:hint="eastAsia"/>
          <w:szCs w:val="21"/>
        </w:rPr>
        <w:t>，</w:t>
      </w:r>
      <w:r>
        <w:rPr>
          <w:szCs w:val="21"/>
        </w:rPr>
        <w:t>确认与电磁屏蔽转接装置连接牢固、正确。</w:t>
      </w:r>
    </w:p>
    <w:p w14:paraId="2890A1F7">
      <w:pPr>
        <w:pStyle w:val="164"/>
        <w:numPr>
          <w:ilvl w:val="0"/>
          <w:numId w:val="263"/>
        </w:numPr>
        <w:tabs>
          <w:tab w:val="left" w:pos="210"/>
          <w:tab w:val="left" w:pos="567"/>
        </w:tabs>
        <w:spacing w:line="330" w:lineRule="exact"/>
        <w:ind w:firstLine="630" w:firstLineChars="300"/>
        <w:rPr>
          <w:szCs w:val="21"/>
        </w:rPr>
      </w:pPr>
      <w:r>
        <w:rPr>
          <w:szCs w:val="21"/>
        </w:rPr>
        <w:t>电磁屏蔽结构体应按设计要求进行良好接地，接地电阻应满足设计要求。</w:t>
      </w:r>
    </w:p>
    <w:p w14:paraId="4FA2382D">
      <w:pPr>
        <w:pStyle w:val="164"/>
        <w:numPr>
          <w:ilvl w:val="0"/>
          <w:numId w:val="263"/>
        </w:numPr>
        <w:tabs>
          <w:tab w:val="left" w:pos="210"/>
          <w:tab w:val="left" w:pos="567"/>
        </w:tabs>
        <w:spacing w:line="330" w:lineRule="exact"/>
        <w:ind w:firstLine="630" w:firstLineChars="300"/>
        <w:rPr>
          <w:szCs w:val="21"/>
        </w:rPr>
      </w:pPr>
      <w:r>
        <w:rPr>
          <w:szCs w:val="21"/>
        </w:rPr>
        <w:t>屏蔽接地线与屏蔽结构体连接点应接近电源滤波器，安装位置固定，距离应＜200mm。</w:t>
      </w:r>
    </w:p>
    <w:p w14:paraId="1D520013">
      <w:pPr>
        <w:pStyle w:val="164"/>
        <w:spacing w:before="100" w:after="100" w:line="330" w:lineRule="exact"/>
        <w:ind w:firstLine="422"/>
        <w:rPr>
          <w:szCs w:val="21"/>
        </w:rPr>
      </w:pPr>
      <w:r>
        <w:rPr>
          <w:b/>
          <w:bCs/>
          <w:szCs w:val="21"/>
        </w:rPr>
        <w:t>6</w:t>
      </w:r>
      <w:r>
        <w:rPr>
          <w:szCs w:val="21"/>
        </w:rPr>
        <w:t xml:space="preserve"> 电磁屏蔽效能自检应符合下列</w:t>
      </w:r>
      <w:r>
        <w:rPr>
          <w:rFonts w:hint="eastAsia"/>
          <w:szCs w:val="21"/>
        </w:rPr>
        <w:t>规定</w:t>
      </w:r>
      <w:r>
        <w:rPr>
          <w:szCs w:val="21"/>
        </w:rPr>
        <w:t xml:space="preserve">： </w:t>
      </w:r>
      <w:r>
        <w:rPr>
          <w:szCs w:val="21"/>
        </w:rPr>
        <w:tab/>
      </w:r>
    </w:p>
    <w:p w14:paraId="6DD997B1">
      <w:pPr>
        <w:pStyle w:val="164"/>
        <w:numPr>
          <w:ilvl w:val="0"/>
          <w:numId w:val="264"/>
        </w:numPr>
        <w:tabs>
          <w:tab w:val="left" w:pos="210"/>
          <w:tab w:val="left" w:pos="567"/>
        </w:tabs>
        <w:spacing w:line="330" w:lineRule="exact"/>
        <w:ind w:firstLine="630" w:firstLineChars="300"/>
        <w:rPr>
          <w:szCs w:val="21"/>
        </w:rPr>
      </w:pPr>
      <w:r>
        <w:rPr>
          <w:szCs w:val="21"/>
        </w:rPr>
        <w:t>电磁屏蔽室安装完成后应用电磁屏蔽检漏仪对所有接缝、屏蔽门、截止波导通风窗、滤波器等电磁屏蔽接口件进行连续检漏，不得漏检，不合格处应修补至检漏合格。</w:t>
      </w:r>
    </w:p>
    <w:p w14:paraId="4F9D4362">
      <w:pPr>
        <w:pStyle w:val="164"/>
        <w:numPr>
          <w:ilvl w:val="0"/>
          <w:numId w:val="264"/>
        </w:numPr>
        <w:tabs>
          <w:tab w:val="left" w:pos="210"/>
          <w:tab w:val="left" w:pos="567"/>
        </w:tabs>
        <w:spacing w:line="330" w:lineRule="exact"/>
        <w:ind w:firstLine="630" w:firstLineChars="300"/>
        <w:rPr>
          <w:szCs w:val="21"/>
        </w:rPr>
      </w:pPr>
      <w:r>
        <w:rPr>
          <w:szCs w:val="21"/>
        </w:rPr>
        <w:t>电磁屏蔽室的全频段检测应符合下列规定：</w:t>
      </w:r>
    </w:p>
    <w:p w14:paraId="5F2ED799">
      <w:pPr>
        <w:pStyle w:val="164"/>
        <w:numPr>
          <w:ilvl w:val="0"/>
          <w:numId w:val="265"/>
        </w:numPr>
        <w:autoSpaceDE w:val="0"/>
        <w:autoSpaceDN w:val="0"/>
        <w:adjustRightInd w:val="0"/>
        <w:snapToGrid w:val="0"/>
        <w:spacing w:line="330" w:lineRule="exact"/>
        <w:ind w:left="0" w:firstLine="840" w:firstLineChars="400"/>
        <w:rPr>
          <w:szCs w:val="21"/>
        </w:rPr>
      </w:pPr>
      <w:r>
        <w:rPr>
          <w:szCs w:val="21"/>
        </w:rPr>
        <w:t>电磁屏蔽室的全频段检测应在屏蔽结构体完成后，室内装饰前进行；</w:t>
      </w:r>
    </w:p>
    <w:p w14:paraId="2311EFFC">
      <w:pPr>
        <w:pStyle w:val="164"/>
        <w:numPr>
          <w:ilvl w:val="0"/>
          <w:numId w:val="265"/>
        </w:numPr>
        <w:autoSpaceDE w:val="0"/>
        <w:autoSpaceDN w:val="0"/>
        <w:adjustRightInd w:val="0"/>
        <w:snapToGrid w:val="0"/>
        <w:spacing w:line="330" w:lineRule="exact"/>
        <w:ind w:left="0" w:firstLine="840" w:firstLineChars="400"/>
        <w:rPr>
          <w:szCs w:val="21"/>
        </w:rPr>
      </w:pPr>
      <w:r>
        <w:rPr>
          <w:szCs w:val="21"/>
        </w:rPr>
        <w:t>在自检中应分别对电磁屏蔽门、结构体接缝、波导窗、滤波器等所有接口点进行电磁屏蔽效能检测，检测指标均应满足设计要求。</w:t>
      </w:r>
    </w:p>
    <w:p w14:paraId="02306381">
      <w:pPr>
        <w:pStyle w:val="164"/>
        <w:numPr>
          <w:ilvl w:val="0"/>
          <w:numId w:val="264"/>
        </w:numPr>
        <w:tabs>
          <w:tab w:val="left" w:pos="210"/>
          <w:tab w:val="left" w:pos="567"/>
        </w:tabs>
        <w:spacing w:line="330" w:lineRule="exact"/>
        <w:ind w:firstLine="630" w:firstLineChars="300"/>
        <w:rPr>
          <w:szCs w:val="21"/>
        </w:rPr>
      </w:pPr>
      <w:r>
        <w:rPr>
          <w:szCs w:val="21"/>
        </w:rPr>
        <w:t>电磁屏蔽室内的配电、空气调节、给水排水、综合布线、监控及安防、防雷与接地、消防、室内装饰等专业施工结束后,应进行屏蔽效能综合自检，并应满足设计要求。</w:t>
      </w:r>
    </w:p>
    <w:p w14:paraId="1565EDE2">
      <w:pPr>
        <w:pStyle w:val="164"/>
        <w:spacing w:before="100" w:after="100" w:line="330" w:lineRule="exact"/>
        <w:ind w:firstLine="422"/>
        <w:rPr>
          <w:szCs w:val="21"/>
        </w:rPr>
      </w:pPr>
      <w:r>
        <w:rPr>
          <w:b/>
          <w:bCs/>
          <w:szCs w:val="21"/>
        </w:rPr>
        <w:t xml:space="preserve">7 </w:t>
      </w:r>
      <w:r>
        <w:rPr>
          <w:szCs w:val="21"/>
        </w:rPr>
        <w:t>电磁屏蔽施工</w:t>
      </w:r>
      <w:r>
        <w:rPr>
          <w:rFonts w:hint="eastAsia"/>
          <w:szCs w:val="21"/>
        </w:rPr>
        <w:t>检验</w:t>
      </w:r>
      <w:r>
        <w:rPr>
          <w:szCs w:val="21"/>
        </w:rPr>
        <w:t>应符合下列</w:t>
      </w:r>
      <w:r>
        <w:rPr>
          <w:rFonts w:hint="eastAsia"/>
          <w:szCs w:val="21"/>
        </w:rPr>
        <w:t>规定</w:t>
      </w:r>
      <w:r>
        <w:rPr>
          <w:szCs w:val="21"/>
        </w:rPr>
        <w:t>：</w:t>
      </w:r>
    </w:p>
    <w:p w14:paraId="0263BC6B">
      <w:pPr>
        <w:pStyle w:val="164"/>
        <w:numPr>
          <w:ilvl w:val="0"/>
          <w:numId w:val="266"/>
        </w:numPr>
        <w:tabs>
          <w:tab w:val="left" w:pos="210"/>
          <w:tab w:val="left" w:pos="567"/>
        </w:tabs>
        <w:spacing w:line="330" w:lineRule="exact"/>
        <w:ind w:firstLine="630" w:firstLineChars="300"/>
        <w:rPr>
          <w:szCs w:val="21"/>
        </w:rPr>
      </w:pPr>
      <w:r>
        <w:rPr>
          <w:szCs w:val="21"/>
        </w:rPr>
        <w:t>电磁屏蔽</w:t>
      </w:r>
      <w:r>
        <w:rPr>
          <w:rFonts w:hint="eastAsia"/>
          <w:szCs w:val="21"/>
        </w:rPr>
        <w:t>检验</w:t>
      </w:r>
      <w:r>
        <w:rPr>
          <w:szCs w:val="21"/>
        </w:rPr>
        <w:t>应由建设单位组织监理单位、设计单位、测试单位、施工单位共同进行。</w:t>
      </w:r>
    </w:p>
    <w:p w14:paraId="473FF9A9">
      <w:pPr>
        <w:pStyle w:val="164"/>
        <w:numPr>
          <w:ilvl w:val="0"/>
          <w:numId w:val="266"/>
        </w:numPr>
        <w:tabs>
          <w:tab w:val="left" w:pos="210"/>
          <w:tab w:val="left" w:pos="567"/>
        </w:tabs>
        <w:spacing w:line="330" w:lineRule="exact"/>
        <w:ind w:firstLine="630" w:firstLineChars="300"/>
        <w:rPr>
          <w:szCs w:val="21"/>
        </w:rPr>
      </w:pPr>
      <w:r>
        <w:rPr>
          <w:szCs w:val="21"/>
        </w:rPr>
        <w:t>电磁屏蔽室屏蔽效能检测的方法和技术指标应</w:t>
      </w:r>
      <w:r>
        <w:rPr>
          <w:rFonts w:hint="eastAsia"/>
          <w:szCs w:val="21"/>
        </w:rPr>
        <w:t>按现行</w:t>
      </w:r>
      <w:r>
        <w:rPr>
          <w:szCs w:val="21"/>
        </w:rPr>
        <w:t>国家标准</w:t>
      </w:r>
      <w:r>
        <w:rPr>
          <w:color w:val="191919"/>
          <w:shd w:val="clear" w:color="auto" w:fill="FFFFFF"/>
        </w:rPr>
        <w:t>《电磁屏蔽室屏蔽效能测量方法</w:t>
      </w:r>
      <w:r>
        <w:rPr>
          <w:szCs w:val="22"/>
        </w:rPr>
        <w:t>》GB/T 12190</w:t>
      </w:r>
      <w:r>
        <w:rPr>
          <w:rFonts w:hint="eastAsia"/>
          <w:szCs w:val="22"/>
        </w:rPr>
        <w:t>的相关</w:t>
      </w:r>
      <w:r>
        <w:rPr>
          <w:szCs w:val="21"/>
        </w:rPr>
        <w:t>规定</w:t>
      </w:r>
      <w:r>
        <w:rPr>
          <w:rFonts w:hint="eastAsia"/>
          <w:szCs w:val="21"/>
        </w:rPr>
        <w:t>执行</w:t>
      </w:r>
      <w:r>
        <w:rPr>
          <w:szCs w:val="21"/>
        </w:rPr>
        <w:t>。</w:t>
      </w:r>
    </w:p>
    <w:p w14:paraId="7C59A95A">
      <w:pPr>
        <w:pStyle w:val="164"/>
        <w:spacing w:before="100" w:after="100" w:line="330" w:lineRule="exact"/>
        <w:ind w:firstLine="0" w:firstLineChars="0"/>
        <w:rPr>
          <w:szCs w:val="21"/>
        </w:rPr>
      </w:pPr>
      <w:r>
        <w:rPr>
          <w:szCs w:val="21"/>
        </w:rPr>
        <w:t>21.3.4综合布线系统应符合下列</w:t>
      </w:r>
      <w:r>
        <w:rPr>
          <w:rFonts w:hint="eastAsia"/>
          <w:szCs w:val="21"/>
        </w:rPr>
        <w:t>规定</w:t>
      </w:r>
      <w:r>
        <w:rPr>
          <w:szCs w:val="21"/>
        </w:rPr>
        <w:t>：</w:t>
      </w:r>
    </w:p>
    <w:p w14:paraId="16C2D430">
      <w:pPr>
        <w:pStyle w:val="164"/>
        <w:spacing w:before="100" w:after="100" w:line="330" w:lineRule="exact"/>
        <w:rPr>
          <w:szCs w:val="21"/>
        </w:rPr>
      </w:pPr>
      <w:r>
        <w:rPr>
          <w:szCs w:val="21"/>
        </w:rPr>
        <w:t>1</w:t>
      </w:r>
      <w:r>
        <w:rPr>
          <w:rFonts w:hint="eastAsia"/>
          <w:szCs w:val="21"/>
        </w:rPr>
        <w:t>线缆的敷设应符合下列规定：</w:t>
      </w:r>
    </w:p>
    <w:p w14:paraId="257BFFFD">
      <w:pPr>
        <w:pStyle w:val="164"/>
        <w:numPr>
          <w:ilvl w:val="0"/>
          <w:numId w:val="267"/>
        </w:numPr>
        <w:tabs>
          <w:tab w:val="left" w:pos="210"/>
          <w:tab w:val="left" w:pos="567"/>
        </w:tabs>
        <w:spacing w:line="330" w:lineRule="exact"/>
        <w:ind w:firstLine="630" w:firstLineChars="300"/>
        <w:rPr>
          <w:szCs w:val="21"/>
        </w:rPr>
      </w:pPr>
      <w:r>
        <w:rPr>
          <w:szCs w:val="21"/>
        </w:rPr>
        <w:t>线缆的布放应自然平直，不得扭绞，不宜交叉，标签应清晰</w:t>
      </w:r>
      <w:r>
        <w:rPr>
          <w:rFonts w:hint="eastAsia"/>
          <w:szCs w:val="21"/>
        </w:rPr>
        <w:t>，线缆</w:t>
      </w:r>
      <w:r>
        <w:rPr>
          <w:szCs w:val="21"/>
        </w:rPr>
        <w:t>弯曲半径应符合表21.3.4-1的规定</w:t>
      </w:r>
      <w:r>
        <w:rPr>
          <w:rFonts w:hint="eastAsia"/>
          <w:szCs w:val="21"/>
        </w:rPr>
        <w:t>，在终接处线缆应留有余量，余量长度应符合表21.3.4-2的规定</w:t>
      </w:r>
      <w:r>
        <w:rPr>
          <w:szCs w:val="21"/>
        </w:rPr>
        <w:t>；</w:t>
      </w:r>
    </w:p>
    <w:p w14:paraId="211850F2">
      <w:pPr>
        <w:pStyle w:val="164"/>
        <w:spacing w:before="100" w:after="100" w:line="330" w:lineRule="exact"/>
        <w:ind w:firstLine="0" w:firstLineChars="0"/>
        <w:jc w:val="center"/>
        <w:rPr>
          <w:b/>
          <w:bCs/>
          <w:sz w:val="18"/>
          <w:szCs w:val="18"/>
        </w:rPr>
      </w:pPr>
      <w:r>
        <w:rPr>
          <w:b/>
          <w:bCs/>
          <w:sz w:val="18"/>
          <w:szCs w:val="18"/>
        </w:rPr>
        <w:t>表21.3.4-1线缆弯曲半径与线缆外径之比</w:t>
      </w:r>
    </w:p>
    <w:tbl>
      <w:tblPr>
        <w:tblStyle w:val="41"/>
        <w:tblW w:w="0" w:type="auto"/>
        <w:jc w:val="center"/>
        <w:tblLayout w:type="fixed"/>
        <w:tblCellMar>
          <w:top w:w="0" w:type="dxa"/>
          <w:left w:w="10" w:type="dxa"/>
          <w:bottom w:w="0" w:type="dxa"/>
          <w:right w:w="10" w:type="dxa"/>
        </w:tblCellMar>
      </w:tblPr>
      <w:tblGrid>
        <w:gridCol w:w="4234"/>
        <w:gridCol w:w="4457"/>
      </w:tblGrid>
      <w:tr w14:paraId="7C6E1257">
        <w:trPr>
          <w:trHeight w:val="482" w:hRule="exact"/>
          <w:jc w:val="center"/>
        </w:trPr>
        <w:tc>
          <w:tcPr>
            <w:tcW w:w="4234" w:type="dxa"/>
            <w:tcBorders>
              <w:top w:val="single" w:color="auto" w:sz="4" w:space="0"/>
              <w:left w:val="single" w:color="auto" w:sz="4" w:space="0"/>
            </w:tcBorders>
            <w:shd w:val="clear" w:color="auto" w:fill="FFFFFF"/>
            <w:vAlign w:val="bottom"/>
          </w:tcPr>
          <w:p w14:paraId="3CE62B0E">
            <w:pPr>
              <w:pStyle w:val="164"/>
              <w:spacing w:before="100" w:after="100" w:line="330" w:lineRule="exact"/>
              <w:ind w:firstLine="0" w:firstLineChars="0"/>
              <w:jc w:val="center"/>
              <w:rPr>
                <w:sz w:val="18"/>
                <w:szCs w:val="18"/>
              </w:rPr>
            </w:pPr>
            <w:r>
              <w:rPr>
                <w:sz w:val="18"/>
                <w:szCs w:val="18"/>
              </w:rPr>
              <w:t>线缆种类</w:t>
            </w:r>
          </w:p>
        </w:tc>
        <w:tc>
          <w:tcPr>
            <w:tcW w:w="4457" w:type="dxa"/>
            <w:tcBorders>
              <w:top w:val="single" w:color="auto" w:sz="4" w:space="0"/>
              <w:left w:val="single" w:color="auto" w:sz="4" w:space="0"/>
              <w:right w:val="single" w:color="auto" w:sz="4" w:space="0"/>
            </w:tcBorders>
            <w:shd w:val="clear" w:color="auto" w:fill="FFFFFF"/>
            <w:vAlign w:val="bottom"/>
          </w:tcPr>
          <w:p w14:paraId="650E9B70">
            <w:pPr>
              <w:pStyle w:val="164"/>
              <w:spacing w:before="100" w:after="100" w:line="330" w:lineRule="exact"/>
              <w:ind w:firstLine="0" w:firstLineChars="0"/>
              <w:jc w:val="center"/>
              <w:rPr>
                <w:sz w:val="18"/>
                <w:szCs w:val="18"/>
              </w:rPr>
            </w:pPr>
            <w:r>
              <w:rPr>
                <w:sz w:val="18"/>
                <w:szCs w:val="18"/>
              </w:rPr>
              <w:t>弯曲半径与线缆外径之比</w:t>
            </w:r>
          </w:p>
        </w:tc>
      </w:tr>
      <w:tr w14:paraId="33DAA40D">
        <w:tblPrEx>
          <w:tblCellMar>
            <w:top w:w="0" w:type="dxa"/>
            <w:left w:w="10" w:type="dxa"/>
            <w:bottom w:w="0" w:type="dxa"/>
            <w:right w:w="10" w:type="dxa"/>
          </w:tblCellMar>
        </w:tblPrEx>
        <w:trPr>
          <w:trHeight w:val="468" w:hRule="exact"/>
          <w:jc w:val="center"/>
        </w:trPr>
        <w:tc>
          <w:tcPr>
            <w:tcW w:w="4234" w:type="dxa"/>
            <w:tcBorders>
              <w:top w:val="single" w:color="auto" w:sz="4" w:space="0"/>
              <w:left w:val="single" w:color="auto" w:sz="4" w:space="0"/>
            </w:tcBorders>
            <w:shd w:val="clear" w:color="auto" w:fill="FFFFFF"/>
            <w:vAlign w:val="center"/>
          </w:tcPr>
          <w:p w14:paraId="25C2A112">
            <w:pPr>
              <w:pStyle w:val="164"/>
              <w:spacing w:before="100" w:after="100" w:line="330" w:lineRule="exact"/>
              <w:ind w:firstLine="0" w:firstLineChars="0"/>
              <w:jc w:val="center"/>
              <w:rPr>
                <w:sz w:val="18"/>
                <w:szCs w:val="18"/>
              </w:rPr>
            </w:pPr>
            <w:r>
              <w:rPr>
                <w:sz w:val="18"/>
                <w:szCs w:val="18"/>
              </w:rPr>
              <w:t>4对非屏蔽对绞电缆</w:t>
            </w:r>
          </w:p>
        </w:tc>
        <w:tc>
          <w:tcPr>
            <w:tcW w:w="4457" w:type="dxa"/>
            <w:tcBorders>
              <w:top w:val="single" w:color="auto" w:sz="4" w:space="0"/>
              <w:left w:val="single" w:color="auto" w:sz="4" w:space="0"/>
              <w:right w:val="single" w:color="auto" w:sz="4" w:space="0"/>
            </w:tcBorders>
            <w:shd w:val="clear" w:color="auto" w:fill="FFFFFF"/>
            <w:vAlign w:val="center"/>
          </w:tcPr>
          <w:p w14:paraId="36AA06FB">
            <w:pPr>
              <w:pStyle w:val="164"/>
              <w:spacing w:before="100" w:after="100" w:line="330" w:lineRule="exact"/>
              <w:ind w:firstLine="0" w:firstLineChars="0"/>
              <w:jc w:val="center"/>
              <w:rPr>
                <w:sz w:val="18"/>
                <w:szCs w:val="18"/>
              </w:rPr>
            </w:pPr>
            <w:r>
              <w:rPr>
                <w:sz w:val="18"/>
                <w:szCs w:val="18"/>
              </w:rPr>
              <w:t>≥4D</w:t>
            </w:r>
          </w:p>
        </w:tc>
      </w:tr>
      <w:tr w14:paraId="4B711215">
        <w:tblPrEx>
          <w:tblCellMar>
            <w:top w:w="0" w:type="dxa"/>
            <w:left w:w="10" w:type="dxa"/>
            <w:bottom w:w="0" w:type="dxa"/>
            <w:right w:w="10" w:type="dxa"/>
          </w:tblCellMar>
        </w:tblPrEx>
        <w:trPr>
          <w:trHeight w:val="482" w:hRule="exact"/>
          <w:jc w:val="center"/>
        </w:trPr>
        <w:tc>
          <w:tcPr>
            <w:tcW w:w="4234" w:type="dxa"/>
            <w:tcBorders>
              <w:top w:val="single" w:color="auto" w:sz="4" w:space="0"/>
              <w:left w:val="single" w:color="auto" w:sz="4" w:space="0"/>
              <w:bottom w:val="single" w:color="auto" w:sz="4" w:space="0"/>
            </w:tcBorders>
            <w:shd w:val="clear" w:color="auto" w:fill="FFFFFF"/>
            <w:vAlign w:val="center"/>
          </w:tcPr>
          <w:p w14:paraId="65D44A88">
            <w:pPr>
              <w:pStyle w:val="164"/>
              <w:spacing w:before="100" w:after="100" w:line="330" w:lineRule="exact"/>
              <w:ind w:firstLine="0" w:firstLineChars="0"/>
              <w:jc w:val="center"/>
              <w:rPr>
                <w:sz w:val="18"/>
                <w:szCs w:val="18"/>
              </w:rPr>
            </w:pPr>
            <w:r>
              <w:rPr>
                <w:sz w:val="18"/>
                <w:szCs w:val="18"/>
              </w:rPr>
              <w:t>4对屏蔽对绞电缆</w:t>
            </w:r>
          </w:p>
        </w:tc>
        <w:tc>
          <w:tcPr>
            <w:tcW w:w="4457" w:type="dxa"/>
            <w:tcBorders>
              <w:top w:val="single" w:color="auto" w:sz="4" w:space="0"/>
              <w:left w:val="single" w:color="auto" w:sz="4" w:space="0"/>
              <w:bottom w:val="single" w:color="auto" w:sz="4" w:space="0"/>
              <w:right w:val="single" w:color="auto" w:sz="4" w:space="0"/>
            </w:tcBorders>
            <w:shd w:val="clear" w:color="auto" w:fill="FFFFFF"/>
            <w:vAlign w:val="center"/>
          </w:tcPr>
          <w:p w14:paraId="1C3C2C02">
            <w:pPr>
              <w:pStyle w:val="164"/>
              <w:spacing w:before="100" w:after="100" w:line="330" w:lineRule="exact"/>
              <w:ind w:firstLine="0" w:firstLineChars="0"/>
              <w:jc w:val="center"/>
              <w:rPr>
                <w:sz w:val="18"/>
                <w:szCs w:val="18"/>
              </w:rPr>
            </w:pPr>
            <w:r>
              <w:rPr>
                <w:sz w:val="18"/>
                <w:szCs w:val="18"/>
              </w:rPr>
              <w:t>≥8D</w:t>
            </w:r>
          </w:p>
        </w:tc>
      </w:tr>
    </w:tbl>
    <w:p w14:paraId="4BCF82CD">
      <w:pPr>
        <w:pStyle w:val="164"/>
        <w:spacing w:before="100" w:after="100" w:line="330" w:lineRule="exact"/>
        <w:ind w:firstLine="0" w:firstLineChars="0"/>
        <w:rPr>
          <w:szCs w:val="21"/>
        </w:rPr>
      </w:pPr>
      <w:r>
        <w:rPr>
          <w:szCs w:val="21"/>
        </w:rPr>
        <w:br w:type="page"/>
      </w:r>
    </w:p>
    <w:p w14:paraId="72D9BDC6">
      <w:pPr>
        <w:pStyle w:val="164"/>
        <w:spacing w:before="100" w:after="100" w:line="330" w:lineRule="exact"/>
        <w:ind w:firstLine="0" w:firstLineChars="0"/>
        <w:jc w:val="center"/>
        <w:rPr>
          <w:sz w:val="18"/>
          <w:szCs w:val="18"/>
        </w:rPr>
      </w:pPr>
      <w:r>
        <w:rPr>
          <w:sz w:val="18"/>
          <w:szCs w:val="18"/>
        </w:rPr>
        <w:t>续表21.3.4-1</w:t>
      </w:r>
    </w:p>
    <w:tbl>
      <w:tblPr>
        <w:tblStyle w:val="41"/>
        <w:tblW w:w="0" w:type="auto"/>
        <w:jc w:val="center"/>
        <w:tblLayout w:type="fixed"/>
        <w:tblCellMar>
          <w:top w:w="0" w:type="dxa"/>
          <w:left w:w="10" w:type="dxa"/>
          <w:bottom w:w="0" w:type="dxa"/>
          <w:right w:w="10" w:type="dxa"/>
        </w:tblCellMar>
      </w:tblPr>
      <w:tblGrid>
        <w:gridCol w:w="4241"/>
        <w:gridCol w:w="4457"/>
      </w:tblGrid>
      <w:tr w14:paraId="6227F1D3">
        <w:tblPrEx>
          <w:tblCellMar>
            <w:top w:w="0" w:type="dxa"/>
            <w:left w:w="10" w:type="dxa"/>
            <w:bottom w:w="0" w:type="dxa"/>
            <w:right w:w="10" w:type="dxa"/>
          </w:tblCellMar>
        </w:tblPrEx>
        <w:trPr>
          <w:trHeight w:val="497" w:hRule="exact"/>
          <w:jc w:val="center"/>
        </w:trPr>
        <w:tc>
          <w:tcPr>
            <w:tcW w:w="4241" w:type="dxa"/>
            <w:tcBorders>
              <w:top w:val="single" w:color="auto" w:sz="4" w:space="0"/>
              <w:left w:val="single" w:color="auto" w:sz="4" w:space="0"/>
            </w:tcBorders>
            <w:shd w:val="clear" w:color="auto" w:fill="FFFFFF"/>
            <w:vAlign w:val="bottom"/>
          </w:tcPr>
          <w:p w14:paraId="265243D3">
            <w:pPr>
              <w:pStyle w:val="164"/>
              <w:spacing w:before="100" w:after="100" w:line="330" w:lineRule="exact"/>
              <w:ind w:firstLine="0" w:firstLineChars="0"/>
              <w:jc w:val="center"/>
              <w:rPr>
                <w:sz w:val="18"/>
                <w:szCs w:val="18"/>
              </w:rPr>
            </w:pPr>
            <w:r>
              <w:rPr>
                <w:sz w:val="18"/>
                <w:szCs w:val="18"/>
              </w:rPr>
              <w:t>线缆种类</w:t>
            </w:r>
          </w:p>
        </w:tc>
        <w:tc>
          <w:tcPr>
            <w:tcW w:w="4457" w:type="dxa"/>
            <w:tcBorders>
              <w:top w:val="single" w:color="auto" w:sz="4" w:space="0"/>
              <w:left w:val="single" w:color="auto" w:sz="4" w:space="0"/>
              <w:right w:val="single" w:color="auto" w:sz="4" w:space="0"/>
            </w:tcBorders>
            <w:shd w:val="clear" w:color="auto" w:fill="FFFFFF"/>
            <w:vAlign w:val="bottom"/>
          </w:tcPr>
          <w:p w14:paraId="3D00C8E6">
            <w:pPr>
              <w:pStyle w:val="164"/>
              <w:spacing w:before="100" w:after="100" w:line="330" w:lineRule="exact"/>
              <w:ind w:firstLine="0" w:firstLineChars="0"/>
              <w:jc w:val="center"/>
              <w:rPr>
                <w:sz w:val="18"/>
                <w:szCs w:val="18"/>
              </w:rPr>
            </w:pPr>
            <w:r>
              <w:rPr>
                <w:sz w:val="18"/>
                <w:szCs w:val="18"/>
              </w:rPr>
              <w:t>弯曲半径与线缆外径之比</w:t>
            </w:r>
          </w:p>
        </w:tc>
      </w:tr>
      <w:tr w14:paraId="78EF5E17">
        <w:tblPrEx>
          <w:tblCellMar>
            <w:top w:w="0" w:type="dxa"/>
            <w:left w:w="10" w:type="dxa"/>
            <w:bottom w:w="0" w:type="dxa"/>
            <w:right w:w="10" w:type="dxa"/>
          </w:tblCellMar>
        </w:tblPrEx>
        <w:trPr>
          <w:trHeight w:val="590" w:hRule="exact"/>
          <w:jc w:val="center"/>
        </w:trPr>
        <w:tc>
          <w:tcPr>
            <w:tcW w:w="4241" w:type="dxa"/>
            <w:tcBorders>
              <w:top w:val="single" w:color="auto" w:sz="4" w:space="0"/>
              <w:left w:val="single" w:color="auto" w:sz="4" w:space="0"/>
            </w:tcBorders>
            <w:shd w:val="clear" w:color="auto" w:fill="FFFFFF"/>
            <w:vAlign w:val="center"/>
          </w:tcPr>
          <w:p w14:paraId="3175166D">
            <w:pPr>
              <w:pStyle w:val="164"/>
              <w:spacing w:before="100" w:after="100" w:line="330" w:lineRule="exact"/>
              <w:ind w:firstLine="0" w:firstLineChars="0"/>
              <w:jc w:val="center"/>
              <w:rPr>
                <w:sz w:val="18"/>
                <w:szCs w:val="18"/>
              </w:rPr>
            </w:pPr>
            <w:r>
              <w:rPr>
                <w:sz w:val="18"/>
                <w:szCs w:val="18"/>
              </w:rPr>
              <w:t>主干对绞电缆</w:t>
            </w:r>
          </w:p>
        </w:tc>
        <w:tc>
          <w:tcPr>
            <w:tcW w:w="4457" w:type="dxa"/>
            <w:tcBorders>
              <w:top w:val="single" w:color="auto" w:sz="4" w:space="0"/>
              <w:left w:val="single" w:color="auto" w:sz="4" w:space="0"/>
              <w:right w:val="single" w:color="auto" w:sz="4" w:space="0"/>
            </w:tcBorders>
            <w:shd w:val="clear" w:color="auto" w:fill="FFFFFF"/>
            <w:vAlign w:val="center"/>
          </w:tcPr>
          <w:p w14:paraId="73EA2737">
            <w:pPr>
              <w:pStyle w:val="164"/>
              <w:spacing w:before="100" w:after="100" w:line="330" w:lineRule="exact"/>
              <w:ind w:firstLine="0" w:firstLineChars="0"/>
              <w:jc w:val="center"/>
              <w:rPr>
                <w:sz w:val="18"/>
                <w:szCs w:val="18"/>
              </w:rPr>
            </w:pPr>
            <w:r>
              <w:rPr>
                <w:sz w:val="18"/>
                <w:szCs w:val="18"/>
              </w:rPr>
              <w:t>≥10D</w:t>
            </w:r>
          </w:p>
        </w:tc>
      </w:tr>
      <w:tr w14:paraId="28EEED46">
        <w:tblPrEx>
          <w:tblCellMar>
            <w:top w:w="0" w:type="dxa"/>
            <w:left w:w="10" w:type="dxa"/>
            <w:bottom w:w="0" w:type="dxa"/>
            <w:right w:w="10" w:type="dxa"/>
          </w:tblCellMar>
        </w:tblPrEx>
        <w:trPr>
          <w:trHeight w:val="590" w:hRule="exact"/>
          <w:jc w:val="center"/>
        </w:trPr>
        <w:tc>
          <w:tcPr>
            <w:tcW w:w="4241" w:type="dxa"/>
            <w:tcBorders>
              <w:top w:val="single" w:color="auto" w:sz="4" w:space="0"/>
              <w:left w:val="single" w:color="auto" w:sz="4" w:space="0"/>
            </w:tcBorders>
            <w:shd w:val="clear" w:color="auto" w:fill="FFFFFF"/>
            <w:vAlign w:val="center"/>
          </w:tcPr>
          <w:p w14:paraId="11F994F7">
            <w:pPr>
              <w:pStyle w:val="164"/>
              <w:spacing w:before="100" w:after="100" w:line="330" w:lineRule="exact"/>
              <w:ind w:firstLine="0" w:firstLineChars="0"/>
              <w:jc w:val="center"/>
              <w:rPr>
                <w:sz w:val="18"/>
                <w:szCs w:val="18"/>
              </w:rPr>
            </w:pPr>
            <w:r>
              <w:rPr>
                <w:sz w:val="18"/>
                <w:szCs w:val="18"/>
              </w:rPr>
              <w:t>光缆</w:t>
            </w:r>
          </w:p>
        </w:tc>
        <w:tc>
          <w:tcPr>
            <w:tcW w:w="4457" w:type="dxa"/>
            <w:tcBorders>
              <w:top w:val="single" w:color="auto" w:sz="4" w:space="0"/>
              <w:left w:val="single" w:color="auto" w:sz="4" w:space="0"/>
              <w:right w:val="single" w:color="auto" w:sz="4" w:space="0"/>
            </w:tcBorders>
            <w:shd w:val="clear" w:color="auto" w:fill="FFFFFF"/>
            <w:vAlign w:val="center"/>
          </w:tcPr>
          <w:p w14:paraId="2ED47DE8">
            <w:pPr>
              <w:pStyle w:val="164"/>
              <w:spacing w:before="100" w:after="100" w:line="330" w:lineRule="exact"/>
              <w:ind w:firstLine="0" w:firstLineChars="0"/>
              <w:jc w:val="center"/>
              <w:rPr>
                <w:sz w:val="18"/>
                <w:szCs w:val="18"/>
              </w:rPr>
            </w:pPr>
            <w:r>
              <w:rPr>
                <w:sz w:val="18"/>
                <w:szCs w:val="18"/>
              </w:rPr>
              <w:t>≥10D</w:t>
            </w:r>
          </w:p>
        </w:tc>
      </w:tr>
      <w:tr w14:paraId="411D8140">
        <w:tblPrEx>
          <w:tblCellMar>
            <w:top w:w="0" w:type="dxa"/>
            <w:left w:w="10" w:type="dxa"/>
            <w:bottom w:w="0" w:type="dxa"/>
            <w:right w:w="10" w:type="dxa"/>
          </w:tblCellMar>
        </w:tblPrEx>
        <w:trPr>
          <w:trHeight w:val="619" w:hRule="exact"/>
          <w:jc w:val="center"/>
        </w:trPr>
        <w:tc>
          <w:tcPr>
            <w:tcW w:w="4241" w:type="dxa"/>
            <w:tcBorders>
              <w:top w:val="single" w:color="auto" w:sz="4" w:space="0"/>
              <w:left w:val="single" w:color="auto" w:sz="4" w:space="0"/>
              <w:bottom w:val="single" w:color="auto" w:sz="4" w:space="0"/>
            </w:tcBorders>
            <w:shd w:val="clear" w:color="auto" w:fill="FFFFFF"/>
            <w:vAlign w:val="center"/>
          </w:tcPr>
          <w:p w14:paraId="71114E8C">
            <w:pPr>
              <w:pStyle w:val="164"/>
              <w:spacing w:before="100" w:after="100" w:line="330" w:lineRule="exact"/>
              <w:ind w:firstLine="0" w:firstLineChars="0"/>
              <w:jc w:val="center"/>
              <w:rPr>
                <w:sz w:val="18"/>
                <w:szCs w:val="18"/>
              </w:rPr>
            </w:pPr>
            <w:r>
              <w:rPr>
                <w:sz w:val="18"/>
                <w:szCs w:val="18"/>
              </w:rPr>
              <w:t>预端接线缆</w:t>
            </w:r>
          </w:p>
        </w:tc>
        <w:tc>
          <w:tcPr>
            <w:tcW w:w="4457" w:type="dxa"/>
            <w:tcBorders>
              <w:top w:val="single" w:color="auto" w:sz="4" w:space="0"/>
              <w:left w:val="single" w:color="auto" w:sz="4" w:space="0"/>
              <w:bottom w:val="single" w:color="auto" w:sz="4" w:space="0"/>
              <w:right w:val="single" w:color="auto" w:sz="4" w:space="0"/>
            </w:tcBorders>
            <w:shd w:val="clear" w:color="auto" w:fill="FFFFFF"/>
            <w:vAlign w:val="center"/>
          </w:tcPr>
          <w:p w14:paraId="3FFF52EF">
            <w:pPr>
              <w:pStyle w:val="164"/>
              <w:spacing w:before="100" w:after="100" w:line="330" w:lineRule="exact"/>
              <w:ind w:firstLine="0" w:firstLineChars="0"/>
              <w:jc w:val="center"/>
              <w:rPr>
                <w:sz w:val="18"/>
                <w:szCs w:val="18"/>
              </w:rPr>
            </w:pPr>
            <w:r>
              <w:rPr>
                <w:sz w:val="18"/>
                <w:szCs w:val="18"/>
              </w:rPr>
              <w:t>≥10D</w:t>
            </w:r>
          </w:p>
        </w:tc>
      </w:tr>
    </w:tbl>
    <w:p w14:paraId="23F459B4">
      <w:pPr>
        <w:pStyle w:val="164"/>
        <w:spacing w:before="100" w:after="100" w:line="330" w:lineRule="exact"/>
        <w:ind w:firstLine="180" w:firstLineChars="100"/>
        <w:rPr>
          <w:sz w:val="18"/>
          <w:szCs w:val="18"/>
        </w:rPr>
      </w:pPr>
      <w:r>
        <w:rPr>
          <w:sz w:val="18"/>
          <w:szCs w:val="18"/>
        </w:rPr>
        <w:t>注：D为线缆外径。</w:t>
      </w:r>
    </w:p>
    <w:p w14:paraId="6917F4FC">
      <w:pPr>
        <w:pStyle w:val="164"/>
        <w:spacing w:before="100" w:after="100" w:line="330" w:lineRule="exact"/>
        <w:ind w:firstLine="0" w:firstLineChars="0"/>
        <w:jc w:val="center"/>
        <w:rPr>
          <w:sz w:val="18"/>
          <w:szCs w:val="18"/>
        </w:rPr>
      </w:pPr>
      <w:r>
        <w:rPr>
          <w:sz w:val="18"/>
          <w:szCs w:val="18"/>
        </w:rPr>
        <w:t>表21.3.4-2线缆终接余量长度（mm）</w:t>
      </w:r>
    </w:p>
    <w:tbl>
      <w:tblPr>
        <w:tblStyle w:val="41"/>
        <w:tblW w:w="0" w:type="auto"/>
        <w:jc w:val="center"/>
        <w:tblLayout w:type="fixed"/>
        <w:tblCellMar>
          <w:top w:w="0" w:type="dxa"/>
          <w:left w:w="10" w:type="dxa"/>
          <w:bottom w:w="0" w:type="dxa"/>
          <w:right w:w="10" w:type="dxa"/>
        </w:tblCellMar>
      </w:tblPr>
      <w:tblGrid>
        <w:gridCol w:w="2844"/>
        <w:gridCol w:w="2815"/>
        <w:gridCol w:w="3038"/>
      </w:tblGrid>
      <w:tr w14:paraId="19A4B06F">
        <w:tblPrEx>
          <w:tblCellMar>
            <w:top w:w="0" w:type="dxa"/>
            <w:left w:w="10" w:type="dxa"/>
            <w:bottom w:w="0" w:type="dxa"/>
            <w:right w:w="10" w:type="dxa"/>
          </w:tblCellMar>
        </w:tblPrEx>
        <w:trPr>
          <w:trHeight w:val="605" w:hRule="exact"/>
          <w:jc w:val="center"/>
        </w:trPr>
        <w:tc>
          <w:tcPr>
            <w:tcW w:w="2844" w:type="dxa"/>
            <w:tcBorders>
              <w:top w:val="single" w:color="auto" w:sz="4" w:space="0"/>
              <w:left w:val="single" w:color="auto" w:sz="4" w:space="0"/>
            </w:tcBorders>
            <w:shd w:val="clear" w:color="auto" w:fill="FFFFFF"/>
            <w:vAlign w:val="center"/>
          </w:tcPr>
          <w:p w14:paraId="571E497A">
            <w:pPr>
              <w:pStyle w:val="164"/>
              <w:spacing w:before="100" w:after="100" w:line="330" w:lineRule="exact"/>
              <w:ind w:firstLine="0" w:firstLineChars="0"/>
              <w:jc w:val="center"/>
              <w:rPr>
                <w:sz w:val="18"/>
                <w:szCs w:val="18"/>
              </w:rPr>
            </w:pPr>
            <w:r>
              <w:rPr>
                <w:sz w:val="18"/>
                <w:szCs w:val="18"/>
              </w:rPr>
              <w:t>线缆种类</w:t>
            </w:r>
          </w:p>
        </w:tc>
        <w:tc>
          <w:tcPr>
            <w:tcW w:w="2815" w:type="dxa"/>
            <w:tcBorders>
              <w:top w:val="single" w:color="auto" w:sz="4" w:space="0"/>
              <w:left w:val="single" w:color="auto" w:sz="4" w:space="0"/>
            </w:tcBorders>
            <w:shd w:val="clear" w:color="auto" w:fill="FFFFFF"/>
            <w:vAlign w:val="center"/>
          </w:tcPr>
          <w:p w14:paraId="3FF5B6AB">
            <w:pPr>
              <w:pStyle w:val="164"/>
              <w:spacing w:before="100" w:after="100" w:line="330" w:lineRule="exact"/>
              <w:ind w:firstLine="0" w:firstLineChars="0"/>
              <w:jc w:val="center"/>
              <w:rPr>
                <w:sz w:val="18"/>
                <w:szCs w:val="18"/>
              </w:rPr>
            </w:pPr>
            <w:r>
              <w:rPr>
                <w:sz w:val="18"/>
                <w:szCs w:val="18"/>
              </w:rPr>
              <w:t>配线设备端</w:t>
            </w:r>
          </w:p>
        </w:tc>
        <w:tc>
          <w:tcPr>
            <w:tcW w:w="3038" w:type="dxa"/>
            <w:tcBorders>
              <w:top w:val="single" w:color="auto" w:sz="4" w:space="0"/>
              <w:left w:val="single" w:color="auto" w:sz="4" w:space="0"/>
              <w:right w:val="single" w:color="auto" w:sz="4" w:space="0"/>
            </w:tcBorders>
            <w:shd w:val="clear" w:color="auto" w:fill="FFFFFF"/>
            <w:vAlign w:val="center"/>
          </w:tcPr>
          <w:p w14:paraId="506DA6CC">
            <w:pPr>
              <w:pStyle w:val="164"/>
              <w:spacing w:before="100" w:after="100" w:line="330" w:lineRule="exact"/>
              <w:ind w:firstLine="0" w:firstLineChars="0"/>
              <w:jc w:val="center"/>
              <w:rPr>
                <w:sz w:val="18"/>
                <w:szCs w:val="18"/>
              </w:rPr>
            </w:pPr>
            <w:r>
              <w:rPr>
                <w:sz w:val="18"/>
                <w:szCs w:val="18"/>
              </w:rPr>
              <w:t>工作端</w:t>
            </w:r>
          </w:p>
        </w:tc>
      </w:tr>
      <w:tr w14:paraId="0CB60B3A">
        <w:tblPrEx>
          <w:tblCellMar>
            <w:top w:w="0" w:type="dxa"/>
            <w:left w:w="10" w:type="dxa"/>
            <w:bottom w:w="0" w:type="dxa"/>
            <w:right w:w="10" w:type="dxa"/>
          </w:tblCellMar>
        </w:tblPrEx>
        <w:trPr>
          <w:trHeight w:val="583" w:hRule="exact"/>
          <w:jc w:val="center"/>
        </w:trPr>
        <w:tc>
          <w:tcPr>
            <w:tcW w:w="2844" w:type="dxa"/>
            <w:tcBorders>
              <w:top w:val="single" w:color="auto" w:sz="4" w:space="0"/>
              <w:left w:val="single" w:color="auto" w:sz="4" w:space="0"/>
            </w:tcBorders>
            <w:shd w:val="clear" w:color="auto" w:fill="FFFFFF"/>
            <w:vAlign w:val="center"/>
          </w:tcPr>
          <w:p w14:paraId="5E11615F">
            <w:pPr>
              <w:pStyle w:val="164"/>
              <w:spacing w:before="100" w:after="100" w:line="330" w:lineRule="exact"/>
              <w:ind w:firstLine="0" w:firstLineChars="0"/>
              <w:jc w:val="center"/>
              <w:rPr>
                <w:sz w:val="18"/>
                <w:szCs w:val="18"/>
              </w:rPr>
            </w:pPr>
            <w:r>
              <w:rPr>
                <w:sz w:val="18"/>
                <w:szCs w:val="18"/>
              </w:rPr>
              <w:t>对绞电缆</w:t>
            </w:r>
          </w:p>
        </w:tc>
        <w:tc>
          <w:tcPr>
            <w:tcW w:w="2815" w:type="dxa"/>
            <w:tcBorders>
              <w:top w:val="single" w:color="auto" w:sz="4" w:space="0"/>
              <w:left w:val="single" w:color="auto" w:sz="4" w:space="0"/>
            </w:tcBorders>
            <w:shd w:val="clear" w:color="auto" w:fill="FFFFFF"/>
            <w:vAlign w:val="center"/>
          </w:tcPr>
          <w:p w14:paraId="5BD16B8D">
            <w:pPr>
              <w:pStyle w:val="164"/>
              <w:spacing w:before="100" w:after="100" w:line="330" w:lineRule="exact"/>
              <w:ind w:firstLine="0" w:firstLineChars="0"/>
              <w:jc w:val="center"/>
              <w:rPr>
                <w:sz w:val="18"/>
                <w:szCs w:val="18"/>
              </w:rPr>
            </w:pPr>
            <w:r>
              <w:rPr>
                <w:sz w:val="18"/>
                <w:szCs w:val="18"/>
              </w:rPr>
              <w:t>500~1000</w:t>
            </w:r>
          </w:p>
        </w:tc>
        <w:tc>
          <w:tcPr>
            <w:tcW w:w="3038" w:type="dxa"/>
            <w:tcBorders>
              <w:top w:val="single" w:color="auto" w:sz="4" w:space="0"/>
              <w:left w:val="single" w:color="auto" w:sz="4" w:space="0"/>
              <w:right w:val="single" w:color="auto" w:sz="4" w:space="0"/>
            </w:tcBorders>
            <w:shd w:val="clear" w:color="auto" w:fill="FFFFFF"/>
            <w:vAlign w:val="center"/>
          </w:tcPr>
          <w:p w14:paraId="0C17EB99">
            <w:pPr>
              <w:pStyle w:val="164"/>
              <w:spacing w:before="100" w:after="100" w:line="330" w:lineRule="exact"/>
              <w:ind w:firstLine="0" w:firstLineChars="0"/>
              <w:jc w:val="center"/>
              <w:rPr>
                <w:sz w:val="18"/>
                <w:szCs w:val="18"/>
              </w:rPr>
            </w:pPr>
            <w:r>
              <w:rPr>
                <w:sz w:val="18"/>
                <w:szCs w:val="18"/>
              </w:rPr>
              <w:t>10~30</w:t>
            </w:r>
          </w:p>
        </w:tc>
      </w:tr>
      <w:tr w14:paraId="718EA21A">
        <w:tblPrEx>
          <w:tblCellMar>
            <w:top w:w="0" w:type="dxa"/>
            <w:left w:w="10" w:type="dxa"/>
            <w:bottom w:w="0" w:type="dxa"/>
            <w:right w:w="10" w:type="dxa"/>
          </w:tblCellMar>
        </w:tblPrEx>
        <w:trPr>
          <w:trHeight w:val="598" w:hRule="exact"/>
          <w:jc w:val="center"/>
        </w:trPr>
        <w:tc>
          <w:tcPr>
            <w:tcW w:w="2844" w:type="dxa"/>
            <w:tcBorders>
              <w:top w:val="single" w:color="auto" w:sz="4" w:space="0"/>
              <w:left w:val="single" w:color="auto" w:sz="4" w:space="0"/>
            </w:tcBorders>
            <w:shd w:val="clear" w:color="auto" w:fill="FFFFFF"/>
            <w:vAlign w:val="bottom"/>
          </w:tcPr>
          <w:p w14:paraId="3ED95DDA">
            <w:pPr>
              <w:pStyle w:val="164"/>
              <w:spacing w:before="100" w:after="100" w:line="330" w:lineRule="exact"/>
              <w:ind w:firstLine="0" w:firstLineChars="0"/>
              <w:jc w:val="center"/>
              <w:rPr>
                <w:sz w:val="18"/>
                <w:szCs w:val="18"/>
              </w:rPr>
            </w:pPr>
            <w:r>
              <w:rPr>
                <w:sz w:val="18"/>
                <w:szCs w:val="18"/>
              </w:rPr>
              <w:t>光缆</w:t>
            </w:r>
          </w:p>
        </w:tc>
        <w:tc>
          <w:tcPr>
            <w:tcW w:w="5853" w:type="dxa"/>
            <w:gridSpan w:val="2"/>
            <w:tcBorders>
              <w:top w:val="single" w:color="auto" w:sz="4" w:space="0"/>
              <w:left w:val="single" w:color="auto" w:sz="4" w:space="0"/>
              <w:right w:val="single" w:color="auto" w:sz="4" w:space="0"/>
            </w:tcBorders>
            <w:shd w:val="clear" w:color="auto" w:fill="FFFFFF"/>
            <w:vAlign w:val="bottom"/>
          </w:tcPr>
          <w:p w14:paraId="33F24D5C">
            <w:pPr>
              <w:pStyle w:val="164"/>
              <w:spacing w:before="100" w:after="100" w:line="330" w:lineRule="exact"/>
              <w:ind w:firstLine="0" w:firstLineChars="0"/>
              <w:jc w:val="center"/>
              <w:rPr>
                <w:sz w:val="18"/>
                <w:szCs w:val="18"/>
              </w:rPr>
            </w:pPr>
            <w:r>
              <w:rPr>
                <w:sz w:val="18"/>
                <w:szCs w:val="18"/>
              </w:rPr>
              <w:t>1000~3000</w:t>
            </w:r>
          </w:p>
        </w:tc>
      </w:tr>
      <w:tr w14:paraId="688410B9">
        <w:tblPrEx>
          <w:tblCellMar>
            <w:top w:w="0" w:type="dxa"/>
            <w:left w:w="10" w:type="dxa"/>
            <w:bottom w:w="0" w:type="dxa"/>
            <w:right w:w="10" w:type="dxa"/>
          </w:tblCellMar>
        </w:tblPrEx>
        <w:trPr>
          <w:trHeight w:val="605" w:hRule="exact"/>
          <w:jc w:val="center"/>
        </w:trPr>
        <w:tc>
          <w:tcPr>
            <w:tcW w:w="2844" w:type="dxa"/>
            <w:tcBorders>
              <w:left w:val="single" w:color="auto" w:sz="4" w:space="0"/>
              <w:bottom w:val="single" w:color="auto" w:sz="4" w:space="0"/>
            </w:tcBorders>
            <w:shd w:val="clear" w:color="auto" w:fill="FFFFFF"/>
          </w:tcPr>
          <w:p w14:paraId="07EDBDEE">
            <w:pPr>
              <w:pStyle w:val="164"/>
              <w:spacing w:before="100" w:after="100" w:line="330" w:lineRule="exact"/>
              <w:ind w:firstLine="0" w:firstLineChars="0"/>
              <w:jc w:val="center"/>
              <w:rPr>
                <w:sz w:val="18"/>
                <w:szCs w:val="18"/>
              </w:rPr>
            </w:pPr>
            <w:r>
              <w:rPr>
                <w:sz w:val="18"/>
                <w:szCs w:val="18"/>
              </w:rPr>
              <w:t>预端接线缆</w:t>
            </w:r>
          </w:p>
        </w:tc>
        <w:tc>
          <w:tcPr>
            <w:tcW w:w="5853" w:type="dxa"/>
            <w:gridSpan w:val="2"/>
            <w:tcBorders>
              <w:left w:val="single" w:color="auto" w:sz="4" w:space="0"/>
              <w:bottom w:val="single" w:color="auto" w:sz="4" w:space="0"/>
              <w:right w:val="single" w:color="auto" w:sz="4" w:space="0"/>
            </w:tcBorders>
            <w:shd w:val="clear" w:color="auto" w:fill="FFFFFF"/>
          </w:tcPr>
          <w:p w14:paraId="469BF7F3">
            <w:pPr>
              <w:pStyle w:val="164"/>
              <w:spacing w:before="100" w:after="100" w:line="330" w:lineRule="exact"/>
              <w:ind w:firstLine="0" w:firstLineChars="0"/>
              <w:jc w:val="center"/>
              <w:rPr>
                <w:sz w:val="18"/>
                <w:szCs w:val="18"/>
              </w:rPr>
            </w:pPr>
            <w:r>
              <w:rPr>
                <w:sz w:val="18"/>
                <w:szCs w:val="18"/>
              </w:rPr>
              <w:t>1000~3000</w:t>
            </w:r>
          </w:p>
        </w:tc>
      </w:tr>
    </w:tbl>
    <w:p w14:paraId="68225BE7">
      <w:pPr>
        <w:pStyle w:val="164"/>
        <w:numPr>
          <w:ilvl w:val="0"/>
          <w:numId w:val="267"/>
        </w:numPr>
        <w:tabs>
          <w:tab w:val="left" w:pos="210"/>
          <w:tab w:val="left" w:pos="567"/>
        </w:tabs>
        <w:spacing w:line="330" w:lineRule="exact"/>
        <w:ind w:firstLine="630" w:firstLineChars="300"/>
        <w:rPr>
          <w:szCs w:val="21"/>
        </w:rPr>
      </w:pPr>
      <w:r>
        <w:rPr>
          <w:szCs w:val="21"/>
        </w:rPr>
        <w:t>当采用屏蔽布线系统时，屏蔽线缆与端头、端头与设备之间的连接应符合下列规定:</w:t>
      </w:r>
    </w:p>
    <w:p w14:paraId="092CA24C">
      <w:pPr>
        <w:pStyle w:val="164"/>
        <w:numPr>
          <w:ilvl w:val="0"/>
          <w:numId w:val="268"/>
        </w:numPr>
        <w:autoSpaceDE w:val="0"/>
        <w:autoSpaceDN w:val="0"/>
        <w:adjustRightInd w:val="0"/>
        <w:snapToGrid w:val="0"/>
        <w:spacing w:line="330" w:lineRule="exact"/>
        <w:ind w:left="0" w:firstLine="840" w:firstLineChars="400"/>
        <w:rPr>
          <w:szCs w:val="21"/>
        </w:rPr>
      </w:pPr>
      <w:r>
        <w:rPr>
          <w:szCs w:val="21"/>
        </w:rPr>
        <w:t>对绞线缆的屏蔽层应与接插件屏蔽罩完整、可靠接触；</w:t>
      </w:r>
    </w:p>
    <w:p w14:paraId="105AF2A9">
      <w:pPr>
        <w:pStyle w:val="164"/>
        <w:numPr>
          <w:ilvl w:val="0"/>
          <w:numId w:val="268"/>
        </w:numPr>
        <w:autoSpaceDE w:val="0"/>
        <w:autoSpaceDN w:val="0"/>
        <w:adjustRightInd w:val="0"/>
        <w:snapToGrid w:val="0"/>
        <w:spacing w:line="330" w:lineRule="exact"/>
        <w:ind w:left="0" w:firstLine="840" w:firstLineChars="400"/>
        <w:rPr>
          <w:szCs w:val="21"/>
        </w:rPr>
      </w:pPr>
      <w:r>
        <w:rPr>
          <w:szCs w:val="21"/>
        </w:rPr>
        <w:t>屏蔽层应保持连续，端接时宜减少屏蔽层的剥开长度,与端头间的裸露长度不应大于5mm；</w:t>
      </w:r>
    </w:p>
    <w:p w14:paraId="0C1C07F4">
      <w:pPr>
        <w:pStyle w:val="164"/>
        <w:numPr>
          <w:ilvl w:val="0"/>
          <w:numId w:val="268"/>
        </w:numPr>
        <w:autoSpaceDE w:val="0"/>
        <w:autoSpaceDN w:val="0"/>
        <w:adjustRightInd w:val="0"/>
        <w:snapToGrid w:val="0"/>
        <w:spacing w:line="330" w:lineRule="exact"/>
        <w:ind w:left="0" w:firstLine="840" w:firstLineChars="400"/>
        <w:rPr>
          <w:szCs w:val="21"/>
        </w:rPr>
      </w:pPr>
      <w:r>
        <w:rPr>
          <w:szCs w:val="21"/>
        </w:rPr>
        <w:t>端头处应可靠接地，接地导线和接地电阻值应满足设计要求。</w:t>
      </w:r>
    </w:p>
    <w:p w14:paraId="2A69C4DA">
      <w:pPr>
        <w:pStyle w:val="164"/>
        <w:numPr>
          <w:ilvl w:val="0"/>
          <w:numId w:val="267"/>
        </w:numPr>
        <w:tabs>
          <w:tab w:val="left" w:pos="210"/>
          <w:tab w:val="left" w:pos="567"/>
        </w:tabs>
        <w:spacing w:line="330" w:lineRule="exact"/>
        <w:ind w:firstLine="630" w:firstLineChars="300"/>
        <w:rPr>
          <w:szCs w:val="21"/>
        </w:rPr>
      </w:pPr>
      <w:r>
        <w:rPr>
          <w:szCs w:val="21"/>
        </w:rPr>
        <w:t>信号网络线缆与电源线缆及其他管线之间的距离应符合表21.3.4-3和表21.3.4-4的规定。</w:t>
      </w:r>
      <w:r>
        <w:rPr>
          <w:szCs w:val="21"/>
        </w:rPr>
        <w:br w:type="page"/>
      </w:r>
    </w:p>
    <w:p w14:paraId="36B1B54A">
      <w:pPr>
        <w:pStyle w:val="164"/>
        <w:spacing w:before="100" w:after="100" w:line="330" w:lineRule="exact"/>
        <w:ind w:firstLine="0" w:firstLineChars="0"/>
        <w:jc w:val="center"/>
        <w:rPr>
          <w:b/>
          <w:bCs/>
          <w:sz w:val="18"/>
          <w:szCs w:val="18"/>
        </w:rPr>
      </w:pPr>
      <w:r>
        <w:rPr>
          <w:b/>
          <w:bCs/>
          <w:sz w:val="18"/>
          <w:szCs w:val="18"/>
        </w:rPr>
        <w:t>表21.3.4-3对绞电缆与电力电缆最小净距（mm）</w:t>
      </w:r>
    </w:p>
    <w:tbl>
      <w:tblPr>
        <w:tblStyle w:val="41"/>
        <w:tblW w:w="0" w:type="auto"/>
        <w:jc w:val="center"/>
        <w:tblLayout w:type="fixed"/>
        <w:tblCellMar>
          <w:top w:w="0" w:type="dxa"/>
          <w:left w:w="10" w:type="dxa"/>
          <w:bottom w:w="0" w:type="dxa"/>
          <w:right w:w="10" w:type="dxa"/>
        </w:tblCellMar>
      </w:tblPr>
      <w:tblGrid>
        <w:gridCol w:w="3996"/>
        <w:gridCol w:w="1166"/>
        <w:gridCol w:w="2102"/>
        <w:gridCol w:w="1404"/>
      </w:tblGrid>
      <w:tr w14:paraId="09B836A4">
        <w:tblPrEx>
          <w:tblCellMar>
            <w:top w:w="0" w:type="dxa"/>
            <w:left w:w="10" w:type="dxa"/>
            <w:bottom w:w="0" w:type="dxa"/>
            <w:right w:w="10" w:type="dxa"/>
          </w:tblCellMar>
        </w:tblPrEx>
        <w:trPr>
          <w:trHeight w:val="475" w:hRule="exact"/>
          <w:jc w:val="center"/>
        </w:trPr>
        <w:tc>
          <w:tcPr>
            <w:tcW w:w="3996" w:type="dxa"/>
            <w:vMerge w:val="restart"/>
            <w:tcBorders>
              <w:top w:val="single" w:color="auto" w:sz="4" w:space="0"/>
              <w:left w:val="single" w:color="auto" w:sz="4" w:space="0"/>
            </w:tcBorders>
            <w:shd w:val="clear" w:color="auto" w:fill="FFFFFF"/>
            <w:vAlign w:val="center"/>
          </w:tcPr>
          <w:p w14:paraId="5A84A668">
            <w:pPr>
              <w:pStyle w:val="164"/>
              <w:spacing w:before="100" w:after="100" w:line="330" w:lineRule="exact"/>
              <w:ind w:firstLine="0" w:firstLineChars="0"/>
              <w:jc w:val="center"/>
              <w:rPr>
                <w:sz w:val="18"/>
                <w:szCs w:val="18"/>
              </w:rPr>
            </w:pPr>
            <w:r>
              <w:rPr>
                <w:sz w:val="18"/>
                <w:szCs w:val="18"/>
              </w:rPr>
              <w:t>条件</w:t>
            </w:r>
          </w:p>
        </w:tc>
        <w:tc>
          <w:tcPr>
            <w:tcW w:w="4672" w:type="dxa"/>
            <w:gridSpan w:val="3"/>
            <w:tcBorders>
              <w:top w:val="single" w:color="auto" w:sz="4" w:space="0"/>
              <w:left w:val="single" w:color="auto" w:sz="4" w:space="0"/>
              <w:right w:val="single" w:color="auto" w:sz="4" w:space="0"/>
            </w:tcBorders>
            <w:shd w:val="clear" w:color="auto" w:fill="FFFFFF"/>
            <w:vAlign w:val="bottom"/>
          </w:tcPr>
          <w:p w14:paraId="2DF0CB69">
            <w:pPr>
              <w:pStyle w:val="164"/>
              <w:spacing w:before="100" w:after="100" w:line="330" w:lineRule="exact"/>
              <w:ind w:firstLine="0" w:firstLineChars="0"/>
              <w:jc w:val="center"/>
              <w:rPr>
                <w:sz w:val="18"/>
                <w:szCs w:val="18"/>
              </w:rPr>
            </w:pPr>
            <w:r>
              <w:rPr>
                <w:sz w:val="18"/>
                <w:szCs w:val="18"/>
              </w:rPr>
              <w:t>范围</w:t>
            </w:r>
          </w:p>
        </w:tc>
      </w:tr>
      <w:tr w14:paraId="2D24E267">
        <w:tblPrEx>
          <w:tblCellMar>
            <w:top w:w="0" w:type="dxa"/>
            <w:left w:w="10" w:type="dxa"/>
            <w:bottom w:w="0" w:type="dxa"/>
            <w:right w:w="10" w:type="dxa"/>
          </w:tblCellMar>
        </w:tblPrEx>
        <w:trPr>
          <w:trHeight w:val="475" w:hRule="exact"/>
          <w:jc w:val="center"/>
        </w:trPr>
        <w:tc>
          <w:tcPr>
            <w:tcW w:w="3996" w:type="dxa"/>
            <w:vMerge w:val="continue"/>
            <w:tcBorders>
              <w:left w:val="single" w:color="auto" w:sz="4" w:space="0"/>
            </w:tcBorders>
            <w:shd w:val="clear" w:color="auto" w:fill="FFFFFF"/>
            <w:vAlign w:val="center"/>
          </w:tcPr>
          <w:p w14:paraId="7B14ED98">
            <w:pPr>
              <w:pStyle w:val="164"/>
              <w:spacing w:before="100" w:after="100" w:line="330" w:lineRule="exact"/>
              <w:ind w:firstLine="0" w:firstLineChars="0"/>
              <w:rPr>
                <w:sz w:val="18"/>
                <w:szCs w:val="18"/>
              </w:rPr>
            </w:pPr>
          </w:p>
        </w:tc>
        <w:tc>
          <w:tcPr>
            <w:tcW w:w="4672" w:type="dxa"/>
            <w:gridSpan w:val="3"/>
            <w:tcBorders>
              <w:top w:val="single" w:color="auto" w:sz="4" w:space="0"/>
              <w:left w:val="single" w:color="auto" w:sz="4" w:space="0"/>
              <w:right w:val="single" w:color="auto" w:sz="4" w:space="0"/>
            </w:tcBorders>
            <w:shd w:val="clear" w:color="auto" w:fill="FFFFFF"/>
            <w:vAlign w:val="center"/>
          </w:tcPr>
          <w:p w14:paraId="6CEBCD03">
            <w:pPr>
              <w:pStyle w:val="164"/>
              <w:spacing w:before="100" w:after="100" w:line="330" w:lineRule="exact"/>
              <w:ind w:firstLine="0" w:firstLineChars="0"/>
              <w:jc w:val="center"/>
              <w:rPr>
                <w:sz w:val="18"/>
                <w:szCs w:val="18"/>
              </w:rPr>
            </w:pPr>
            <w:r>
              <w:rPr>
                <w:sz w:val="18"/>
                <w:szCs w:val="18"/>
              </w:rPr>
              <w:t>380V</w:t>
            </w:r>
          </w:p>
        </w:tc>
      </w:tr>
      <w:tr w14:paraId="7A81D5CE">
        <w:tblPrEx>
          <w:tblCellMar>
            <w:top w:w="0" w:type="dxa"/>
            <w:left w:w="10" w:type="dxa"/>
            <w:bottom w:w="0" w:type="dxa"/>
            <w:right w:w="10" w:type="dxa"/>
          </w:tblCellMar>
        </w:tblPrEx>
        <w:trPr>
          <w:trHeight w:val="475" w:hRule="exact"/>
          <w:jc w:val="center"/>
        </w:trPr>
        <w:tc>
          <w:tcPr>
            <w:tcW w:w="3996" w:type="dxa"/>
            <w:vMerge w:val="continue"/>
            <w:tcBorders>
              <w:left w:val="single" w:color="auto" w:sz="4" w:space="0"/>
            </w:tcBorders>
            <w:shd w:val="clear" w:color="auto" w:fill="FFFFFF"/>
            <w:vAlign w:val="center"/>
          </w:tcPr>
          <w:p w14:paraId="7B0E5C10">
            <w:pPr>
              <w:pStyle w:val="164"/>
              <w:spacing w:before="100" w:after="100" w:line="330" w:lineRule="exact"/>
              <w:ind w:firstLine="0" w:firstLineChars="0"/>
              <w:rPr>
                <w:sz w:val="18"/>
                <w:szCs w:val="18"/>
              </w:rPr>
            </w:pPr>
          </w:p>
        </w:tc>
        <w:tc>
          <w:tcPr>
            <w:tcW w:w="1166" w:type="dxa"/>
            <w:tcBorders>
              <w:top w:val="single" w:color="auto" w:sz="4" w:space="0"/>
              <w:left w:val="single" w:color="auto" w:sz="4" w:space="0"/>
            </w:tcBorders>
            <w:shd w:val="clear" w:color="auto" w:fill="FFFFFF"/>
            <w:vAlign w:val="center"/>
          </w:tcPr>
          <w:p w14:paraId="70EEB910">
            <w:pPr>
              <w:pStyle w:val="164"/>
              <w:spacing w:before="100" w:after="100" w:line="330" w:lineRule="exact"/>
              <w:ind w:firstLine="0" w:firstLineChars="0"/>
              <w:jc w:val="center"/>
              <w:rPr>
                <w:sz w:val="18"/>
                <w:szCs w:val="18"/>
              </w:rPr>
            </w:pPr>
            <w:r>
              <w:rPr>
                <w:sz w:val="18"/>
                <w:szCs w:val="18"/>
              </w:rPr>
              <w:t>&lt;2kV•A</w:t>
            </w:r>
          </w:p>
        </w:tc>
        <w:tc>
          <w:tcPr>
            <w:tcW w:w="2102" w:type="dxa"/>
            <w:tcBorders>
              <w:top w:val="single" w:color="auto" w:sz="4" w:space="0"/>
              <w:left w:val="single" w:color="auto" w:sz="4" w:space="0"/>
            </w:tcBorders>
            <w:shd w:val="clear" w:color="auto" w:fill="FFFFFF"/>
            <w:vAlign w:val="center"/>
          </w:tcPr>
          <w:p w14:paraId="113E8058">
            <w:pPr>
              <w:pStyle w:val="164"/>
              <w:spacing w:before="100" w:after="100" w:line="330" w:lineRule="exact"/>
              <w:ind w:firstLine="0" w:firstLineChars="0"/>
              <w:jc w:val="center"/>
              <w:rPr>
                <w:sz w:val="18"/>
                <w:szCs w:val="18"/>
              </w:rPr>
            </w:pPr>
            <w:r>
              <w:rPr>
                <w:sz w:val="18"/>
                <w:szCs w:val="18"/>
              </w:rPr>
              <w:t>2kV•A</w:t>
            </w:r>
            <w:r>
              <w:rPr>
                <w:rFonts w:hint="eastAsia" w:ascii="微软雅黑" w:hAnsi="微软雅黑" w:eastAsia="微软雅黑" w:cs="微软雅黑"/>
                <w:sz w:val="18"/>
                <w:szCs w:val="18"/>
              </w:rPr>
              <w:t>〜</w:t>
            </w:r>
            <w:r>
              <w:rPr>
                <w:sz w:val="18"/>
                <w:szCs w:val="18"/>
              </w:rPr>
              <w:t>5kV•A</w:t>
            </w:r>
          </w:p>
        </w:tc>
        <w:tc>
          <w:tcPr>
            <w:tcW w:w="1404" w:type="dxa"/>
            <w:tcBorders>
              <w:top w:val="single" w:color="auto" w:sz="4" w:space="0"/>
              <w:left w:val="single" w:color="auto" w:sz="4" w:space="0"/>
              <w:right w:val="single" w:color="auto" w:sz="4" w:space="0"/>
            </w:tcBorders>
            <w:shd w:val="clear" w:color="auto" w:fill="FFFFFF"/>
            <w:vAlign w:val="center"/>
          </w:tcPr>
          <w:p w14:paraId="25CE683E">
            <w:pPr>
              <w:pStyle w:val="164"/>
              <w:spacing w:before="100" w:after="100" w:line="330" w:lineRule="exact"/>
              <w:ind w:firstLine="0" w:firstLineChars="0"/>
              <w:jc w:val="center"/>
              <w:rPr>
                <w:sz w:val="18"/>
                <w:szCs w:val="18"/>
              </w:rPr>
            </w:pPr>
            <w:r>
              <w:rPr>
                <w:sz w:val="18"/>
                <w:szCs w:val="18"/>
              </w:rPr>
              <w:t>&gt;5kV</w:t>
            </w:r>
            <w:r>
              <w:rPr>
                <w:rFonts w:hint="eastAsia" w:ascii="微软雅黑" w:hAnsi="微软雅黑" w:eastAsia="微软雅黑" w:cs="微软雅黑"/>
                <w:sz w:val="18"/>
                <w:szCs w:val="18"/>
              </w:rPr>
              <w:t>・</w:t>
            </w:r>
            <w:r>
              <w:rPr>
                <w:sz w:val="18"/>
                <w:szCs w:val="18"/>
              </w:rPr>
              <w:t>A</w:t>
            </w:r>
          </w:p>
        </w:tc>
      </w:tr>
      <w:tr w14:paraId="587DB877">
        <w:tblPrEx>
          <w:tblCellMar>
            <w:top w:w="0" w:type="dxa"/>
            <w:left w:w="10" w:type="dxa"/>
            <w:bottom w:w="0" w:type="dxa"/>
            <w:right w:w="10" w:type="dxa"/>
          </w:tblCellMar>
        </w:tblPrEx>
        <w:trPr>
          <w:trHeight w:val="475" w:hRule="exact"/>
          <w:jc w:val="center"/>
        </w:trPr>
        <w:tc>
          <w:tcPr>
            <w:tcW w:w="3996" w:type="dxa"/>
            <w:tcBorders>
              <w:top w:val="single" w:color="auto" w:sz="4" w:space="0"/>
              <w:left w:val="single" w:color="auto" w:sz="4" w:space="0"/>
            </w:tcBorders>
            <w:shd w:val="clear" w:color="auto" w:fill="FFFFFF"/>
            <w:vAlign w:val="center"/>
          </w:tcPr>
          <w:p w14:paraId="61F44462">
            <w:pPr>
              <w:pStyle w:val="164"/>
              <w:spacing w:before="100" w:after="100" w:line="330" w:lineRule="exact"/>
              <w:ind w:firstLine="0" w:firstLineChars="0"/>
              <w:jc w:val="center"/>
              <w:rPr>
                <w:sz w:val="18"/>
                <w:szCs w:val="18"/>
              </w:rPr>
            </w:pPr>
            <w:r>
              <w:rPr>
                <w:sz w:val="18"/>
                <w:szCs w:val="18"/>
              </w:rPr>
              <w:t>对绞电缆与电力电缆平行敷设</w:t>
            </w:r>
          </w:p>
        </w:tc>
        <w:tc>
          <w:tcPr>
            <w:tcW w:w="1166" w:type="dxa"/>
            <w:tcBorders>
              <w:top w:val="single" w:color="auto" w:sz="4" w:space="0"/>
              <w:left w:val="single" w:color="auto" w:sz="4" w:space="0"/>
            </w:tcBorders>
            <w:shd w:val="clear" w:color="auto" w:fill="FFFFFF"/>
            <w:vAlign w:val="center"/>
          </w:tcPr>
          <w:p w14:paraId="72F049E0">
            <w:pPr>
              <w:pStyle w:val="164"/>
              <w:spacing w:before="100" w:after="100" w:line="330" w:lineRule="exact"/>
              <w:ind w:firstLine="0" w:firstLineChars="0"/>
              <w:jc w:val="center"/>
              <w:rPr>
                <w:sz w:val="18"/>
                <w:szCs w:val="18"/>
              </w:rPr>
            </w:pPr>
            <w:r>
              <w:rPr>
                <w:sz w:val="18"/>
                <w:szCs w:val="18"/>
              </w:rPr>
              <w:t>130</w:t>
            </w:r>
          </w:p>
        </w:tc>
        <w:tc>
          <w:tcPr>
            <w:tcW w:w="2102" w:type="dxa"/>
            <w:tcBorders>
              <w:top w:val="single" w:color="auto" w:sz="4" w:space="0"/>
              <w:left w:val="single" w:color="auto" w:sz="4" w:space="0"/>
            </w:tcBorders>
            <w:shd w:val="clear" w:color="auto" w:fill="FFFFFF"/>
            <w:vAlign w:val="center"/>
          </w:tcPr>
          <w:p w14:paraId="074F1442">
            <w:pPr>
              <w:pStyle w:val="164"/>
              <w:spacing w:before="100" w:after="100" w:line="330" w:lineRule="exact"/>
              <w:ind w:firstLine="0" w:firstLineChars="0"/>
              <w:jc w:val="center"/>
              <w:rPr>
                <w:sz w:val="18"/>
                <w:szCs w:val="18"/>
              </w:rPr>
            </w:pPr>
            <w:r>
              <w:rPr>
                <w:sz w:val="18"/>
                <w:szCs w:val="18"/>
              </w:rPr>
              <w:t>300</w:t>
            </w:r>
          </w:p>
        </w:tc>
        <w:tc>
          <w:tcPr>
            <w:tcW w:w="1404" w:type="dxa"/>
            <w:tcBorders>
              <w:top w:val="single" w:color="auto" w:sz="4" w:space="0"/>
              <w:left w:val="single" w:color="auto" w:sz="4" w:space="0"/>
              <w:right w:val="single" w:color="auto" w:sz="4" w:space="0"/>
            </w:tcBorders>
            <w:shd w:val="clear" w:color="auto" w:fill="FFFFFF"/>
            <w:vAlign w:val="center"/>
          </w:tcPr>
          <w:p w14:paraId="7FC8E171">
            <w:pPr>
              <w:pStyle w:val="164"/>
              <w:spacing w:before="100" w:after="100" w:line="330" w:lineRule="exact"/>
              <w:ind w:firstLine="0" w:firstLineChars="0"/>
              <w:jc w:val="center"/>
              <w:rPr>
                <w:sz w:val="18"/>
                <w:szCs w:val="18"/>
              </w:rPr>
            </w:pPr>
            <w:r>
              <w:rPr>
                <w:sz w:val="18"/>
                <w:szCs w:val="18"/>
              </w:rPr>
              <w:t>600</w:t>
            </w:r>
          </w:p>
        </w:tc>
      </w:tr>
      <w:tr w14:paraId="4FC071AB">
        <w:tblPrEx>
          <w:tblCellMar>
            <w:top w:w="0" w:type="dxa"/>
            <w:left w:w="10" w:type="dxa"/>
            <w:bottom w:w="0" w:type="dxa"/>
            <w:right w:w="10" w:type="dxa"/>
          </w:tblCellMar>
        </w:tblPrEx>
        <w:trPr>
          <w:trHeight w:val="475" w:hRule="exact"/>
          <w:jc w:val="center"/>
        </w:trPr>
        <w:tc>
          <w:tcPr>
            <w:tcW w:w="3996" w:type="dxa"/>
            <w:tcBorders>
              <w:top w:val="single" w:color="auto" w:sz="4" w:space="0"/>
              <w:left w:val="single" w:color="auto" w:sz="4" w:space="0"/>
            </w:tcBorders>
            <w:shd w:val="clear" w:color="auto" w:fill="FFFFFF"/>
            <w:vAlign w:val="center"/>
          </w:tcPr>
          <w:p w14:paraId="6A1A965A">
            <w:pPr>
              <w:pStyle w:val="164"/>
              <w:spacing w:before="100" w:after="100" w:line="330" w:lineRule="exact"/>
              <w:ind w:firstLine="0" w:firstLineChars="0"/>
              <w:jc w:val="center"/>
              <w:rPr>
                <w:sz w:val="18"/>
                <w:szCs w:val="18"/>
              </w:rPr>
            </w:pPr>
            <w:r>
              <w:rPr>
                <w:sz w:val="18"/>
                <w:szCs w:val="18"/>
              </w:rPr>
              <w:t>有一方在接地的金属槽道或钢管中</w:t>
            </w:r>
          </w:p>
        </w:tc>
        <w:tc>
          <w:tcPr>
            <w:tcW w:w="1166" w:type="dxa"/>
            <w:tcBorders>
              <w:top w:val="single" w:color="auto" w:sz="4" w:space="0"/>
              <w:left w:val="single" w:color="auto" w:sz="4" w:space="0"/>
            </w:tcBorders>
            <w:shd w:val="clear" w:color="auto" w:fill="FFFFFF"/>
            <w:vAlign w:val="center"/>
          </w:tcPr>
          <w:p w14:paraId="1906F4D5">
            <w:pPr>
              <w:pStyle w:val="164"/>
              <w:spacing w:before="100" w:after="100" w:line="330" w:lineRule="exact"/>
              <w:ind w:firstLine="0" w:firstLineChars="0"/>
              <w:jc w:val="center"/>
              <w:rPr>
                <w:sz w:val="18"/>
                <w:szCs w:val="18"/>
              </w:rPr>
            </w:pPr>
            <w:r>
              <w:rPr>
                <w:sz w:val="18"/>
                <w:szCs w:val="18"/>
              </w:rPr>
              <w:t>70</w:t>
            </w:r>
          </w:p>
        </w:tc>
        <w:tc>
          <w:tcPr>
            <w:tcW w:w="2102" w:type="dxa"/>
            <w:tcBorders>
              <w:top w:val="single" w:color="auto" w:sz="4" w:space="0"/>
              <w:left w:val="single" w:color="auto" w:sz="4" w:space="0"/>
            </w:tcBorders>
            <w:shd w:val="clear" w:color="auto" w:fill="FFFFFF"/>
            <w:vAlign w:val="center"/>
          </w:tcPr>
          <w:p w14:paraId="3AEB45B4">
            <w:pPr>
              <w:pStyle w:val="164"/>
              <w:spacing w:before="100" w:after="100" w:line="330" w:lineRule="exact"/>
              <w:ind w:firstLine="0" w:firstLineChars="0"/>
              <w:jc w:val="center"/>
              <w:rPr>
                <w:sz w:val="18"/>
                <w:szCs w:val="18"/>
              </w:rPr>
            </w:pPr>
            <w:r>
              <w:rPr>
                <w:sz w:val="18"/>
                <w:szCs w:val="18"/>
              </w:rPr>
              <w:t>150</w:t>
            </w:r>
          </w:p>
        </w:tc>
        <w:tc>
          <w:tcPr>
            <w:tcW w:w="1404" w:type="dxa"/>
            <w:tcBorders>
              <w:top w:val="single" w:color="auto" w:sz="4" w:space="0"/>
              <w:left w:val="single" w:color="auto" w:sz="4" w:space="0"/>
              <w:right w:val="single" w:color="auto" w:sz="4" w:space="0"/>
            </w:tcBorders>
            <w:shd w:val="clear" w:color="auto" w:fill="FFFFFF"/>
            <w:vAlign w:val="center"/>
          </w:tcPr>
          <w:p w14:paraId="6EDDD850">
            <w:pPr>
              <w:pStyle w:val="164"/>
              <w:spacing w:before="100" w:after="100" w:line="330" w:lineRule="exact"/>
              <w:ind w:firstLine="0" w:firstLineChars="0"/>
              <w:jc w:val="center"/>
              <w:rPr>
                <w:sz w:val="18"/>
                <w:szCs w:val="18"/>
              </w:rPr>
            </w:pPr>
            <w:r>
              <w:rPr>
                <w:sz w:val="18"/>
                <w:szCs w:val="18"/>
              </w:rPr>
              <w:t>300</w:t>
            </w:r>
          </w:p>
        </w:tc>
      </w:tr>
      <w:tr w14:paraId="7452C0D1">
        <w:tblPrEx>
          <w:tblCellMar>
            <w:top w:w="0" w:type="dxa"/>
            <w:left w:w="10" w:type="dxa"/>
            <w:bottom w:w="0" w:type="dxa"/>
            <w:right w:w="10" w:type="dxa"/>
          </w:tblCellMar>
        </w:tblPrEx>
        <w:trPr>
          <w:trHeight w:val="490" w:hRule="exact"/>
          <w:jc w:val="center"/>
        </w:trPr>
        <w:tc>
          <w:tcPr>
            <w:tcW w:w="3996" w:type="dxa"/>
            <w:tcBorders>
              <w:top w:val="single" w:color="auto" w:sz="4" w:space="0"/>
              <w:left w:val="single" w:color="auto" w:sz="4" w:space="0"/>
              <w:bottom w:val="single" w:color="auto" w:sz="4" w:space="0"/>
            </w:tcBorders>
            <w:shd w:val="clear" w:color="auto" w:fill="FFFFFF"/>
            <w:vAlign w:val="center"/>
          </w:tcPr>
          <w:p w14:paraId="24D589A9">
            <w:pPr>
              <w:pStyle w:val="164"/>
              <w:spacing w:before="100" w:after="100" w:line="330" w:lineRule="exact"/>
              <w:ind w:firstLine="0" w:firstLineChars="0"/>
              <w:jc w:val="center"/>
              <w:rPr>
                <w:sz w:val="18"/>
                <w:szCs w:val="18"/>
              </w:rPr>
            </w:pPr>
            <w:r>
              <w:rPr>
                <w:sz w:val="18"/>
                <w:szCs w:val="18"/>
              </w:rPr>
              <w:t>双方均在接地的金属槽道或钢管中</w:t>
            </w:r>
          </w:p>
        </w:tc>
        <w:tc>
          <w:tcPr>
            <w:tcW w:w="1166" w:type="dxa"/>
            <w:tcBorders>
              <w:top w:val="single" w:color="auto" w:sz="4" w:space="0"/>
              <w:left w:val="single" w:color="auto" w:sz="4" w:space="0"/>
              <w:bottom w:val="single" w:color="auto" w:sz="4" w:space="0"/>
            </w:tcBorders>
            <w:shd w:val="clear" w:color="auto" w:fill="FFFFFF"/>
            <w:vAlign w:val="center"/>
          </w:tcPr>
          <w:p w14:paraId="2F0ED862">
            <w:pPr>
              <w:pStyle w:val="164"/>
              <w:spacing w:before="100" w:after="100" w:line="330" w:lineRule="exact"/>
              <w:ind w:firstLine="0" w:firstLineChars="0"/>
              <w:jc w:val="center"/>
              <w:rPr>
                <w:sz w:val="18"/>
                <w:szCs w:val="18"/>
              </w:rPr>
            </w:pPr>
            <w:r>
              <w:rPr>
                <w:sz w:val="18"/>
                <w:szCs w:val="18"/>
              </w:rPr>
              <w:t>10</w:t>
            </w:r>
          </w:p>
        </w:tc>
        <w:tc>
          <w:tcPr>
            <w:tcW w:w="2102" w:type="dxa"/>
            <w:tcBorders>
              <w:top w:val="single" w:color="auto" w:sz="4" w:space="0"/>
              <w:left w:val="single" w:color="auto" w:sz="4" w:space="0"/>
              <w:bottom w:val="single" w:color="auto" w:sz="4" w:space="0"/>
            </w:tcBorders>
            <w:shd w:val="clear" w:color="auto" w:fill="FFFFFF"/>
            <w:vAlign w:val="center"/>
          </w:tcPr>
          <w:p w14:paraId="67900616">
            <w:pPr>
              <w:pStyle w:val="164"/>
              <w:spacing w:before="100" w:after="100" w:line="330" w:lineRule="exact"/>
              <w:ind w:firstLine="0" w:firstLineChars="0"/>
              <w:jc w:val="center"/>
              <w:rPr>
                <w:sz w:val="18"/>
                <w:szCs w:val="18"/>
              </w:rPr>
            </w:pPr>
            <w:r>
              <w:rPr>
                <w:sz w:val="18"/>
                <w:szCs w:val="18"/>
              </w:rPr>
              <w:t>90</w:t>
            </w:r>
          </w:p>
        </w:tc>
        <w:tc>
          <w:tcPr>
            <w:tcW w:w="1404" w:type="dxa"/>
            <w:tcBorders>
              <w:top w:val="single" w:color="auto" w:sz="4" w:space="0"/>
              <w:left w:val="single" w:color="auto" w:sz="4" w:space="0"/>
              <w:bottom w:val="single" w:color="auto" w:sz="4" w:space="0"/>
              <w:right w:val="single" w:color="auto" w:sz="4" w:space="0"/>
            </w:tcBorders>
            <w:shd w:val="clear" w:color="auto" w:fill="FFFFFF"/>
            <w:vAlign w:val="center"/>
          </w:tcPr>
          <w:p w14:paraId="1B4655B5">
            <w:pPr>
              <w:pStyle w:val="164"/>
              <w:spacing w:before="100" w:after="100" w:line="330" w:lineRule="exact"/>
              <w:ind w:firstLine="0" w:firstLineChars="0"/>
              <w:jc w:val="center"/>
              <w:rPr>
                <w:sz w:val="18"/>
                <w:szCs w:val="18"/>
              </w:rPr>
            </w:pPr>
            <w:r>
              <w:rPr>
                <w:sz w:val="18"/>
                <w:szCs w:val="18"/>
              </w:rPr>
              <w:t>150</w:t>
            </w:r>
          </w:p>
        </w:tc>
      </w:tr>
    </w:tbl>
    <w:p w14:paraId="25BBF761">
      <w:pPr>
        <w:pStyle w:val="164"/>
        <w:spacing w:before="100" w:after="100" w:line="330" w:lineRule="exact"/>
        <w:ind w:firstLine="0" w:firstLineChars="0"/>
        <w:jc w:val="center"/>
        <w:rPr>
          <w:b/>
          <w:bCs/>
          <w:sz w:val="18"/>
          <w:szCs w:val="18"/>
        </w:rPr>
      </w:pPr>
      <w:r>
        <w:rPr>
          <w:b/>
          <w:bCs/>
          <w:sz w:val="18"/>
          <w:szCs w:val="18"/>
        </w:rPr>
        <w:t>表21.3.4-4电缆、光缆暗管敷设与其他管线最小净距（mm）</w:t>
      </w:r>
    </w:p>
    <w:tbl>
      <w:tblPr>
        <w:tblStyle w:val="41"/>
        <w:tblW w:w="0" w:type="auto"/>
        <w:jc w:val="center"/>
        <w:tblLayout w:type="fixed"/>
        <w:tblCellMar>
          <w:top w:w="0" w:type="dxa"/>
          <w:left w:w="10" w:type="dxa"/>
          <w:bottom w:w="0" w:type="dxa"/>
          <w:right w:w="10" w:type="dxa"/>
        </w:tblCellMar>
      </w:tblPr>
      <w:tblGrid>
        <w:gridCol w:w="2822"/>
        <w:gridCol w:w="2808"/>
        <w:gridCol w:w="3038"/>
      </w:tblGrid>
      <w:tr w14:paraId="4F16AC50">
        <w:tblPrEx>
          <w:tblCellMar>
            <w:top w:w="0" w:type="dxa"/>
            <w:left w:w="10" w:type="dxa"/>
            <w:bottom w:w="0" w:type="dxa"/>
            <w:right w:w="10" w:type="dxa"/>
          </w:tblCellMar>
        </w:tblPrEx>
        <w:trPr>
          <w:trHeight w:val="482" w:hRule="exact"/>
          <w:jc w:val="center"/>
        </w:trPr>
        <w:tc>
          <w:tcPr>
            <w:tcW w:w="2822" w:type="dxa"/>
            <w:tcBorders>
              <w:top w:val="single" w:color="auto" w:sz="4" w:space="0"/>
              <w:left w:val="single" w:color="auto" w:sz="4" w:space="0"/>
            </w:tcBorders>
            <w:shd w:val="clear" w:color="auto" w:fill="FFFFFF"/>
            <w:vAlign w:val="center"/>
          </w:tcPr>
          <w:p w14:paraId="370E1BFB">
            <w:pPr>
              <w:pStyle w:val="164"/>
              <w:spacing w:before="100" w:after="100" w:line="330" w:lineRule="exact"/>
              <w:ind w:firstLine="0" w:firstLineChars="0"/>
              <w:jc w:val="center"/>
              <w:rPr>
                <w:sz w:val="18"/>
                <w:szCs w:val="18"/>
              </w:rPr>
            </w:pPr>
            <w:r>
              <w:rPr>
                <w:sz w:val="18"/>
                <w:szCs w:val="18"/>
              </w:rPr>
              <w:t>管线种类</w:t>
            </w:r>
          </w:p>
        </w:tc>
        <w:tc>
          <w:tcPr>
            <w:tcW w:w="2808" w:type="dxa"/>
            <w:tcBorders>
              <w:top w:val="single" w:color="auto" w:sz="4" w:space="0"/>
              <w:left w:val="single" w:color="auto" w:sz="4" w:space="0"/>
            </w:tcBorders>
            <w:shd w:val="clear" w:color="auto" w:fill="FFFFFF"/>
            <w:vAlign w:val="center"/>
          </w:tcPr>
          <w:p w14:paraId="33543A8F">
            <w:pPr>
              <w:pStyle w:val="164"/>
              <w:spacing w:before="100" w:after="100" w:line="330" w:lineRule="exact"/>
              <w:ind w:firstLine="0" w:firstLineChars="0"/>
              <w:jc w:val="center"/>
              <w:rPr>
                <w:sz w:val="18"/>
                <w:szCs w:val="18"/>
              </w:rPr>
            </w:pPr>
            <w:r>
              <w:rPr>
                <w:sz w:val="18"/>
                <w:szCs w:val="18"/>
              </w:rPr>
              <w:t>平行净距</w:t>
            </w:r>
          </w:p>
        </w:tc>
        <w:tc>
          <w:tcPr>
            <w:tcW w:w="3038" w:type="dxa"/>
            <w:tcBorders>
              <w:top w:val="single" w:color="auto" w:sz="4" w:space="0"/>
              <w:left w:val="single" w:color="auto" w:sz="4" w:space="0"/>
              <w:right w:val="single" w:color="auto" w:sz="4" w:space="0"/>
            </w:tcBorders>
            <w:shd w:val="clear" w:color="auto" w:fill="FFFFFF"/>
            <w:vAlign w:val="center"/>
          </w:tcPr>
          <w:p w14:paraId="415759A3">
            <w:pPr>
              <w:pStyle w:val="164"/>
              <w:spacing w:before="100" w:after="100" w:line="330" w:lineRule="exact"/>
              <w:ind w:firstLine="0" w:firstLineChars="0"/>
              <w:jc w:val="center"/>
              <w:rPr>
                <w:sz w:val="18"/>
                <w:szCs w:val="18"/>
              </w:rPr>
            </w:pPr>
            <w:r>
              <w:rPr>
                <w:sz w:val="18"/>
                <w:szCs w:val="18"/>
              </w:rPr>
              <w:t>垂直交叉净距</w:t>
            </w:r>
          </w:p>
        </w:tc>
      </w:tr>
      <w:tr w14:paraId="41A9E733">
        <w:tblPrEx>
          <w:tblCellMar>
            <w:top w:w="0" w:type="dxa"/>
            <w:left w:w="10" w:type="dxa"/>
            <w:bottom w:w="0" w:type="dxa"/>
            <w:right w:w="10" w:type="dxa"/>
          </w:tblCellMar>
        </w:tblPrEx>
        <w:trPr>
          <w:trHeight w:val="468" w:hRule="exact"/>
          <w:jc w:val="center"/>
        </w:trPr>
        <w:tc>
          <w:tcPr>
            <w:tcW w:w="2822" w:type="dxa"/>
            <w:tcBorders>
              <w:top w:val="single" w:color="auto" w:sz="4" w:space="0"/>
              <w:left w:val="single" w:color="auto" w:sz="4" w:space="0"/>
            </w:tcBorders>
            <w:shd w:val="clear" w:color="auto" w:fill="FFFFFF"/>
            <w:vAlign w:val="center"/>
          </w:tcPr>
          <w:p w14:paraId="33DD5AB2">
            <w:pPr>
              <w:pStyle w:val="164"/>
              <w:spacing w:before="100" w:after="100" w:line="330" w:lineRule="exact"/>
              <w:ind w:firstLine="0" w:firstLineChars="0"/>
              <w:jc w:val="center"/>
              <w:rPr>
                <w:sz w:val="18"/>
                <w:szCs w:val="18"/>
              </w:rPr>
            </w:pPr>
            <w:r>
              <w:rPr>
                <w:sz w:val="18"/>
                <w:szCs w:val="18"/>
              </w:rPr>
              <w:t>避雷引下线</w:t>
            </w:r>
          </w:p>
        </w:tc>
        <w:tc>
          <w:tcPr>
            <w:tcW w:w="2808" w:type="dxa"/>
            <w:tcBorders>
              <w:top w:val="single" w:color="auto" w:sz="4" w:space="0"/>
              <w:left w:val="single" w:color="auto" w:sz="4" w:space="0"/>
            </w:tcBorders>
            <w:shd w:val="clear" w:color="auto" w:fill="FFFFFF"/>
            <w:vAlign w:val="center"/>
          </w:tcPr>
          <w:p w14:paraId="4DED2C24">
            <w:pPr>
              <w:pStyle w:val="164"/>
              <w:spacing w:before="100" w:after="100" w:line="330" w:lineRule="exact"/>
              <w:ind w:firstLine="0" w:firstLineChars="0"/>
              <w:jc w:val="center"/>
              <w:rPr>
                <w:sz w:val="18"/>
                <w:szCs w:val="18"/>
              </w:rPr>
            </w:pPr>
            <w:r>
              <w:rPr>
                <w:sz w:val="18"/>
                <w:szCs w:val="18"/>
              </w:rPr>
              <w:t>1000</w:t>
            </w:r>
          </w:p>
        </w:tc>
        <w:tc>
          <w:tcPr>
            <w:tcW w:w="3038" w:type="dxa"/>
            <w:tcBorders>
              <w:top w:val="single" w:color="auto" w:sz="4" w:space="0"/>
              <w:left w:val="single" w:color="auto" w:sz="4" w:space="0"/>
              <w:right w:val="single" w:color="auto" w:sz="4" w:space="0"/>
            </w:tcBorders>
            <w:shd w:val="clear" w:color="auto" w:fill="FFFFFF"/>
            <w:vAlign w:val="center"/>
          </w:tcPr>
          <w:p w14:paraId="1EC333E0">
            <w:pPr>
              <w:pStyle w:val="164"/>
              <w:spacing w:before="100" w:after="100" w:line="330" w:lineRule="exact"/>
              <w:ind w:firstLine="0" w:firstLineChars="0"/>
              <w:jc w:val="center"/>
              <w:rPr>
                <w:sz w:val="18"/>
                <w:szCs w:val="18"/>
              </w:rPr>
            </w:pPr>
            <w:r>
              <w:rPr>
                <w:sz w:val="18"/>
                <w:szCs w:val="18"/>
              </w:rPr>
              <w:t>300</w:t>
            </w:r>
          </w:p>
        </w:tc>
      </w:tr>
      <w:tr w14:paraId="588B835B">
        <w:tblPrEx>
          <w:tblCellMar>
            <w:top w:w="0" w:type="dxa"/>
            <w:left w:w="10" w:type="dxa"/>
            <w:bottom w:w="0" w:type="dxa"/>
            <w:right w:w="10" w:type="dxa"/>
          </w:tblCellMar>
        </w:tblPrEx>
        <w:trPr>
          <w:trHeight w:val="475" w:hRule="exact"/>
          <w:jc w:val="center"/>
        </w:trPr>
        <w:tc>
          <w:tcPr>
            <w:tcW w:w="2822" w:type="dxa"/>
            <w:tcBorders>
              <w:top w:val="single" w:color="auto" w:sz="4" w:space="0"/>
              <w:left w:val="single" w:color="auto" w:sz="4" w:space="0"/>
            </w:tcBorders>
            <w:shd w:val="clear" w:color="auto" w:fill="FFFFFF"/>
            <w:vAlign w:val="center"/>
          </w:tcPr>
          <w:p w14:paraId="2E176CAA">
            <w:pPr>
              <w:pStyle w:val="164"/>
              <w:spacing w:before="100" w:after="100" w:line="330" w:lineRule="exact"/>
              <w:ind w:firstLine="0" w:firstLineChars="0"/>
              <w:jc w:val="center"/>
              <w:rPr>
                <w:sz w:val="18"/>
                <w:szCs w:val="18"/>
              </w:rPr>
            </w:pPr>
            <w:r>
              <w:rPr>
                <w:sz w:val="18"/>
                <w:szCs w:val="18"/>
              </w:rPr>
              <w:t>保护地线</w:t>
            </w:r>
          </w:p>
        </w:tc>
        <w:tc>
          <w:tcPr>
            <w:tcW w:w="2808" w:type="dxa"/>
            <w:tcBorders>
              <w:top w:val="single" w:color="auto" w:sz="4" w:space="0"/>
              <w:left w:val="single" w:color="auto" w:sz="4" w:space="0"/>
            </w:tcBorders>
            <w:shd w:val="clear" w:color="auto" w:fill="FFFFFF"/>
            <w:vAlign w:val="center"/>
          </w:tcPr>
          <w:p w14:paraId="53B08721">
            <w:pPr>
              <w:pStyle w:val="164"/>
              <w:spacing w:before="100" w:after="100" w:line="330" w:lineRule="exact"/>
              <w:ind w:firstLine="0" w:firstLineChars="0"/>
              <w:jc w:val="center"/>
              <w:rPr>
                <w:sz w:val="18"/>
                <w:szCs w:val="18"/>
              </w:rPr>
            </w:pPr>
            <w:r>
              <w:rPr>
                <w:sz w:val="18"/>
                <w:szCs w:val="18"/>
              </w:rPr>
              <w:t>50</w:t>
            </w:r>
          </w:p>
        </w:tc>
        <w:tc>
          <w:tcPr>
            <w:tcW w:w="3038" w:type="dxa"/>
            <w:tcBorders>
              <w:top w:val="single" w:color="auto" w:sz="4" w:space="0"/>
              <w:left w:val="single" w:color="auto" w:sz="4" w:space="0"/>
              <w:right w:val="single" w:color="auto" w:sz="4" w:space="0"/>
            </w:tcBorders>
            <w:shd w:val="clear" w:color="auto" w:fill="FFFFFF"/>
            <w:vAlign w:val="center"/>
          </w:tcPr>
          <w:p w14:paraId="363CE0DE">
            <w:pPr>
              <w:pStyle w:val="164"/>
              <w:spacing w:before="100" w:after="100" w:line="330" w:lineRule="exact"/>
              <w:ind w:firstLine="0" w:firstLineChars="0"/>
              <w:jc w:val="center"/>
              <w:rPr>
                <w:sz w:val="18"/>
                <w:szCs w:val="18"/>
              </w:rPr>
            </w:pPr>
            <w:r>
              <w:rPr>
                <w:sz w:val="18"/>
                <w:szCs w:val="18"/>
              </w:rPr>
              <w:t>20</w:t>
            </w:r>
          </w:p>
        </w:tc>
      </w:tr>
      <w:tr w14:paraId="7F174C79">
        <w:tblPrEx>
          <w:tblCellMar>
            <w:top w:w="0" w:type="dxa"/>
            <w:left w:w="10" w:type="dxa"/>
            <w:bottom w:w="0" w:type="dxa"/>
            <w:right w:w="10" w:type="dxa"/>
          </w:tblCellMar>
        </w:tblPrEx>
        <w:trPr>
          <w:trHeight w:val="468" w:hRule="exact"/>
          <w:jc w:val="center"/>
        </w:trPr>
        <w:tc>
          <w:tcPr>
            <w:tcW w:w="2822" w:type="dxa"/>
            <w:tcBorders>
              <w:top w:val="single" w:color="auto" w:sz="4" w:space="0"/>
              <w:left w:val="single" w:color="auto" w:sz="4" w:space="0"/>
            </w:tcBorders>
            <w:shd w:val="clear" w:color="auto" w:fill="FFFFFF"/>
            <w:vAlign w:val="center"/>
          </w:tcPr>
          <w:p w14:paraId="7B3B2AAC">
            <w:pPr>
              <w:pStyle w:val="164"/>
              <w:spacing w:before="100" w:after="100" w:line="330" w:lineRule="exact"/>
              <w:ind w:firstLine="0" w:firstLineChars="0"/>
              <w:jc w:val="center"/>
              <w:rPr>
                <w:sz w:val="18"/>
                <w:szCs w:val="18"/>
              </w:rPr>
            </w:pPr>
            <w:r>
              <w:rPr>
                <w:sz w:val="18"/>
                <w:szCs w:val="18"/>
              </w:rPr>
              <w:t>热力管（不包封）</w:t>
            </w:r>
          </w:p>
        </w:tc>
        <w:tc>
          <w:tcPr>
            <w:tcW w:w="2808" w:type="dxa"/>
            <w:tcBorders>
              <w:top w:val="single" w:color="auto" w:sz="4" w:space="0"/>
              <w:left w:val="single" w:color="auto" w:sz="4" w:space="0"/>
            </w:tcBorders>
            <w:shd w:val="clear" w:color="auto" w:fill="FFFFFF"/>
            <w:vAlign w:val="center"/>
          </w:tcPr>
          <w:p w14:paraId="27E108EA">
            <w:pPr>
              <w:pStyle w:val="164"/>
              <w:spacing w:before="100" w:after="100" w:line="330" w:lineRule="exact"/>
              <w:ind w:firstLine="0" w:firstLineChars="0"/>
              <w:jc w:val="center"/>
              <w:rPr>
                <w:sz w:val="18"/>
                <w:szCs w:val="18"/>
              </w:rPr>
            </w:pPr>
            <w:r>
              <w:rPr>
                <w:sz w:val="18"/>
                <w:szCs w:val="18"/>
              </w:rPr>
              <w:t>500</w:t>
            </w:r>
          </w:p>
        </w:tc>
        <w:tc>
          <w:tcPr>
            <w:tcW w:w="3038" w:type="dxa"/>
            <w:tcBorders>
              <w:top w:val="single" w:color="auto" w:sz="4" w:space="0"/>
              <w:left w:val="single" w:color="auto" w:sz="4" w:space="0"/>
              <w:right w:val="single" w:color="auto" w:sz="4" w:space="0"/>
            </w:tcBorders>
            <w:shd w:val="clear" w:color="auto" w:fill="FFFFFF"/>
            <w:vAlign w:val="center"/>
          </w:tcPr>
          <w:p w14:paraId="7F1FB95E">
            <w:pPr>
              <w:pStyle w:val="164"/>
              <w:spacing w:before="100" w:after="100" w:line="330" w:lineRule="exact"/>
              <w:ind w:firstLine="0" w:firstLineChars="0"/>
              <w:jc w:val="center"/>
              <w:rPr>
                <w:sz w:val="18"/>
                <w:szCs w:val="18"/>
              </w:rPr>
            </w:pPr>
            <w:r>
              <w:rPr>
                <w:sz w:val="18"/>
                <w:szCs w:val="18"/>
              </w:rPr>
              <w:t>500</w:t>
            </w:r>
          </w:p>
        </w:tc>
      </w:tr>
      <w:tr w14:paraId="2235B202">
        <w:tblPrEx>
          <w:tblCellMar>
            <w:top w:w="0" w:type="dxa"/>
            <w:left w:w="10" w:type="dxa"/>
            <w:bottom w:w="0" w:type="dxa"/>
            <w:right w:w="10" w:type="dxa"/>
          </w:tblCellMar>
        </w:tblPrEx>
        <w:trPr>
          <w:trHeight w:val="468" w:hRule="exact"/>
          <w:jc w:val="center"/>
        </w:trPr>
        <w:tc>
          <w:tcPr>
            <w:tcW w:w="2822" w:type="dxa"/>
            <w:tcBorders>
              <w:top w:val="single" w:color="auto" w:sz="4" w:space="0"/>
              <w:left w:val="single" w:color="auto" w:sz="4" w:space="0"/>
            </w:tcBorders>
            <w:shd w:val="clear" w:color="auto" w:fill="FFFFFF"/>
            <w:vAlign w:val="center"/>
          </w:tcPr>
          <w:p w14:paraId="3BDDAB94">
            <w:pPr>
              <w:pStyle w:val="164"/>
              <w:spacing w:before="100" w:after="100" w:line="330" w:lineRule="exact"/>
              <w:ind w:firstLine="0" w:firstLineChars="0"/>
              <w:jc w:val="center"/>
              <w:rPr>
                <w:sz w:val="18"/>
                <w:szCs w:val="18"/>
              </w:rPr>
            </w:pPr>
            <w:r>
              <w:rPr>
                <w:sz w:val="18"/>
                <w:szCs w:val="18"/>
              </w:rPr>
              <w:t>热力管（包封）</w:t>
            </w:r>
          </w:p>
        </w:tc>
        <w:tc>
          <w:tcPr>
            <w:tcW w:w="2808" w:type="dxa"/>
            <w:tcBorders>
              <w:top w:val="single" w:color="auto" w:sz="4" w:space="0"/>
              <w:left w:val="single" w:color="auto" w:sz="4" w:space="0"/>
            </w:tcBorders>
            <w:shd w:val="clear" w:color="auto" w:fill="FFFFFF"/>
            <w:vAlign w:val="center"/>
          </w:tcPr>
          <w:p w14:paraId="420C1CB7">
            <w:pPr>
              <w:pStyle w:val="164"/>
              <w:spacing w:before="100" w:after="100" w:line="330" w:lineRule="exact"/>
              <w:ind w:firstLine="0" w:firstLineChars="0"/>
              <w:jc w:val="center"/>
              <w:rPr>
                <w:sz w:val="18"/>
                <w:szCs w:val="18"/>
              </w:rPr>
            </w:pPr>
            <w:r>
              <w:rPr>
                <w:sz w:val="18"/>
                <w:szCs w:val="18"/>
              </w:rPr>
              <w:t>300</w:t>
            </w:r>
          </w:p>
        </w:tc>
        <w:tc>
          <w:tcPr>
            <w:tcW w:w="3038" w:type="dxa"/>
            <w:tcBorders>
              <w:top w:val="single" w:color="auto" w:sz="4" w:space="0"/>
              <w:left w:val="single" w:color="auto" w:sz="4" w:space="0"/>
              <w:right w:val="single" w:color="auto" w:sz="4" w:space="0"/>
            </w:tcBorders>
            <w:shd w:val="clear" w:color="auto" w:fill="FFFFFF"/>
            <w:vAlign w:val="center"/>
          </w:tcPr>
          <w:p w14:paraId="65B66B0D">
            <w:pPr>
              <w:pStyle w:val="164"/>
              <w:spacing w:before="100" w:after="100" w:line="330" w:lineRule="exact"/>
              <w:ind w:firstLine="0" w:firstLineChars="0"/>
              <w:jc w:val="center"/>
              <w:rPr>
                <w:sz w:val="18"/>
                <w:szCs w:val="18"/>
              </w:rPr>
            </w:pPr>
            <w:r>
              <w:rPr>
                <w:sz w:val="18"/>
                <w:szCs w:val="18"/>
              </w:rPr>
              <w:t>300</w:t>
            </w:r>
          </w:p>
        </w:tc>
      </w:tr>
      <w:tr w14:paraId="1A34B480">
        <w:tblPrEx>
          <w:tblCellMar>
            <w:top w:w="0" w:type="dxa"/>
            <w:left w:w="10" w:type="dxa"/>
            <w:bottom w:w="0" w:type="dxa"/>
            <w:right w:w="10" w:type="dxa"/>
          </w:tblCellMar>
        </w:tblPrEx>
        <w:trPr>
          <w:trHeight w:val="468" w:hRule="exact"/>
          <w:jc w:val="center"/>
        </w:trPr>
        <w:tc>
          <w:tcPr>
            <w:tcW w:w="2822" w:type="dxa"/>
            <w:tcBorders>
              <w:top w:val="single" w:color="auto" w:sz="4" w:space="0"/>
              <w:left w:val="single" w:color="auto" w:sz="4" w:space="0"/>
            </w:tcBorders>
            <w:shd w:val="clear" w:color="auto" w:fill="FFFFFF"/>
            <w:vAlign w:val="center"/>
          </w:tcPr>
          <w:p w14:paraId="00FAB9DE">
            <w:pPr>
              <w:pStyle w:val="164"/>
              <w:spacing w:before="100" w:after="100" w:line="330" w:lineRule="exact"/>
              <w:ind w:firstLine="0" w:firstLineChars="0"/>
              <w:jc w:val="center"/>
              <w:rPr>
                <w:sz w:val="18"/>
                <w:szCs w:val="18"/>
              </w:rPr>
            </w:pPr>
            <w:r>
              <w:rPr>
                <w:sz w:val="18"/>
                <w:szCs w:val="18"/>
              </w:rPr>
              <w:t>给水管</w:t>
            </w:r>
          </w:p>
        </w:tc>
        <w:tc>
          <w:tcPr>
            <w:tcW w:w="2808" w:type="dxa"/>
            <w:tcBorders>
              <w:top w:val="single" w:color="auto" w:sz="4" w:space="0"/>
              <w:left w:val="single" w:color="auto" w:sz="4" w:space="0"/>
            </w:tcBorders>
            <w:shd w:val="clear" w:color="auto" w:fill="FFFFFF"/>
            <w:vAlign w:val="center"/>
          </w:tcPr>
          <w:p w14:paraId="2DB92389">
            <w:pPr>
              <w:pStyle w:val="164"/>
              <w:spacing w:before="100" w:after="100" w:line="330" w:lineRule="exact"/>
              <w:ind w:firstLine="0" w:firstLineChars="0"/>
              <w:jc w:val="center"/>
              <w:rPr>
                <w:sz w:val="18"/>
                <w:szCs w:val="18"/>
              </w:rPr>
            </w:pPr>
            <w:r>
              <w:rPr>
                <w:sz w:val="18"/>
                <w:szCs w:val="18"/>
              </w:rPr>
              <w:t>150</w:t>
            </w:r>
          </w:p>
        </w:tc>
        <w:tc>
          <w:tcPr>
            <w:tcW w:w="3038" w:type="dxa"/>
            <w:tcBorders>
              <w:top w:val="single" w:color="auto" w:sz="4" w:space="0"/>
              <w:left w:val="single" w:color="auto" w:sz="4" w:space="0"/>
              <w:right w:val="single" w:color="auto" w:sz="4" w:space="0"/>
            </w:tcBorders>
            <w:shd w:val="clear" w:color="auto" w:fill="FFFFFF"/>
            <w:vAlign w:val="center"/>
          </w:tcPr>
          <w:p w14:paraId="329506DA">
            <w:pPr>
              <w:pStyle w:val="164"/>
              <w:spacing w:before="100" w:after="100" w:line="330" w:lineRule="exact"/>
              <w:ind w:firstLine="0" w:firstLineChars="0"/>
              <w:jc w:val="center"/>
              <w:rPr>
                <w:sz w:val="18"/>
                <w:szCs w:val="18"/>
              </w:rPr>
            </w:pPr>
            <w:r>
              <w:rPr>
                <w:sz w:val="18"/>
                <w:szCs w:val="18"/>
              </w:rPr>
              <w:t>20</w:t>
            </w:r>
          </w:p>
        </w:tc>
      </w:tr>
      <w:tr w14:paraId="7847CF9E">
        <w:tblPrEx>
          <w:tblCellMar>
            <w:top w:w="0" w:type="dxa"/>
            <w:left w:w="10" w:type="dxa"/>
            <w:bottom w:w="0" w:type="dxa"/>
            <w:right w:w="10" w:type="dxa"/>
          </w:tblCellMar>
        </w:tblPrEx>
        <w:trPr>
          <w:trHeight w:val="461" w:hRule="exact"/>
          <w:jc w:val="center"/>
        </w:trPr>
        <w:tc>
          <w:tcPr>
            <w:tcW w:w="2822" w:type="dxa"/>
            <w:tcBorders>
              <w:top w:val="single" w:color="auto" w:sz="4" w:space="0"/>
              <w:left w:val="single" w:color="auto" w:sz="4" w:space="0"/>
            </w:tcBorders>
            <w:shd w:val="clear" w:color="auto" w:fill="FFFFFF"/>
            <w:vAlign w:val="center"/>
          </w:tcPr>
          <w:p w14:paraId="72FD3F6B">
            <w:pPr>
              <w:pStyle w:val="164"/>
              <w:spacing w:before="100" w:after="100" w:line="330" w:lineRule="exact"/>
              <w:ind w:firstLine="0" w:firstLineChars="0"/>
              <w:jc w:val="center"/>
              <w:rPr>
                <w:sz w:val="18"/>
                <w:szCs w:val="18"/>
              </w:rPr>
            </w:pPr>
            <w:r>
              <w:rPr>
                <w:sz w:val="18"/>
                <w:szCs w:val="18"/>
              </w:rPr>
              <w:t>煤气管</w:t>
            </w:r>
          </w:p>
        </w:tc>
        <w:tc>
          <w:tcPr>
            <w:tcW w:w="2808" w:type="dxa"/>
            <w:tcBorders>
              <w:top w:val="single" w:color="auto" w:sz="4" w:space="0"/>
              <w:left w:val="single" w:color="auto" w:sz="4" w:space="0"/>
            </w:tcBorders>
            <w:shd w:val="clear" w:color="auto" w:fill="FFFFFF"/>
            <w:vAlign w:val="center"/>
          </w:tcPr>
          <w:p w14:paraId="7876D4CE">
            <w:pPr>
              <w:pStyle w:val="164"/>
              <w:spacing w:before="100" w:after="100" w:line="330" w:lineRule="exact"/>
              <w:ind w:firstLine="0" w:firstLineChars="0"/>
              <w:jc w:val="center"/>
              <w:rPr>
                <w:sz w:val="18"/>
                <w:szCs w:val="18"/>
              </w:rPr>
            </w:pPr>
            <w:r>
              <w:rPr>
                <w:sz w:val="18"/>
                <w:szCs w:val="18"/>
              </w:rPr>
              <w:t>300</w:t>
            </w:r>
          </w:p>
        </w:tc>
        <w:tc>
          <w:tcPr>
            <w:tcW w:w="3038" w:type="dxa"/>
            <w:tcBorders>
              <w:top w:val="single" w:color="auto" w:sz="4" w:space="0"/>
              <w:left w:val="single" w:color="auto" w:sz="4" w:space="0"/>
              <w:right w:val="single" w:color="auto" w:sz="4" w:space="0"/>
            </w:tcBorders>
            <w:shd w:val="clear" w:color="auto" w:fill="FFFFFF"/>
            <w:vAlign w:val="center"/>
          </w:tcPr>
          <w:p w14:paraId="01CEDED9">
            <w:pPr>
              <w:pStyle w:val="164"/>
              <w:spacing w:before="100" w:after="100" w:line="330" w:lineRule="exact"/>
              <w:ind w:firstLine="0" w:firstLineChars="0"/>
              <w:jc w:val="center"/>
              <w:rPr>
                <w:sz w:val="18"/>
                <w:szCs w:val="18"/>
              </w:rPr>
            </w:pPr>
            <w:r>
              <w:rPr>
                <w:sz w:val="18"/>
                <w:szCs w:val="18"/>
              </w:rPr>
              <w:t>20</w:t>
            </w:r>
          </w:p>
        </w:tc>
      </w:tr>
      <w:tr w14:paraId="3067F811">
        <w:tblPrEx>
          <w:tblCellMar>
            <w:top w:w="0" w:type="dxa"/>
            <w:left w:w="10" w:type="dxa"/>
            <w:bottom w:w="0" w:type="dxa"/>
            <w:right w:w="10" w:type="dxa"/>
          </w:tblCellMar>
        </w:tblPrEx>
        <w:trPr>
          <w:trHeight w:val="490" w:hRule="exact"/>
          <w:jc w:val="center"/>
        </w:trPr>
        <w:tc>
          <w:tcPr>
            <w:tcW w:w="2822" w:type="dxa"/>
            <w:tcBorders>
              <w:top w:val="single" w:color="auto" w:sz="4" w:space="0"/>
              <w:left w:val="single" w:color="auto" w:sz="4" w:space="0"/>
              <w:bottom w:val="single" w:color="auto" w:sz="4" w:space="0"/>
            </w:tcBorders>
            <w:shd w:val="clear" w:color="auto" w:fill="FFFFFF"/>
            <w:vAlign w:val="center"/>
          </w:tcPr>
          <w:p w14:paraId="75F4E7B8">
            <w:pPr>
              <w:pStyle w:val="164"/>
              <w:spacing w:before="100" w:after="100" w:line="330" w:lineRule="exact"/>
              <w:ind w:firstLine="0" w:firstLineChars="0"/>
              <w:jc w:val="center"/>
              <w:rPr>
                <w:sz w:val="18"/>
                <w:szCs w:val="18"/>
              </w:rPr>
            </w:pPr>
            <w:r>
              <w:rPr>
                <w:sz w:val="18"/>
                <w:szCs w:val="18"/>
              </w:rPr>
              <w:t>压缩空气管</w:t>
            </w:r>
          </w:p>
        </w:tc>
        <w:tc>
          <w:tcPr>
            <w:tcW w:w="2808" w:type="dxa"/>
            <w:tcBorders>
              <w:top w:val="single" w:color="auto" w:sz="4" w:space="0"/>
              <w:left w:val="single" w:color="auto" w:sz="4" w:space="0"/>
              <w:bottom w:val="single" w:color="auto" w:sz="4" w:space="0"/>
            </w:tcBorders>
            <w:shd w:val="clear" w:color="auto" w:fill="FFFFFF"/>
            <w:vAlign w:val="center"/>
          </w:tcPr>
          <w:p w14:paraId="4F6A7069">
            <w:pPr>
              <w:pStyle w:val="164"/>
              <w:spacing w:before="100" w:after="100" w:line="330" w:lineRule="exact"/>
              <w:ind w:firstLine="0" w:firstLineChars="0"/>
              <w:jc w:val="center"/>
              <w:rPr>
                <w:sz w:val="18"/>
                <w:szCs w:val="18"/>
              </w:rPr>
            </w:pPr>
            <w:r>
              <w:rPr>
                <w:sz w:val="18"/>
                <w:szCs w:val="18"/>
              </w:rPr>
              <w:t>150</w:t>
            </w:r>
          </w:p>
        </w:tc>
        <w:tc>
          <w:tcPr>
            <w:tcW w:w="3038" w:type="dxa"/>
            <w:tcBorders>
              <w:top w:val="single" w:color="auto" w:sz="4" w:space="0"/>
              <w:left w:val="single" w:color="auto" w:sz="4" w:space="0"/>
              <w:bottom w:val="single" w:color="auto" w:sz="4" w:space="0"/>
              <w:right w:val="single" w:color="auto" w:sz="4" w:space="0"/>
            </w:tcBorders>
            <w:shd w:val="clear" w:color="auto" w:fill="FFFFFF"/>
            <w:vAlign w:val="center"/>
          </w:tcPr>
          <w:p w14:paraId="41673BA5">
            <w:pPr>
              <w:pStyle w:val="164"/>
              <w:spacing w:before="100" w:after="100" w:line="330" w:lineRule="exact"/>
              <w:ind w:firstLine="0" w:firstLineChars="0"/>
              <w:jc w:val="center"/>
              <w:rPr>
                <w:sz w:val="18"/>
                <w:szCs w:val="18"/>
              </w:rPr>
            </w:pPr>
            <w:r>
              <w:rPr>
                <w:sz w:val="18"/>
                <w:szCs w:val="18"/>
              </w:rPr>
              <w:t>20</w:t>
            </w:r>
          </w:p>
        </w:tc>
      </w:tr>
    </w:tbl>
    <w:p w14:paraId="1FA476D3">
      <w:pPr>
        <w:pStyle w:val="164"/>
        <w:numPr>
          <w:ilvl w:val="0"/>
          <w:numId w:val="267"/>
        </w:numPr>
        <w:tabs>
          <w:tab w:val="left" w:pos="210"/>
          <w:tab w:val="left" w:pos="567"/>
        </w:tabs>
        <w:spacing w:line="330" w:lineRule="exact"/>
        <w:ind w:firstLine="630" w:firstLineChars="300"/>
        <w:rPr>
          <w:szCs w:val="21"/>
        </w:rPr>
      </w:pPr>
      <w:r>
        <w:rPr>
          <w:szCs w:val="21"/>
        </w:rPr>
        <w:t>在插座面板上应用颜色、图形、文字按所接终端设备类型进行标识。</w:t>
      </w:r>
    </w:p>
    <w:p w14:paraId="036F3D8B">
      <w:pPr>
        <w:pStyle w:val="164"/>
        <w:numPr>
          <w:ilvl w:val="0"/>
          <w:numId w:val="267"/>
        </w:numPr>
        <w:tabs>
          <w:tab w:val="left" w:pos="210"/>
          <w:tab w:val="left" w:pos="567"/>
        </w:tabs>
        <w:spacing w:line="330" w:lineRule="exact"/>
        <w:ind w:firstLine="630" w:firstLineChars="300"/>
        <w:rPr>
          <w:szCs w:val="21"/>
        </w:rPr>
      </w:pPr>
      <w:r>
        <w:rPr>
          <w:szCs w:val="21"/>
        </w:rPr>
        <w:t>对绞线在与8位模块式通用插座相连时，应按色标和线对顺序进行卡接。插座类型、色标和编号应符合表21.3.4-5的规定，两种双绞线线序在同一布线工程中不得混用。</w:t>
      </w:r>
    </w:p>
    <w:p w14:paraId="5D98BC82">
      <w:pPr>
        <w:pStyle w:val="164"/>
        <w:spacing w:before="100" w:after="100" w:line="330" w:lineRule="exact"/>
        <w:ind w:firstLine="0" w:firstLineChars="0"/>
        <w:jc w:val="center"/>
        <w:rPr>
          <w:b/>
          <w:bCs/>
          <w:sz w:val="18"/>
          <w:szCs w:val="18"/>
        </w:rPr>
      </w:pPr>
      <w:r>
        <w:rPr>
          <w:b/>
          <w:bCs/>
          <w:sz w:val="18"/>
          <w:szCs w:val="18"/>
        </w:rPr>
        <w:t>表21.3.4-5插座类型、色标和编号</w:t>
      </w:r>
    </w:p>
    <w:tbl>
      <w:tblPr>
        <w:tblStyle w:val="41"/>
        <w:tblW w:w="0" w:type="auto"/>
        <w:jc w:val="center"/>
        <w:tblLayout w:type="fixed"/>
        <w:tblCellMar>
          <w:top w:w="0" w:type="dxa"/>
          <w:left w:w="10" w:type="dxa"/>
          <w:bottom w:w="0" w:type="dxa"/>
          <w:right w:w="10" w:type="dxa"/>
        </w:tblCellMar>
      </w:tblPr>
      <w:tblGrid>
        <w:gridCol w:w="1066"/>
        <w:gridCol w:w="936"/>
        <w:gridCol w:w="936"/>
        <w:gridCol w:w="936"/>
        <w:gridCol w:w="936"/>
        <w:gridCol w:w="936"/>
        <w:gridCol w:w="929"/>
        <w:gridCol w:w="936"/>
        <w:gridCol w:w="1051"/>
      </w:tblGrid>
      <w:tr w14:paraId="206209E5">
        <w:tblPrEx>
          <w:tblCellMar>
            <w:top w:w="0" w:type="dxa"/>
            <w:left w:w="10" w:type="dxa"/>
            <w:bottom w:w="0" w:type="dxa"/>
            <w:right w:w="10" w:type="dxa"/>
          </w:tblCellMar>
        </w:tblPrEx>
        <w:trPr>
          <w:trHeight w:val="482" w:hRule="exact"/>
          <w:jc w:val="center"/>
        </w:trPr>
        <w:tc>
          <w:tcPr>
            <w:tcW w:w="1066" w:type="dxa"/>
            <w:vMerge w:val="restart"/>
            <w:tcBorders>
              <w:top w:val="single" w:color="auto" w:sz="4" w:space="0"/>
              <w:left w:val="single" w:color="auto" w:sz="4" w:space="0"/>
            </w:tcBorders>
            <w:shd w:val="clear" w:color="auto" w:fill="FFFFFF"/>
            <w:vAlign w:val="center"/>
          </w:tcPr>
          <w:p w14:paraId="4784BE36">
            <w:pPr>
              <w:pStyle w:val="164"/>
              <w:spacing w:before="100" w:after="100" w:line="330" w:lineRule="exact"/>
              <w:ind w:firstLine="0" w:firstLineChars="0"/>
              <w:jc w:val="center"/>
              <w:rPr>
                <w:sz w:val="18"/>
                <w:szCs w:val="18"/>
              </w:rPr>
            </w:pPr>
            <w:r>
              <w:rPr>
                <w:sz w:val="18"/>
                <w:szCs w:val="18"/>
              </w:rPr>
              <w:t>T568A线序</w:t>
            </w:r>
          </w:p>
        </w:tc>
        <w:tc>
          <w:tcPr>
            <w:tcW w:w="936" w:type="dxa"/>
            <w:tcBorders>
              <w:top w:val="single" w:color="auto" w:sz="4" w:space="0"/>
              <w:left w:val="single" w:color="auto" w:sz="4" w:space="0"/>
            </w:tcBorders>
            <w:shd w:val="clear" w:color="auto" w:fill="FFFFFF"/>
            <w:vAlign w:val="center"/>
          </w:tcPr>
          <w:p w14:paraId="4A82088A">
            <w:pPr>
              <w:pStyle w:val="164"/>
              <w:spacing w:before="100" w:after="100" w:line="330" w:lineRule="exact"/>
              <w:ind w:firstLine="0" w:firstLineChars="0"/>
              <w:jc w:val="center"/>
              <w:rPr>
                <w:sz w:val="18"/>
                <w:szCs w:val="18"/>
              </w:rPr>
            </w:pPr>
            <w:r>
              <w:rPr>
                <w:sz w:val="18"/>
                <w:szCs w:val="18"/>
              </w:rPr>
              <w:t>1</w:t>
            </w:r>
          </w:p>
        </w:tc>
        <w:tc>
          <w:tcPr>
            <w:tcW w:w="936" w:type="dxa"/>
            <w:tcBorders>
              <w:top w:val="single" w:color="auto" w:sz="4" w:space="0"/>
              <w:left w:val="single" w:color="auto" w:sz="4" w:space="0"/>
            </w:tcBorders>
            <w:shd w:val="clear" w:color="auto" w:fill="FFFFFF"/>
            <w:vAlign w:val="center"/>
          </w:tcPr>
          <w:p w14:paraId="798E77B0">
            <w:pPr>
              <w:pStyle w:val="164"/>
              <w:spacing w:before="100" w:after="100" w:line="330" w:lineRule="exact"/>
              <w:ind w:firstLine="0" w:firstLineChars="0"/>
              <w:jc w:val="center"/>
              <w:rPr>
                <w:sz w:val="18"/>
                <w:szCs w:val="18"/>
              </w:rPr>
            </w:pPr>
            <w:r>
              <w:rPr>
                <w:sz w:val="18"/>
                <w:szCs w:val="18"/>
              </w:rPr>
              <w:t>2</w:t>
            </w:r>
          </w:p>
        </w:tc>
        <w:tc>
          <w:tcPr>
            <w:tcW w:w="936" w:type="dxa"/>
            <w:tcBorders>
              <w:top w:val="single" w:color="auto" w:sz="4" w:space="0"/>
              <w:left w:val="single" w:color="auto" w:sz="4" w:space="0"/>
            </w:tcBorders>
            <w:shd w:val="clear" w:color="auto" w:fill="FFFFFF"/>
            <w:vAlign w:val="center"/>
          </w:tcPr>
          <w:p w14:paraId="699287CE">
            <w:pPr>
              <w:pStyle w:val="164"/>
              <w:spacing w:before="100" w:after="100" w:line="330" w:lineRule="exact"/>
              <w:ind w:firstLine="0" w:firstLineChars="0"/>
              <w:jc w:val="center"/>
              <w:rPr>
                <w:sz w:val="18"/>
                <w:szCs w:val="18"/>
              </w:rPr>
            </w:pPr>
            <w:r>
              <w:rPr>
                <w:sz w:val="18"/>
                <w:szCs w:val="18"/>
              </w:rPr>
              <w:t>3</w:t>
            </w:r>
          </w:p>
        </w:tc>
        <w:tc>
          <w:tcPr>
            <w:tcW w:w="936" w:type="dxa"/>
            <w:tcBorders>
              <w:top w:val="single" w:color="auto" w:sz="4" w:space="0"/>
              <w:left w:val="single" w:color="auto" w:sz="4" w:space="0"/>
            </w:tcBorders>
            <w:shd w:val="clear" w:color="auto" w:fill="FFFFFF"/>
            <w:vAlign w:val="center"/>
          </w:tcPr>
          <w:p w14:paraId="3570E731">
            <w:pPr>
              <w:pStyle w:val="164"/>
              <w:spacing w:before="100" w:after="100" w:line="330" w:lineRule="exact"/>
              <w:ind w:firstLine="0" w:firstLineChars="0"/>
              <w:jc w:val="center"/>
              <w:rPr>
                <w:sz w:val="18"/>
                <w:szCs w:val="18"/>
              </w:rPr>
            </w:pPr>
            <w:r>
              <w:rPr>
                <w:sz w:val="18"/>
                <w:szCs w:val="18"/>
              </w:rPr>
              <w:t>4</w:t>
            </w:r>
          </w:p>
        </w:tc>
        <w:tc>
          <w:tcPr>
            <w:tcW w:w="936" w:type="dxa"/>
            <w:tcBorders>
              <w:top w:val="single" w:color="auto" w:sz="4" w:space="0"/>
              <w:left w:val="single" w:color="auto" w:sz="4" w:space="0"/>
            </w:tcBorders>
            <w:shd w:val="clear" w:color="auto" w:fill="FFFFFF"/>
            <w:vAlign w:val="center"/>
          </w:tcPr>
          <w:p w14:paraId="47621838">
            <w:pPr>
              <w:pStyle w:val="164"/>
              <w:spacing w:before="100" w:after="100" w:line="330" w:lineRule="exact"/>
              <w:ind w:firstLine="0" w:firstLineChars="0"/>
              <w:jc w:val="center"/>
              <w:rPr>
                <w:sz w:val="18"/>
                <w:szCs w:val="18"/>
              </w:rPr>
            </w:pPr>
            <w:r>
              <w:rPr>
                <w:sz w:val="18"/>
                <w:szCs w:val="18"/>
              </w:rPr>
              <w:t>5</w:t>
            </w:r>
          </w:p>
        </w:tc>
        <w:tc>
          <w:tcPr>
            <w:tcW w:w="929" w:type="dxa"/>
            <w:tcBorders>
              <w:top w:val="single" w:color="auto" w:sz="4" w:space="0"/>
              <w:left w:val="single" w:color="auto" w:sz="4" w:space="0"/>
            </w:tcBorders>
            <w:shd w:val="clear" w:color="auto" w:fill="FFFFFF"/>
            <w:vAlign w:val="center"/>
          </w:tcPr>
          <w:p w14:paraId="1947F8E2">
            <w:pPr>
              <w:pStyle w:val="164"/>
              <w:spacing w:before="100" w:after="100" w:line="330" w:lineRule="exact"/>
              <w:ind w:firstLine="0" w:firstLineChars="0"/>
              <w:jc w:val="center"/>
              <w:rPr>
                <w:sz w:val="18"/>
                <w:szCs w:val="18"/>
              </w:rPr>
            </w:pPr>
            <w:r>
              <w:rPr>
                <w:sz w:val="18"/>
                <w:szCs w:val="18"/>
              </w:rPr>
              <w:t>6</w:t>
            </w:r>
          </w:p>
        </w:tc>
        <w:tc>
          <w:tcPr>
            <w:tcW w:w="936" w:type="dxa"/>
            <w:tcBorders>
              <w:top w:val="single" w:color="auto" w:sz="4" w:space="0"/>
              <w:left w:val="single" w:color="auto" w:sz="4" w:space="0"/>
            </w:tcBorders>
            <w:shd w:val="clear" w:color="auto" w:fill="FFFFFF"/>
            <w:vAlign w:val="center"/>
          </w:tcPr>
          <w:p w14:paraId="7923B616">
            <w:pPr>
              <w:pStyle w:val="164"/>
              <w:spacing w:before="100" w:after="100" w:line="330" w:lineRule="exact"/>
              <w:ind w:firstLine="0" w:firstLineChars="0"/>
              <w:jc w:val="center"/>
              <w:rPr>
                <w:sz w:val="18"/>
                <w:szCs w:val="18"/>
              </w:rPr>
            </w:pPr>
            <w:r>
              <w:rPr>
                <w:sz w:val="18"/>
                <w:szCs w:val="18"/>
              </w:rPr>
              <w:t>7</w:t>
            </w:r>
          </w:p>
        </w:tc>
        <w:tc>
          <w:tcPr>
            <w:tcW w:w="1051" w:type="dxa"/>
            <w:tcBorders>
              <w:top w:val="single" w:color="auto" w:sz="4" w:space="0"/>
              <w:left w:val="single" w:color="auto" w:sz="4" w:space="0"/>
              <w:right w:val="single" w:color="auto" w:sz="4" w:space="0"/>
            </w:tcBorders>
            <w:shd w:val="clear" w:color="auto" w:fill="FFFFFF"/>
            <w:vAlign w:val="center"/>
          </w:tcPr>
          <w:p w14:paraId="6A0D6ED6">
            <w:pPr>
              <w:pStyle w:val="164"/>
              <w:spacing w:before="100" w:after="100" w:line="330" w:lineRule="exact"/>
              <w:ind w:firstLine="0" w:firstLineChars="0"/>
              <w:jc w:val="center"/>
              <w:rPr>
                <w:sz w:val="18"/>
                <w:szCs w:val="18"/>
              </w:rPr>
            </w:pPr>
            <w:r>
              <w:rPr>
                <w:sz w:val="18"/>
                <w:szCs w:val="18"/>
              </w:rPr>
              <w:t>8</w:t>
            </w:r>
          </w:p>
        </w:tc>
      </w:tr>
      <w:tr w14:paraId="2CBB0A89">
        <w:tblPrEx>
          <w:tblCellMar>
            <w:top w:w="0" w:type="dxa"/>
            <w:left w:w="10" w:type="dxa"/>
            <w:bottom w:w="0" w:type="dxa"/>
            <w:right w:w="10" w:type="dxa"/>
          </w:tblCellMar>
        </w:tblPrEx>
        <w:trPr>
          <w:trHeight w:val="468" w:hRule="exact"/>
          <w:jc w:val="center"/>
        </w:trPr>
        <w:tc>
          <w:tcPr>
            <w:tcW w:w="1066" w:type="dxa"/>
            <w:vMerge w:val="continue"/>
            <w:tcBorders>
              <w:left w:val="single" w:color="auto" w:sz="4" w:space="0"/>
            </w:tcBorders>
            <w:shd w:val="clear" w:color="auto" w:fill="FFFFFF"/>
            <w:vAlign w:val="center"/>
          </w:tcPr>
          <w:p w14:paraId="6C225D39">
            <w:pPr>
              <w:pStyle w:val="164"/>
              <w:spacing w:before="100" w:after="100" w:line="330" w:lineRule="exact"/>
              <w:ind w:firstLine="0" w:firstLineChars="0"/>
              <w:jc w:val="center"/>
              <w:rPr>
                <w:sz w:val="18"/>
                <w:szCs w:val="18"/>
              </w:rPr>
            </w:pPr>
          </w:p>
        </w:tc>
        <w:tc>
          <w:tcPr>
            <w:tcW w:w="936" w:type="dxa"/>
            <w:tcBorders>
              <w:top w:val="single" w:color="auto" w:sz="4" w:space="0"/>
              <w:left w:val="single" w:color="auto" w:sz="4" w:space="0"/>
            </w:tcBorders>
            <w:shd w:val="clear" w:color="auto" w:fill="FFFFFF"/>
            <w:vAlign w:val="center"/>
          </w:tcPr>
          <w:p w14:paraId="7D5F3509">
            <w:pPr>
              <w:pStyle w:val="164"/>
              <w:spacing w:before="100" w:after="100" w:line="330" w:lineRule="exact"/>
              <w:ind w:firstLine="0" w:firstLineChars="0"/>
              <w:jc w:val="center"/>
              <w:rPr>
                <w:sz w:val="18"/>
                <w:szCs w:val="18"/>
              </w:rPr>
            </w:pPr>
            <w:r>
              <w:rPr>
                <w:sz w:val="18"/>
                <w:szCs w:val="18"/>
              </w:rPr>
              <w:t>绿白</w:t>
            </w:r>
          </w:p>
        </w:tc>
        <w:tc>
          <w:tcPr>
            <w:tcW w:w="936" w:type="dxa"/>
            <w:tcBorders>
              <w:top w:val="single" w:color="auto" w:sz="4" w:space="0"/>
              <w:left w:val="single" w:color="auto" w:sz="4" w:space="0"/>
            </w:tcBorders>
            <w:shd w:val="clear" w:color="auto" w:fill="FFFFFF"/>
            <w:vAlign w:val="center"/>
          </w:tcPr>
          <w:p w14:paraId="488298AC">
            <w:pPr>
              <w:pStyle w:val="164"/>
              <w:spacing w:before="100" w:after="100" w:line="330" w:lineRule="exact"/>
              <w:ind w:firstLine="0" w:firstLineChars="0"/>
              <w:jc w:val="center"/>
              <w:rPr>
                <w:sz w:val="18"/>
                <w:szCs w:val="18"/>
              </w:rPr>
            </w:pPr>
            <w:r>
              <w:rPr>
                <w:sz w:val="18"/>
                <w:szCs w:val="18"/>
              </w:rPr>
              <w:t>绿</w:t>
            </w:r>
          </w:p>
        </w:tc>
        <w:tc>
          <w:tcPr>
            <w:tcW w:w="936" w:type="dxa"/>
            <w:tcBorders>
              <w:top w:val="single" w:color="auto" w:sz="4" w:space="0"/>
              <w:left w:val="single" w:color="auto" w:sz="4" w:space="0"/>
            </w:tcBorders>
            <w:shd w:val="clear" w:color="auto" w:fill="FFFFFF"/>
            <w:vAlign w:val="center"/>
          </w:tcPr>
          <w:p w14:paraId="5527E8CF">
            <w:pPr>
              <w:pStyle w:val="164"/>
              <w:spacing w:before="100" w:after="100" w:line="330" w:lineRule="exact"/>
              <w:ind w:firstLine="0" w:firstLineChars="0"/>
              <w:jc w:val="center"/>
              <w:rPr>
                <w:sz w:val="18"/>
                <w:szCs w:val="18"/>
              </w:rPr>
            </w:pPr>
            <w:r>
              <w:rPr>
                <w:sz w:val="18"/>
                <w:szCs w:val="18"/>
              </w:rPr>
              <w:t>橙白</w:t>
            </w:r>
          </w:p>
        </w:tc>
        <w:tc>
          <w:tcPr>
            <w:tcW w:w="936" w:type="dxa"/>
            <w:tcBorders>
              <w:top w:val="single" w:color="auto" w:sz="4" w:space="0"/>
              <w:left w:val="single" w:color="auto" w:sz="4" w:space="0"/>
            </w:tcBorders>
            <w:shd w:val="clear" w:color="auto" w:fill="FFFFFF"/>
            <w:vAlign w:val="center"/>
          </w:tcPr>
          <w:p w14:paraId="771B1D5F">
            <w:pPr>
              <w:pStyle w:val="164"/>
              <w:spacing w:before="100" w:after="100" w:line="330" w:lineRule="exact"/>
              <w:ind w:firstLine="0" w:firstLineChars="0"/>
              <w:jc w:val="center"/>
              <w:rPr>
                <w:sz w:val="18"/>
                <w:szCs w:val="18"/>
              </w:rPr>
            </w:pPr>
            <w:r>
              <w:rPr>
                <w:sz w:val="18"/>
                <w:szCs w:val="18"/>
              </w:rPr>
              <w:t>蓝</w:t>
            </w:r>
          </w:p>
        </w:tc>
        <w:tc>
          <w:tcPr>
            <w:tcW w:w="936" w:type="dxa"/>
            <w:tcBorders>
              <w:top w:val="single" w:color="auto" w:sz="4" w:space="0"/>
              <w:left w:val="single" w:color="auto" w:sz="4" w:space="0"/>
            </w:tcBorders>
            <w:shd w:val="clear" w:color="auto" w:fill="FFFFFF"/>
            <w:vAlign w:val="center"/>
          </w:tcPr>
          <w:p w14:paraId="6642ACFC">
            <w:pPr>
              <w:pStyle w:val="164"/>
              <w:spacing w:before="100" w:after="100" w:line="330" w:lineRule="exact"/>
              <w:ind w:firstLine="0" w:firstLineChars="0"/>
              <w:jc w:val="center"/>
              <w:rPr>
                <w:sz w:val="18"/>
                <w:szCs w:val="18"/>
              </w:rPr>
            </w:pPr>
            <w:r>
              <w:rPr>
                <w:sz w:val="18"/>
                <w:szCs w:val="18"/>
              </w:rPr>
              <w:t>蓝白</w:t>
            </w:r>
          </w:p>
        </w:tc>
        <w:tc>
          <w:tcPr>
            <w:tcW w:w="929" w:type="dxa"/>
            <w:tcBorders>
              <w:top w:val="single" w:color="auto" w:sz="4" w:space="0"/>
              <w:left w:val="single" w:color="auto" w:sz="4" w:space="0"/>
            </w:tcBorders>
            <w:shd w:val="clear" w:color="auto" w:fill="FFFFFF"/>
            <w:vAlign w:val="center"/>
          </w:tcPr>
          <w:p w14:paraId="26F339E8">
            <w:pPr>
              <w:pStyle w:val="164"/>
              <w:spacing w:before="100" w:after="100" w:line="330" w:lineRule="exact"/>
              <w:ind w:firstLine="0" w:firstLineChars="0"/>
              <w:jc w:val="center"/>
              <w:rPr>
                <w:sz w:val="18"/>
                <w:szCs w:val="18"/>
              </w:rPr>
            </w:pPr>
            <w:r>
              <w:rPr>
                <w:sz w:val="18"/>
                <w:szCs w:val="18"/>
              </w:rPr>
              <w:t>橙</w:t>
            </w:r>
          </w:p>
        </w:tc>
        <w:tc>
          <w:tcPr>
            <w:tcW w:w="936" w:type="dxa"/>
            <w:tcBorders>
              <w:top w:val="single" w:color="auto" w:sz="4" w:space="0"/>
              <w:left w:val="single" w:color="auto" w:sz="4" w:space="0"/>
            </w:tcBorders>
            <w:shd w:val="clear" w:color="auto" w:fill="FFFFFF"/>
            <w:vAlign w:val="center"/>
          </w:tcPr>
          <w:p w14:paraId="5C014482">
            <w:pPr>
              <w:pStyle w:val="164"/>
              <w:spacing w:before="100" w:after="100" w:line="330" w:lineRule="exact"/>
              <w:ind w:firstLine="0" w:firstLineChars="0"/>
              <w:jc w:val="center"/>
              <w:rPr>
                <w:sz w:val="18"/>
                <w:szCs w:val="18"/>
              </w:rPr>
            </w:pPr>
            <w:r>
              <w:rPr>
                <w:sz w:val="18"/>
                <w:szCs w:val="18"/>
              </w:rPr>
              <w:t>棕白</w:t>
            </w:r>
          </w:p>
        </w:tc>
        <w:tc>
          <w:tcPr>
            <w:tcW w:w="1051" w:type="dxa"/>
            <w:tcBorders>
              <w:top w:val="single" w:color="auto" w:sz="4" w:space="0"/>
              <w:left w:val="single" w:color="auto" w:sz="4" w:space="0"/>
              <w:right w:val="single" w:color="auto" w:sz="4" w:space="0"/>
            </w:tcBorders>
            <w:shd w:val="clear" w:color="auto" w:fill="FFFFFF"/>
            <w:vAlign w:val="center"/>
          </w:tcPr>
          <w:p w14:paraId="37AE1727">
            <w:pPr>
              <w:pStyle w:val="164"/>
              <w:spacing w:before="100" w:after="100" w:line="330" w:lineRule="exact"/>
              <w:ind w:firstLine="0" w:firstLineChars="0"/>
              <w:jc w:val="center"/>
              <w:rPr>
                <w:sz w:val="18"/>
                <w:szCs w:val="18"/>
              </w:rPr>
            </w:pPr>
            <w:r>
              <w:rPr>
                <w:sz w:val="18"/>
                <w:szCs w:val="18"/>
              </w:rPr>
              <w:t>棕</w:t>
            </w:r>
          </w:p>
        </w:tc>
      </w:tr>
      <w:tr w14:paraId="5DFDD9AB">
        <w:tblPrEx>
          <w:tblCellMar>
            <w:top w:w="0" w:type="dxa"/>
            <w:left w:w="10" w:type="dxa"/>
            <w:bottom w:w="0" w:type="dxa"/>
            <w:right w:w="10" w:type="dxa"/>
          </w:tblCellMar>
        </w:tblPrEx>
        <w:trPr>
          <w:trHeight w:val="468" w:hRule="exact"/>
          <w:jc w:val="center"/>
        </w:trPr>
        <w:tc>
          <w:tcPr>
            <w:tcW w:w="1066" w:type="dxa"/>
            <w:vMerge w:val="restart"/>
            <w:tcBorders>
              <w:top w:val="single" w:color="auto" w:sz="4" w:space="0"/>
              <w:left w:val="single" w:color="auto" w:sz="4" w:space="0"/>
            </w:tcBorders>
            <w:shd w:val="clear" w:color="auto" w:fill="FFFFFF"/>
            <w:vAlign w:val="center"/>
          </w:tcPr>
          <w:p w14:paraId="1E8FFBAB">
            <w:pPr>
              <w:pStyle w:val="164"/>
              <w:spacing w:before="100" w:after="100" w:line="330" w:lineRule="exact"/>
              <w:ind w:firstLine="0" w:firstLineChars="0"/>
              <w:jc w:val="center"/>
              <w:rPr>
                <w:sz w:val="18"/>
                <w:szCs w:val="18"/>
              </w:rPr>
            </w:pPr>
            <w:r>
              <w:rPr>
                <w:sz w:val="18"/>
                <w:szCs w:val="18"/>
              </w:rPr>
              <w:t>T568B线序</w:t>
            </w:r>
          </w:p>
        </w:tc>
        <w:tc>
          <w:tcPr>
            <w:tcW w:w="936" w:type="dxa"/>
            <w:tcBorders>
              <w:top w:val="single" w:color="auto" w:sz="4" w:space="0"/>
              <w:left w:val="single" w:color="auto" w:sz="4" w:space="0"/>
            </w:tcBorders>
            <w:shd w:val="clear" w:color="auto" w:fill="FFFFFF"/>
            <w:vAlign w:val="center"/>
          </w:tcPr>
          <w:p w14:paraId="14B6970E">
            <w:pPr>
              <w:pStyle w:val="164"/>
              <w:spacing w:before="100" w:after="100" w:line="330" w:lineRule="exact"/>
              <w:ind w:firstLine="0" w:firstLineChars="0"/>
              <w:jc w:val="center"/>
              <w:rPr>
                <w:sz w:val="18"/>
                <w:szCs w:val="18"/>
              </w:rPr>
            </w:pPr>
            <w:r>
              <w:rPr>
                <w:sz w:val="18"/>
                <w:szCs w:val="18"/>
              </w:rPr>
              <w:t>1</w:t>
            </w:r>
          </w:p>
        </w:tc>
        <w:tc>
          <w:tcPr>
            <w:tcW w:w="936" w:type="dxa"/>
            <w:tcBorders>
              <w:top w:val="single" w:color="auto" w:sz="4" w:space="0"/>
              <w:left w:val="single" w:color="auto" w:sz="4" w:space="0"/>
            </w:tcBorders>
            <w:shd w:val="clear" w:color="auto" w:fill="FFFFFF"/>
            <w:vAlign w:val="center"/>
          </w:tcPr>
          <w:p w14:paraId="3BCDB5F3">
            <w:pPr>
              <w:pStyle w:val="164"/>
              <w:spacing w:before="100" w:after="100" w:line="330" w:lineRule="exact"/>
              <w:ind w:firstLine="0" w:firstLineChars="0"/>
              <w:jc w:val="center"/>
              <w:rPr>
                <w:sz w:val="18"/>
                <w:szCs w:val="18"/>
              </w:rPr>
            </w:pPr>
            <w:r>
              <w:rPr>
                <w:sz w:val="18"/>
                <w:szCs w:val="18"/>
              </w:rPr>
              <w:t>2</w:t>
            </w:r>
          </w:p>
        </w:tc>
        <w:tc>
          <w:tcPr>
            <w:tcW w:w="936" w:type="dxa"/>
            <w:tcBorders>
              <w:top w:val="single" w:color="auto" w:sz="4" w:space="0"/>
              <w:left w:val="single" w:color="auto" w:sz="4" w:space="0"/>
            </w:tcBorders>
            <w:shd w:val="clear" w:color="auto" w:fill="FFFFFF"/>
            <w:vAlign w:val="center"/>
          </w:tcPr>
          <w:p w14:paraId="5DC9F827">
            <w:pPr>
              <w:pStyle w:val="164"/>
              <w:spacing w:before="100" w:after="100" w:line="330" w:lineRule="exact"/>
              <w:ind w:firstLine="0" w:firstLineChars="0"/>
              <w:jc w:val="center"/>
              <w:rPr>
                <w:sz w:val="18"/>
                <w:szCs w:val="18"/>
              </w:rPr>
            </w:pPr>
            <w:r>
              <w:rPr>
                <w:sz w:val="18"/>
                <w:szCs w:val="18"/>
              </w:rPr>
              <w:t>3</w:t>
            </w:r>
          </w:p>
        </w:tc>
        <w:tc>
          <w:tcPr>
            <w:tcW w:w="936" w:type="dxa"/>
            <w:tcBorders>
              <w:top w:val="single" w:color="auto" w:sz="4" w:space="0"/>
              <w:left w:val="single" w:color="auto" w:sz="4" w:space="0"/>
            </w:tcBorders>
            <w:shd w:val="clear" w:color="auto" w:fill="FFFFFF"/>
            <w:vAlign w:val="center"/>
          </w:tcPr>
          <w:p w14:paraId="2841D7F2">
            <w:pPr>
              <w:pStyle w:val="164"/>
              <w:spacing w:before="100" w:after="100" w:line="330" w:lineRule="exact"/>
              <w:ind w:firstLine="0" w:firstLineChars="0"/>
              <w:jc w:val="center"/>
              <w:rPr>
                <w:sz w:val="18"/>
                <w:szCs w:val="18"/>
              </w:rPr>
            </w:pPr>
            <w:r>
              <w:rPr>
                <w:sz w:val="18"/>
                <w:szCs w:val="18"/>
              </w:rPr>
              <w:t>4</w:t>
            </w:r>
          </w:p>
        </w:tc>
        <w:tc>
          <w:tcPr>
            <w:tcW w:w="936" w:type="dxa"/>
            <w:tcBorders>
              <w:top w:val="single" w:color="auto" w:sz="4" w:space="0"/>
              <w:left w:val="single" w:color="auto" w:sz="4" w:space="0"/>
            </w:tcBorders>
            <w:shd w:val="clear" w:color="auto" w:fill="FFFFFF"/>
            <w:vAlign w:val="center"/>
          </w:tcPr>
          <w:p w14:paraId="01062859">
            <w:pPr>
              <w:pStyle w:val="164"/>
              <w:spacing w:before="100" w:after="100" w:line="330" w:lineRule="exact"/>
              <w:ind w:firstLine="0" w:firstLineChars="0"/>
              <w:jc w:val="center"/>
              <w:rPr>
                <w:sz w:val="18"/>
                <w:szCs w:val="18"/>
              </w:rPr>
            </w:pPr>
            <w:r>
              <w:rPr>
                <w:sz w:val="18"/>
                <w:szCs w:val="18"/>
              </w:rPr>
              <w:t>5</w:t>
            </w:r>
          </w:p>
        </w:tc>
        <w:tc>
          <w:tcPr>
            <w:tcW w:w="929" w:type="dxa"/>
            <w:tcBorders>
              <w:top w:val="single" w:color="auto" w:sz="4" w:space="0"/>
              <w:left w:val="single" w:color="auto" w:sz="4" w:space="0"/>
            </w:tcBorders>
            <w:shd w:val="clear" w:color="auto" w:fill="FFFFFF"/>
            <w:vAlign w:val="center"/>
          </w:tcPr>
          <w:p w14:paraId="6446921B">
            <w:pPr>
              <w:pStyle w:val="164"/>
              <w:spacing w:before="100" w:after="100" w:line="330" w:lineRule="exact"/>
              <w:ind w:firstLine="0" w:firstLineChars="0"/>
              <w:jc w:val="center"/>
              <w:rPr>
                <w:sz w:val="18"/>
                <w:szCs w:val="18"/>
              </w:rPr>
            </w:pPr>
            <w:r>
              <w:rPr>
                <w:sz w:val="18"/>
                <w:szCs w:val="18"/>
              </w:rPr>
              <w:t>6</w:t>
            </w:r>
          </w:p>
        </w:tc>
        <w:tc>
          <w:tcPr>
            <w:tcW w:w="936" w:type="dxa"/>
            <w:tcBorders>
              <w:top w:val="single" w:color="auto" w:sz="4" w:space="0"/>
              <w:left w:val="single" w:color="auto" w:sz="4" w:space="0"/>
            </w:tcBorders>
            <w:shd w:val="clear" w:color="auto" w:fill="FFFFFF"/>
            <w:vAlign w:val="center"/>
          </w:tcPr>
          <w:p w14:paraId="0260035C">
            <w:pPr>
              <w:pStyle w:val="164"/>
              <w:spacing w:before="100" w:after="100" w:line="330" w:lineRule="exact"/>
              <w:ind w:firstLine="0" w:firstLineChars="0"/>
              <w:jc w:val="center"/>
              <w:rPr>
                <w:sz w:val="18"/>
                <w:szCs w:val="18"/>
              </w:rPr>
            </w:pPr>
            <w:r>
              <w:rPr>
                <w:sz w:val="18"/>
                <w:szCs w:val="18"/>
              </w:rPr>
              <w:t>7</w:t>
            </w:r>
          </w:p>
        </w:tc>
        <w:tc>
          <w:tcPr>
            <w:tcW w:w="1051" w:type="dxa"/>
            <w:tcBorders>
              <w:top w:val="single" w:color="auto" w:sz="4" w:space="0"/>
              <w:left w:val="single" w:color="auto" w:sz="4" w:space="0"/>
              <w:right w:val="single" w:color="auto" w:sz="4" w:space="0"/>
            </w:tcBorders>
            <w:shd w:val="clear" w:color="auto" w:fill="FFFFFF"/>
            <w:vAlign w:val="center"/>
          </w:tcPr>
          <w:p w14:paraId="386D8E6E">
            <w:pPr>
              <w:pStyle w:val="164"/>
              <w:spacing w:before="100" w:after="100" w:line="330" w:lineRule="exact"/>
              <w:ind w:firstLine="0" w:firstLineChars="0"/>
              <w:jc w:val="center"/>
              <w:rPr>
                <w:sz w:val="18"/>
                <w:szCs w:val="18"/>
              </w:rPr>
            </w:pPr>
            <w:r>
              <w:rPr>
                <w:sz w:val="18"/>
                <w:szCs w:val="18"/>
              </w:rPr>
              <w:t>8</w:t>
            </w:r>
          </w:p>
        </w:tc>
      </w:tr>
      <w:tr w14:paraId="0580053C">
        <w:tblPrEx>
          <w:tblCellMar>
            <w:top w:w="0" w:type="dxa"/>
            <w:left w:w="10" w:type="dxa"/>
            <w:bottom w:w="0" w:type="dxa"/>
            <w:right w:w="10" w:type="dxa"/>
          </w:tblCellMar>
        </w:tblPrEx>
        <w:trPr>
          <w:trHeight w:val="490" w:hRule="exact"/>
          <w:jc w:val="center"/>
        </w:trPr>
        <w:tc>
          <w:tcPr>
            <w:tcW w:w="1066" w:type="dxa"/>
            <w:vMerge w:val="continue"/>
            <w:tcBorders>
              <w:left w:val="single" w:color="auto" w:sz="4" w:space="0"/>
              <w:bottom w:val="single" w:color="auto" w:sz="4" w:space="0"/>
            </w:tcBorders>
            <w:shd w:val="clear" w:color="auto" w:fill="FFFFFF"/>
            <w:vAlign w:val="center"/>
          </w:tcPr>
          <w:p w14:paraId="6E945F71">
            <w:pPr>
              <w:pStyle w:val="164"/>
              <w:spacing w:before="100" w:after="100" w:line="330" w:lineRule="exact"/>
              <w:ind w:firstLine="0" w:firstLineChars="0"/>
              <w:rPr>
                <w:sz w:val="18"/>
                <w:szCs w:val="18"/>
              </w:rPr>
            </w:pPr>
          </w:p>
        </w:tc>
        <w:tc>
          <w:tcPr>
            <w:tcW w:w="936" w:type="dxa"/>
            <w:tcBorders>
              <w:top w:val="single" w:color="auto" w:sz="4" w:space="0"/>
              <w:left w:val="single" w:color="auto" w:sz="4" w:space="0"/>
              <w:bottom w:val="single" w:color="auto" w:sz="4" w:space="0"/>
            </w:tcBorders>
            <w:shd w:val="clear" w:color="auto" w:fill="FFFFFF"/>
            <w:vAlign w:val="center"/>
          </w:tcPr>
          <w:p w14:paraId="4D1E6896">
            <w:pPr>
              <w:pStyle w:val="164"/>
              <w:spacing w:before="100" w:after="100" w:line="330" w:lineRule="exact"/>
              <w:ind w:firstLine="0" w:firstLineChars="0"/>
              <w:jc w:val="center"/>
              <w:rPr>
                <w:sz w:val="18"/>
                <w:szCs w:val="18"/>
              </w:rPr>
            </w:pPr>
            <w:r>
              <w:rPr>
                <w:sz w:val="18"/>
                <w:szCs w:val="18"/>
              </w:rPr>
              <w:t>橙白</w:t>
            </w:r>
          </w:p>
        </w:tc>
        <w:tc>
          <w:tcPr>
            <w:tcW w:w="936" w:type="dxa"/>
            <w:tcBorders>
              <w:top w:val="single" w:color="auto" w:sz="4" w:space="0"/>
              <w:left w:val="single" w:color="auto" w:sz="4" w:space="0"/>
              <w:bottom w:val="single" w:color="auto" w:sz="4" w:space="0"/>
            </w:tcBorders>
            <w:shd w:val="clear" w:color="auto" w:fill="FFFFFF"/>
            <w:vAlign w:val="center"/>
          </w:tcPr>
          <w:p w14:paraId="229F2A1F">
            <w:pPr>
              <w:pStyle w:val="164"/>
              <w:spacing w:before="100" w:after="100" w:line="330" w:lineRule="exact"/>
              <w:ind w:firstLine="0" w:firstLineChars="0"/>
              <w:jc w:val="center"/>
              <w:rPr>
                <w:sz w:val="18"/>
                <w:szCs w:val="18"/>
              </w:rPr>
            </w:pPr>
            <w:r>
              <w:rPr>
                <w:sz w:val="18"/>
                <w:szCs w:val="18"/>
              </w:rPr>
              <w:t>橙</w:t>
            </w:r>
          </w:p>
        </w:tc>
        <w:tc>
          <w:tcPr>
            <w:tcW w:w="936" w:type="dxa"/>
            <w:tcBorders>
              <w:top w:val="single" w:color="auto" w:sz="4" w:space="0"/>
              <w:left w:val="single" w:color="auto" w:sz="4" w:space="0"/>
              <w:bottom w:val="single" w:color="auto" w:sz="4" w:space="0"/>
            </w:tcBorders>
            <w:shd w:val="clear" w:color="auto" w:fill="FFFFFF"/>
            <w:vAlign w:val="center"/>
          </w:tcPr>
          <w:p w14:paraId="4F1FA2C1">
            <w:pPr>
              <w:pStyle w:val="164"/>
              <w:spacing w:before="100" w:after="100" w:line="330" w:lineRule="exact"/>
              <w:ind w:firstLine="0" w:firstLineChars="0"/>
              <w:jc w:val="center"/>
              <w:rPr>
                <w:sz w:val="18"/>
                <w:szCs w:val="18"/>
              </w:rPr>
            </w:pPr>
            <w:r>
              <w:rPr>
                <w:sz w:val="18"/>
                <w:szCs w:val="18"/>
              </w:rPr>
              <w:t>绿白</w:t>
            </w:r>
          </w:p>
        </w:tc>
        <w:tc>
          <w:tcPr>
            <w:tcW w:w="936" w:type="dxa"/>
            <w:tcBorders>
              <w:top w:val="single" w:color="auto" w:sz="4" w:space="0"/>
              <w:left w:val="single" w:color="auto" w:sz="4" w:space="0"/>
              <w:bottom w:val="single" w:color="auto" w:sz="4" w:space="0"/>
            </w:tcBorders>
            <w:shd w:val="clear" w:color="auto" w:fill="FFFFFF"/>
            <w:vAlign w:val="center"/>
          </w:tcPr>
          <w:p w14:paraId="0BB3A87F">
            <w:pPr>
              <w:pStyle w:val="164"/>
              <w:spacing w:before="100" w:after="100" w:line="330" w:lineRule="exact"/>
              <w:ind w:firstLine="0" w:firstLineChars="0"/>
              <w:jc w:val="center"/>
              <w:rPr>
                <w:sz w:val="18"/>
                <w:szCs w:val="18"/>
              </w:rPr>
            </w:pPr>
            <w:r>
              <w:rPr>
                <w:sz w:val="18"/>
                <w:szCs w:val="18"/>
              </w:rPr>
              <w:t>蓝</w:t>
            </w:r>
          </w:p>
        </w:tc>
        <w:tc>
          <w:tcPr>
            <w:tcW w:w="936" w:type="dxa"/>
            <w:tcBorders>
              <w:top w:val="single" w:color="auto" w:sz="4" w:space="0"/>
              <w:left w:val="single" w:color="auto" w:sz="4" w:space="0"/>
              <w:bottom w:val="single" w:color="auto" w:sz="4" w:space="0"/>
            </w:tcBorders>
            <w:shd w:val="clear" w:color="auto" w:fill="FFFFFF"/>
            <w:vAlign w:val="center"/>
          </w:tcPr>
          <w:p w14:paraId="0653D693">
            <w:pPr>
              <w:pStyle w:val="164"/>
              <w:spacing w:before="100" w:after="100" w:line="330" w:lineRule="exact"/>
              <w:ind w:firstLine="0" w:firstLineChars="0"/>
              <w:jc w:val="center"/>
              <w:rPr>
                <w:sz w:val="18"/>
                <w:szCs w:val="18"/>
              </w:rPr>
            </w:pPr>
            <w:r>
              <w:rPr>
                <w:sz w:val="18"/>
                <w:szCs w:val="18"/>
              </w:rPr>
              <w:t>蓝白</w:t>
            </w:r>
          </w:p>
        </w:tc>
        <w:tc>
          <w:tcPr>
            <w:tcW w:w="929" w:type="dxa"/>
            <w:tcBorders>
              <w:top w:val="single" w:color="auto" w:sz="4" w:space="0"/>
              <w:left w:val="single" w:color="auto" w:sz="4" w:space="0"/>
              <w:bottom w:val="single" w:color="auto" w:sz="4" w:space="0"/>
            </w:tcBorders>
            <w:shd w:val="clear" w:color="auto" w:fill="FFFFFF"/>
            <w:vAlign w:val="center"/>
          </w:tcPr>
          <w:p w14:paraId="595B6EFD">
            <w:pPr>
              <w:pStyle w:val="164"/>
              <w:spacing w:before="100" w:after="100" w:line="330" w:lineRule="exact"/>
              <w:ind w:firstLine="0" w:firstLineChars="0"/>
              <w:jc w:val="center"/>
              <w:rPr>
                <w:sz w:val="18"/>
                <w:szCs w:val="18"/>
              </w:rPr>
            </w:pPr>
            <w:r>
              <w:rPr>
                <w:sz w:val="18"/>
                <w:szCs w:val="18"/>
              </w:rPr>
              <w:t>绿</w:t>
            </w:r>
          </w:p>
        </w:tc>
        <w:tc>
          <w:tcPr>
            <w:tcW w:w="936" w:type="dxa"/>
            <w:tcBorders>
              <w:top w:val="single" w:color="auto" w:sz="4" w:space="0"/>
              <w:left w:val="single" w:color="auto" w:sz="4" w:space="0"/>
              <w:bottom w:val="single" w:color="auto" w:sz="4" w:space="0"/>
            </w:tcBorders>
            <w:shd w:val="clear" w:color="auto" w:fill="FFFFFF"/>
            <w:vAlign w:val="center"/>
          </w:tcPr>
          <w:p w14:paraId="23BDB27C">
            <w:pPr>
              <w:pStyle w:val="164"/>
              <w:spacing w:before="100" w:after="100" w:line="330" w:lineRule="exact"/>
              <w:ind w:firstLine="0" w:firstLineChars="0"/>
              <w:jc w:val="center"/>
              <w:rPr>
                <w:sz w:val="18"/>
                <w:szCs w:val="18"/>
              </w:rPr>
            </w:pPr>
            <w:r>
              <w:rPr>
                <w:sz w:val="18"/>
                <w:szCs w:val="18"/>
              </w:rPr>
              <w:t>棕白</w:t>
            </w:r>
          </w:p>
        </w:tc>
        <w:tc>
          <w:tcPr>
            <w:tcW w:w="1051" w:type="dxa"/>
            <w:tcBorders>
              <w:top w:val="single" w:color="auto" w:sz="4" w:space="0"/>
              <w:left w:val="single" w:color="auto" w:sz="4" w:space="0"/>
              <w:bottom w:val="single" w:color="auto" w:sz="4" w:space="0"/>
              <w:right w:val="single" w:color="auto" w:sz="4" w:space="0"/>
            </w:tcBorders>
            <w:shd w:val="clear" w:color="auto" w:fill="FFFFFF"/>
            <w:vAlign w:val="center"/>
          </w:tcPr>
          <w:p w14:paraId="3F74F8F8">
            <w:pPr>
              <w:pStyle w:val="164"/>
              <w:spacing w:before="100" w:after="100" w:line="330" w:lineRule="exact"/>
              <w:ind w:firstLine="0" w:firstLineChars="0"/>
              <w:jc w:val="center"/>
              <w:rPr>
                <w:sz w:val="18"/>
                <w:szCs w:val="18"/>
              </w:rPr>
            </w:pPr>
            <w:r>
              <w:rPr>
                <w:sz w:val="18"/>
                <w:szCs w:val="18"/>
              </w:rPr>
              <w:t>棕</w:t>
            </w:r>
          </w:p>
        </w:tc>
      </w:tr>
    </w:tbl>
    <w:p w14:paraId="1FD718EF">
      <w:pPr>
        <w:pStyle w:val="164"/>
        <w:numPr>
          <w:ilvl w:val="0"/>
          <w:numId w:val="267"/>
        </w:numPr>
        <w:tabs>
          <w:tab w:val="left" w:pos="210"/>
          <w:tab w:val="left" w:pos="567"/>
        </w:tabs>
        <w:spacing w:line="330" w:lineRule="exact"/>
        <w:ind w:firstLine="630" w:firstLineChars="300"/>
        <w:rPr>
          <w:szCs w:val="21"/>
        </w:rPr>
        <w:sectPr>
          <w:headerReference r:id="rId24" w:type="default"/>
          <w:headerReference r:id="rId25" w:type="even"/>
          <w:footerReference r:id="rId26" w:type="even"/>
          <w:pgSz w:w="11900" w:h="16840"/>
          <w:pgMar w:top="1558" w:right="1544" w:bottom="1113" w:left="1564" w:header="0" w:footer="567" w:gutter="0"/>
          <w:cols w:space="720" w:num="1"/>
          <w:docGrid w:linePitch="360" w:charSpace="0"/>
        </w:sectPr>
      </w:pPr>
      <w:r>
        <w:rPr>
          <w:szCs w:val="21"/>
        </w:rPr>
        <w:t>预端接系统各端接设备连接应可靠，预端接系统的测试应符合现行国家标准中光缆的各项指标要求。</w:t>
      </w:r>
    </w:p>
    <w:p w14:paraId="390399A8">
      <w:pPr>
        <w:pStyle w:val="164"/>
        <w:numPr>
          <w:ilvl w:val="0"/>
          <w:numId w:val="267"/>
        </w:numPr>
        <w:tabs>
          <w:tab w:val="left" w:pos="210"/>
          <w:tab w:val="left" w:pos="567"/>
        </w:tabs>
        <w:spacing w:line="330" w:lineRule="exact"/>
        <w:ind w:firstLine="630" w:firstLineChars="300"/>
        <w:rPr>
          <w:szCs w:val="21"/>
        </w:rPr>
      </w:pPr>
      <w:r>
        <w:rPr>
          <w:szCs w:val="21"/>
        </w:rPr>
        <w:t>走线架、线槽和护管的弯曲半径不应小于线缆最小允许</w:t>
      </w:r>
      <w:r>
        <w:rPr>
          <w:rFonts w:hint="eastAsia"/>
          <w:szCs w:val="21"/>
        </w:rPr>
        <w:t>弯曲半径</w:t>
      </w:r>
      <w:r>
        <w:rPr>
          <w:szCs w:val="21"/>
        </w:rPr>
        <w:t>，敷设应</w:t>
      </w:r>
      <w:r>
        <w:rPr>
          <w:rFonts w:hint="eastAsia"/>
          <w:szCs w:val="21"/>
        </w:rPr>
        <w:t>按现行</w:t>
      </w:r>
      <w:r>
        <w:rPr>
          <w:szCs w:val="21"/>
        </w:rPr>
        <w:t>国家标准</w:t>
      </w:r>
      <w:r>
        <w:rPr>
          <w:color w:val="191919"/>
          <w:shd w:val="clear" w:color="auto" w:fill="FFFFFF"/>
        </w:rPr>
        <w:t>《建筑电气工程施工质量验收规范》</w:t>
      </w:r>
      <w:r>
        <w:rPr>
          <w:szCs w:val="22"/>
        </w:rPr>
        <w:t>GB 50303</w:t>
      </w:r>
      <w:r>
        <w:rPr>
          <w:rFonts w:hint="eastAsia"/>
          <w:szCs w:val="22"/>
        </w:rPr>
        <w:t>的</w:t>
      </w:r>
      <w:r>
        <w:rPr>
          <w:rFonts w:hint="eastAsia"/>
          <w:szCs w:val="21"/>
        </w:rPr>
        <w:t>相关</w:t>
      </w:r>
      <w:r>
        <w:rPr>
          <w:szCs w:val="21"/>
        </w:rPr>
        <w:t>规定</w:t>
      </w:r>
      <w:r>
        <w:rPr>
          <w:rFonts w:hint="eastAsia"/>
          <w:szCs w:val="21"/>
        </w:rPr>
        <w:t>执行</w:t>
      </w:r>
      <w:r>
        <w:rPr>
          <w:szCs w:val="21"/>
        </w:rPr>
        <w:t>。</w:t>
      </w:r>
    </w:p>
    <w:p w14:paraId="5A2A91D4">
      <w:pPr>
        <w:pStyle w:val="164"/>
        <w:numPr>
          <w:ilvl w:val="0"/>
          <w:numId w:val="267"/>
        </w:numPr>
        <w:tabs>
          <w:tab w:val="left" w:pos="210"/>
          <w:tab w:val="left" w:pos="567"/>
        </w:tabs>
        <w:spacing w:line="330" w:lineRule="exact"/>
        <w:ind w:firstLine="630" w:firstLineChars="300"/>
        <w:rPr>
          <w:szCs w:val="21"/>
        </w:rPr>
      </w:pPr>
      <w:r>
        <w:rPr>
          <w:szCs w:val="21"/>
        </w:rPr>
        <w:t>对于上走线方式，走线架的敷设除应</w:t>
      </w:r>
      <w:r>
        <w:rPr>
          <w:rFonts w:hint="eastAsia"/>
          <w:szCs w:val="21"/>
        </w:rPr>
        <w:t>按</w:t>
      </w:r>
      <w:r>
        <w:rPr>
          <w:szCs w:val="21"/>
        </w:rPr>
        <w:t>现行国家标准</w:t>
      </w:r>
      <w:r>
        <w:rPr>
          <w:color w:val="191919"/>
          <w:shd w:val="clear" w:color="auto" w:fill="FFFFFF"/>
        </w:rPr>
        <w:t>《建筑电气工程施工质量验收规范》GB 50303</w:t>
      </w:r>
      <w:r>
        <w:rPr>
          <w:rFonts w:hint="eastAsia"/>
          <w:color w:val="191919"/>
          <w:shd w:val="clear" w:color="auto" w:fill="FFFFFF"/>
        </w:rPr>
        <w:t>的</w:t>
      </w:r>
      <w:r>
        <w:rPr>
          <w:rFonts w:hint="eastAsia"/>
          <w:szCs w:val="21"/>
        </w:rPr>
        <w:t>相关规定执行，</w:t>
      </w:r>
      <w:r>
        <w:rPr>
          <w:szCs w:val="21"/>
        </w:rPr>
        <w:t>还应符合下列规定：</w:t>
      </w:r>
    </w:p>
    <w:p w14:paraId="2E295D04">
      <w:pPr>
        <w:pStyle w:val="164"/>
        <w:numPr>
          <w:ilvl w:val="0"/>
          <w:numId w:val="269"/>
        </w:numPr>
        <w:autoSpaceDE w:val="0"/>
        <w:autoSpaceDN w:val="0"/>
        <w:adjustRightInd w:val="0"/>
        <w:snapToGrid w:val="0"/>
        <w:spacing w:line="330" w:lineRule="exact"/>
        <w:ind w:left="0" w:firstLine="840" w:firstLineChars="400"/>
        <w:rPr>
          <w:szCs w:val="21"/>
        </w:rPr>
      </w:pPr>
      <w:r>
        <w:rPr>
          <w:szCs w:val="21"/>
        </w:rPr>
        <w:t>走线架、线槽采用支架安装</w:t>
      </w:r>
      <w:r>
        <w:rPr>
          <w:rFonts w:hint="eastAsia"/>
          <w:szCs w:val="21"/>
        </w:rPr>
        <w:t>时</w:t>
      </w:r>
      <w:r>
        <w:rPr>
          <w:szCs w:val="21"/>
        </w:rPr>
        <w:t>，支架应安装牢固，走线架、线槽与支架间螺栓，走线架、线槽与连接板间螺栓应紧固、无遗漏；</w:t>
      </w:r>
    </w:p>
    <w:p w14:paraId="03E2249E">
      <w:pPr>
        <w:pStyle w:val="164"/>
        <w:numPr>
          <w:ilvl w:val="0"/>
          <w:numId w:val="269"/>
        </w:numPr>
        <w:autoSpaceDE w:val="0"/>
        <w:autoSpaceDN w:val="0"/>
        <w:adjustRightInd w:val="0"/>
        <w:snapToGrid w:val="0"/>
        <w:spacing w:line="330" w:lineRule="exact"/>
        <w:ind w:left="0" w:firstLine="840" w:firstLineChars="400"/>
        <w:rPr>
          <w:szCs w:val="21"/>
        </w:rPr>
      </w:pPr>
      <w:r>
        <w:rPr>
          <w:szCs w:val="21"/>
        </w:rPr>
        <w:t>线槽采用机柜顶部安装时，线槽与机柜间应按厂家说明书或设计要求可靠连接，线槽连接板螺栓应紧固、无遗漏；</w:t>
      </w:r>
    </w:p>
    <w:p w14:paraId="15A383CA">
      <w:pPr>
        <w:pStyle w:val="164"/>
        <w:numPr>
          <w:ilvl w:val="0"/>
          <w:numId w:val="269"/>
        </w:numPr>
        <w:autoSpaceDE w:val="0"/>
        <w:autoSpaceDN w:val="0"/>
        <w:adjustRightInd w:val="0"/>
        <w:snapToGrid w:val="0"/>
        <w:spacing w:line="330" w:lineRule="exact"/>
        <w:ind w:left="0" w:firstLine="840" w:firstLineChars="400"/>
        <w:rPr>
          <w:szCs w:val="21"/>
        </w:rPr>
      </w:pPr>
      <w:r>
        <w:rPr>
          <w:szCs w:val="21"/>
        </w:rPr>
        <w:t>走线架、线槽内敷设光缆时，对尾纤应用阻燃塑料设置专用槽道，尾纤槽道转角处应平滑、呈弧形；尾纤槽两侧壁应设置下线口，下线口应做平滑处理；</w:t>
      </w:r>
    </w:p>
    <w:p w14:paraId="3D038D50">
      <w:pPr>
        <w:pStyle w:val="164"/>
        <w:numPr>
          <w:ilvl w:val="0"/>
          <w:numId w:val="269"/>
        </w:numPr>
        <w:autoSpaceDE w:val="0"/>
        <w:autoSpaceDN w:val="0"/>
        <w:adjustRightInd w:val="0"/>
        <w:snapToGrid w:val="0"/>
        <w:spacing w:line="330" w:lineRule="exact"/>
        <w:ind w:left="0" w:firstLine="840" w:firstLineChars="400"/>
        <w:rPr>
          <w:szCs w:val="21"/>
        </w:rPr>
      </w:pPr>
      <w:r>
        <w:rPr>
          <w:szCs w:val="21"/>
        </w:rPr>
        <w:t>光缆的尾纤部分应用软线绑扎；</w:t>
      </w:r>
    </w:p>
    <w:p w14:paraId="4C5100FE">
      <w:pPr>
        <w:pStyle w:val="164"/>
        <w:numPr>
          <w:ilvl w:val="0"/>
          <w:numId w:val="269"/>
        </w:numPr>
        <w:autoSpaceDE w:val="0"/>
        <w:autoSpaceDN w:val="0"/>
        <w:adjustRightInd w:val="0"/>
        <w:snapToGrid w:val="0"/>
        <w:spacing w:line="330" w:lineRule="exact"/>
        <w:ind w:left="0" w:firstLine="840" w:firstLineChars="400"/>
        <w:rPr>
          <w:szCs w:val="21"/>
        </w:rPr>
      </w:pPr>
      <w:r>
        <w:rPr>
          <w:szCs w:val="21"/>
        </w:rPr>
        <w:t>走线架吊架应垂直、整齐、牢固。</w:t>
      </w:r>
    </w:p>
    <w:p w14:paraId="5A9FDC53">
      <w:pPr>
        <w:pStyle w:val="164"/>
        <w:numPr>
          <w:ilvl w:val="0"/>
          <w:numId w:val="267"/>
        </w:numPr>
        <w:tabs>
          <w:tab w:val="left" w:pos="210"/>
          <w:tab w:val="left" w:pos="567"/>
        </w:tabs>
        <w:spacing w:line="330" w:lineRule="exact"/>
        <w:ind w:firstLine="630" w:firstLineChars="300"/>
        <w:rPr>
          <w:szCs w:val="21"/>
        </w:rPr>
      </w:pPr>
      <w:r>
        <w:rPr>
          <w:szCs w:val="21"/>
        </w:rPr>
        <w:t>在水平、垂直桥架和水平、垂直线槽中敷设线缆时，应对线缆进行绑扎。对绞线缆、光缆及其他信号电缆应根据线缆的类别、数量、缆径、线缆芯数分束绑扎。绑扎间距不宜大于1.5m,间距应均匀，松紧应适度。垂直布放线缆应在线缆支架上每隔1.5m固定。</w:t>
      </w:r>
    </w:p>
    <w:p w14:paraId="41D44401">
      <w:pPr>
        <w:pStyle w:val="164"/>
        <w:spacing w:before="100" w:after="100" w:line="330" w:lineRule="exact"/>
        <w:ind w:firstLine="422"/>
        <w:rPr>
          <w:szCs w:val="21"/>
        </w:rPr>
      </w:pPr>
      <w:r>
        <w:rPr>
          <w:b/>
          <w:bCs/>
          <w:szCs w:val="21"/>
        </w:rPr>
        <w:t>2</w:t>
      </w:r>
      <w:r>
        <w:rPr>
          <w:szCs w:val="21"/>
        </w:rPr>
        <w:t xml:space="preserve"> 机柜机架安装应符合下列</w:t>
      </w:r>
      <w:r>
        <w:rPr>
          <w:rFonts w:hint="eastAsia"/>
          <w:szCs w:val="21"/>
        </w:rPr>
        <w:t>规定</w:t>
      </w:r>
      <w:r>
        <w:rPr>
          <w:szCs w:val="21"/>
        </w:rPr>
        <w:t>：</w:t>
      </w:r>
    </w:p>
    <w:p w14:paraId="0741AAC4">
      <w:pPr>
        <w:pStyle w:val="164"/>
        <w:numPr>
          <w:ilvl w:val="0"/>
          <w:numId w:val="270"/>
        </w:numPr>
        <w:tabs>
          <w:tab w:val="left" w:pos="210"/>
          <w:tab w:val="left" w:pos="567"/>
        </w:tabs>
        <w:spacing w:line="330" w:lineRule="exact"/>
        <w:ind w:firstLine="630" w:firstLineChars="300"/>
        <w:rPr>
          <w:szCs w:val="21"/>
        </w:rPr>
      </w:pPr>
      <w:r>
        <w:rPr>
          <w:szCs w:val="21"/>
        </w:rPr>
        <w:t>安装位置应满足设计要求，并应牢固、可靠。</w:t>
      </w:r>
    </w:p>
    <w:p w14:paraId="7D40D0DB">
      <w:pPr>
        <w:pStyle w:val="164"/>
        <w:numPr>
          <w:ilvl w:val="0"/>
          <w:numId w:val="270"/>
        </w:numPr>
        <w:tabs>
          <w:tab w:val="left" w:pos="210"/>
          <w:tab w:val="left" w:pos="567"/>
        </w:tabs>
        <w:spacing w:line="330" w:lineRule="exact"/>
        <w:ind w:firstLine="630" w:firstLineChars="300"/>
        <w:rPr>
          <w:szCs w:val="21"/>
        </w:rPr>
      </w:pPr>
      <w:r>
        <w:rPr>
          <w:szCs w:val="21"/>
        </w:rPr>
        <w:t>各种零件不得脱落或损坏，漆面不应有脱落，各种标识应完整、清晰。</w:t>
      </w:r>
    </w:p>
    <w:p w14:paraId="3A994F7B">
      <w:pPr>
        <w:pStyle w:val="164"/>
        <w:numPr>
          <w:ilvl w:val="0"/>
          <w:numId w:val="270"/>
        </w:numPr>
        <w:tabs>
          <w:tab w:val="left" w:pos="210"/>
          <w:tab w:val="left" w:pos="567"/>
        </w:tabs>
        <w:spacing w:line="330" w:lineRule="exact"/>
        <w:ind w:firstLine="630" w:firstLineChars="300"/>
        <w:rPr>
          <w:szCs w:val="21"/>
        </w:rPr>
      </w:pPr>
      <w:r>
        <w:rPr>
          <w:szCs w:val="21"/>
        </w:rPr>
        <w:t>机柜、机架、配线设备箱体、电缆桥架及线槽等设备的安装应牢固。</w:t>
      </w:r>
    </w:p>
    <w:p w14:paraId="268AE725">
      <w:pPr>
        <w:pStyle w:val="164"/>
        <w:spacing w:before="100" w:after="100" w:line="330" w:lineRule="exact"/>
        <w:ind w:firstLine="422"/>
        <w:rPr>
          <w:szCs w:val="21"/>
        </w:rPr>
      </w:pPr>
      <w:r>
        <w:rPr>
          <w:b/>
          <w:bCs/>
          <w:szCs w:val="21"/>
        </w:rPr>
        <w:t>3</w:t>
      </w:r>
      <w:r>
        <w:rPr>
          <w:szCs w:val="21"/>
        </w:rPr>
        <w:t>设备安装及调试应符合下列</w:t>
      </w:r>
      <w:r>
        <w:rPr>
          <w:rFonts w:hint="eastAsia"/>
          <w:szCs w:val="21"/>
        </w:rPr>
        <w:t>规定</w:t>
      </w:r>
      <w:r>
        <w:rPr>
          <w:szCs w:val="21"/>
        </w:rPr>
        <w:t>：</w:t>
      </w:r>
    </w:p>
    <w:p w14:paraId="39D23887">
      <w:pPr>
        <w:pStyle w:val="164"/>
        <w:numPr>
          <w:ilvl w:val="0"/>
          <w:numId w:val="271"/>
        </w:numPr>
        <w:tabs>
          <w:tab w:val="left" w:pos="210"/>
          <w:tab w:val="left" w:pos="567"/>
        </w:tabs>
        <w:spacing w:line="330" w:lineRule="exact"/>
        <w:ind w:firstLine="630" w:firstLineChars="300"/>
        <w:rPr>
          <w:szCs w:val="21"/>
        </w:rPr>
      </w:pPr>
      <w:r>
        <w:rPr>
          <w:rFonts w:hint="eastAsia"/>
          <w:szCs w:val="21"/>
        </w:rPr>
        <w:t>综合布线系统</w:t>
      </w:r>
      <w:r>
        <w:rPr>
          <w:szCs w:val="21"/>
        </w:rPr>
        <w:t>、网络系统设备安装前的检测应按国家现行标准</w:t>
      </w:r>
      <w:r>
        <w:rPr>
          <w:color w:val="191919"/>
          <w:shd w:val="clear" w:color="auto" w:fill="FFFFFF"/>
        </w:rPr>
        <w:t>《智能建筑工程质量验收规范》</w:t>
      </w:r>
      <w:r>
        <w:rPr>
          <w:szCs w:val="22"/>
        </w:rPr>
        <w:t>GB 50339</w:t>
      </w:r>
      <w:r>
        <w:rPr>
          <w:rFonts w:hint="eastAsia"/>
          <w:szCs w:val="21"/>
        </w:rPr>
        <w:t>相关</w:t>
      </w:r>
      <w:r>
        <w:rPr>
          <w:szCs w:val="21"/>
        </w:rPr>
        <w:t>规定执行。</w:t>
      </w:r>
    </w:p>
    <w:p w14:paraId="3BD9BCBB">
      <w:pPr>
        <w:pStyle w:val="164"/>
        <w:numPr>
          <w:ilvl w:val="0"/>
          <w:numId w:val="271"/>
        </w:numPr>
        <w:tabs>
          <w:tab w:val="left" w:pos="210"/>
          <w:tab w:val="left" w:pos="567"/>
        </w:tabs>
        <w:spacing w:line="330" w:lineRule="exact"/>
        <w:ind w:firstLine="630" w:firstLineChars="300"/>
        <w:rPr>
          <w:vanish/>
          <w:szCs w:val="21"/>
        </w:rPr>
      </w:pPr>
      <w:r>
        <w:rPr>
          <w:szCs w:val="21"/>
        </w:rPr>
        <w:t>设备安装位置应</w:t>
      </w:r>
      <w:r>
        <w:rPr>
          <w:rFonts w:hint="eastAsia"/>
          <w:szCs w:val="21"/>
        </w:rPr>
        <w:t>满足</w:t>
      </w:r>
      <w:r>
        <w:rPr>
          <w:szCs w:val="21"/>
        </w:rPr>
        <w:t>设计文件要求，端接设备的连接应</w:t>
      </w:r>
      <w:r>
        <w:rPr>
          <w:rFonts w:hint="eastAsia"/>
          <w:szCs w:val="21"/>
        </w:rPr>
        <w:t>满足</w:t>
      </w:r>
      <w:r>
        <w:rPr>
          <w:szCs w:val="21"/>
        </w:rPr>
        <w:t>国家现行</w:t>
      </w:r>
      <w:r>
        <w:rPr>
          <w:rFonts w:hint="eastAsia"/>
          <w:szCs w:val="21"/>
        </w:rPr>
        <w:t>有关</w:t>
      </w:r>
      <w:r>
        <w:rPr>
          <w:szCs w:val="21"/>
        </w:rPr>
        <w:t>标准中规定的各类缆线传输距离的要求。</w:t>
      </w:r>
    </w:p>
    <w:p w14:paraId="2B2A2182">
      <w:pPr>
        <w:pStyle w:val="164"/>
        <w:numPr>
          <w:ilvl w:val="0"/>
          <w:numId w:val="271"/>
        </w:numPr>
        <w:tabs>
          <w:tab w:val="left" w:pos="210"/>
          <w:tab w:val="left" w:pos="567"/>
        </w:tabs>
        <w:spacing w:line="330" w:lineRule="exact"/>
        <w:ind w:firstLine="630" w:firstLineChars="300"/>
        <w:rPr>
          <w:szCs w:val="21"/>
        </w:rPr>
      </w:pPr>
      <w:r>
        <w:rPr>
          <w:szCs w:val="21"/>
        </w:rPr>
        <w:t>设备安装应牢固、可靠，四周应预留使用和维护空间。</w:t>
      </w:r>
    </w:p>
    <w:p w14:paraId="0A544E53">
      <w:pPr>
        <w:pStyle w:val="164"/>
        <w:numPr>
          <w:ilvl w:val="0"/>
          <w:numId w:val="271"/>
        </w:numPr>
        <w:tabs>
          <w:tab w:val="left" w:pos="210"/>
          <w:tab w:val="left" w:pos="567"/>
        </w:tabs>
        <w:spacing w:line="330" w:lineRule="exact"/>
        <w:ind w:firstLine="630" w:firstLineChars="300"/>
        <w:rPr>
          <w:szCs w:val="21"/>
        </w:rPr>
      </w:pPr>
      <w:r>
        <w:rPr>
          <w:szCs w:val="21"/>
        </w:rPr>
        <w:t>设备应通过接地线与等电位网连接，机柜或机架内宜配置防静电手环。</w:t>
      </w:r>
      <w:r>
        <w:rPr>
          <w:szCs w:val="21"/>
        </w:rPr>
        <w:tab/>
      </w:r>
      <w:r>
        <w:rPr>
          <w:szCs w:val="21"/>
        </w:rPr>
        <w:tab/>
      </w:r>
    </w:p>
    <w:p w14:paraId="5F4D6E50">
      <w:pPr>
        <w:pStyle w:val="164"/>
        <w:numPr>
          <w:ilvl w:val="0"/>
          <w:numId w:val="271"/>
        </w:numPr>
        <w:tabs>
          <w:tab w:val="left" w:pos="210"/>
          <w:tab w:val="left" w:pos="567"/>
        </w:tabs>
        <w:spacing w:line="330" w:lineRule="exact"/>
        <w:ind w:firstLine="630" w:firstLineChars="300"/>
        <w:rPr>
          <w:szCs w:val="21"/>
        </w:rPr>
      </w:pPr>
      <w:r>
        <w:rPr>
          <w:szCs w:val="21"/>
        </w:rPr>
        <w:t>设备调试前应做好下列准备工作：</w:t>
      </w:r>
      <w:r>
        <w:rPr>
          <w:szCs w:val="21"/>
        </w:rPr>
        <w:tab/>
      </w:r>
    </w:p>
    <w:p w14:paraId="388DDAB0">
      <w:pPr>
        <w:pStyle w:val="164"/>
        <w:numPr>
          <w:ilvl w:val="0"/>
          <w:numId w:val="272"/>
        </w:numPr>
        <w:autoSpaceDE w:val="0"/>
        <w:autoSpaceDN w:val="0"/>
        <w:adjustRightInd w:val="0"/>
        <w:snapToGrid w:val="0"/>
        <w:spacing w:line="330" w:lineRule="exact"/>
        <w:ind w:left="0" w:firstLine="840" w:firstLineChars="400"/>
        <w:rPr>
          <w:szCs w:val="21"/>
        </w:rPr>
      </w:pPr>
      <w:r>
        <w:rPr>
          <w:szCs w:val="21"/>
        </w:rPr>
        <w:t>应按设计要求检查已安装设备的规格、型号、数量；</w:t>
      </w:r>
    </w:p>
    <w:p w14:paraId="350B73CB">
      <w:pPr>
        <w:pStyle w:val="164"/>
        <w:numPr>
          <w:ilvl w:val="0"/>
          <w:numId w:val="272"/>
        </w:numPr>
        <w:autoSpaceDE w:val="0"/>
        <w:autoSpaceDN w:val="0"/>
        <w:adjustRightInd w:val="0"/>
        <w:snapToGrid w:val="0"/>
        <w:spacing w:line="330" w:lineRule="exact"/>
        <w:ind w:left="0" w:firstLine="840" w:firstLineChars="400"/>
        <w:rPr>
          <w:szCs w:val="21"/>
        </w:rPr>
      </w:pPr>
      <w:r>
        <w:rPr>
          <w:szCs w:val="21"/>
        </w:rPr>
        <w:t>应由施工单位提供设备安装区域的电气验收文件；</w:t>
      </w:r>
    </w:p>
    <w:p w14:paraId="13661521">
      <w:pPr>
        <w:pStyle w:val="164"/>
        <w:numPr>
          <w:ilvl w:val="0"/>
          <w:numId w:val="272"/>
        </w:numPr>
        <w:autoSpaceDE w:val="0"/>
        <w:autoSpaceDN w:val="0"/>
        <w:adjustRightInd w:val="0"/>
        <w:snapToGrid w:val="0"/>
        <w:spacing w:line="330" w:lineRule="exact"/>
        <w:ind w:left="0" w:firstLine="840" w:firstLineChars="400"/>
        <w:rPr>
          <w:szCs w:val="21"/>
        </w:rPr>
      </w:pPr>
      <w:r>
        <w:rPr>
          <w:szCs w:val="21"/>
        </w:rPr>
        <w:t>供电电源的电流、电压应满足设备技术文件要求或设计要求；</w:t>
      </w:r>
    </w:p>
    <w:p w14:paraId="4E45596C">
      <w:pPr>
        <w:pStyle w:val="164"/>
        <w:numPr>
          <w:ilvl w:val="0"/>
          <w:numId w:val="272"/>
        </w:numPr>
        <w:autoSpaceDE w:val="0"/>
        <w:autoSpaceDN w:val="0"/>
        <w:adjustRightInd w:val="0"/>
        <w:snapToGrid w:val="0"/>
        <w:spacing w:line="330" w:lineRule="exact"/>
        <w:ind w:left="0" w:firstLine="840" w:firstLineChars="400"/>
        <w:rPr>
          <w:szCs w:val="21"/>
        </w:rPr>
      </w:pPr>
      <w:r>
        <w:rPr>
          <w:szCs w:val="21"/>
        </w:rPr>
        <w:t>对有源设备应逐个进行通电检查。</w:t>
      </w:r>
    </w:p>
    <w:p w14:paraId="509E61A5">
      <w:pPr>
        <w:pStyle w:val="164"/>
        <w:numPr>
          <w:ilvl w:val="0"/>
          <w:numId w:val="271"/>
        </w:numPr>
        <w:tabs>
          <w:tab w:val="left" w:pos="210"/>
          <w:tab w:val="left" w:pos="567"/>
        </w:tabs>
        <w:spacing w:line="330" w:lineRule="exact"/>
        <w:ind w:firstLine="630" w:firstLineChars="300"/>
        <w:rPr>
          <w:szCs w:val="21"/>
        </w:rPr>
      </w:pPr>
      <w:r>
        <w:rPr>
          <w:szCs w:val="21"/>
        </w:rPr>
        <w:t>设备调试应由相关专业技术人员根据设计文件要求和设备技术资料进行。</w:t>
      </w:r>
    </w:p>
    <w:p w14:paraId="6714D739">
      <w:pPr>
        <w:pStyle w:val="164"/>
        <w:spacing w:before="100" w:after="100" w:line="330" w:lineRule="exact"/>
        <w:ind w:firstLine="0" w:firstLineChars="0"/>
        <w:rPr>
          <w:szCs w:val="21"/>
        </w:rPr>
      </w:pPr>
      <w:r>
        <w:rPr>
          <w:szCs w:val="21"/>
        </w:rPr>
        <w:t>21.3.5供配电系统安装应符合下列</w:t>
      </w:r>
      <w:r>
        <w:rPr>
          <w:rFonts w:hint="eastAsia"/>
          <w:szCs w:val="21"/>
        </w:rPr>
        <w:t>规定</w:t>
      </w:r>
      <w:r>
        <w:rPr>
          <w:szCs w:val="21"/>
        </w:rPr>
        <w:t>：</w:t>
      </w:r>
    </w:p>
    <w:p w14:paraId="25918F35">
      <w:pPr>
        <w:pStyle w:val="164"/>
        <w:spacing w:before="100" w:after="100" w:line="330" w:lineRule="exact"/>
        <w:ind w:firstLine="422"/>
        <w:rPr>
          <w:szCs w:val="21"/>
        </w:rPr>
      </w:pPr>
      <w:r>
        <w:rPr>
          <w:b/>
          <w:bCs/>
          <w:szCs w:val="21"/>
        </w:rPr>
        <w:t>1</w:t>
      </w:r>
      <w:r>
        <w:rPr>
          <w:szCs w:val="21"/>
        </w:rPr>
        <w:t xml:space="preserve"> 电气装置安装应符合下列</w:t>
      </w:r>
      <w:r>
        <w:rPr>
          <w:rFonts w:hint="eastAsia"/>
          <w:szCs w:val="21"/>
        </w:rPr>
        <w:t>规定</w:t>
      </w:r>
      <w:r>
        <w:rPr>
          <w:szCs w:val="21"/>
        </w:rPr>
        <w:t>：</w:t>
      </w:r>
    </w:p>
    <w:p w14:paraId="5C2FB480">
      <w:pPr>
        <w:pStyle w:val="164"/>
        <w:numPr>
          <w:ilvl w:val="0"/>
          <w:numId w:val="273"/>
        </w:numPr>
        <w:tabs>
          <w:tab w:val="left" w:pos="210"/>
          <w:tab w:val="left" w:pos="567"/>
        </w:tabs>
        <w:spacing w:line="330" w:lineRule="exact"/>
        <w:ind w:firstLine="630" w:firstLineChars="300"/>
        <w:rPr>
          <w:szCs w:val="21"/>
        </w:rPr>
      </w:pPr>
      <w:r>
        <w:rPr>
          <w:szCs w:val="21"/>
        </w:rPr>
        <w:t>电气装置的安装应牢固可靠、标志明确、内外清洁。安装垂直度允许偏差宜为±1.5％；同类电气设备的安装高度，在设计无规定时应一致。</w:t>
      </w:r>
    </w:p>
    <w:p w14:paraId="2D2C80F2">
      <w:pPr>
        <w:pStyle w:val="164"/>
        <w:numPr>
          <w:ilvl w:val="0"/>
          <w:numId w:val="273"/>
        </w:numPr>
        <w:tabs>
          <w:tab w:val="left" w:pos="210"/>
          <w:tab w:val="left" w:pos="567"/>
        </w:tabs>
        <w:spacing w:line="330" w:lineRule="exact"/>
        <w:ind w:firstLine="630" w:firstLineChars="300"/>
        <w:rPr>
          <w:szCs w:val="21"/>
        </w:rPr>
      </w:pPr>
      <w:r>
        <w:rPr>
          <w:szCs w:val="21"/>
        </w:rPr>
        <w:t>配电箱、柜落地安装时应设基座。安装前，应按接线图检查内部接线。活动基座与地面应安装牢固。配电箱、柜与基座也应安装牢固。</w:t>
      </w:r>
    </w:p>
    <w:p w14:paraId="1F5B93B7">
      <w:pPr>
        <w:pStyle w:val="164"/>
        <w:numPr>
          <w:ilvl w:val="0"/>
          <w:numId w:val="273"/>
        </w:numPr>
        <w:tabs>
          <w:tab w:val="left" w:pos="210"/>
          <w:tab w:val="left" w:pos="567"/>
        </w:tabs>
        <w:spacing w:line="330" w:lineRule="exact"/>
        <w:ind w:firstLine="630" w:firstLineChars="300"/>
        <w:rPr>
          <w:szCs w:val="21"/>
        </w:rPr>
      </w:pPr>
      <w:r>
        <w:rPr>
          <w:szCs w:val="21"/>
        </w:rPr>
        <w:t>表面安装的电气设备及装置应符合下列规定：</w:t>
      </w:r>
    </w:p>
    <w:p w14:paraId="173E981E">
      <w:pPr>
        <w:pStyle w:val="164"/>
        <w:numPr>
          <w:ilvl w:val="0"/>
          <w:numId w:val="274"/>
        </w:numPr>
        <w:autoSpaceDE w:val="0"/>
        <w:autoSpaceDN w:val="0"/>
        <w:adjustRightInd w:val="0"/>
        <w:snapToGrid w:val="0"/>
        <w:spacing w:line="330" w:lineRule="exact"/>
        <w:ind w:left="0" w:firstLine="840" w:firstLineChars="400"/>
        <w:rPr>
          <w:szCs w:val="21"/>
        </w:rPr>
      </w:pPr>
      <w:bookmarkStart w:id="292" w:name="bookmark1923"/>
      <w:bookmarkEnd w:id="292"/>
      <w:r>
        <w:rPr>
          <w:szCs w:val="21"/>
        </w:rPr>
        <w:t>明装的接线盒和分线盒应整齐，并保持在同一水平线上,与工作面安装应牢固。安装结束后，盒内应无残留物。盖板应整齐、严密。</w:t>
      </w:r>
    </w:p>
    <w:p w14:paraId="575E790F">
      <w:pPr>
        <w:pStyle w:val="164"/>
        <w:numPr>
          <w:ilvl w:val="0"/>
          <w:numId w:val="274"/>
        </w:numPr>
        <w:autoSpaceDE w:val="0"/>
        <w:autoSpaceDN w:val="0"/>
        <w:adjustRightInd w:val="0"/>
        <w:snapToGrid w:val="0"/>
        <w:spacing w:line="330" w:lineRule="exact"/>
        <w:ind w:left="0" w:firstLine="840" w:firstLineChars="400"/>
        <w:rPr>
          <w:szCs w:val="21"/>
        </w:rPr>
      </w:pPr>
      <w:bookmarkStart w:id="293" w:name="bookmark1924"/>
      <w:bookmarkEnd w:id="293"/>
      <w:r>
        <w:rPr>
          <w:szCs w:val="21"/>
        </w:rPr>
        <w:t>暗装的接线盒和分线盒应安装牢固，盖板应紧贴安装工作面。安装结束后，盒内应无残留物。</w:t>
      </w:r>
    </w:p>
    <w:p w14:paraId="5E571D33">
      <w:pPr>
        <w:pStyle w:val="164"/>
        <w:numPr>
          <w:ilvl w:val="0"/>
          <w:numId w:val="273"/>
        </w:numPr>
        <w:tabs>
          <w:tab w:val="left" w:pos="210"/>
          <w:tab w:val="left" w:pos="567"/>
        </w:tabs>
        <w:spacing w:line="330" w:lineRule="exact"/>
        <w:ind w:firstLine="630" w:firstLineChars="300"/>
        <w:rPr>
          <w:szCs w:val="21"/>
        </w:rPr>
      </w:pPr>
      <w:r>
        <w:rPr>
          <w:szCs w:val="21"/>
        </w:rPr>
        <w:t>开关、插座应按设计位置安装，接线应正确、牢固。不间断电源插座应与其他电源插座有明显的形状或颜色区别。</w:t>
      </w:r>
    </w:p>
    <w:p w14:paraId="4F0804D1">
      <w:pPr>
        <w:pStyle w:val="164"/>
        <w:numPr>
          <w:ilvl w:val="0"/>
          <w:numId w:val="273"/>
        </w:numPr>
        <w:tabs>
          <w:tab w:val="left" w:pos="210"/>
          <w:tab w:val="left" w:pos="567"/>
        </w:tabs>
        <w:spacing w:line="330" w:lineRule="exact"/>
        <w:ind w:firstLine="630" w:firstLineChars="300"/>
        <w:rPr>
          <w:szCs w:val="21"/>
        </w:rPr>
      </w:pPr>
      <w:r>
        <w:rPr>
          <w:szCs w:val="21"/>
        </w:rPr>
        <w:t>当釆用工业连接器作为电源接口时，应将各个连接器固定安装。</w:t>
      </w:r>
    </w:p>
    <w:p w14:paraId="01ADB739">
      <w:pPr>
        <w:pStyle w:val="164"/>
        <w:numPr>
          <w:ilvl w:val="0"/>
          <w:numId w:val="273"/>
        </w:numPr>
        <w:tabs>
          <w:tab w:val="left" w:pos="210"/>
          <w:tab w:val="left" w:pos="567"/>
        </w:tabs>
        <w:spacing w:line="330" w:lineRule="exact"/>
        <w:ind w:firstLine="630" w:firstLineChars="300"/>
        <w:rPr>
          <w:szCs w:val="21"/>
        </w:rPr>
      </w:pPr>
      <w:r>
        <w:rPr>
          <w:szCs w:val="21"/>
        </w:rPr>
        <w:t>隐蔽空间内安装电气装置时应留有维修通道和空间。</w:t>
      </w:r>
    </w:p>
    <w:p w14:paraId="005AAB66">
      <w:pPr>
        <w:pStyle w:val="164"/>
        <w:numPr>
          <w:ilvl w:val="0"/>
          <w:numId w:val="273"/>
        </w:numPr>
        <w:tabs>
          <w:tab w:val="left" w:pos="210"/>
          <w:tab w:val="left" w:pos="567"/>
        </w:tabs>
        <w:spacing w:line="330" w:lineRule="exact"/>
        <w:ind w:firstLine="630" w:firstLineChars="300"/>
        <w:rPr>
          <w:szCs w:val="21"/>
        </w:rPr>
      </w:pPr>
      <w:r>
        <w:rPr>
          <w:szCs w:val="21"/>
        </w:rPr>
        <w:t>特种电源配电装置应具备有效的、便于观察的标志，并应注明频率、电压等相关参数。当电子信息设备采用直流电源供电时，配电装置也应具备有效的、便于观察的标志。</w:t>
      </w:r>
    </w:p>
    <w:p w14:paraId="316E298C">
      <w:pPr>
        <w:pStyle w:val="164"/>
        <w:numPr>
          <w:ilvl w:val="0"/>
          <w:numId w:val="273"/>
        </w:numPr>
        <w:tabs>
          <w:tab w:val="left" w:pos="210"/>
          <w:tab w:val="left" w:pos="567"/>
        </w:tabs>
        <w:spacing w:line="330" w:lineRule="exact"/>
        <w:ind w:firstLine="630" w:firstLineChars="300"/>
        <w:rPr>
          <w:szCs w:val="21"/>
        </w:rPr>
      </w:pPr>
      <w:r>
        <w:rPr>
          <w:szCs w:val="21"/>
        </w:rPr>
        <w:t>不间断电源及其附属设备安装前应依据随机提供的资料,检查电压、电流及输入输出特性等参数，并应在满足设计要求后进行安装。安装及接线应正确、牢固。</w:t>
      </w:r>
    </w:p>
    <w:p w14:paraId="6A3CA0E4">
      <w:pPr>
        <w:pStyle w:val="164"/>
        <w:numPr>
          <w:ilvl w:val="0"/>
          <w:numId w:val="273"/>
        </w:numPr>
        <w:tabs>
          <w:tab w:val="left" w:pos="210"/>
          <w:tab w:val="left" w:pos="567"/>
        </w:tabs>
        <w:spacing w:line="330" w:lineRule="exact"/>
        <w:ind w:firstLine="630" w:firstLineChars="300"/>
        <w:rPr>
          <w:szCs w:val="21"/>
        </w:rPr>
      </w:pPr>
      <w:r>
        <w:rPr>
          <w:szCs w:val="21"/>
        </w:rPr>
        <w:t>蓄电池组的安装应</w:t>
      </w:r>
      <w:r>
        <w:rPr>
          <w:rFonts w:hint="eastAsia"/>
          <w:szCs w:val="21"/>
        </w:rPr>
        <w:t>满足</w:t>
      </w:r>
      <w:r>
        <w:rPr>
          <w:szCs w:val="21"/>
        </w:rPr>
        <w:t>设计及产品技术文件要求。蓄电池组重量超过楼板荷载时，在安装前应按设计对楼板采取加固措施。</w:t>
      </w:r>
    </w:p>
    <w:p w14:paraId="32F52DE2">
      <w:pPr>
        <w:pStyle w:val="164"/>
        <w:numPr>
          <w:ilvl w:val="0"/>
          <w:numId w:val="273"/>
        </w:numPr>
        <w:tabs>
          <w:tab w:val="left" w:pos="210"/>
          <w:tab w:val="left" w:pos="567"/>
        </w:tabs>
        <w:spacing w:line="330" w:lineRule="exact"/>
        <w:ind w:firstLine="630" w:firstLineChars="300"/>
        <w:rPr>
          <w:szCs w:val="21"/>
        </w:rPr>
      </w:pPr>
      <w:r>
        <w:rPr>
          <w:szCs w:val="21"/>
        </w:rPr>
        <w:t>含有腐蚀性物质的铅酸类蓄电池，安装时应采取佩戴防护装具以及安装排气装置等防护措施。</w:t>
      </w:r>
    </w:p>
    <w:p w14:paraId="02EE15E4">
      <w:pPr>
        <w:pStyle w:val="164"/>
        <w:numPr>
          <w:ilvl w:val="0"/>
          <w:numId w:val="273"/>
        </w:numPr>
        <w:tabs>
          <w:tab w:val="left" w:pos="210"/>
          <w:tab w:val="left" w:pos="567"/>
        </w:tabs>
        <w:spacing w:line="330" w:lineRule="exact"/>
        <w:ind w:firstLine="630" w:firstLineChars="300"/>
        <w:rPr>
          <w:szCs w:val="21"/>
        </w:rPr>
      </w:pPr>
      <w:r>
        <w:rPr>
          <w:szCs w:val="21"/>
        </w:rPr>
        <w:t>电池汇流排裸露的应采取加装绝缘护板的防护措施。</w:t>
      </w:r>
    </w:p>
    <w:p w14:paraId="02CA76B1">
      <w:pPr>
        <w:pStyle w:val="164"/>
        <w:numPr>
          <w:ilvl w:val="0"/>
          <w:numId w:val="273"/>
        </w:numPr>
        <w:tabs>
          <w:tab w:val="left" w:pos="210"/>
          <w:tab w:val="left" w:pos="567"/>
        </w:tabs>
        <w:spacing w:line="330" w:lineRule="exact"/>
        <w:ind w:firstLine="630" w:firstLineChars="300"/>
        <w:rPr>
          <w:szCs w:val="21"/>
        </w:rPr>
      </w:pPr>
      <w:r>
        <w:rPr>
          <w:szCs w:val="21"/>
        </w:rPr>
        <w:t>柴油发电机的基座应牢靠固定。安装柴油发电机时，应釆取抗震、减噪和排烟措施。柴油发电机应进行连续负荷试运行，无故障后方可交付使用。</w:t>
      </w:r>
    </w:p>
    <w:p w14:paraId="2C3813E2">
      <w:pPr>
        <w:pStyle w:val="164"/>
        <w:numPr>
          <w:ilvl w:val="0"/>
          <w:numId w:val="273"/>
        </w:numPr>
        <w:tabs>
          <w:tab w:val="left" w:pos="210"/>
          <w:tab w:val="left" w:pos="567"/>
        </w:tabs>
        <w:spacing w:line="330" w:lineRule="exact"/>
        <w:ind w:firstLine="630" w:firstLineChars="300"/>
        <w:rPr>
          <w:szCs w:val="21"/>
        </w:rPr>
      </w:pPr>
      <w:r>
        <w:rPr>
          <w:szCs w:val="21"/>
        </w:rPr>
        <w:t>电气装置与各系统的联锁应满足设计要求，联锁动作应正确。</w:t>
      </w:r>
    </w:p>
    <w:p w14:paraId="7E5F9CAF">
      <w:pPr>
        <w:pStyle w:val="164"/>
        <w:numPr>
          <w:ilvl w:val="0"/>
          <w:numId w:val="273"/>
        </w:numPr>
        <w:tabs>
          <w:tab w:val="left" w:pos="210"/>
          <w:tab w:val="left" w:pos="567"/>
        </w:tabs>
        <w:spacing w:line="330" w:lineRule="exact"/>
        <w:ind w:firstLine="630" w:firstLineChars="300"/>
        <w:rPr>
          <w:szCs w:val="21"/>
        </w:rPr>
      </w:pPr>
      <w:r>
        <w:rPr>
          <w:szCs w:val="21"/>
        </w:rPr>
        <w:t>电气装置之间应连接正确，在检查接线连接正确无误后应进行通电试验。</w:t>
      </w:r>
    </w:p>
    <w:p w14:paraId="350AEB19">
      <w:pPr>
        <w:pStyle w:val="164"/>
        <w:spacing w:before="100" w:after="100" w:line="330" w:lineRule="exact"/>
        <w:ind w:firstLine="422"/>
        <w:rPr>
          <w:szCs w:val="21"/>
        </w:rPr>
      </w:pPr>
      <w:r>
        <w:rPr>
          <w:b/>
          <w:bCs/>
          <w:szCs w:val="21"/>
        </w:rPr>
        <w:t xml:space="preserve">2 </w:t>
      </w:r>
      <w:r>
        <w:rPr>
          <w:szCs w:val="21"/>
        </w:rPr>
        <w:t>配电线路施工应符合下列</w:t>
      </w:r>
      <w:r>
        <w:rPr>
          <w:rFonts w:hint="eastAsia"/>
          <w:szCs w:val="21"/>
        </w:rPr>
        <w:t>规定</w:t>
      </w:r>
      <w:r>
        <w:rPr>
          <w:szCs w:val="21"/>
        </w:rPr>
        <w:t>：</w:t>
      </w:r>
    </w:p>
    <w:p w14:paraId="7EE9EBEE">
      <w:pPr>
        <w:pStyle w:val="164"/>
        <w:numPr>
          <w:ilvl w:val="0"/>
          <w:numId w:val="275"/>
        </w:numPr>
        <w:tabs>
          <w:tab w:val="left" w:pos="210"/>
          <w:tab w:val="left" w:pos="567"/>
        </w:tabs>
        <w:spacing w:line="330" w:lineRule="exact"/>
        <w:ind w:firstLine="630" w:firstLineChars="300"/>
        <w:rPr>
          <w:szCs w:val="21"/>
        </w:rPr>
      </w:pPr>
      <w:r>
        <w:rPr>
          <w:szCs w:val="21"/>
        </w:rPr>
        <w:t>线缆端头与配电箱、柜应连接牢固、可靠，接触面搭接长度不应小于搭接面的宽度。</w:t>
      </w:r>
    </w:p>
    <w:p w14:paraId="6F0CFF19">
      <w:pPr>
        <w:pStyle w:val="164"/>
        <w:numPr>
          <w:ilvl w:val="0"/>
          <w:numId w:val="275"/>
        </w:numPr>
        <w:tabs>
          <w:tab w:val="left" w:pos="210"/>
          <w:tab w:val="left" w:pos="567"/>
        </w:tabs>
        <w:spacing w:line="330" w:lineRule="exact"/>
        <w:ind w:firstLine="630" w:firstLineChars="300"/>
        <w:rPr>
          <w:szCs w:val="21"/>
        </w:rPr>
      </w:pPr>
      <w:r>
        <w:rPr>
          <w:szCs w:val="21"/>
        </w:rPr>
        <w:t>电缆敷设应符合下列规定：</w:t>
      </w:r>
    </w:p>
    <w:p w14:paraId="60A342D0">
      <w:pPr>
        <w:pStyle w:val="164"/>
        <w:numPr>
          <w:ilvl w:val="0"/>
          <w:numId w:val="276"/>
        </w:numPr>
        <w:autoSpaceDE w:val="0"/>
        <w:autoSpaceDN w:val="0"/>
        <w:adjustRightInd w:val="0"/>
        <w:snapToGrid w:val="0"/>
        <w:spacing w:line="330" w:lineRule="exact"/>
        <w:ind w:left="0" w:firstLine="840" w:firstLineChars="400"/>
        <w:rPr>
          <w:szCs w:val="21"/>
        </w:rPr>
      </w:pPr>
      <w:bookmarkStart w:id="294" w:name="bookmark1938"/>
      <w:bookmarkEnd w:id="294"/>
      <w:r>
        <w:rPr>
          <w:szCs w:val="21"/>
        </w:rPr>
        <w:t>应在绝缘测试合格后敷设；</w:t>
      </w:r>
    </w:p>
    <w:p w14:paraId="72471295">
      <w:pPr>
        <w:pStyle w:val="164"/>
        <w:numPr>
          <w:ilvl w:val="0"/>
          <w:numId w:val="276"/>
        </w:numPr>
        <w:autoSpaceDE w:val="0"/>
        <w:autoSpaceDN w:val="0"/>
        <w:adjustRightInd w:val="0"/>
        <w:snapToGrid w:val="0"/>
        <w:spacing w:line="330" w:lineRule="exact"/>
        <w:ind w:left="0" w:firstLine="840" w:firstLineChars="400"/>
        <w:rPr>
          <w:szCs w:val="21"/>
        </w:rPr>
      </w:pPr>
      <w:r>
        <w:rPr>
          <w:szCs w:val="21"/>
        </w:rPr>
        <w:t>应排列整齐、捆扎牢固、标识清晰，不得有扭绞、压扁和保护层断裂等现象；</w:t>
      </w:r>
      <w:bookmarkStart w:id="295" w:name="bookmark1939"/>
      <w:bookmarkEnd w:id="295"/>
    </w:p>
    <w:p w14:paraId="2BA0C2FC">
      <w:pPr>
        <w:pStyle w:val="164"/>
        <w:numPr>
          <w:ilvl w:val="0"/>
          <w:numId w:val="276"/>
        </w:numPr>
        <w:autoSpaceDE w:val="0"/>
        <w:autoSpaceDN w:val="0"/>
        <w:adjustRightInd w:val="0"/>
        <w:snapToGrid w:val="0"/>
        <w:spacing w:line="330" w:lineRule="exact"/>
        <w:ind w:left="0" w:firstLine="840" w:firstLineChars="400"/>
        <w:rPr>
          <w:szCs w:val="21"/>
        </w:rPr>
      </w:pPr>
      <w:r>
        <w:rPr>
          <w:szCs w:val="21"/>
        </w:rPr>
        <w:t>端接处电缆长度应留有余量；</w:t>
      </w:r>
    </w:p>
    <w:p w14:paraId="516503E7">
      <w:pPr>
        <w:pStyle w:val="164"/>
        <w:numPr>
          <w:ilvl w:val="0"/>
          <w:numId w:val="276"/>
        </w:numPr>
        <w:autoSpaceDE w:val="0"/>
        <w:autoSpaceDN w:val="0"/>
        <w:adjustRightInd w:val="0"/>
        <w:snapToGrid w:val="0"/>
        <w:spacing w:line="330" w:lineRule="exact"/>
        <w:ind w:left="0" w:firstLine="840" w:firstLineChars="400"/>
        <w:rPr>
          <w:szCs w:val="21"/>
        </w:rPr>
      </w:pPr>
      <w:r>
        <w:rPr>
          <w:szCs w:val="21"/>
        </w:rPr>
        <w:t>在转弯处，敷设电缆的弯曲半径应符合表21.3.5-1的规定。</w:t>
      </w:r>
    </w:p>
    <w:p w14:paraId="2B53A443">
      <w:pPr>
        <w:pStyle w:val="164"/>
        <w:spacing w:before="100" w:after="100" w:line="330" w:lineRule="exact"/>
        <w:ind w:firstLine="0" w:firstLineChars="0"/>
        <w:jc w:val="center"/>
        <w:rPr>
          <w:b/>
          <w:bCs/>
          <w:sz w:val="18"/>
          <w:szCs w:val="18"/>
        </w:rPr>
      </w:pPr>
      <w:r>
        <w:rPr>
          <w:b/>
          <w:bCs/>
          <w:sz w:val="18"/>
          <w:szCs w:val="18"/>
        </w:rPr>
        <w:t>表21.3.5-1电缆最小允许弯曲半径</w:t>
      </w:r>
    </w:p>
    <w:tbl>
      <w:tblPr>
        <w:tblStyle w:val="41"/>
        <w:tblW w:w="0" w:type="auto"/>
        <w:jc w:val="center"/>
        <w:tblLayout w:type="fixed"/>
        <w:tblCellMar>
          <w:top w:w="0" w:type="dxa"/>
          <w:left w:w="10" w:type="dxa"/>
          <w:bottom w:w="0" w:type="dxa"/>
          <w:right w:w="10" w:type="dxa"/>
        </w:tblCellMar>
      </w:tblPr>
      <w:tblGrid>
        <w:gridCol w:w="706"/>
        <w:gridCol w:w="5767"/>
        <w:gridCol w:w="2081"/>
      </w:tblGrid>
      <w:tr w14:paraId="758D5C0E">
        <w:tblPrEx>
          <w:tblCellMar>
            <w:top w:w="0" w:type="dxa"/>
            <w:left w:w="10" w:type="dxa"/>
            <w:bottom w:w="0" w:type="dxa"/>
            <w:right w:w="10" w:type="dxa"/>
          </w:tblCellMar>
        </w:tblPrEx>
        <w:trPr>
          <w:trHeight w:val="482" w:hRule="exact"/>
          <w:jc w:val="center"/>
        </w:trPr>
        <w:tc>
          <w:tcPr>
            <w:tcW w:w="706" w:type="dxa"/>
            <w:tcBorders>
              <w:top w:val="single" w:color="auto" w:sz="4" w:space="0"/>
              <w:left w:val="single" w:color="auto" w:sz="4" w:space="0"/>
            </w:tcBorders>
            <w:shd w:val="clear" w:color="auto" w:fill="FFFFFF"/>
            <w:vAlign w:val="bottom"/>
          </w:tcPr>
          <w:p w14:paraId="42D17508">
            <w:pPr>
              <w:pStyle w:val="164"/>
              <w:spacing w:before="100" w:after="100" w:line="330" w:lineRule="exact"/>
              <w:ind w:firstLine="0" w:firstLineChars="0"/>
              <w:jc w:val="center"/>
              <w:rPr>
                <w:sz w:val="18"/>
                <w:szCs w:val="18"/>
              </w:rPr>
            </w:pPr>
            <w:r>
              <w:rPr>
                <w:sz w:val="18"/>
                <w:szCs w:val="18"/>
              </w:rPr>
              <w:t>序号</w:t>
            </w:r>
          </w:p>
        </w:tc>
        <w:tc>
          <w:tcPr>
            <w:tcW w:w="5767" w:type="dxa"/>
            <w:tcBorders>
              <w:top w:val="single" w:color="auto" w:sz="4" w:space="0"/>
              <w:left w:val="single" w:color="auto" w:sz="4" w:space="0"/>
            </w:tcBorders>
            <w:shd w:val="clear" w:color="auto" w:fill="FFFFFF"/>
            <w:vAlign w:val="bottom"/>
          </w:tcPr>
          <w:p w14:paraId="788393D0">
            <w:pPr>
              <w:pStyle w:val="164"/>
              <w:spacing w:before="100" w:after="100" w:line="330" w:lineRule="exact"/>
              <w:ind w:firstLine="0" w:firstLineChars="0"/>
              <w:jc w:val="center"/>
              <w:rPr>
                <w:sz w:val="18"/>
                <w:szCs w:val="18"/>
              </w:rPr>
            </w:pPr>
            <w:r>
              <w:rPr>
                <w:sz w:val="18"/>
                <w:szCs w:val="18"/>
              </w:rPr>
              <w:t>电缆种类</w:t>
            </w:r>
          </w:p>
        </w:tc>
        <w:tc>
          <w:tcPr>
            <w:tcW w:w="2081" w:type="dxa"/>
            <w:tcBorders>
              <w:top w:val="single" w:color="auto" w:sz="4" w:space="0"/>
              <w:left w:val="single" w:color="auto" w:sz="4" w:space="0"/>
              <w:right w:val="single" w:color="auto" w:sz="4" w:space="0"/>
            </w:tcBorders>
            <w:shd w:val="clear" w:color="auto" w:fill="FFFFFF"/>
            <w:vAlign w:val="bottom"/>
          </w:tcPr>
          <w:p w14:paraId="6ACA7F95">
            <w:pPr>
              <w:pStyle w:val="164"/>
              <w:spacing w:before="100" w:after="100" w:line="330" w:lineRule="exact"/>
              <w:ind w:firstLine="0" w:firstLineChars="0"/>
              <w:rPr>
                <w:sz w:val="18"/>
                <w:szCs w:val="18"/>
              </w:rPr>
            </w:pPr>
            <w:r>
              <w:rPr>
                <w:sz w:val="18"/>
                <w:szCs w:val="18"/>
              </w:rPr>
              <w:t>最小允许弯曲半径</w:t>
            </w:r>
          </w:p>
        </w:tc>
      </w:tr>
      <w:tr w14:paraId="15D66E06">
        <w:tblPrEx>
          <w:tblCellMar>
            <w:top w:w="0" w:type="dxa"/>
            <w:left w:w="10" w:type="dxa"/>
            <w:bottom w:w="0" w:type="dxa"/>
            <w:right w:w="10" w:type="dxa"/>
          </w:tblCellMar>
        </w:tblPrEx>
        <w:trPr>
          <w:trHeight w:val="468" w:hRule="exact"/>
          <w:jc w:val="center"/>
        </w:trPr>
        <w:tc>
          <w:tcPr>
            <w:tcW w:w="706" w:type="dxa"/>
            <w:tcBorders>
              <w:top w:val="single" w:color="auto" w:sz="4" w:space="0"/>
              <w:left w:val="single" w:color="auto" w:sz="4" w:space="0"/>
            </w:tcBorders>
            <w:shd w:val="clear" w:color="auto" w:fill="FFFFFF"/>
            <w:vAlign w:val="center"/>
          </w:tcPr>
          <w:p w14:paraId="4B1178B3">
            <w:pPr>
              <w:pStyle w:val="164"/>
              <w:spacing w:before="100" w:after="100" w:line="330" w:lineRule="exact"/>
              <w:ind w:firstLine="0" w:firstLineChars="0"/>
              <w:jc w:val="center"/>
              <w:rPr>
                <w:sz w:val="18"/>
                <w:szCs w:val="18"/>
              </w:rPr>
            </w:pPr>
            <w:r>
              <w:rPr>
                <w:sz w:val="18"/>
                <w:szCs w:val="18"/>
              </w:rPr>
              <w:t>1</w:t>
            </w:r>
          </w:p>
        </w:tc>
        <w:tc>
          <w:tcPr>
            <w:tcW w:w="5767" w:type="dxa"/>
            <w:tcBorders>
              <w:top w:val="single" w:color="auto" w:sz="4" w:space="0"/>
              <w:left w:val="single" w:color="auto" w:sz="4" w:space="0"/>
            </w:tcBorders>
            <w:shd w:val="clear" w:color="auto" w:fill="FFFFFF"/>
            <w:vAlign w:val="center"/>
          </w:tcPr>
          <w:p w14:paraId="78504F5A">
            <w:pPr>
              <w:pStyle w:val="164"/>
              <w:spacing w:before="100" w:after="100" w:line="330" w:lineRule="exact"/>
              <w:ind w:firstLine="0" w:firstLineChars="0"/>
              <w:jc w:val="center"/>
              <w:rPr>
                <w:sz w:val="18"/>
                <w:szCs w:val="18"/>
              </w:rPr>
            </w:pPr>
            <w:r>
              <w:rPr>
                <w:sz w:val="18"/>
                <w:szCs w:val="18"/>
              </w:rPr>
              <w:t>无铅包钢铠护套的橡皮绝缘电力电缆</w:t>
            </w:r>
          </w:p>
        </w:tc>
        <w:tc>
          <w:tcPr>
            <w:tcW w:w="2081" w:type="dxa"/>
            <w:tcBorders>
              <w:top w:val="single" w:color="auto" w:sz="4" w:space="0"/>
              <w:left w:val="single" w:color="auto" w:sz="4" w:space="0"/>
              <w:right w:val="single" w:color="auto" w:sz="4" w:space="0"/>
            </w:tcBorders>
            <w:shd w:val="clear" w:color="auto" w:fill="FFFFFF"/>
            <w:vAlign w:val="center"/>
          </w:tcPr>
          <w:p w14:paraId="3C013837">
            <w:pPr>
              <w:pStyle w:val="164"/>
              <w:spacing w:before="100" w:after="100" w:line="330" w:lineRule="exact"/>
              <w:ind w:firstLine="0" w:firstLineChars="0"/>
              <w:jc w:val="center"/>
              <w:rPr>
                <w:sz w:val="18"/>
                <w:szCs w:val="18"/>
              </w:rPr>
            </w:pPr>
            <w:r>
              <w:rPr>
                <w:sz w:val="18"/>
                <w:szCs w:val="18"/>
              </w:rPr>
              <w:t>10D</w:t>
            </w:r>
          </w:p>
        </w:tc>
      </w:tr>
      <w:tr w14:paraId="2F8EE64A">
        <w:tblPrEx>
          <w:tblCellMar>
            <w:top w:w="0" w:type="dxa"/>
            <w:left w:w="10" w:type="dxa"/>
            <w:bottom w:w="0" w:type="dxa"/>
            <w:right w:w="10" w:type="dxa"/>
          </w:tblCellMar>
        </w:tblPrEx>
        <w:trPr>
          <w:trHeight w:val="461" w:hRule="exact"/>
          <w:jc w:val="center"/>
        </w:trPr>
        <w:tc>
          <w:tcPr>
            <w:tcW w:w="706" w:type="dxa"/>
            <w:tcBorders>
              <w:top w:val="single" w:color="auto" w:sz="4" w:space="0"/>
              <w:left w:val="single" w:color="auto" w:sz="4" w:space="0"/>
            </w:tcBorders>
            <w:shd w:val="clear" w:color="auto" w:fill="FFFFFF"/>
            <w:vAlign w:val="center"/>
          </w:tcPr>
          <w:p w14:paraId="5E47A010">
            <w:pPr>
              <w:pStyle w:val="164"/>
              <w:spacing w:before="100" w:after="100" w:line="330" w:lineRule="exact"/>
              <w:ind w:firstLine="0" w:firstLineChars="0"/>
              <w:jc w:val="center"/>
              <w:rPr>
                <w:sz w:val="18"/>
                <w:szCs w:val="18"/>
              </w:rPr>
            </w:pPr>
            <w:r>
              <w:rPr>
                <w:sz w:val="18"/>
                <w:szCs w:val="18"/>
              </w:rPr>
              <w:t>2</w:t>
            </w:r>
          </w:p>
        </w:tc>
        <w:tc>
          <w:tcPr>
            <w:tcW w:w="5767" w:type="dxa"/>
            <w:tcBorders>
              <w:top w:val="single" w:color="auto" w:sz="4" w:space="0"/>
              <w:left w:val="single" w:color="auto" w:sz="4" w:space="0"/>
            </w:tcBorders>
            <w:shd w:val="clear" w:color="auto" w:fill="FFFFFF"/>
            <w:vAlign w:val="center"/>
          </w:tcPr>
          <w:p w14:paraId="7CD47561">
            <w:pPr>
              <w:pStyle w:val="164"/>
              <w:spacing w:before="100" w:after="100" w:line="330" w:lineRule="exact"/>
              <w:ind w:firstLine="0" w:firstLineChars="0"/>
              <w:jc w:val="center"/>
              <w:rPr>
                <w:sz w:val="18"/>
                <w:szCs w:val="18"/>
              </w:rPr>
            </w:pPr>
            <w:r>
              <w:rPr>
                <w:sz w:val="18"/>
                <w:szCs w:val="18"/>
              </w:rPr>
              <w:t>有钢铠护套的橡皮绝缘电力电缆</w:t>
            </w:r>
          </w:p>
        </w:tc>
        <w:tc>
          <w:tcPr>
            <w:tcW w:w="2081" w:type="dxa"/>
            <w:tcBorders>
              <w:top w:val="single" w:color="auto" w:sz="4" w:space="0"/>
              <w:left w:val="single" w:color="auto" w:sz="4" w:space="0"/>
              <w:right w:val="single" w:color="auto" w:sz="4" w:space="0"/>
            </w:tcBorders>
            <w:shd w:val="clear" w:color="auto" w:fill="FFFFFF"/>
            <w:vAlign w:val="center"/>
          </w:tcPr>
          <w:p w14:paraId="7DA7F5D5">
            <w:pPr>
              <w:pStyle w:val="164"/>
              <w:spacing w:before="100" w:after="100" w:line="330" w:lineRule="exact"/>
              <w:ind w:firstLine="0" w:firstLineChars="0"/>
              <w:jc w:val="center"/>
              <w:rPr>
                <w:sz w:val="18"/>
                <w:szCs w:val="18"/>
              </w:rPr>
            </w:pPr>
            <w:r>
              <w:rPr>
                <w:sz w:val="18"/>
                <w:szCs w:val="18"/>
              </w:rPr>
              <w:t>20D</w:t>
            </w:r>
          </w:p>
        </w:tc>
      </w:tr>
      <w:tr w14:paraId="20D90CA0">
        <w:tblPrEx>
          <w:tblCellMar>
            <w:top w:w="0" w:type="dxa"/>
            <w:left w:w="10" w:type="dxa"/>
            <w:bottom w:w="0" w:type="dxa"/>
            <w:right w:w="10" w:type="dxa"/>
          </w:tblCellMar>
        </w:tblPrEx>
        <w:trPr>
          <w:trHeight w:val="468" w:hRule="exact"/>
          <w:jc w:val="center"/>
        </w:trPr>
        <w:tc>
          <w:tcPr>
            <w:tcW w:w="706" w:type="dxa"/>
            <w:tcBorders>
              <w:top w:val="single" w:color="auto" w:sz="4" w:space="0"/>
              <w:left w:val="single" w:color="auto" w:sz="4" w:space="0"/>
            </w:tcBorders>
            <w:shd w:val="clear" w:color="auto" w:fill="FFFFFF"/>
            <w:vAlign w:val="center"/>
          </w:tcPr>
          <w:p w14:paraId="18256CBE">
            <w:pPr>
              <w:pStyle w:val="164"/>
              <w:spacing w:before="100" w:after="100" w:line="330" w:lineRule="exact"/>
              <w:ind w:firstLine="0" w:firstLineChars="0"/>
              <w:jc w:val="center"/>
              <w:rPr>
                <w:sz w:val="18"/>
                <w:szCs w:val="18"/>
              </w:rPr>
            </w:pPr>
            <w:r>
              <w:rPr>
                <w:sz w:val="18"/>
                <w:szCs w:val="18"/>
              </w:rPr>
              <w:t>3</w:t>
            </w:r>
          </w:p>
        </w:tc>
        <w:tc>
          <w:tcPr>
            <w:tcW w:w="5767" w:type="dxa"/>
            <w:tcBorders>
              <w:top w:val="single" w:color="auto" w:sz="4" w:space="0"/>
              <w:left w:val="single" w:color="auto" w:sz="4" w:space="0"/>
            </w:tcBorders>
            <w:shd w:val="clear" w:color="auto" w:fill="FFFFFF"/>
            <w:vAlign w:val="center"/>
          </w:tcPr>
          <w:p w14:paraId="6EC96FEA">
            <w:pPr>
              <w:pStyle w:val="164"/>
              <w:spacing w:before="100" w:after="100" w:line="330" w:lineRule="exact"/>
              <w:ind w:firstLine="0" w:firstLineChars="0"/>
              <w:jc w:val="center"/>
              <w:rPr>
                <w:sz w:val="18"/>
                <w:szCs w:val="18"/>
              </w:rPr>
            </w:pPr>
            <w:r>
              <w:rPr>
                <w:sz w:val="18"/>
                <w:szCs w:val="18"/>
              </w:rPr>
              <w:t>聚氯乙烯绝缘电力电缆</w:t>
            </w:r>
          </w:p>
        </w:tc>
        <w:tc>
          <w:tcPr>
            <w:tcW w:w="2081" w:type="dxa"/>
            <w:tcBorders>
              <w:top w:val="single" w:color="auto" w:sz="4" w:space="0"/>
              <w:left w:val="single" w:color="auto" w:sz="4" w:space="0"/>
              <w:right w:val="single" w:color="auto" w:sz="4" w:space="0"/>
            </w:tcBorders>
            <w:shd w:val="clear" w:color="auto" w:fill="FFFFFF"/>
            <w:vAlign w:val="center"/>
          </w:tcPr>
          <w:p w14:paraId="40D75B5E">
            <w:pPr>
              <w:pStyle w:val="164"/>
              <w:spacing w:before="100" w:after="100" w:line="330" w:lineRule="exact"/>
              <w:ind w:firstLine="0" w:firstLineChars="0"/>
              <w:jc w:val="center"/>
              <w:rPr>
                <w:sz w:val="18"/>
                <w:szCs w:val="18"/>
              </w:rPr>
            </w:pPr>
            <w:r>
              <w:rPr>
                <w:sz w:val="18"/>
                <w:szCs w:val="18"/>
              </w:rPr>
              <w:t>10D</w:t>
            </w:r>
          </w:p>
        </w:tc>
      </w:tr>
      <w:tr w14:paraId="0C8D6369">
        <w:tblPrEx>
          <w:tblCellMar>
            <w:top w:w="0" w:type="dxa"/>
            <w:left w:w="10" w:type="dxa"/>
            <w:bottom w:w="0" w:type="dxa"/>
            <w:right w:w="10" w:type="dxa"/>
          </w:tblCellMar>
        </w:tblPrEx>
        <w:trPr>
          <w:trHeight w:val="468" w:hRule="exact"/>
          <w:jc w:val="center"/>
        </w:trPr>
        <w:tc>
          <w:tcPr>
            <w:tcW w:w="706" w:type="dxa"/>
            <w:tcBorders>
              <w:top w:val="single" w:color="auto" w:sz="4" w:space="0"/>
              <w:left w:val="single" w:color="auto" w:sz="4" w:space="0"/>
            </w:tcBorders>
            <w:shd w:val="clear" w:color="auto" w:fill="FFFFFF"/>
            <w:vAlign w:val="center"/>
          </w:tcPr>
          <w:p w14:paraId="41C62A0B">
            <w:pPr>
              <w:pStyle w:val="164"/>
              <w:spacing w:before="100" w:after="100" w:line="330" w:lineRule="exact"/>
              <w:ind w:firstLine="0" w:firstLineChars="0"/>
              <w:jc w:val="center"/>
              <w:rPr>
                <w:sz w:val="18"/>
                <w:szCs w:val="18"/>
              </w:rPr>
            </w:pPr>
            <w:r>
              <w:rPr>
                <w:sz w:val="18"/>
                <w:szCs w:val="18"/>
              </w:rPr>
              <w:t>4</w:t>
            </w:r>
          </w:p>
        </w:tc>
        <w:tc>
          <w:tcPr>
            <w:tcW w:w="5767" w:type="dxa"/>
            <w:tcBorders>
              <w:top w:val="single" w:color="auto" w:sz="4" w:space="0"/>
              <w:left w:val="single" w:color="auto" w:sz="4" w:space="0"/>
            </w:tcBorders>
            <w:shd w:val="clear" w:color="auto" w:fill="FFFFFF"/>
            <w:vAlign w:val="center"/>
          </w:tcPr>
          <w:p w14:paraId="6A47D29E">
            <w:pPr>
              <w:pStyle w:val="164"/>
              <w:spacing w:before="100" w:after="100" w:line="330" w:lineRule="exact"/>
              <w:ind w:firstLine="0" w:firstLineChars="0"/>
              <w:jc w:val="center"/>
              <w:rPr>
                <w:sz w:val="18"/>
                <w:szCs w:val="18"/>
              </w:rPr>
            </w:pPr>
            <w:r>
              <w:rPr>
                <w:sz w:val="18"/>
                <w:szCs w:val="18"/>
              </w:rPr>
              <w:t>交联聚氯乙烯绝缘电力电缆</w:t>
            </w:r>
          </w:p>
        </w:tc>
        <w:tc>
          <w:tcPr>
            <w:tcW w:w="2081" w:type="dxa"/>
            <w:tcBorders>
              <w:top w:val="single" w:color="auto" w:sz="4" w:space="0"/>
              <w:left w:val="single" w:color="auto" w:sz="4" w:space="0"/>
              <w:right w:val="single" w:color="auto" w:sz="4" w:space="0"/>
            </w:tcBorders>
            <w:shd w:val="clear" w:color="auto" w:fill="FFFFFF"/>
            <w:vAlign w:val="center"/>
          </w:tcPr>
          <w:p w14:paraId="6067E372">
            <w:pPr>
              <w:pStyle w:val="164"/>
              <w:spacing w:before="100" w:after="100" w:line="330" w:lineRule="exact"/>
              <w:ind w:firstLine="0" w:firstLineChars="0"/>
              <w:jc w:val="center"/>
              <w:rPr>
                <w:sz w:val="18"/>
                <w:szCs w:val="18"/>
              </w:rPr>
            </w:pPr>
            <w:r>
              <w:rPr>
                <w:sz w:val="18"/>
                <w:szCs w:val="18"/>
              </w:rPr>
              <w:t>15D</w:t>
            </w:r>
          </w:p>
        </w:tc>
      </w:tr>
      <w:tr w14:paraId="48A8F8BE">
        <w:tblPrEx>
          <w:tblCellMar>
            <w:top w:w="0" w:type="dxa"/>
            <w:left w:w="10" w:type="dxa"/>
            <w:bottom w:w="0" w:type="dxa"/>
            <w:right w:w="10" w:type="dxa"/>
          </w:tblCellMar>
        </w:tblPrEx>
        <w:trPr>
          <w:trHeight w:val="482" w:hRule="exact"/>
          <w:jc w:val="center"/>
        </w:trPr>
        <w:tc>
          <w:tcPr>
            <w:tcW w:w="706" w:type="dxa"/>
            <w:tcBorders>
              <w:top w:val="single" w:color="auto" w:sz="4" w:space="0"/>
              <w:left w:val="single" w:color="auto" w:sz="4" w:space="0"/>
              <w:bottom w:val="single" w:color="auto" w:sz="4" w:space="0"/>
            </w:tcBorders>
            <w:shd w:val="clear" w:color="auto" w:fill="FFFFFF"/>
            <w:vAlign w:val="center"/>
          </w:tcPr>
          <w:p w14:paraId="272B6234">
            <w:pPr>
              <w:pStyle w:val="164"/>
              <w:spacing w:before="100" w:after="100" w:line="330" w:lineRule="exact"/>
              <w:ind w:firstLine="0" w:firstLineChars="0"/>
              <w:jc w:val="center"/>
              <w:rPr>
                <w:sz w:val="18"/>
                <w:szCs w:val="18"/>
              </w:rPr>
            </w:pPr>
            <w:r>
              <w:rPr>
                <w:sz w:val="18"/>
                <w:szCs w:val="18"/>
              </w:rPr>
              <w:t>5</w:t>
            </w:r>
          </w:p>
        </w:tc>
        <w:tc>
          <w:tcPr>
            <w:tcW w:w="5767" w:type="dxa"/>
            <w:tcBorders>
              <w:top w:val="single" w:color="auto" w:sz="4" w:space="0"/>
              <w:left w:val="single" w:color="auto" w:sz="4" w:space="0"/>
              <w:bottom w:val="single" w:color="auto" w:sz="4" w:space="0"/>
            </w:tcBorders>
            <w:shd w:val="clear" w:color="auto" w:fill="FFFFFF"/>
            <w:vAlign w:val="center"/>
          </w:tcPr>
          <w:p w14:paraId="46631B10">
            <w:pPr>
              <w:pStyle w:val="164"/>
              <w:spacing w:before="100" w:after="100" w:line="330" w:lineRule="exact"/>
              <w:ind w:firstLine="0" w:firstLineChars="0"/>
              <w:jc w:val="center"/>
              <w:rPr>
                <w:sz w:val="18"/>
                <w:szCs w:val="18"/>
              </w:rPr>
            </w:pPr>
            <w:r>
              <w:rPr>
                <w:sz w:val="18"/>
                <w:szCs w:val="18"/>
              </w:rPr>
              <w:t>多芯控制电缆</w:t>
            </w:r>
          </w:p>
        </w:tc>
        <w:tc>
          <w:tcPr>
            <w:tcW w:w="2081" w:type="dxa"/>
            <w:tcBorders>
              <w:top w:val="single" w:color="auto" w:sz="4" w:space="0"/>
              <w:left w:val="single" w:color="auto" w:sz="4" w:space="0"/>
              <w:bottom w:val="single" w:color="auto" w:sz="4" w:space="0"/>
              <w:right w:val="single" w:color="auto" w:sz="4" w:space="0"/>
            </w:tcBorders>
            <w:shd w:val="clear" w:color="auto" w:fill="FFFFFF"/>
            <w:vAlign w:val="center"/>
          </w:tcPr>
          <w:p w14:paraId="63121B2A">
            <w:pPr>
              <w:pStyle w:val="164"/>
              <w:spacing w:before="100" w:after="100" w:line="330" w:lineRule="exact"/>
              <w:ind w:firstLine="0" w:firstLineChars="0"/>
              <w:jc w:val="center"/>
              <w:rPr>
                <w:sz w:val="18"/>
                <w:szCs w:val="18"/>
              </w:rPr>
            </w:pPr>
            <w:r>
              <w:rPr>
                <w:sz w:val="18"/>
                <w:szCs w:val="18"/>
              </w:rPr>
              <w:t>10D</w:t>
            </w:r>
          </w:p>
        </w:tc>
      </w:tr>
    </w:tbl>
    <w:p w14:paraId="155B6CBD">
      <w:pPr>
        <w:pStyle w:val="164"/>
        <w:spacing w:before="100" w:after="100" w:line="330" w:lineRule="exact"/>
        <w:ind w:firstLine="0" w:firstLineChars="0"/>
        <w:rPr>
          <w:szCs w:val="21"/>
        </w:rPr>
      </w:pPr>
      <w:r>
        <w:rPr>
          <w:szCs w:val="21"/>
        </w:rPr>
        <w:t>注：D为电缆外径。</w:t>
      </w:r>
    </w:p>
    <w:p w14:paraId="6F674EB9">
      <w:pPr>
        <w:pStyle w:val="164"/>
        <w:numPr>
          <w:ilvl w:val="0"/>
          <w:numId w:val="275"/>
        </w:numPr>
        <w:tabs>
          <w:tab w:val="left" w:pos="210"/>
          <w:tab w:val="left" w:pos="567"/>
        </w:tabs>
        <w:spacing w:line="330" w:lineRule="exact"/>
        <w:ind w:firstLine="630" w:firstLineChars="300"/>
        <w:rPr>
          <w:szCs w:val="21"/>
        </w:rPr>
      </w:pPr>
      <w:r>
        <w:rPr>
          <w:szCs w:val="21"/>
        </w:rPr>
        <w:t>电缆接入配电箱、柜时，应符合下列规定：</w:t>
      </w:r>
    </w:p>
    <w:p w14:paraId="6F0DCF22">
      <w:pPr>
        <w:pStyle w:val="164"/>
        <w:numPr>
          <w:ilvl w:val="0"/>
          <w:numId w:val="277"/>
        </w:numPr>
        <w:autoSpaceDE w:val="0"/>
        <w:autoSpaceDN w:val="0"/>
        <w:adjustRightInd w:val="0"/>
        <w:snapToGrid w:val="0"/>
        <w:spacing w:line="330" w:lineRule="exact"/>
        <w:ind w:left="0" w:firstLine="840" w:firstLineChars="400"/>
        <w:rPr>
          <w:szCs w:val="21"/>
        </w:rPr>
      </w:pPr>
      <w:bookmarkStart w:id="296" w:name="bookmark1941"/>
      <w:bookmarkEnd w:id="296"/>
      <w:r>
        <w:rPr>
          <w:rFonts w:hint="eastAsia"/>
          <w:szCs w:val="21"/>
        </w:rPr>
        <w:t>线缆</w:t>
      </w:r>
      <w:r>
        <w:rPr>
          <w:szCs w:val="21"/>
        </w:rPr>
        <w:t>应捆扎固定</w:t>
      </w:r>
      <w:bookmarkStart w:id="297" w:name="bookmark1942"/>
      <w:bookmarkEnd w:id="297"/>
      <w:r>
        <w:rPr>
          <w:rFonts w:hint="eastAsia"/>
          <w:szCs w:val="21"/>
        </w:rPr>
        <w:t>，</w:t>
      </w:r>
      <w:r>
        <w:rPr>
          <w:szCs w:val="21"/>
        </w:rPr>
        <w:t>接入配电箱、柜电缆的弯曲半径应大于电缆最小允许弯曲半径；</w:t>
      </w:r>
      <w:bookmarkStart w:id="298" w:name="bookmark1943"/>
      <w:bookmarkEnd w:id="298"/>
    </w:p>
    <w:p w14:paraId="7FD04016">
      <w:pPr>
        <w:pStyle w:val="164"/>
        <w:numPr>
          <w:ilvl w:val="0"/>
          <w:numId w:val="277"/>
        </w:numPr>
        <w:autoSpaceDE w:val="0"/>
        <w:autoSpaceDN w:val="0"/>
        <w:adjustRightInd w:val="0"/>
        <w:snapToGrid w:val="0"/>
        <w:spacing w:line="330" w:lineRule="exact"/>
        <w:ind w:left="0" w:firstLine="840" w:firstLineChars="400"/>
        <w:rPr>
          <w:szCs w:val="21"/>
        </w:rPr>
      </w:pPr>
      <w:r>
        <w:rPr>
          <w:szCs w:val="21"/>
        </w:rPr>
        <w:t>电缆最小允许弯曲半径应</w:t>
      </w:r>
      <w:r>
        <w:rPr>
          <w:rFonts w:hint="eastAsia"/>
          <w:szCs w:val="21"/>
        </w:rPr>
        <w:t>满足</w:t>
      </w:r>
      <w:r>
        <w:rPr>
          <w:szCs w:val="21"/>
        </w:rPr>
        <w:t>本规程表21.3.5-1的要求。</w:t>
      </w:r>
    </w:p>
    <w:p w14:paraId="73378C31">
      <w:pPr>
        <w:pStyle w:val="164"/>
        <w:numPr>
          <w:ilvl w:val="0"/>
          <w:numId w:val="275"/>
        </w:numPr>
        <w:tabs>
          <w:tab w:val="left" w:pos="210"/>
          <w:tab w:val="left" w:pos="567"/>
        </w:tabs>
        <w:spacing w:line="330" w:lineRule="exact"/>
        <w:ind w:firstLine="630" w:firstLineChars="300"/>
        <w:rPr>
          <w:szCs w:val="21"/>
        </w:rPr>
      </w:pPr>
      <w:r>
        <w:rPr>
          <w:szCs w:val="21"/>
        </w:rPr>
        <w:t>矿物质电缆敷设应满足表21.3.5-2规定的最小弯曲半径的要求。当在下列场合敷设时，应将电缆敷设成S形或</w:t>
      </w:r>
      <w:r>
        <w:rPr>
          <w:color w:val="191919"/>
          <w:shd w:val="clear" w:color="auto" w:fill="FFFFFF"/>
        </w:rPr>
        <w:t>Ω</w:t>
      </w:r>
      <w:r>
        <w:rPr>
          <w:szCs w:val="21"/>
        </w:rPr>
        <w:t>形弯,其弯曲半径不应小于电缆外径的6倍：</w:t>
      </w:r>
      <w:bookmarkStart w:id="299" w:name="bookmark1945"/>
      <w:bookmarkEnd w:id="299"/>
    </w:p>
    <w:p w14:paraId="350A2BE9">
      <w:pPr>
        <w:pStyle w:val="164"/>
        <w:numPr>
          <w:ilvl w:val="0"/>
          <w:numId w:val="278"/>
        </w:numPr>
        <w:autoSpaceDE w:val="0"/>
        <w:autoSpaceDN w:val="0"/>
        <w:adjustRightInd w:val="0"/>
        <w:snapToGrid w:val="0"/>
        <w:spacing w:line="330" w:lineRule="exact"/>
        <w:ind w:left="0" w:firstLine="840" w:firstLineChars="400"/>
        <w:rPr>
          <w:szCs w:val="21"/>
        </w:rPr>
      </w:pPr>
      <w:r>
        <w:rPr>
          <w:szCs w:val="21"/>
        </w:rPr>
        <w:t>在温度变化大的场合；</w:t>
      </w:r>
      <w:bookmarkStart w:id="300" w:name="bookmark1946"/>
      <w:bookmarkEnd w:id="300"/>
    </w:p>
    <w:p w14:paraId="62436A13">
      <w:pPr>
        <w:pStyle w:val="164"/>
        <w:numPr>
          <w:ilvl w:val="0"/>
          <w:numId w:val="278"/>
        </w:numPr>
        <w:autoSpaceDE w:val="0"/>
        <w:autoSpaceDN w:val="0"/>
        <w:adjustRightInd w:val="0"/>
        <w:snapToGrid w:val="0"/>
        <w:spacing w:line="330" w:lineRule="exact"/>
        <w:ind w:left="0" w:firstLine="840" w:firstLineChars="400"/>
        <w:rPr>
          <w:szCs w:val="21"/>
        </w:rPr>
      </w:pPr>
      <w:r>
        <w:rPr>
          <w:szCs w:val="21"/>
        </w:rPr>
        <w:t>有振动源的场合；</w:t>
      </w:r>
      <w:bookmarkStart w:id="301" w:name="bookmark1947"/>
      <w:bookmarkEnd w:id="301"/>
    </w:p>
    <w:p w14:paraId="4F495256">
      <w:pPr>
        <w:pStyle w:val="164"/>
        <w:numPr>
          <w:ilvl w:val="0"/>
          <w:numId w:val="278"/>
        </w:numPr>
        <w:autoSpaceDE w:val="0"/>
        <w:autoSpaceDN w:val="0"/>
        <w:adjustRightInd w:val="0"/>
        <w:snapToGrid w:val="0"/>
        <w:spacing w:line="330" w:lineRule="exact"/>
        <w:ind w:left="0" w:firstLine="840" w:firstLineChars="400"/>
        <w:rPr>
          <w:szCs w:val="21"/>
        </w:rPr>
      </w:pPr>
      <w:r>
        <w:rPr>
          <w:szCs w:val="21"/>
        </w:rPr>
        <w:t>建筑物的沉降缝或伸缩缝之间。</w:t>
      </w:r>
    </w:p>
    <w:p w14:paraId="4AE89B9C">
      <w:pPr>
        <w:pStyle w:val="164"/>
        <w:spacing w:before="100" w:after="100" w:line="330" w:lineRule="exact"/>
        <w:ind w:firstLine="0" w:firstLineChars="0"/>
        <w:jc w:val="center"/>
        <w:rPr>
          <w:b/>
          <w:bCs/>
          <w:sz w:val="18"/>
          <w:szCs w:val="18"/>
        </w:rPr>
      </w:pPr>
      <w:r>
        <w:rPr>
          <w:b/>
          <w:bCs/>
          <w:sz w:val="18"/>
          <w:szCs w:val="18"/>
        </w:rPr>
        <w:t>表21.3.5-2矿物质电缆最小允许弯曲半径</w:t>
      </w:r>
    </w:p>
    <w:tbl>
      <w:tblPr>
        <w:tblStyle w:val="41"/>
        <w:tblW w:w="0" w:type="auto"/>
        <w:jc w:val="center"/>
        <w:tblLayout w:type="fixed"/>
        <w:tblCellMar>
          <w:top w:w="0" w:type="dxa"/>
          <w:left w:w="10" w:type="dxa"/>
          <w:bottom w:w="0" w:type="dxa"/>
          <w:right w:w="10" w:type="dxa"/>
        </w:tblCellMar>
      </w:tblPr>
      <w:tblGrid>
        <w:gridCol w:w="2095"/>
        <w:gridCol w:w="1152"/>
        <w:gridCol w:w="1382"/>
        <w:gridCol w:w="1382"/>
        <w:gridCol w:w="2534"/>
      </w:tblGrid>
      <w:tr w14:paraId="1067F39F">
        <w:tblPrEx>
          <w:tblCellMar>
            <w:top w:w="0" w:type="dxa"/>
            <w:left w:w="10" w:type="dxa"/>
            <w:bottom w:w="0" w:type="dxa"/>
            <w:right w:w="10" w:type="dxa"/>
          </w:tblCellMar>
        </w:tblPrEx>
        <w:trPr>
          <w:trHeight w:val="482" w:hRule="exact"/>
          <w:jc w:val="center"/>
        </w:trPr>
        <w:tc>
          <w:tcPr>
            <w:tcW w:w="2095" w:type="dxa"/>
            <w:tcBorders>
              <w:top w:val="single" w:color="auto" w:sz="4" w:space="0"/>
              <w:left w:val="single" w:color="auto" w:sz="4" w:space="0"/>
            </w:tcBorders>
            <w:shd w:val="clear" w:color="auto" w:fill="FFFFFF"/>
            <w:vAlign w:val="center"/>
          </w:tcPr>
          <w:p w14:paraId="58A69EDD">
            <w:pPr>
              <w:pStyle w:val="164"/>
              <w:spacing w:before="100" w:after="100" w:line="330" w:lineRule="exact"/>
              <w:ind w:firstLine="0" w:firstLineChars="0"/>
              <w:rPr>
                <w:sz w:val="18"/>
                <w:szCs w:val="18"/>
              </w:rPr>
            </w:pPr>
            <w:r>
              <w:rPr>
                <w:sz w:val="18"/>
                <w:szCs w:val="18"/>
              </w:rPr>
              <w:t>电缆外径D（mm）</w:t>
            </w:r>
          </w:p>
        </w:tc>
        <w:tc>
          <w:tcPr>
            <w:tcW w:w="1152" w:type="dxa"/>
            <w:tcBorders>
              <w:top w:val="single" w:color="auto" w:sz="4" w:space="0"/>
              <w:left w:val="single" w:color="auto" w:sz="4" w:space="0"/>
            </w:tcBorders>
            <w:shd w:val="clear" w:color="auto" w:fill="FFFFFF"/>
            <w:vAlign w:val="center"/>
          </w:tcPr>
          <w:p w14:paraId="0B297368">
            <w:pPr>
              <w:pStyle w:val="164"/>
              <w:spacing w:before="100" w:after="100" w:line="330" w:lineRule="exact"/>
              <w:ind w:firstLine="0" w:firstLineChars="0"/>
              <w:jc w:val="center"/>
              <w:rPr>
                <w:sz w:val="18"/>
                <w:szCs w:val="18"/>
              </w:rPr>
            </w:pPr>
            <w:r>
              <w:rPr>
                <w:sz w:val="18"/>
                <w:szCs w:val="18"/>
              </w:rPr>
              <w:t>D&lt;7</w:t>
            </w:r>
          </w:p>
        </w:tc>
        <w:tc>
          <w:tcPr>
            <w:tcW w:w="1382" w:type="dxa"/>
            <w:tcBorders>
              <w:top w:val="single" w:color="auto" w:sz="4" w:space="0"/>
              <w:left w:val="single" w:color="auto" w:sz="4" w:space="0"/>
            </w:tcBorders>
            <w:shd w:val="clear" w:color="auto" w:fill="FFFFFF"/>
            <w:vAlign w:val="center"/>
          </w:tcPr>
          <w:p w14:paraId="503D1E91">
            <w:pPr>
              <w:pStyle w:val="164"/>
              <w:spacing w:before="100" w:after="100" w:line="330" w:lineRule="exact"/>
              <w:ind w:firstLine="0" w:firstLineChars="0"/>
              <w:jc w:val="center"/>
              <w:rPr>
                <w:sz w:val="18"/>
                <w:szCs w:val="18"/>
              </w:rPr>
            </w:pPr>
            <w:r>
              <w:rPr>
                <w:sz w:val="18"/>
                <w:szCs w:val="18"/>
              </w:rPr>
              <w:t>7≤D&lt;12</w:t>
            </w:r>
          </w:p>
        </w:tc>
        <w:tc>
          <w:tcPr>
            <w:tcW w:w="1382" w:type="dxa"/>
            <w:tcBorders>
              <w:top w:val="single" w:color="auto" w:sz="4" w:space="0"/>
              <w:left w:val="single" w:color="auto" w:sz="4" w:space="0"/>
            </w:tcBorders>
            <w:shd w:val="clear" w:color="auto" w:fill="FFFFFF"/>
            <w:vAlign w:val="center"/>
          </w:tcPr>
          <w:p w14:paraId="53CA8CF2">
            <w:pPr>
              <w:pStyle w:val="164"/>
              <w:spacing w:before="100" w:after="100" w:line="330" w:lineRule="exact"/>
              <w:ind w:firstLine="0" w:firstLineChars="0"/>
              <w:jc w:val="center"/>
              <w:rPr>
                <w:sz w:val="18"/>
                <w:szCs w:val="18"/>
              </w:rPr>
            </w:pPr>
            <w:r>
              <w:rPr>
                <w:sz w:val="18"/>
                <w:szCs w:val="18"/>
              </w:rPr>
              <w:t>12≤D&lt;15</w:t>
            </w:r>
          </w:p>
        </w:tc>
        <w:tc>
          <w:tcPr>
            <w:tcW w:w="2534" w:type="dxa"/>
            <w:tcBorders>
              <w:top w:val="single" w:color="auto" w:sz="4" w:space="0"/>
              <w:left w:val="single" w:color="auto" w:sz="4" w:space="0"/>
              <w:right w:val="single" w:color="auto" w:sz="4" w:space="0"/>
            </w:tcBorders>
            <w:shd w:val="clear" w:color="auto" w:fill="FFFFFF"/>
            <w:vAlign w:val="center"/>
          </w:tcPr>
          <w:p w14:paraId="1C8E0BD0">
            <w:pPr>
              <w:pStyle w:val="164"/>
              <w:spacing w:before="100" w:after="100" w:line="330" w:lineRule="exact"/>
              <w:ind w:firstLine="0" w:firstLineChars="0"/>
              <w:jc w:val="center"/>
              <w:rPr>
                <w:sz w:val="18"/>
                <w:szCs w:val="18"/>
              </w:rPr>
            </w:pPr>
            <w:r>
              <w:rPr>
                <w:sz w:val="18"/>
                <w:szCs w:val="18"/>
              </w:rPr>
              <w:t>D≥15</w:t>
            </w:r>
          </w:p>
        </w:tc>
      </w:tr>
      <w:tr w14:paraId="783653FB">
        <w:tblPrEx>
          <w:tblCellMar>
            <w:top w:w="0" w:type="dxa"/>
            <w:left w:w="10" w:type="dxa"/>
            <w:bottom w:w="0" w:type="dxa"/>
            <w:right w:w="10" w:type="dxa"/>
          </w:tblCellMar>
        </w:tblPrEx>
        <w:trPr>
          <w:trHeight w:val="475" w:hRule="exact"/>
          <w:jc w:val="center"/>
        </w:trPr>
        <w:tc>
          <w:tcPr>
            <w:tcW w:w="2095" w:type="dxa"/>
            <w:tcBorders>
              <w:top w:val="single" w:color="auto" w:sz="4" w:space="0"/>
              <w:left w:val="single" w:color="auto" w:sz="4" w:space="0"/>
              <w:bottom w:val="single" w:color="auto" w:sz="4" w:space="0"/>
            </w:tcBorders>
            <w:shd w:val="clear" w:color="auto" w:fill="FFFFFF"/>
            <w:vAlign w:val="center"/>
          </w:tcPr>
          <w:p w14:paraId="7EF9D20E">
            <w:pPr>
              <w:pStyle w:val="164"/>
              <w:spacing w:before="100" w:after="100" w:line="330" w:lineRule="exact"/>
              <w:ind w:firstLine="0" w:firstLineChars="0"/>
              <w:rPr>
                <w:sz w:val="18"/>
                <w:szCs w:val="18"/>
              </w:rPr>
            </w:pPr>
            <w:r>
              <w:rPr>
                <w:sz w:val="18"/>
                <w:szCs w:val="18"/>
              </w:rPr>
              <w:t>最小允许弯曲半径</w:t>
            </w:r>
          </w:p>
        </w:tc>
        <w:tc>
          <w:tcPr>
            <w:tcW w:w="1152" w:type="dxa"/>
            <w:tcBorders>
              <w:top w:val="single" w:color="auto" w:sz="4" w:space="0"/>
              <w:left w:val="single" w:color="auto" w:sz="4" w:space="0"/>
              <w:bottom w:val="single" w:color="auto" w:sz="4" w:space="0"/>
            </w:tcBorders>
            <w:shd w:val="clear" w:color="auto" w:fill="FFFFFF"/>
            <w:vAlign w:val="center"/>
          </w:tcPr>
          <w:p w14:paraId="50FC653C">
            <w:pPr>
              <w:pStyle w:val="164"/>
              <w:spacing w:before="100" w:after="100" w:line="330" w:lineRule="exact"/>
              <w:ind w:firstLine="0" w:firstLineChars="0"/>
              <w:jc w:val="center"/>
              <w:rPr>
                <w:sz w:val="18"/>
                <w:szCs w:val="18"/>
              </w:rPr>
            </w:pPr>
            <w:r>
              <w:rPr>
                <w:sz w:val="18"/>
                <w:szCs w:val="18"/>
              </w:rPr>
              <w:t>2D</w:t>
            </w:r>
          </w:p>
        </w:tc>
        <w:tc>
          <w:tcPr>
            <w:tcW w:w="1382" w:type="dxa"/>
            <w:tcBorders>
              <w:top w:val="single" w:color="auto" w:sz="4" w:space="0"/>
              <w:left w:val="single" w:color="auto" w:sz="4" w:space="0"/>
              <w:bottom w:val="single" w:color="auto" w:sz="4" w:space="0"/>
            </w:tcBorders>
            <w:shd w:val="clear" w:color="auto" w:fill="FFFFFF"/>
            <w:vAlign w:val="center"/>
          </w:tcPr>
          <w:p w14:paraId="7DC49C43">
            <w:pPr>
              <w:pStyle w:val="164"/>
              <w:spacing w:before="100" w:after="100" w:line="330" w:lineRule="exact"/>
              <w:ind w:firstLine="0" w:firstLineChars="0"/>
              <w:jc w:val="center"/>
              <w:rPr>
                <w:sz w:val="18"/>
                <w:szCs w:val="18"/>
              </w:rPr>
            </w:pPr>
            <w:r>
              <w:rPr>
                <w:sz w:val="18"/>
                <w:szCs w:val="18"/>
              </w:rPr>
              <w:t>3D</w:t>
            </w:r>
          </w:p>
        </w:tc>
        <w:tc>
          <w:tcPr>
            <w:tcW w:w="1382" w:type="dxa"/>
            <w:tcBorders>
              <w:top w:val="single" w:color="auto" w:sz="4" w:space="0"/>
              <w:left w:val="single" w:color="auto" w:sz="4" w:space="0"/>
              <w:bottom w:val="single" w:color="auto" w:sz="4" w:space="0"/>
            </w:tcBorders>
            <w:shd w:val="clear" w:color="auto" w:fill="FFFFFF"/>
            <w:vAlign w:val="center"/>
          </w:tcPr>
          <w:p w14:paraId="7AABC500">
            <w:pPr>
              <w:pStyle w:val="164"/>
              <w:spacing w:before="100" w:after="100" w:line="330" w:lineRule="exact"/>
              <w:ind w:firstLine="0" w:firstLineChars="0"/>
              <w:jc w:val="center"/>
              <w:rPr>
                <w:sz w:val="18"/>
                <w:szCs w:val="18"/>
              </w:rPr>
            </w:pPr>
            <w:r>
              <w:rPr>
                <w:sz w:val="18"/>
                <w:szCs w:val="18"/>
              </w:rPr>
              <w:t>4D</w:t>
            </w:r>
          </w:p>
        </w:tc>
        <w:tc>
          <w:tcPr>
            <w:tcW w:w="2534" w:type="dxa"/>
            <w:tcBorders>
              <w:top w:val="single" w:color="auto" w:sz="4" w:space="0"/>
              <w:left w:val="single" w:color="auto" w:sz="4" w:space="0"/>
              <w:bottom w:val="single" w:color="auto" w:sz="4" w:space="0"/>
              <w:right w:val="single" w:color="auto" w:sz="4" w:space="0"/>
            </w:tcBorders>
            <w:shd w:val="clear" w:color="auto" w:fill="FFFFFF"/>
            <w:vAlign w:val="center"/>
          </w:tcPr>
          <w:p w14:paraId="2AB18B36">
            <w:pPr>
              <w:pStyle w:val="164"/>
              <w:spacing w:before="100" w:after="100" w:line="330" w:lineRule="exact"/>
              <w:ind w:firstLine="0" w:firstLineChars="0"/>
              <w:jc w:val="center"/>
              <w:rPr>
                <w:sz w:val="18"/>
                <w:szCs w:val="18"/>
              </w:rPr>
            </w:pPr>
            <w:r>
              <w:rPr>
                <w:sz w:val="18"/>
                <w:szCs w:val="18"/>
              </w:rPr>
              <w:t>6D</w:t>
            </w:r>
          </w:p>
        </w:tc>
      </w:tr>
    </w:tbl>
    <w:p w14:paraId="7ECCF5E7">
      <w:pPr>
        <w:pStyle w:val="164"/>
        <w:numPr>
          <w:ilvl w:val="0"/>
          <w:numId w:val="275"/>
        </w:numPr>
        <w:tabs>
          <w:tab w:val="left" w:pos="210"/>
          <w:tab w:val="left" w:pos="567"/>
        </w:tabs>
        <w:spacing w:line="330" w:lineRule="exact"/>
        <w:ind w:firstLine="630" w:firstLineChars="300"/>
        <w:rPr>
          <w:szCs w:val="21"/>
        </w:rPr>
        <w:sectPr>
          <w:pgSz w:w="11900" w:h="16840"/>
          <w:pgMar w:top="1558" w:right="1544" w:bottom="1113" w:left="1564" w:header="0" w:footer="3" w:gutter="0"/>
          <w:cols w:space="720" w:num="1"/>
          <w:docGrid w:linePitch="360" w:charSpace="0"/>
        </w:sectPr>
      </w:pPr>
      <w:r>
        <w:rPr>
          <w:szCs w:val="21"/>
        </w:rPr>
        <w:t>矿物质电缆敷设时，每路电缆之间宜留有≥电缆外径2倍的间隙。在电缆锯断后应立即对其端部进行临时性封堵。</w:t>
      </w:r>
    </w:p>
    <w:p w14:paraId="695F0B6F">
      <w:pPr>
        <w:pStyle w:val="164"/>
        <w:numPr>
          <w:ilvl w:val="0"/>
          <w:numId w:val="275"/>
        </w:numPr>
        <w:tabs>
          <w:tab w:val="left" w:pos="210"/>
          <w:tab w:val="left" w:pos="567"/>
        </w:tabs>
        <w:spacing w:line="330" w:lineRule="exact"/>
        <w:ind w:firstLine="630" w:firstLineChars="300"/>
        <w:rPr>
          <w:szCs w:val="21"/>
        </w:rPr>
      </w:pPr>
      <w:r>
        <w:rPr>
          <w:szCs w:val="21"/>
        </w:rPr>
        <w:t>隔墙内穿线管与墙面板应有间隙，间隙不宜＜10mm。安装在隔墙上的设备或装置应整齐固定在附加龙骨上，墙板不得受力。</w:t>
      </w:r>
    </w:p>
    <w:p w14:paraId="7E468892">
      <w:pPr>
        <w:pStyle w:val="164"/>
        <w:numPr>
          <w:ilvl w:val="0"/>
          <w:numId w:val="275"/>
        </w:numPr>
        <w:tabs>
          <w:tab w:val="left" w:pos="210"/>
          <w:tab w:val="left" w:pos="567"/>
        </w:tabs>
        <w:spacing w:line="330" w:lineRule="exact"/>
        <w:ind w:firstLine="630" w:firstLineChars="300"/>
        <w:rPr>
          <w:szCs w:val="21"/>
        </w:rPr>
      </w:pPr>
      <w:r>
        <w:rPr>
          <w:szCs w:val="21"/>
        </w:rPr>
        <w:t>电缆应按设计要求编号，颜色应符合下列规定：</w:t>
      </w:r>
    </w:p>
    <w:p w14:paraId="72F254C7">
      <w:pPr>
        <w:pStyle w:val="164"/>
        <w:numPr>
          <w:ilvl w:val="0"/>
          <w:numId w:val="279"/>
        </w:numPr>
        <w:autoSpaceDE w:val="0"/>
        <w:autoSpaceDN w:val="0"/>
        <w:adjustRightInd w:val="0"/>
        <w:snapToGrid w:val="0"/>
        <w:spacing w:line="330" w:lineRule="exact"/>
        <w:ind w:left="0" w:firstLine="840" w:firstLineChars="400"/>
        <w:rPr>
          <w:szCs w:val="21"/>
        </w:rPr>
      </w:pPr>
      <w:bookmarkStart w:id="302" w:name="bookmark1950"/>
      <w:bookmarkEnd w:id="302"/>
      <w:r>
        <w:rPr>
          <w:szCs w:val="21"/>
        </w:rPr>
        <w:t>保护线（PE线）应为黄绿相间色；</w:t>
      </w:r>
    </w:p>
    <w:p w14:paraId="55AB4D5A">
      <w:pPr>
        <w:pStyle w:val="164"/>
        <w:numPr>
          <w:ilvl w:val="0"/>
          <w:numId w:val="279"/>
        </w:numPr>
        <w:autoSpaceDE w:val="0"/>
        <w:autoSpaceDN w:val="0"/>
        <w:adjustRightInd w:val="0"/>
        <w:snapToGrid w:val="0"/>
        <w:spacing w:line="330" w:lineRule="exact"/>
        <w:ind w:left="0" w:firstLine="840" w:firstLineChars="400"/>
        <w:rPr>
          <w:szCs w:val="21"/>
        </w:rPr>
      </w:pPr>
      <w:bookmarkStart w:id="303" w:name="bookmark1951"/>
      <w:bookmarkEnd w:id="303"/>
      <w:r>
        <w:rPr>
          <w:szCs w:val="21"/>
        </w:rPr>
        <w:t>中性线（N线）应为淡蓝色；</w:t>
      </w:r>
    </w:p>
    <w:p w14:paraId="27C367AA">
      <w:pPr>
        <w:pStyle w:val="164"/>
        <w:numPr>
          <w:ilvl w:val="0"/>
          <w:numId w:val="279"/>
        </w:numPr>
        <w:autoSpaceDE w:val="0"/>
        <w:autoSpaceDN w:val="0"/>
        <w:adjustRightInd w:val="0"/>
        <w:snapToGrid w:val="0"/>
        <w:spacing w:line="330" w:lineRule="exact"/>
        <w:ind w:left="0" w:firstLine="840" w:firstLineChars="400"/>
        <w:rPr>
          <w:szCs w:val="21"/>
        </w:rPr>
      </w:pPr>
      <w:bookmarkStart w:id="304" w:name="bookmark1952"/>
      <w:bookmarkEnd w:id="304"/>
      <w:r>
        <w:rPr>
          <w:szCs w:val="21"/>
        </w:rPr>
        <w:t>L1相线应用黄色，L2相线应用绿色，L3相线应用红色。</w:t>
      </w:r>
    </w:p>
    <w:p w14:paraId="0E6CA2CD">
      <w:pPr>
        <w:pStyle w:val="164"/>
        <w:numPr>
          <w:ilvl w:val="0"/>
          <w:numId w:val="275"/>
        </w:numPr>
        <w:tabs>
          <w:tab w:val="left" w:pos="210"/>
          <w:tab w:val="left" w:pos="567"/>
        </w:tabs>
        <w:spacing w:line="330" w:lineRule="exact"/>
        <w:ind w:firstLine="630" w:firstLineChars="300"/>
        <w:rPr>
          <w:szCs w:val="21"/>
        </w:rPr>
      </w:pPr>
      <w:r>
        <w:rPr>
          <w:szCs w:val="21"/>
        </w:rPr>
        <w:t>在活动地板下敷设时，电缆桥架或线槽底部不宜紧贴地面。</w:t>
      </w:r>
    </w:p>
    <w:p w14:paraId="78AE553B">
      <w:pPr>
        <w:pStyle w:val="164"/>
        <w:spacing w:before="100" w:after="100" w:line="330" w:lineRule="exact"/>
        <w:ind w:firstLine="422"/>
        <w:rPr>
          <w:szCs w:val="21"/>
        </w:rPr>
      </w:pPr>
      <w:r>
        <w:rPr>
          <w:b/>
          <w:bCs/>
          <w:szCs w:val="21"/>
        </w:rPr>
        <w:t>3</w:t>
      </w:r>
      <w:r>
        <w:rPr>
          <w:szCs w:val="21"/>
        </w:rPr>
        <w:t>照明装置安装应符合下列</w:t>
      </w:r>
      <w:r>
        <w:rPr>
          <w:rFonts w:hint="eastAsia"/>
          <w:szCs w:val="21"/>
        </w:rPr>
        <w:t>规定</w:t>
      </w:r>
      <w:r>
        <w:rPr>
          <w:szCs w:val="21"/>
        </w:rPr>
        <w:t>：</w:t>
      </w:r>
    </w:p>
    <w:p w14:paraId="5308B291">
      <w:pPr>
        <w:pStyle w:val="164"/>
        <w:numPr>
          <w:ilvl w:val="0"/>
          <w:numId w:val="280"/>
        </w:numPr>
        <w:tabs>
          <w:tab w:val="left" w:pos="210"/>
          <w:tab w:val="left" w:pos="567"/>
        </w:tabs>
        <w:spacing w:line="330" w:lineRule="exact"/>
        <w:ind w:firstLine="630" w:firstLineChars="300"/>
        <w:rPr>
          <w:szCs w:val="21"/>
        </w:rPr>
      </w:pPr>
      <w:r>
        <w:rPr>
          <w:szCs w:val="21"/>
        </w:rPr>
        <w:t>吸顶灯具底座应紧贴吊顶或顶板，安装应牢固。</w:t>
      </w:r>
    </w:p>
    <w:p w14:paraId="0FB74184">
      <w:pPr>
        <w:pStyle w:val="164"/>
        <w:numPr>
          <w:ilvl w:val="0"/>
          <w:numId w:val="280"/>
        </w:numPr>
        <w:tabs>
          <w:tab w:val="left" w:pos="210"/>
          <w:tab w:val="left" w:pos="567"/>
        </w:tabs>
        <w:spacing w:line="330" w:lineRule="exact"/>
        <w:ind w:firstLine="630" w:firstLineChars="300"/>
        <w:rPr>
          <w:szCs w:val="21"/>
        </w:rPr>
      </w:pPr>
      <w:r>
        <w:rPr>
          <w:szCs w:val="21"/>
        </w:rPr>
        <w:t>嵌入式灯具安装时，灯具应固定在吊顶板预留洞（孔）内专设的框架上。灯具直单独吊装，灯具边框外缘应紧贴吊顶板。</w:t>
      </w:r>
    </w:p>
    <w:p w14:paraId="04591A75">
      <w:pPr>
        <w:pStyle w:val="164"/>
        <w:numPr>
          <w:ilvl w:val="0"/>
          <w:numId w:val="280"/>
        </w:numPr>
        <w:tabs>
          <w:tab w:val="left" w:pos="210"/>
          <w:tab w:val="left" w:pos="567"/>
        </w:tabs>
        <w:spacing w:line="330" w:lineRule="exact"/>
        <w:ind w:firstLine="630" w:firstLineChars="300"/>
        <w:rPr>
          <w:szCs w:val="21"/>
        </w:rPr>
      </w:pPr>
      <w:r>
        <w:rPr>
          <w:szCs w:val="21"/>
        </w:rPr>
        <w:t>灯具安装位置应满足设计要求，成排安装时应整齐、美观。</w:t>
      </w:r>
    </w:p>
    <w:p w14:paraId="6958A224">
      <w:pPr>
        <w:pStyle w:val="164"/>
        <w:spacing w:before="100" w:after="100" w:line="330" w:lineRule="exact"/>
        <w:ind w:firstLine="0" w:firstLineChars="0"/>
        <w:rPr>
          <w:szCs w:val="21"/>
        </w:rPr>
      </w:pPr>
      <w:r>
        <w:rPr>
          <w:szCs w:val="21"/>
        </w:rPr>
        <w:t>21.3.6防雷与接地系统安装应符合下列</w:t>
      </w:r>
      <w:r>
        <w:rPr>
          <w:rFonts w:hint="eastAsia"/>
          <w:szCs w:val="21"/>
        </w:rPr>
        <w:t>规定</w:t>
      </w:r>
      <w:r>
        <w:rPr>
          <w:szCs w:val="21"/>
        </w:rPr>
        <w:t>：</w:t>
      </w:r>
    </w:p>
    <w:p w14:paraId="08511C4B">
      <w:pPr>
        <w:pStyle w:val="164"/>
        <w:spacing w:before="100" w:after="100" w:line="330" w:lineRule="exact"/>
        <w:ind w:firstLine="422"/>
        <w:rPr>
          <w:szCs w:val="21"/>
        </w:rPr>
      </w:pPr>
      <w:r>
        <w:rPr>
          <w:b/>
          <w:bCs/>
          <w:szCs w:val="21"/>
        </w:rPr>
        <w:t>1</w:t>
      </w:r>
      <w:r>
        <w:rPr>
          <w:szCs w:val="21"/>
        </w:rPr>
        <w:t xml:space="preserve"> 防雷与接地装置安装应符合下列</w:t>
      </w:r>
      <w:r>
        <w:rPr>
          <w:rFonts w:hint="eastAsia"/>
          <w:szCs w:val="21"/>
        </w:rPr>
        <w:t>规定</w:t>
      </w:r>
      <w:r>
        <w:rPr>
          <w:szCs w:val="21"/>
        </w:rPr>
        <w:t>：</w:t>
      </w:r>
    </w:p>
    <w:p w14:paraId="2AB71B3A">
      <w:pPr>
        <w:pStyle w:val="164"/>
        <w:numPr>
          <w:ilvl w:val="0"/>
          <w:numId w:val="281"/>
        </w:numPr>
        <w:tabs>
          <w:tab w:val="left" w:pos="210"/>
          <w:tab w:val="left" w:pos="567"/>
        </w:tabs>
        <w:spacing w:line="330" w:lineRule="exact"/>
        <w:ind w:firstLine="630" w:firstLineChars="300"/>
        <w:rPr>
          <w:szCs w:val="21"/>
        </w:rPr>
      </w:pPr>
      <w:r>
        <w:rPr>
          <w:szCs w:val="21"/>
        </w:rPr>
        <w:t>电涌保护器的安装应符合下列规定：</w:t>
      </w:r>
      <w:r>
        <w:rPr>
          <w:szCs w:val="21"/>
        </w:rPr>
        <w:tab/>
      </w:r>
    </w:p>
    <w:p w14:paraId="4D9C3977">
      <w:pPr>
        <w:pStyle w:val="164"/>
        <w:numPr>
          <w:ilvl w:val="0"/>
          <w:numId w:val="282"/>
        </w:numPr>
        <w:autoSpaceDE w:val="0"/>
        <w:autoSpaceDN w:val="0"/>
        <w:adjustRightInd w:val="0"/>
        <w:snapToGrid w:val="0"/>
        <w:spacing w:line="330" w:lineRule="exact"/>
        <w:ind w:left="0" w:firstLine="840" w:firstLineChars="400"/>
        <w:rPr>
          <w:szCs w:val="21"/>
        </w:rPr>
      </w:pPr>
      <w:bookmarkStart w:id="305" w:name="bookmark1957"/>
      <w:bookmarkEnd w:id="305"/>
      <w:r>
        <w:rPr>
          <w:szCs w:val="21"/>
        </w:rPr>
        <w:t>安装电涌保护器时，安装位置和使用环境应</w:t>
      </w:r>
      <w:r>
        <w:rPr>
          <w:rFonts w:hint="eastAsia"/>
          <w:szCs w:val="21"/>
        </w:rPr>
        <w:t>满足</w:t>
      </w:r>
      <w:r>
        <w:rPr>
          <w:szCs w:val="21"/>
        </w:rPr>
        <w:t>技术要求；</w:t>
      </w:r>
    </w:p>
    <w:p w14:paraId="7D556950">
      <w:pPr>
        <w:pStyle w:val="164"/>
        <w:numPr>
          <w:ilvl w:val="0"/>
          <w:numId w:val="282"/>
        </w:numPr>
        <w:autoSpaceDE w:val="0"/>
        <w:autoSpaceDN w:val="0"/>
        <w:adjustRightInd w:val="0"/>
        <w:snapToGrid w:val="0"/>
        <w:spacing w:line="330" w:lineRule="exact"/>
        <w:ind w:left="0" w:firstLine="840" w:firstLineChars="400"/>
        <w:rPr>
          <w:szCs w:val="21"/>
        </w:rPr>
      </w:pPr>
      <w:bookmarkStart w:id="306" w:name="bookmark1958"/>
      <w:bookmarkEnd w:id="306"/>
      <w:r>
        <w:rPr>
          <w:szCs w:val="21"/>
        </w:rPr>
        <w:t>安装应牢固，接线应可靠，电涌保护器两端连接导线应短而直，不要形成环路、急弯或扭折；</w:t>
      </w:r>
    </w:p>
    <w:p w14:paraId="50B60F28">
      <w:pPr>
        <w:pStyle w:val="164"/>
        <w:numPr>
          <w:ilvl w:val="0"/>
          <w:numId w:val="282"/>
        </w:numPr>
        <w:autoSpaceDE w:val="0"/>
        <w:autoSpaceDN w:val="0"/>
        <w:adjustRightInd w:val="0"/>
        <w:snapToGrid w:val="0"/>
        <w:spacing w:line="330" w:lineRule="exact"/>
        <w:ind w:left="0" w:firstLine="840" w:firstLineChars="400"/>
        <w:rPr>
          <w:szCs w:val="21"/>
        </w:rPr>
      </w:pPr>
      <w:bookmarkStart w:id="307" w:name="bookmark1959"/>
      <w:bookmarkEnd w:id="307"/>
      <w:r>
        <w:rPr>
          <w:szCs w:val="21"/>
        </w:rPr>
        <w:t>电涌保护器两端连接导线长度不宜大于0.5m；</w:t>
      </w:r>
      <w:bookmarkStart w:id="308" w:name="bookmark1960"/>
      <w:bookmarkEnd w:id="308"/>
    </w:p>
    <w:p w14:paraId="73705D5A">
      <w:pPr>
        <w:pStyle w:val="164"/>
        <w:numPr>
          <w:ilvl w:val="0"/>
          <w:numId w:val="282"/>
        </w:numPr>
        <w:autoSpaceDE w:val="0"/>
        <w:autoSpaceDN w:val="0"/>
        <w:adjustRightInd w:val="0"/>
        <w:snapToGrid w:val="0"/>
        <w:spacing w:line="330" w:lineRule="exact"/>
        <w:ind w:left="0" w:firstLine="840" w:firstLineChars="400"/>
        <w:rPr>
          <w:szCs w:val="21"/>
        </w:rPr>
      </w:pPr>
      <w:r>
        <w:rPr>
          <w:szCs w:val="21"/>
        </w:rPr>
        <w:t>当受条件限制电涌保护器两端连接导线长度大于0.5m时，可采用V形接线方式；</w:t>
      </w:r>
      <w:bookmarkStart w:id="309" w:name="bookmark1961"/>
      <w:bookmarkEnd w:id="309"/>
    </w:p>
    <w:p w14:paraId="38BA2E25">
      <w:pPr>
        <w:pStyle w:val="164"/>
        <w:numPr>
          <w:ilvl w:val="0"/>
          <w:numId w:val="281"/>
        </w:numPr>
        <w:tabs>
          <w:tab w:val="left" w:pos="210"/>
          <w:tab w:val="left" w:pos="567"/>
        </w:tabs>
        <w:spacing w:line="330" w:lineRule="exact"/>
        <w:ind w:firstLine="630" w:firstLineChars="300"/>
        <w:rPr>
          <w:szCs w:val="21"/>
        </w:rPr>
      </w:pPr>
      <w:r>
        <w:rPr>
          <w:szCs w:val="21"/>
        </w:rPr>
        <w:t>安装多级电涌保护器时，间隙型电涌保护器（T1型）和限压型电涌保护器（T2型）之间的线缆长度不宜＜10m；两级限压型电涌保护器（T2型）之间的线缆长度不应＜5m。</w:t>
      </w:r>
    </w:p>
    <w:p w14:paraId="5989235F">
      <w:pPr>
        <w:pStyle w:val="164"/>
        <w:numPr>
          <w:ilvl w:val="0"/>
          <w:numId w:val="281"/>
        </w:numPr>
        <w:tabs>
          <w:tab w:val="left" w:pos="210"/>
          <w:tab w:val="left" w:pos="567"/>
        </w:tabs>
        <w:spacing w:line="330" w:lineRule="exact"/>
        <w:ind w:firstLine="630" w:firstLineChars="300"/>
        <w:rPr>
          <w:szCs w:val="21"/>
        </w:rPr>
      </w:pPr>
      <w:r>
        <w:rPr>
          <w:szCs w:val="21"/>
        </w:rPr>
        <w:t>机房区域内外露的不带电的金属物应与建筑物进行等电位联结。</w:t>
      </w:r>
    </w:p>
    <w:p w14:paraId="7D1EDCDC">
      <w:pPr>
        <w:pStyle w:val="164"/>
        <w:numPr>
          <w:ilvl w:val="0"/>
          <w:numId w:val="281"/>
        </w:numPr>
        <w:tabs>
          <w:tab w:val="left" w:pos="210"/>
          <w:tab w:val="left" w:pos="567"/>
        </w:tabs>
        <w:spacing w:line="330" w:lineRule="exact"/>
        <w:ind w:firstLine="630" w:firstLineChars="300"/>
        <w:rPr>
          <w:szCs w:val="21"/>
        </w:rPr>
      </w:pPr>
      <w:r>
        <w:rPr>
          <w:szCs w:val="21"/>
        </w:rPr>
        <w:t>接地装置设置形式应满足设计要求，焊接应无虚焊。连接处不应松动、脱焊、接触不良，并应采取防腐措施。接地体埋设位置和深度应满足设计要求。接地引下线应固定牢固。</w:t>
      </w:r>
    </w:p>
    <w:p w14:paraId="240BCC99">
      <w:pPr>
        <w:pStyle w:val="164"/>
        <w:numPr>
          <w:ilvl w:val="0"/>
          <w:numId w:val="281"/>
        </w:numPr>
        <w:tabs>
          <w:tab w:val="left" w:pos="210"/>
          <w:tab w:val="left" w:pos="567"/>
        </w:tabs>
        <w:spacing w:line="330" w:lineRule="exact"/>
        <w:ind w:firstLine="630" w:firstLineChars="300"/>
        <w:rPr>
          <w:szCs w:val="21"/>
        </w:rPr>
      </w:pPr>
      <w:r>
        <w:rPr>
          <w:szCs w:val="21"/>
        </w:rPr>
        <w:t>接地电阻值无法满足设计要求时，应采取物理或化学降阻措施。</w:t>
      </w:r>
    </w:p>
    <w:p w14:paraId="73B4D9FA">
      <w:pPr>
        <w:pStyle w:val="164"/>
        <w:numPr>
          <w:ilvl w:val="0"/>
          <w:numId w:val="281"/>
        </w:numPr>
        <w:tabs>
          <w:tab w:val="left" w:pos="210"/>
          <w:tab w:val="left" w:pos="567"/>
        </w:tabs>
        <w:spacing w:line="330" w:lineRule="exact"/>
        <w:ind w:firstLine="630" w:firstLineChars="300"/>
        <w:rPr>
          <w:szCs w:val="21"/>
        </w:rPr>
      </w:pPr>
      <w:r>
        <w:rPr>
          <w:szCs w:val="21"/>
        </w:rPr>
        <w:t>等电位联结应符合下列规定：</w:t>
      </w:r>
    </w:p>
    <w:p w14:paraId="7C1B4833">
      <w:pPr>
        <w:pStyle w:val="164"/>
        <w:numPr>
          <w:ilvl w:val="0"/>
          <w:numId w:val="283"/>
        </w:numPr>
        <w:autoSpaceDE w:val="0"/>
        <w:autoSpaceDN w:val="0"/>
        <w:adjustRightInd w:val="0"/>
        <w:snapToGrid w:val="0"/>
        <w:spacing w:line="330" w:lineRule="exact"/>
        <w:ind w:left="0" w:firstLine="840" w:firstLineChars="400"/>
        <w:rPr>
          <w:szCs w:val="21"/>
        </w:rPr>
      </w:pPr>
      <w:bookmarkStart w:id="310" w:name="bookmark1966"/>
      <w:bookmarkEnd w:id="310"/>
      <w:r>
        <w:rPr>
          <w:rFonts w:hint="eastAsia"/>
          <w:szCs w:val="21"/>
        </w:rPr>
        <w:t>应</w:t>
      </w:r>
      <w:r>
        <w:rPr>
          <w:szCs w:val="21"/>
        </w:rPr>
        <w:t>采用焊接、熔接或压接；</w:t>
      </w:r>
      <w:bookmarkStart w:id="311" w:name="bookmark1967"/>
      <w:bookmarkEnd w:id="311"/>
    </w:p>
    <w:p w14:paraId="3DADBA73">
      <w:pPr>
        <w:pStyle w:val="164"/>
        <w:numPr>
          <w:ilvl w:val="0"/>
          <w:numId w:val="283"/>
        </w:numPr>
        <w:autoSpaceDE w:val="0"/>
        <w:autoSpaceDN w:val="0"/>
        <w:adjustRightInd w:val="0"/>
        <w:snapToGrid w:val="0"/>
        <w:spacing w:line="330" w:lineRule="exact"/>
        <w:ind w:left="0" w:firstLine="840" w:firstLineChars="400"/>
        <w:rPr>
          <w:szCs w:val="21"/>
        </w:rPr>
      </w:pPr>
      <w:r>
        <w:rPr>
          <w:szCs w:val="21"/>
        </w:rPr>
        <w:t>焊接、熔接或压接的金属表面应进行处理，使金属表面裸露；</w:t>
      </w:r>
      <w:bookmarkStart w:id="312" w:name="bookmark1968"/>
      <w:bookmarkEnd w:id="312"/>
    </w:p>
    <w:p w14:paraId="4CD6933C">
      <w:pPr>
        <w:pStyle w:val="164"/>
        <w:numPr>
          <w:ilvl w:val="0"/>
          <w:numId w:val="283"/>
        </w:numPr>
        <w:autoSpaceDE w:val="0"/>
        <w:autoSpaceDN w:val="0"/>
        <w:adjustRightInd w:val="0"/>
        <w:snapToGrid w:val="0"/>
        <w:spacing w:line="330" w:lineRule="exact"/>
        <w:ind w:left="0" w:firstLine="840" w:firstLineChars="400"/>
        <w:rPr>
          <w:szCs w:val="21"/>
        </w:rPr>
      </w:pPr>
      <w:r>
        <w:rPr>
          <w:szCs w:val="21"/>
        </w:rPr>
        <w:t>连接处应无毛刺、明显伤痕，安装应平整、连接牢固；</w:t>
      </w:r>
      <w:bookmarkStart w:id="313" w:name="bookmark1969"/>
      <w:bookmarkEnd w:id="313"/>
    </w:p>
    <w:p w14:paraId="5EDB4D3F">
      <w:pPr>
        <w:pStyle w:val="164"/>
        <w:numPr>
          <w:ilvl w:val="0"/>
          <w:numId w:val="283"/>
        </w:numPr>
        <w:autoSpaceDE w:val="0"/>
        <w:autoSpaceDN w:val="0"/>
        <w:adjustRightInd w:val="0"/>
        <w:snapToGrid w:val="0"/>
        <w:spacing w:line="330" w:lineRule="exact"/>
        <w:ind w:left="0" w:firstLine="840" w:firstLineChars="400"/>
        <w:rPr>
          <w:szCs w:val="21"/>
        </w:rPr>
      </w:pPr>
      <w:r>
        <w:rPr>
          <w:szCs w:val="21"/>
        </w:rPr>
        <w:t>连接处应进行防腐处理。</w:t>
      </w:r>
    </w:p>
    <w:p w14:paraId="1E2F4BAC">
      <w:pPr>
        <w:pStyle w:val="164"/>
        <w:spacing w:before="100" w:after="100" w:line="330" w:lineRule="exact"/>
        <w:ind w:firstLine="422"/>
        <w:rPr>
          <w:szCs w:val="21"/>
        </w:rPr>
      </w:pPr>
      <w:r>
        <w:rPr>
          <w:b/>
          <w:bCs/>
          <w:szCs w:val="21"/>
        </w:rPr>
        <w:t>2</w:t>
      </w:r>
      <w:r>
        <w:rPr>
          <w:szCs w:val="21"/>
        </w:rPr>
        <w:t xml:space="preserve"> 接地线安装应符合下列</w:t>
      </w:r>
      <w:r>
        <w:rPr>
          <w:rFonts w:hint="eastAsia"/>
          <w:szCs w:val="21"/>
        </w:rPr>
        <w:t>规定</w:t>
      </w:r>
      <w:r>
        <w:rPr>
          <w:szCs w:val="21"/>
        </w:rPr>
        <w:t>：</w:t>
      </w:r>
    </w:p>
    <w:p w14:paraId="1776BA89">
      <w:pPr>
        <w:pStyle w:val="164"/>
        <w:numPr>
          <w:ilvl w:val="0"/>
          <w:numId w:val="284"/>
        </w:numPr>
        <w:tabs>
          <w:tab w:val="left" w:pos="210"/>
          <w:tab w:val="left" w:pos="567"/>
        </w:tabs>
        <w:spacing w:line="330" w:lineRule="exact"/>
        <w:ind w:firstLine="630" w:firstLineChars="300"/>
        <w:rPr>
          <w:szCs w:val="21"/>
        </w:rPr>
      </w:pPr>
      <w:r>
        <w:rPr>
          <w:szCs w:val="21"/>
        </w:rPr>
        <w:t>接地线安装应符合下列规定：</w:t>
      </w:r>
    </w:p>
    <w:p w14:paraId="40DEE453">
      <w:pPr>
        <w:pStyle w:val="164"/>
        <w:numPr>
          <w:ilvl w:val="0"/>
          <w:numId w:val="285"/>
        </w:numPr>
        <w:autoSpaceDE w:val="0"/>
        <w:autoSpaceDN w:val="0"/>
        <w:adjustRightInd w:val="0"/>
        <w:snapToGrid w:val="0"/>
        <w:spacing w:line="330" w:lineRule="exact"/>
        <w:ind w:left="0" w:firstLine="840" w:firstLineChars="400"/>
        <w:rPr>
          <w:szCs w:val="21"/>
        </w:rPr>
      </w:pPr>
      <w:bookmarkStart w:id="314" w:name="bookmark1971"/>
      <w:bookmarkEnd w:id="314"/>
      <w:r>
        <w:rPr>
          <w:szCs w:val="21"/>
        </w:rPr>
        <w:t>接地线不得有机械损伤；</w:t>
      </w:r>
    </w:p>
    <w:p w14:paraId="41EA13BA">
      <w:pPr>
        <w:pStyle w:val="164"/>
        <w:numPr>
          <w:ilvl w:val="0"/>
          <w:numId w:val="285"/>
        </w:numPr>
        <w:autoSpaceDE w:val="0"/>
        <w:autoSpaceDN w:val="0"/>
        <w:adjustRightInd w:val="0"/>
        <w:snapToGrid w:val="0"/>
        <w:spacing w:line="330" w:lineRule="exact"/>
        <w:ind w:left="0" w:firstLine="840" w:firstLineChars="400"/>
        <w:rPr>
          <w:szCs w:val="21"/>
        </w:rPr>
      </w:pPr>
      <w:bookmarkStart w:id="315" w:name="bookmark1972"/>
      <w:bookmarkEnd w:id="315"/>
      <w:r>
        <w:rPr>
          <w:szCs w:val="21"/>
        </w:rPr>
        <w:t>接地线穿越墙壁、楼板时应加装保护套管；</w:t>
      </w:r>
    </w:p>
    <w:p w14:paraId="4C039CAA">
      <w:pPr>
        <w:pStyle w:val="164"/>
        <w:numPr>
          <w:ilvl w:val="0"/>
          <w:numId w:val="285"/>
        </w:numPr>
        <w:autoSpaceDE w:val="0"/>
        <w:autoSpaceDN w:val="0"/>
        <w:adjustRightInd w:val="0"/>
        <w:snapToGrid w:val="0"/>
        <w:spacing w:line="330" w:lineRule="exact"/>
        <w:ind w:left="0" w:firstLine="840" w:firstLineChars="400"/>
        <w:rPr>
          <w:szCs w:val="21"/>
        </w:rPr>
      </w:pPr>
      <w:bookmarkStart w:id="316" w:name="bookmark1973"/>
      <w:bookmarkEnd w:id="316"/>
      <w:r>
        <w:rPr>
          <w:szCs w:val="21"/>
        </w:rPr>
        <w:t>接地线在有化学腐蚀的位置应采取防腐措施；</w:t>
      </w:r>
      <w:r>
        <w:rPr>
          <w:szCs w:val="21"/>
        </w:rPr>
        <w:tab/>
      </w:r>
    </w:p>
    <w:p w14:paraId="419DF448">
      <w:pPr>
        <w:pStyle w:val="164"/>
        <w:numPr>
          <w:ilvl w:val="0"/>
          <w:numId w:val="285"/>
        </w:numPr>
        <w:autoSpaceDE w:val="0"/>
        <w:autoSpaceDN w:val="0"/>
        <w:adjustRightInd w:val="0"/>
        <w:snapToGrid w:val="0"/>
        <w:spacing w:line="330" w:lineRule="exact"/>
        <w:ind w:left="0" w:firstLine="840" w:firstLineChars="400"/>
        <w:rPr>
          <w:szCs w:val="21"/>
        </w:rPr>
      </w:pPr>
      <w:bookmarkStart w:id="317" w:name="bookmark1974"/>
      <w:bookmarkEnd w:id="317"/>
      <w:r>
        <w:rPr>
          <w:szCs w:val="21"/>
        </w:rPr>
        <w:t>在跨越建筑物伸缩缝、沉降缝处，接地线应弯成弧状,弧长宜为缝宽的1.5倍；</w:t>
      </w:r>
    </w:p>
    <w:p w14:paraId="63B155C8">
      <w:pPr>
        <w:pStyle w:val="164"/>
        <w:numPr>
          <w:ilvl w:val="0"/>
          <w:numId w:val="285"/>
        </w:numPr>
        <w:autoSpaceDE w:val="0"/>
        <w:autoSpaceDN w:val="0"/>
        <w:adjustRightInd w:val="0"/>
        <w:snapToGrid w:val="0"/>
        <w:spacing w:line="330" w:lineRule="exact"/>
        <w:ind w:left="0" w:firstLine="840" w:firstLineChars="400"/>
        <w:rPr>
          <w:szCs w:val="21"/>
        </w:rPr>
      </w:pPr>
      <w:bookmarkStart w:id="318" w:name="bookmark1975"/>
      <w:bookmarkEnd w:id="318"/>
      <w:r>
        <w:rPr>
          <w:szCs w:val="21"/>
        </w:rPr>
        <w:t>接地线的敷设应平直、整齐。转弯时，弯曲半径应符合</w:t>
      </w:r>
      <w:r>
        <w:rPr>
          <w:rFonts w:hint="eastAsia"/>
          <w:szCs w:val="21"/>
        </w:rPr>
        <w:t>本规程</w:t>
      </w:r>
      <w:r>
        <w:rPr>
          <w:szCs w:val="21"/>
        </w:rPr>
        <w:t>表21.3.4-1的规定；</w:t>
      </w:r>
    </w:p>
    <w:p w14:paraId="2534BB84">
      <w:pPr>
        <w:pStyle w:val="164"/>
        <w:numPr>
          <w:ilvl w:val="0"/>
          <w:numId w:val="285"/>
        </w:numPr>
        <w:autoSpaceDE w:val="0"/>
        <w:autoSpaceDN w:val="0"/>
        <w:adjustRightInd w:val="0"/>
        <w:snapToGrid w:val="0"/>
        <w:spacing w:line="330" w:lineRule="exact"/>
        <w:ind w:left="0" w:firstLine="840" w:firstLineChars="400"/>
        <w:rPr>
          <w:szCs w:val="21"/>
        </w:rPr>
      </w:pPr>
      <w:bookmarkStart w:id="319" w:name="bookmark1976"/>
      <w:bookmarkEnd w:id="319"/>
      <w:r>
        <w:rPr>
          <w:szCs w:val="21"/>
        </w:rPr>
        <w:t>接地线的连接宜采用焊接，焊接应牢固、无虚焊，焊接部位应进行防腐处理。</w:t>
      </w:r>
    </w:p>
    <w:p w14:paraId="730A72F8">
      <w:pPr>
        <w:pStyle w:val="164"/>
        <w:numPr>
          <w:ilvl w:val="0"/>
          <w:numId w:val="284"/>
        </w:numPr>
        <w:tabs>
          <w:tab w:val="left" w:pos="210"/>
          <w:tab w:val="left" w:pos="567"/>
        </w:tabs>
        <w:spacing w:line="330" w:lineRule="exact"/>
        <w:ind w:firstLine="630" w:firstLineChars="300"/>
        <w:rPr>
          <w:szCs w:val="21"/>
        </w:rPr>
      </w:pPr>
      <w:r>
        <w:rPr>
          <w:szCs w:val="21"/>
        </w:rPr>
        <w:t>在雷电防护区的界面处应安装等电位接地端子板，并应符合下列规定：</w:t>
      </w:r>
    </w:p>
    <w:p w14:paraId="72E980E3">
      <w:pPr>
        <w:pStyle w:val="164"/>
        <w:numPr>
          <w:ilvl w:val="0"/>
          <w:numId w:val="286"/>
        </w:numPr>
        <w:autoSpaceDE w:val="0"/>
        <w:autoSpaceDN w:val="0"/>
        <w:adjustRightInd w:val="0"/>
        <w:snapToGrid w:val="0"/>
        <w:spacing w:line="330" w:lineRule="exact"/>
        <w:ind w:left="0" w:firstLine="840" w:firstLineChars="400"/>
        <w:rPr>
          <w:szCs w:val="21"/>
        </w:rPr>
      </w:pPr>
      <w:bookmarkStart w:id="320" w:name="bookmark1978"/>
      <w:bookmarkEnd w:id="320"/>
      <w:r>
        <w:rPr>
          <w:szCs w:val="21"/>
        </w:rPr>
        <w:t>材料规格应满足设计要求，并应与接地装置连接；</w:t>
      </w:r>
    </w:p>
    <w:p w14:paraId="03027AC8">
      <w:pPr>
        <w:pStyle w:val="164"/>
        <w:numPr>
          <w:ilvl w:val="0"/>
          <w:numId w:val="286"/>
        </w:numPr>
        <w:autoSpaceDE w:val="0"/>
        <w:autoSpaceDN w:val="0"/>
        <w:adjustRightInd w:val="0"/>
        <w:snapToGrid w:val="0"/>
        <w:spacing w:line="330" w:lineRule="exact"/>
        <w:ind w:left="0" w:firstLine="840" w:firstLineChars="400"/>
        <w:rPr>
          <w:szCs w:val="21"/>
        </w:rPr>
      </w:pPr>
      <w:bookmarkStart w:id="321" w:name="bookmark1979"/>
      <w:bookmarkEnd w:id="321"/>
      <w:r>
        <w:rPr>
          <w:szCs w:val="21"/>
        </w:rPr>
        <w:t>接地端子应做明显标记，接地线沿长度方向应用黄绿相间的条纹进行标记。</w:t>
      </w:r>
    </w:p>
    <w:p w14:paraId="112CF6F1">
      <w:pPr>
        <w:pStyle w:val="164"/>
        <w:numPr>
          <w:ilvl w:val="0"/>
          <w:numId w:val="284"/>
        </w:numPr>
        <w:tabs>
          <w:tab w:val="left" w:pos="210"/>
          <w:tab w:val="left" w:pos="567"/>
        </w:tabs>
        <w:spacing w:line="330" w:lineRule="exact"/>
        <w:ind w:firstLine="630" w:firstLineChars="300"/>
        <w:rPr>
          <w:szCs w:val="21"/>
        </w:rPr>
      </w:pPr>
      <w:r>
        <w:rPr>
          <w:szCs w:val="21"/>
        </w:rPr>
        <w:t>每个电气装置的接地应以单独的接地线就近与接地干线或接地网相连接，不得串接。</w:t>
      </w:r>
    </w:p>
    <w:p w14:paraId="050A3C72">
      <w:pPr>
        <w:pStyle w:val="164"/>
        <w:spacing w:before="100" w:after="100" w:line="330" w:lineRule="exact"/>
        <w:ind w:firstLine="0" w:firstLineChars="0"/>
        <w:rPr>
          <w:szCs w:val="21"/>
        </w:rPr>
      </w:pPr>
      <w:r>
        <w:rPr>
          <w:szCs w:val="21"/>
        </w:rPr>
        <w:t>21.3.7空气调节系统安装应符合下列</w:t>
      </w:r>
      <w:r>
        <w:rPr>
          <w:rFonts w:hint="eastAsia"/>
          <w:szCs w:val="21"/>
        </w:rPr>
        <w:t>规定</w:t>
      </w:r>
      <w:r>
        <w:rPr>
          <w:szCs w:val="21"/>
        </w:rPr>
        <w:t>：</w:t>
      </w:r>
    </w:p>
    <w:p w14:paraId="74BD9111">
      <w:pPr>
        <w:pStyle w:val="164"/>
        <w:spacing w:before="100" w:after="100" w:line="330" w:lineRule="exact"/>
        <w:ind w:firstLine="422"/>
        <w:rPr>
          <w:szCs w:val="21"/>
        </w:rPr>
      </w:pPr>
      <w:r>
        <w:rPr>
          <w:b/>
          <w:bCs/>
          <w:szCs w:val="21"/>
        </w:rPr>
        <w:t>1</w:t>
      </w:r>
      <w:r>
        <w:rPr>
          <w:szCs w:val="21"/>
        </w:rPr>
        <w:t xml:space="preserve"> 空调设备安装应符合下列</w:t>
      </w:r>
      <w:r>
        <w:rPr>
          <w:rFonts w:hint="eastAsia"/>
          <w:szCs w:val="21"/>
        </w:rPr>
        <w:t>规定</w:t>
      </w:r>
      <w:r>
        <w:rPr>
          <w:szCs w:val="21"/>
        </w:rPr>
        <w:t>：</w:t>
      </w:r>
    </w:p>
    <w:p w14:paraId="27732719">
      <w:pPr>
        <w:pStyle w:val="164"/>
        <w:numPr>
          <w:ilvl w:val="0"/>
          <w:numId w:val="287"/>
        </w:numPr>
        <w:tabs>
          <w:tab w:val="left" w:pos="210"/>
          <w:tab w:val="left" w:pos="567"/>
        </w:tabs>
        <w:spacing w:line="330" w:lineRule="exact"/>
        <w:ind w:firstLine="630" w:firstLineChars="300"/>
        <w:rPr>
          <w:szCs w:val="21"/>
        </w:rPr>
      </w:pPr>
      <w:r>
        <w:rPr>
          <w:szCs w:val="21"/>
        </w:rPr>
        <w:t>空调设备安装前，应完成空调设备基座的制作与安装。</w:t>
      </w:r>
    </w:p>
    <w:p w14:paraId="07AFAF8B">
      <w:pPr>
        <w:pStyle w:val="164"/>
        <w:numPr>
          <w:ilvl w:val="0"/>
          <w:numId w:val="287"/>
        </w:numPr>
        <w:tabs>
          <w:tab w:val="left" w:pos="210"/>
          <w:tab w:val="left" w:pos="567"/>
        </w:tabs>
        <w:spacing w:line="330" w:lineRule="exact"/>
        <w:ind w:firstLine="630" w:firstLineChars="300"/>
        <w:rPr>
          <w:szCs w:val="21"/>
        </w:rPr>
      </w:pPr>
      <w:r>
        <w:rPr>
          <w:szCs w:val="21"/>
        </w:rPr>
        <w:t>空调设备安装时，在机组与基座之间应采取隔振措施,且应固定牢靠。</w:t>
      </w:r>
    </w:p>
    <w:p w14:paraId="79EE2994">
      <w:pPr>
        <w:pStyle w:val="164"/>
        <w:numPr>
          <w:ilvl w:val="0"/>
          <w:numId w:val="287"/>
        </w:numPr>
        <w:tabs>
          <w:tab w:val="left" w:pos="210"/>
          <w:tab w:val="left" w:pos="567"/>
        </w:tabs>
        <w:spacing w:line="330" w:lineRule="exact"/>
        <w:ind w:firstLine="630" w:firstLineChars="300"/>
        <w:rPr>
          <w:szCs w:val="21"/>
        </w:rPr>
      </w:pPr>
      <w:r>
        <w:rPr>
          <w:szCs w:val="21"/>
        </w:rPr>
        <w:t>空调设备的安装位置应满足冷却风</w:t>
      </w:r>
      <w:bookmarkStart w:id="322" w:name="bookmark1985"/>
      <w:bookmarkStart w:id="323" w:name="bookmark1984"/>
      <w:bookmarkStart w:id="324" w:name="bookmark1986"/>
      <w:r>
        <w:rPr>
          <w:szCs w:val="21"/>
        </w:rPr>
        <w:tab/>
      </w:r>
      <w:bookmarkEnd w:id="322"/>
      <w:bookmarkEnd w:id="323"/>
      <w:bookmarkEnd w:id="324"/>
      <w:r>
        <w:rPr>
          <w:szCs w:val="21"/>
        </w:rPr>
        <w:t>循环空间要求。</w:t>
      </w:r>
      <w:bookmarkStart w:id="325" w:name="bookmark1989"/>
      <w:bookmarkStart w:id="326" w:name="bookmark1987"/>
      <w:bookmarkStart w:id="327" w:name="bookmark1988"/>
      <w:r>
        <w:rPr>
          <w:szCs w:val="21"/>
        </w:rPr>
        <w:tab/>
      </w:r>
      <w:bookmarkEnd w:id="325"/>
      <w:bookmarkEnd w:id="326"/>
      <w:bookmarkEnd w:id="327"/>
    </w:p>
    <w:p w14:paraId="40BE1AE9">
      <w:pPr>
        <w:pStyle w:val="164"/>
        <w:numPr>
          <w:ilvl w:val="0"/>
          <w:numId w:val="287"/>
        </w:numPr>
        <w:tabs>
          <w:tab w:val="left" w:pos="210"/>
          <w:tab w:val="left" w:pos="567"/>
        </w:tabs>
        <w:spacing w:line="330" w:lineRule="exact"/>
        <w:ind w:firstLine="630" w:firstLineChars="300"/>
        <w:rPr>
          <w:szCs w:val="21"/>
        </w:rPr>
      </w:pPr>
      <w:r>
        <w:rPr>
          <w:szCs w:val="21"/>
        </w:rPr>
        <w:t>分体式空调机，连接室内机组与室外机组的气管和液管,应按设备技术要求进行安装。气管与液管为硬紫铜管时，应按设计位置安装存油弯和防振管</w:t>
      </w:r>
      <w:bookmarkStart w:id="328" w:name="bookmark1995"/>
      <w:bookmarkStart w:id="329" w:name="bookmark1996"/>
      <w:bookmarkStart w:id="330" w:name="bookmark1994"/>
      <w:r>
        <w:rPr>
          <w:rFonts w:hint="eastAsia"/>
          <w:szCs w:val="21"/>
        </w:rPr>
        <w:t>。</w:t>
      </w:r>
      <w:r>
        <w:rPr>
          <w:szCs w:val="21"/>
        </w:rPr>
        <w:tab/>
      </w:r>
      <w:bookmarkEnd w:id="328"/>
      <w:bookmarkEnd w:id="329"/>
      <w:bookmarkEnd w:id="330"/>
    </w:p>
    <w:p w14:paraId="581B3821">
      <w:pPr>
        <w:pStyle w:val="164"/>
        <w:numPr>
          <w:ilvl w:val="0"/>
          <w:numId w:val="287"/>
        </w:numPr>
        <w:tabs>
          <w:tab w:val="left" w:pos="210"/>
          <w:tab w:val="left" w:pos="567"/>
        </w:tabs>
        <w:spacing w:line="330" w:lineRule="exact"/>
        <w:ind w:firstLine="630" w:firstLineChars="300"/>
        <w:rPr>
          <w:szCs w:val="21"/>
        </w:rPr>
      </w:pPr>
      <w:r>
        <w:rPr>
          <w:szCs w:val="21"/>
        </w:rPr>
        <w:t>专用空调机组安装应符合下列规定：</w:t>
      </w:r>
    </w:p>
    <w:p w14:paraId="274541E0">
      <w:pPr>
        <w:pStyle w:val="164"/>
        <w:spacing w:line="330" w:lineRule="exact"/>
        <w:ind w:left="630" w:firstLine="210" w:firstLineChars="100"/>
        <w:rPr>
          <w:szCs w:val="21"/>
        </w:rPr>
      </w:pPr>
      <w:bookmarkStart w:id="331" w:name="bookmark1998"/>
      <w:bookmarkEnd w:id="331"/>
      <w:r>
        <w:rPr>
          <w:szCs w:val="21"/>
        </w:rPr>
        <w:t>(1) 采用下送风时，送风口与底座、地板或隔墙接缝处应采取密封措施；</w:t>
      </w:r>
      <w:bookmarkStart w:id="332" w:name="bookmark1999"/>
      <w:bookmarkEnd w:id="332"/>
    </w:p>
    <w:p w14:paraId="26FCF9D4">
      <w:pPr>
        <w:pStyle w:val="164"/>
        <w:spacing w:line="330" w:lineRule="exact"/>
        <w:ind w:left="630" w:firstLine="210" w:firstLineChars="100"/>
        <w:rPr>
          <w:szCs w:val="21"/>
        </w:rPr>
      </w:pPr>
      <w:r>
        <w:rPr>
          <w:szCs w:val="21"/>
        </w:rPr>
        <w:t>(2) 与冷却水管道连接处，应采取防漏和防结露措施。</w:t>
      </w:r>
      <w:bookmarkStart w:id="333" w:name="bookmark2002"/>
      <w:bookmarkStart w:id="334" w:name="bookmark2001"/>
      <w:bookmarkStart w:id="335" w:name="bookmark2000"/>
      <w:r>
        <w:rPr>
          <w:szCs w:val="21"/>
        </w:rPr>
        <w:tab/>
      </w:r>
      <w:bookmarkEnd w:id="333"/>
      <w:bookmarkEnd w:id="334"/>
      <w:bookmarkEnd w:id="335"/>
    </w:p>
    <w:p w14:paraId="5209107B">
      <w:pPr>
        <w:pStyle w:val="164"/>
        <w:numPr>
          <w:ilvl w:val="0"/>
          <w:numId w:val="287"/>
        </w:numPr>
        <w:tabs>
          <w:tab w:val="left" w:pos="210"/>
          <w:tab w:val="left" w:pos="567"/>
        </w:tabs>
        <w:spacing w:line="330" w:lineRule="exact"/>
        <w:ind w:firstLine="630" w:firstLineChars="300"/>
        <w:rPr>
          <w:szCs w:val="21"/>
        </w:rPr>
      </w:pPr>
      <w:r>
        <w:rPr>
          <w:szCs w:val="21"/>
        </w:rPr>
        <w:t>组合式空调机组，设备与风管的连接处宜采用柔性连接，并应采取加固与保温措施。</w:t>
      </w:r>
    </w:p>
    <w:p w14:paraId="40CA300D">
      <w:pPr>
        <w:pStyle w:val="164"/>
        <w:spacing w:before="100" w:after="100" w:line="330" w:lineRule="exact"/>
        <w:ind w:firstLine="422"/>
        <w:rPr>
          <w:szCs w:val="21"/>
        </w:rPr>
      </w:pPr>
      <w:r>
        <w:rPr>
          <w:b/>
          <w:bCs/>
          <w:szCs w:val="21"/>
        </w:rPr>
        <w:t>2</w:t>
      </w:r>
      <w:r>
        <w:rPr>
          <w:szCs w:val="21"/>
        </w:rPr>
        <w:t xml:space="preserve"> 风管、风管部件制作与安装应符合下列</w:t>
      </w:r>
      <w:r>
        <w:rPr>
          <w:rFonts w:hint="eastAsia"/>
          <w:szCs w:val="21"/>
        </w:rPr>
        <w:t>规定</w:t>
      </w:r>
      <w:r>
        <w:rPr>
          <w:szCs w:val="21"/>
        </w:rPr>
        <w:t>：</w:t>
      </w:r>
    </w:p>
    <w:p w14:paraId="27A235BF">
      <w:pPr>
        <w:pStyle w:val="164"/>
        <w:numPr>
          <w:ilvl w:val="0"/>
          <w:numId w:val="288"/>
        </w:numPr>
        <w:tabs>
          <w:tab w:val="left" w:pos="210"/>
          <w:tab w:val="left" w:pos="567"/>
        </w:tabs>
        <w:spacing w:line="330" w:lineRule="exact"/>
        <w:ind w:firstLine="630" w:firstLineChars="300"/>
        <w:rPr>
          <w:szCs w:val="21"/>
        </w:rPr>
      </w:pPr>
      <w:r>
        <w:rPr>
          <w:szCs w:val="21"/>
        </w:rPr>
        <w:t>空气调节系统风管部件应包含风阀、风罩、风口、过滤器、消声器等部件。</w:t>
      </w:r>
      <w:bookmarkStart w:id="336" w:name="bookmark2007"/>
      <w:bookmarkStart w:id="337" w:name="bookmark2006"/>
      <w:bookmarkStart w:id="338" w:name="bookmark2005"/>
      <w:r>
        <w:rPr>
          <w:szCs w:val="21"/>
        </w:rPr>
        <w:tab/>
      </w:r>
      <w:bookmarkEnd w:id="336"/>
      <w:bookmarkEnd w:id="337"/>
      <w:bookmarkEnd w:id="338"/>
    </w:p>
    <w:p w14:paraId="14F49DC2">
      <w:pPr>
        <w:pStyle w:val="164"/>
        <w:numPr>
          <w:ilvl w:val="0"/>
          <w:numId w:val="288"/>
        </w:numPr>
        <w:tabs>
          <w:tab w:val="left" w:pos="210"/>
          <w:tab w:val="left" w:pos="567"/>
        </w:tabs>
        <w:spacing w:line="330" w:lineRule="exact"/>
        <w:ind w:firstLine="630" w:firstLineChars="300"/>
        <w:rPr>
          <w:szCs w:val="21"/>
        </w:rPr>
      </w:pPr>
      <w:r>
        <w:rPr>
          <w:szCs w:val="21"/>
        </w:rPr>
        <w:t>镀锌钢板制作风管应符合下列规定：</w:t>
      </w:r>
      <w:bookmarkStart w:id="339" w:name="bookmark2010"/>
      <w:bookmarkStart w:id="340" w:name="bookmark2009"/>
      <w:bookmarkStart w:id="341" w:name="bookmark2011"/>
      <w:r>
        <w:rPr>
          <w:szCs w:val="21"/>
        </w:rPr>
        <w:tab/>
      </w:r>
      <w:bookmarkEnd w:id="339"/>
      <w:bookmarkEnd w:id="340"/>
      <w:bookmarkEnd w:id="341"/>
    </w:p>
    <w:p w14:paraId="0754C5E4">
      <w:pPr>
        <w:pStyle w:val="164"/>
        <w:numPr>
          <w:ilvl w:val="0"/>
          <w:numId w:val="289"/>
        </w:numPr>
        <w:autoSpaceDE w:val="0"/>
        <w:autoSpaceDN w:val="0"/>
        <w:adjustRightInd w:val="0"/>
        <w:snapToGrid w:val="0"/>
        <w:spacing w:line="330" w:lineRule="exact"/>
        <w:ind w:left="0" w:firstLine="840" w:firstLineChars="400"/>
        <w:rPr>
          <w:szCs w:val="21"/>
        </w:rPr>
      </w:pPr>
      <w:bookmarkStart w:id="342" w:name="bookmark2012"/>
      <w:bookmarkEnd w:id="342"/>
      <w:r>
        <w:rPr>
          <w:szCs w:val="21"/>
        </w:rPr>
        <w:t>表面应平整，不应有氧化、腐蚀等现象。加工风管时,镀锌层损坏处应涂两遍防锈漆；</w:t>
      </w:r>
      <w:bookmarkStart w:id="343" w:name="bookmark2016"/>
      <w:bookmarkEnd w:id="343"/>
    </w:p>
    <w:p w14:paraId="5A3867F6">
      <w:pPr>
        <w:pStyle w:val="164"/>
        <w:numPr>
          <w:ilvl w:val="0"/>
          <w:numId w:val="289"/>
        </w:numPr>
        <w:autoSpaceDE w:val="0"/>
        <w:autoSpaceDN w:val="0"/>
        <w:adjustRightInd w:val="0"/>
        <w:snapToGrid w:val="0"/>
        <w:spacing w:line="330" w:lineRule="exact"/>
        <w:ind w:left="0" w:firstLine="840" w:firstLineChars="400"/>
        <w:rPr>
          <w:szCs w:val="21"/>
        </w:rPr>
      </w:pPr>
      <w:r>
        <w:rPr>
          <w:szCs w:val="21"/>
        </w:rPr>
        <w:t>风管接缝宜采用咬口方式。板材拼接咬口缝应错开，不得有十字拼接缝；</w:t>
      </w:r>
      <w:bookmarkStart w:id="344" w:name="bookmark2020"/>
      <w:bookmarkEnd w:id="344"/>
    </w:p>
    <w:p w14:paraId="40F921AF">
      <w:pPr>
        <w:pStyle w:val="164"/>
        <w:numPr>
          <w:ilvl w:val="0"/>
          <w:numId w:val="289"/>
        </w:numPr>
        <w:autoSpaceDE w:val="0"/>
        <w:autoSpaceDN w:val="0"/>
        <w:adjustRightInd w:val="0"/>
        <w:snapToGrid w:val="0"/>
        <w:spacing w:line="330" w:lineRule="exact"/>
        <w:ind w:left="0" w:firstLine="840" w:firstLineChars="400"/>
        <w:rPr>
          <w:szCs w:val="21"/>
        </w:rPr>
      </w:pPr>
      <w:r>
        <w:rPr>
          <w:szCs w:val="21"/>
        </w:rPr>
        <w:t>风管内表面应平整光滑，在风管安装前应对内表面进行清洁处理；</w:t>
      </w:r>
      <w:bookmarkStart w:id="345" w:name="bookmark2021"/>
      <w:bookmarkEnd w:id="345"/>
    </w:p>
    <w:p w14:paraId="308DFDD5">
      <w:pPr>
        <w:pStyle w:val="164"/>
        <w:numPr>
          <w:ilvl w:val="0"/>
          <w:numId w:val="289"/>
        </w:numPr>
        <w:autoSpaceDE w:val="0"/>
        <w:autoSpaceDN w:val="0"/>
        <w:adjustRightInd w:val="0"/>
        <w:snapToGrid w:val="0"/>
        <w:spacing w:line="330" w:lineRule="exact"/>
        <w:ind w:left="0" w:firstLine="840" w:firstLineChars="400"/>
        <w:rPr>
          <w:szCs w:val="21"/>
        </w:rPr>
      </w:pPr>
      <w:r>
        <w:rPr>
          <w:szCs w:val="21"/>
        </w:rPr>
        <w:t>对于用角钢法兰连接的风管，风管与法兰的连接应严密,法兰密封垫应选用不透气、不起尘、具有一定弹性的材料，紧固法兰时不得损坏密封垫；</w:t>
      </w:r>
      <w:bookmarkStart w:id="346" w:name="bookmark2022"/>
      <w:bookmarkEnd w:id="346"/>
    </w:p>
    <w:p w14:paraId="524FA440">
      <w:pPr>
        <w:pStyle w:val="164"/>
        <w:numPr>
          <w:ilvl w:val="0"/>
          <w:numId w:val="289"/>
        </w:numPr>
        <w:autoSpaceDE w:val="0"/>
        <w:autoSpaceDN w:val="0"/>
        <w:adjustRightInd w:val="0"/>
        <w:snapToGrid w:val="0"/>
        <w:spacing w:line="330" w:lineRule="exact"/>
        <w:ind w:left="0" w:firstLine="840" w:firstLineChars="400"/>
        <w:rPr>
          <w:szCs w:val="21"/>
        </w:rPr>
      </w:pPr>
      <w:r>
        <w:rPr>
          <w:szCs w:val="21"/>
        </w:rPr>
        <w:t>风管法兰制作应满足设计要求</w:t>
      </w:r>
      <w:r>
        <w:rPr>
          <w:color w:val="191919"/>
          <w:shd w:val="clear" w:color="auto" w:fill="FFFFFF"/>
        </w:rPr>
        <w:t>，并应按现行国家标准《通风与空调工程施工质量验收规范》</w:t>
      </w:r>
      <w:r>
        <w:rPr>
          <w:szCs w:val="22"/>
        </w:rPr>
        <w:t>GB 50243</w:t>
      </w:r>
      <w:r>
        <w:rPr>
          <w:rFonts w:hint="eastAsia"/>
          <w:szCs w:val="22"/>
        </w:rPr>
        <w:t>的相关</w:t>
      </w:r>
      <w:r>
        <w:rPr>
          <w:color w:val="191919"/>
          <w:shd w:val="clear" w:color="auto" w:fill="FFFFFF"/>
        </w:rPr>
        <w:t>规定执行。</w:t>
      </w:r>
    </w:p>
    <w:p w14:paraId="545D1D37">
      <w:pPr>
        <w:pStyle w:val="164"/>
        <w:numPr>
          <w:ilvl w:val="0"/>
          <w:numId w:val="288"/>
        </w:numPr>
        <w:tabs>
          <w:tab w:val="left" w:pos="210"/>
          <w:tab w:val="left" w:pos="567"/>
        </w:tabs>
        <w:spacing w:line="330" w:lineRule="exact"/>
        <w:ind w:firstLine="630" w:firstLineChars="300"/>
        <w:rPr>
          <w:szCs w:val="21"/>
        </w:rPr>
      </w:pPr>
      <w:r>
        <w:rPr>
          <w:szCs w:val="21"/>
        </w:rPr>
        <w:t>矩形风管符合下列情况之一的应采取加固措施：</w:t>
      </w:r>
      <w:bookmarkStart w:id="347" w:name="bookmark2024"/>
      <w:bookmarkEnd w:id="347"/>
    </w:p>
    <w:p w14:paraId="1336AB63">
      <w:pPr>
        <w:pStyle w:val="164"/>
        <w:numPr>
          <w:ilvl w:val="0"/>
          <w:numId w:val="290"/>
        </w:numPr>
        <w:autoSpaceDE w:val="0"/>
        <w:autoSpaceDN w:val="0"/>
        <w:adjustRightInd w:val="0"/>
        <w:snapToGrid w:val="0"/>
        <w:spacing w:line="330" w:lineRule="exact"/>
        <w:ind w:left="0" w:firstLine="840" w:firstLineChars="400"/>
        <w:rPr>
          <w:szCs w:val="21"/>
        </w:rPr>
      </w:pPr>
      <w:r>
        <w:rPr>
          <w:szCs w:val="21"/>
        </w:rPr>
        <w:t>无保温层的长边边长大于630mm；</w:t>
      </w:r>
      <w:bookmarkStart w:id="348" w:name="bookmark2025"/>
      <w:bookmarkEnd w:id="348"/>
    </w:p>
    <w:p w14:paraId="3359B7BA">
      <w:pPr>
        <w:pStyle w:val="164"/>
        <w:numPr>
          <w:ilvl w:val="0"/>
          <w:numId w:val="290"/>
        </w:numPr>
        <w:autoSpaceDE w:val="0"/>
        <w:autoSpaceDN w:val="0"/>
        <w:adjustRightInd w:val="0"/>
        <w:snapToGrid w:val="0"/>
        <w:spacing w:line="330" w:lineRule="exact"/>
        <w:ind w:left="0" w:firstLine="840" w:firstLineChars="400"/>
        <w:rPr>
          <w:szCs w:val="21"/>
        </w:rPr>
      </w:pPr>
      <w:r>
        <w:rPr>
          <w:szCs w:val="21"/>
        </w:rPr>
        <w:t>有保温层的长边边长大于800mm；</w:t>
      </w:r>
      <w:bookmarkStart w:id="349" w:name="bookmark2026"/>
      <w:bookmarkEnd w:id="349"/>
    </w:p>
    <w:p w14:paraId="13EA2E58">
      <w:pPr>
        <w:pStyle w:val="164"/>
        <w:numPr>
          <w:ilvl w:val="0"/>
          <w:numId w:val="290"/>
        </w:numPr>
        <w:autoSpaceDE w:val="0"/>
        <w:autoSpaceDN w:val="0"/>
        <w:adjustRightInd w:val="0"/>
        <w:snapToGrid w:val="0"/>
        <w:spacing w:line="330" w:lineRule="exact"/>
        <w:ind w:left="0" w:firstLine="840" w:firstLineChars="400"/>
        <w:rPr>
          <w:szCs w:val="21"/>
        </w:rPr>
      </w:pPr>
      <w:r>
        <w:rPr>
          <w:szCs w:val="21"/>
        </w:rPr>
        <w:t>风管的单面面积大于1.2㎡。</w:t>
      </w:r>
    </w:p>
    <w:p w14:paraId="1A009C4B">
      <w:pPr>
        <w:pStyle w:val="164"/>
        <w:numPr>
          <w:ilvl w:val="0"/>
          <w:numId w:val="288"/>
        </w:numPr>
        <w:tabs>
          <w:tab w:val="left" w:pos="210"/>
          <w:tab w:val="left" w:pos="567"/>
        </w:tabs>
        <w:spacing w:line="330" w:lineRule="exact"/>
        <w:ind w:firstLine="630" w:firstLineChars="300"/>
        <w:rPr>
          <w:szCs w:val="21"/>
        </w:rPr>
      </w:pPr>
      <w:r>
        <w:rPr>
          <w:szCs w:val="21"/>
        </w:rPr>
        <w:t>金属法兰的焊缝应严密、熔合良好、无虚焊。法兰平面度的允许偏差应为±2mm,孔距应一致，并应具有互换性。</w:t>
      </w:r>
    </w:p>
    <w:p w14:paraId="2478B72C">
      <w:pPr>
        <w:pStyle w:val="164"/>
        <w:numPr>
          <w:ilvl w:val="0"/>
          <w:numId w:val="288"/>
        </w:numPr>
        <w:tabs>
          <w:tab w:val="left" w:pos="210"/>
          <w:tab w:val="left" w:pos="567"/>
        </w:tabs>
        <w:spacing w:line="330" w:lineRule="exact"/>
        <w:ind w:firstLine="630" w:firstLineChars="300"/>
        <w:rPr>
          <w:szCs w:val="21"/>
        </w:rPr>
      </w:pPr>
      <w:r>
        <w:rPr>
          <w:szCs w:val="21"/>
        </w:rPr>
        <w:t>风管与法兰的伽接应牢固，不得脱销和漏伽。风管管口处翻边应平整、紧贴法兰，宽度不应＜6mm。法兰四角处的咬缝不得开裂和有孔洞。</w:t>
      </w:r>
    </w:p>
    <w:p w14:paraId="4617E93A">
      <w:pPr>
        <w:pStyle w:val="164"/>
        <w:numPr>
          <w:ilvl w:val="0"/>
          <w:numId w:val="288"/>
        </w:numPr>
        <w:tabs>
          <w:tab w:val="left" w:pos="210"/>
          <w:tab w:val="left" w:pos="567"/>
        </w:tabs>
        <w:spacing w:line="330" w:lineRule="exact"/>
        <w:ind w:firstLine="630" w:firstLineChars="300"/>
        <w:rPr>
          <w:szCs w:val="21"/>
        </w:rPr>
      </w:pPr>
      <w:r>
        <w:rPr>
          <w:szCs w:val="21"/>
        </w:rPr>
        <w:t>风管支架、吊架在安装前应进行防锈处理，其明装部分应增涂一遍面漆。</w:t>
      </w:r>
      <w:r>
        <w:rPr>
          <w:szCs w:val="21"/>
        </w:rPr>
        <w:tab/>
      </w:r>
    </w:p>
    <w:p w14:paraId="1E5B3289">
      <w:pPr>
        <w:pStyle w:val="164"/>
        <w:numPr>
          <w:ilvl w:val="0"/>
          <w:numId w:val="288"/>
        </w:numPr>
        <w:tabs>
          <w:tab w:val="left" w:pos="210"/>
          <w:tab w:val="left" w:pos="567"/>
        </w:tabs>
        <w:spacing w:line="330" w:lineRule="exact"/>
        <w:ind w:firstLine="630" w:firstLineChars="300"/>
        <w:rPr>
          <w:szCs w:val="21"/>
        </w:rPr>
      </w:pPr>
      <w:r>
        <w:rPr>
          <w:szCs w:val="21"/>
        </w:rPr>
        <w:t>固定风管时，不宜在风管连接处、风阀安装处及传感器的安装点设置固定支架。</w:t>
      </w:r>
    </w:p>
    <w:p w14:paraId="2BAE6ACB">
      <w:pPr>
        <w:pStyle w:val="164"/>
        <w:numPr>
          <w:ilvl w:val="0"/>
          <w:numId w:val="288"/>
        </w:numPr>
        <w:tabs>
          <w:tab w:val="left" w:pos="210"/>
          <w:tab w:val="left" w:pos="567"/>
        </w:tabs>
        <w:spacing w:line="330" w:lineRule="exact"/>
        <w:ind w:firstLine="630" w:firstLineChars="300"/>
        <w:rPr>
          <w:szCs w:val="21"/>
        </w:rPr>
      </w:pPr>
      <w:r>
        <w:rPr>
          <w:szCs w:val="21"/>
        </w:rPr>
        <w:t>风管及相关部件安装应牢固可靠，安装完成后应进行相关工序检验。</w:t>
      </w:r>
    </w:p>
    <w:p w14:paraId="5D43A9FD">
      <w:pPr>
        <w:pStyle w:val="164"/>
        <w:numPr>
          <w:ilvl w:val="0"/>
          <w:numId w:val="288"/>
        </w:numPr>
        <w:tabs>
          <w:tab w:val="left" w:pos="210"/>
          <w:tab w:val="left" w:pos="567"/>
        </w:tabs>
        <w:spacing w:line="330" w:lineRule="exact"/>
        <w:ind w:firstLine="630" w:firstLineChars="300"/>
        <w:rPr>
          <w:szCs w:val="21"/>
        </w:rPr>
      </w:pPr>
      <w:r>
        <w:rPr>
          <w:szCs w:val="21"/>
        </w:rPr>
        <w:t>防火阀、风口、过滤器、消声器应按设计位置安装，并应安装可靠，过滤器应便于更换。</w:t>
      </w:r>
    </w:p>
    <w:p w14:paraId="07DD2A40">
      <w:pPr>
        <w:pStyle w:val="164"/>
        <w:numPr>
          <w:ilvl w:val="0"/>
          <w:numId w:val="288"/>
        </w:numPr>
        <w:tabs>
          <w:tab w:val="left" w:pos="210"/>
          <w:tab w:val="left" w:pos="567"/>
        </w:tabs>
        <w:spacing w:line="330" w:lineRule="exact"/>
        <w:ind w:firstLine="630" w:firstLineChars="300"/>
        <w:rPr>
          <w:szCs w:val="21"/>
        </w:rPr>
      </w:pPr>
      <w:r>
        <w:rPr>
          <w:szCs w:val="21"/>
        </w:rPr>
        <w:t>防火阀</w:t>
      </w:r>
      <w:r>
        <w:rPr>
          <w:rFonts w:hint="eastAsia"/>
          <w:szCs w:val="21"/>
        </w:rPr>
        <w:t>的安装</w:t>
      </w:r>
      <w:r>
        <w:rPr>
          <w:szCs w:val="21"/>
        </w:rPr>
        <w:t>应</w:t>
      </w:r>
      <w:r>
        <w:rPr>
          <w:rFonts w:hint="eastAsia"/>
          <w:szCs w:val="21"/>
        </w:rPr>
        <w:t>按</w:t>
      </w:r>
      <w:r>
        <w:rPr>
          <w:szCs w:val="21"/>
        </w:rPr>
        <w:t>现行国家标准</w:t>
      </w:r>
      <w:r>
        <w:rPr>
          <w:color w:val="191919"/>
          <w:shd w:val="clear" w:color="auto" w:fill="FFFFFF"/>
        </w:rPr>
        <w:t>《建筑通风和排烟系统用防火阀门》</w:t>
      </w:r>
      <w:r>
        <w:rPr>
          <w:szCs w:val="22"/>
        </w:rPr>
        <w:t>GB 15930</w:t>
      </w:r>
      <w:r>
        <w:rPr>
          <w:rFonts w:hint="eastAsia"/>
          <w:szCs w:val="22"/>
        </w:rPr>
        <w:t>的</w:t>
      </w:r>
      <w:r>
        <w:rPr>
          <w:rFonts w:hint="eastAsia"/>
          <w:szCs w:val="21"/>
        </w:rPr>
        <w:t>相关</w:t>
      </w:r>
      <w:r>
        <w:rPr>
          <w:szCs w:val="21"/>
        </w:rPr>
        <w:t>规定</w:t>
      </w:r>
      <w:r>
        <w:rPr>
          <w:rFonts w:hint="eastAsia"/>
          <w:szCs w:val="21"/>
        </w:rPr>
        <w:t>执行</w:t>
      </w:r>
      <w:r>
        <w:rPr>
          <w:szCs w:val="21"/>
        </w:rPr>
        <w:t>。</w:t>
      </w:r>
    </w:p>
    <w:p w14:paraId="4AAA9CD6">
      <w:pPr>
        <w:pStyle w:val="164"/>
        <w:numPr>
          <w:ilvl w:val="0"/>
          <w:numId w:val="288"/>
        </w:numPr>
        <w:tabs>
          <w:tab w:val="left" w:pos="210"/>
          <w:tab w:val="left" w:pos="567"/>
        </w:tabs>
        <w:spacing w:line="330" w:lineRule="exact"/>
        <w:ind w:firstLine="630" w:firstLineChars="300"/>
        <w:rPr>
          <w:szCs w:val="21"/>
        </w:rPr>
      </w:pPr>
      <w:r>
        <w:rPr>
          <w:szCs w:val="21"/>
        </w:rPr>
        <w:t>防火阀安装应牢固可靠、启闭灵活、关闭严密。阀门驱动装置动作应正确、可靠。</w:t>
      </w:r>
    </w:p>
    <w:p w14:paraId="0E4F9171">
      <w:pPr>
        <w:pStyle w:val="164"/>
        <w:numPr>
          <w:ilvl w:val="0"/>
          <w:numId w:val="288"/>
        </w:numPr>
        <w:tabs>
          <w:tab w:val="left" w:pos="210"/>
          <w:tab w:val="left" w:pos="567"/>
        </w:tabs>
        <w:spacing w:line="330" w:lineRule="exact"/>
        <w:ind w:firstLine="630" w:firstLineChars="300"/>
        <w:rPr>
          <w:szCs w:val="21"/>
        </w:rPr>
      </w:pPr>
      <w:r>
        <w:rPr>
          <w:szCs w:val="21"/>
        </w:rPr>
        <w:t>手动调节阀的安装应牢固可靠、启闭灵活、调节方便。</w:t>
      </w:r>
    </w:p>
    <w:p w14:paraId="1D8B4B68">
      <w:pPr>
        <w:pStyle w:val="164"/>
        <w:numPr>
          <w:ilvl w:val="0"/>
          <w:numId w:val="288"/>
        </w:numPr>
        <w:tabs>
          <w:tab w:val="left" w:pos="210"/>
          <w:tab w:val="left" w:pos="567"/>
        </w:tabs>
        <w:spacing w:line="330" w:lineRule="exact"/>
        <w:ind w:firstLine="630" w:firstLineChars="300"/>
        <w:rPr>
          <w:szCs w:val="21"/>
        </w:rPr>
      </w:pPr>
      <w:r>
        <w:rPr>
          <w:szCs w:val="21"/>
        </w:rPr>
        <w:t>电动调节阀应能在全程范围内自由调节，且安装牢固。电动阀执行器动作应准确、可靠、调节灵活。</w:t>
      </w:r>
    </w:p>
    <w:p w14:paraId="03D8A6D5">
      <w:pPr>
        <w:pStyle w:val="164"/>
        <w:numPr>
          <w:ilvl w:val="0"/>
          <w:numId w:val="288"/>
        </w:numPr>
        <w:tabs>
          <w:tab w:val="left" w:pos="210"/>
          <w:tab w:val="left" w:pos="567"/>
        </w:tabs>
        <w:spacing w:line="330" w:lineRule="exact"/>
        <w:ind w:firstLine="630" w:firstLineChars="300"/>
        <w:rPr>
          <w:szCs w:val="21"/>
        </w:rPr>
      </w:pPr>
      <w:r>
        <w:rPr>
          <w:szCs w:val="21"/>
        </w:rPr>
        <w:t>新风口应安装过滤网、防护罩（网），排风口应安装防护罩（网）。</w:t>
      </w:r>
      <w:r>
        <w:rPr>
          <w:szCs w:val="21"/>
        </w:rPr>
        <w:tab/>
      </w:r>
    </w:p>
    <w:p w14:paraId="30D2276C">
      <w:pPr>
        <w:pStyle w:val="164"/>
        <w:numPr>
          <w:ilvl w:val="0"/>
          <w:numId w:val="288"/>
        </w:numPr>
        <w:tabs>
          <w:tab w:val="left" w:pos="210"/>
          <w:tab w:val="left" w:pos="567"/>
        </w:tabs>
        <w:spacing w:line="330" w:lineRule="exact"/>
        <w:ind w:firstLine="630" w:firstLineChars="300"/>
        <w:rPr>
          <w:szCs w:val="21"/>
        </w:rPr>
        <w:sectPr>
          <w:headerReference r:id="rId27" w:type="default"/>
          <w:headerReference r:id="rId28" w:type="even"/>
          <w:footerReference r:id="rId29" w:type="even"/>
          <w:type w:val="continuous"/>
          <w:pgSz w:w="11900" w:h="16840"/>
          <w:pgMar w:top="1558" w:right="1544" w:bottom="1113" w:left="1564" w:header="0" w:footer="3" w:gutter="0"/>
          <w:cols w:space="720" w:num="1"/>
          <w:docGrid w:linePitch="360" w:charSpace="0"/>
        </w:sectPr>
      </w:pPr>
      <w:r>
        <w:rPr>
          <w:szCs w:val="21"/>
        </w:rPr>
        <w:t>保温宜在风管安装工序检验合格后进行，并应满足设计要求。</w:t>
      </w:r>
    </w:p>
    <w:p w14:paraId="6AE70615">
      <w:pPr>
        <w:pStyle w:val="164"/>
        <w:spacing w:before="100" w:after="100" w:line="330" w:lineRule="exact"/>
        <w:ind w:firstLine="422"/>
        <w:rPr>
          <w:szCs w:val="21"/>
        </w:rPr>
      </w:pPr>
      <w:r>
        <w:rPr>
          <w:b/>
          <w:bCs/>
          <w:szCs w:val="21"/>
        </w:rPr>
        <w:t>3</w:t>
      </w:r>
      <w:r>
        <w:rPr>
          <w:szCs w:val="21"/>
        </w:rPr>
        <w:t xml:space="preserve"> 空气调节系统调试需满足下列要求：</w:t>
      </w:r>
    </w:p>
    <w:p w14:paraId="3BE1479E">
      <w:pPr>
        <w:pStyle w:val="164"/>
        <w:numPr>
          <w:ilvl w:val="0"/>
          <w:numId w:val="291"/>
        </w:numPr>
        <w:tabs>
          <w:tab w:val="left" w:pos="210"/>
          <w:tab w:val="left" w:pos="567"/>
        </w:tabs>
        <w:spacing w:line="330" w:lineRule="exact"/>
        <w:ind w:firstLine="630" w:firstLineChars="300"/>
        <w:rPr>
          <w:szCs w:val="21"/>
        </w:rPr>
      </w:pPr>
      <w:r>
        <w:rPr>
          <w:szCs w:val="21"/>
        </w:rPr>
        <w:t>风管安装完成后，应根据风管的设计压力进行漏风量测试，并做相应记录，并应</w:t>
      </w:r>
      <w:r>
        <w:rPr>
          <w:rFonts w:hint="eastAsia"/>
          <w:szCs w:val="21"/>
        </w:rPr>
        <w:t>按现行</w:t>
      </w:r>
      <w:r>
        <w:rPr>
          <w:szCs w:val="21"/>
        </w:rPr>
        <w:t>国家标准《通风与空调工程施工质量验收规范》</w:t>
      </w:r>
      <w:r>
        <w:rPr>
          <w:szCs w:val="22"/>
        </w:rPr>
        <w:t>GB 50243</w:t>
      </w:r>
      <w:r>
        <w:rPr>
          <w:rFonts w:hint="eastAsia"/>
          <w:szCs w:val="22"/>
        </w:rPr>
        <w:t>的</w:t>
      </w:r>
      <w:r>
        <w:rPr>
          <w:rFonts w:hint="eastAsia"/>
          <w:szCs w:val="21"/>
        </w:rPr>
        <w:t>相关</w:t>
      </w:r>
      <w:r>
        <w:rPr>
          <w:szCs w:val="21"/>
        </w:rPr>
        <w:t>规定</w:t>
      </w:r>
      <w:r>
        <w:rPr>
          <w:rFonts w:hint="eastAsia"/>
          <w:szCs w:val="21"/>
        </w:rPr>
        <w:t>执行</w:t>
      </w:r>
      <w:r>
        <w:rPr>
          <w:szCs w:val="21"/>
        </w:rPr>
        <w:t>。</w:t>
      </w:r>
    </w:p>
    <w:p w14:paraId="4C855921">
      <w:pPr>
        <w:pStyle w:val="164"/>
        <w:numPr>
          <w:ilvl w:val="0"/>
          <w:numId w:val="291"/>
        </w:numPr>
        <w:tabs>
          <w:tab w:val="left" w:pos="210"/>
          <w:tab w:val="left" w:pos="567"/>
        </w:tabs>
        <w:spacing w:line="330" w:lineRule="exact"/>
        <w:ind w:firstLine="630" w:firstLineChars="300"/>
        <w:rPr>
          <w:szCs w:val="21"/>
        </w:rPr>
      </w:pPr>
      <w:r>
        <w:rPr>
          <w:szCs w:val="21"/>
        </w:rPr>
        <w:t>空气调节系统调试应在空调设备、新风设备安装调试合格后进行。先进行空气调节系统设备单机调试，单机调试完毕后应根据设计指标进行系统调试。</w:t>
      </w:r>
    </w:p>
    <w:p w14:paraId="32B933EF">
      <w:pPr>
        <w:pStyle w:val="164"/>
        <w:spacing w:before="100" w:after="100" w:line="330" w:lineRule="exact"/>
        <w:ind w:firstLine="0" w:firstLineChars="0"/>
        <w:rPr>
          <w:szCs w:val="21"/>
        </w:rPr>
      </w:pPr>
      <w:r>
        <w:rPr>
          <w:szCs w:val="21"/>
        </w:rPr>
        <w:t>21.3.8给水排水系统内的水泵、定压装置、供水装置、换热装置、供冷设备、供热设备、冷却设备的安装应</w:t>
      </w:r>
      <w:r>
        <w:rPr>
          <w:rFonts w:hint="eastAsia"/>
          <w:szCs w:val="21"/>
        </w:rPr>
        <w:t>按现行</w:t>
      </w:r>
      <w:r>
        <w:rPr>
          <w:szCs w:val="21"/>
        </w:rPr>
        <w:t>国家标准《建筑给水排水及采暖工程施工质量验收规范》</w:t>
      </w:r>
      <w:r>
        <w:rPr>
          <w:szCs w:val="22"/>
        </w:rPr>
        <w:t>GB 50242</w:t>
      </w:r>
      <w:r>
        <w:rPr>
          <w:rFonts w:hint="eastAsia"/>
          <w:szCs w:val="22"/>
        </w:rPr>
        <w:t>的</w:t>
      </w:r>
      <w:r>
        <w:rPr>
          <w:rFonts w:hint="eastAsia"/>
          <w:szCs w:val="21"/>
        </w:rPr>
        <w:t>相关</w:t>
      </w:r>
      <w:r>
        <w:rPr>
          <w:szCs w:val="21"/>
        </w:rPr>
        <w:t>规定</w:t>
      </w:r>
      <w:r>
        <w:rPr>
          <w:rFonts w:hint="eastAsia"/>
          <w:szCs w:val="21"/>
        </w:rPr>
        <w:t>执行，并应符合下列规定</w:t>
      </w:r>
      <w:r>
        <w:rPr>
          <w:szCs w:val="21"/>
        </w:rPr>
        <w:t>：</w:t>
      </w:r>
    </w:p>
    <w:p w14:paraId="3D306372">
      <w:pPr>
        <w:pStyle w:val="164"/>
        <w:spacing w:line="330" w:lineRule="exact"/>
        <w:ind w:left="209" w:firstLine="211" w:firstLineChars="100"/>
        <w:rPr>
          <w:szCs w:val="21"/>
        </w:rPr>
      </w:pPr>
      <w:r>
        <w:rPr>
          <w:b/>
          <w:bCs/>
          <w:szCs w:val="21"/>
        </w:rPr>
        <w:t>1</w:t>
      </w:r>
      <w:r>
        <w:rPr>
          <w:szCs w:val="21"/>
        </w:rPr>
        <w:t>管道安装应符合下列规定：</w:t>
      </w:r>
    </w:p>
    <w:p w14:paraId="08CFAE6B">
      <w:pPr>
        <w:pStyle w:val="164"/>
        <w:numPr>
          <w:ilvl w:val="0"/>
          <w:numId w:val="292"/>
        </w:numPr>
        <w:tabs>
          <w:tab w:val="left" w:pos="210"/>
          <w:tab w:val="left" w:pos="567"/>
        </w:tabs>
        <w:spacing w:line="330" w:lineRule="exact"/>
        <w:ind w:firstLine="630" w:firstLineChars="300"/>
        <w:rPr>
          <w:szCs w:val="21"/>
        </w:rPr>
      </w:pPr>
      <w:bookmarkStart w:id="350" w:name="bookmark2042"/>
      <w:bookmarkEnd w:id="350"/>
      <w:r>
        <w:rPr>
          <w:szCs w:val="21"/>
        </w:rPr>
        <w:t>安装在机柜附近的管道，避免有接口，如无法避免，连接方式应采用焊接、粘接或熔接，不得采用法兰连接、丝接、卡套连接；</w:t>
      </w:r>
      <w:bookmarkStart w:id="351" w:name="bookmark2044"/>
      <w:bookmarkEnd w:id="351"/>
    </w:p>
    <w:p w14:paraId="2262E456">
      <w:pPr>
        <w:pStyle w:val="164"/>
        <w:numPr>
          <w:ilvl w:val="0"/>
          <w:numId w:val="292"/>
        </w:numPr>
        <w:tabs>
          <w:tab w:val="left" w:pos="210"/>
          <w:tab w:val="left" w:pos="567"/>
        </w:tabs>
        <w:spacing w:line="330" w:lineRule="exact"/>
        <w:ind w:firstLine="630" w:firstLineChars="300"/>
        <w:rPr>
          <w:szCs w:val="21"/>
        </w:rPr>
      </w:pPr>
      <w:r>
        <w:rPr>
          <w:szCs w:val="21"/>
        </w:rPr>
        <w:t>贴近机柜部位安装的管道应采取防水措施；</w:t>
      </w:r>
      <w:bookmarkStart w:id="352" w:name="bookmark2048"/>
      <w:bookmarkEnd w:id="352"/>
    </w:p>
    <w:p w14:paraId="46DE8A30">
      <w:pPr>
        <w:pStyle w:val="164"/>
        <w:numPr>
          <w:ilvl w:val="0"/>
          <w:numId w:val="292"/>
        </w:numPr>
        <w:tabs>
          <w:tab w:val="left" w:pos="210"/>
          <w:tab w:val="left" w:pos="567"/>
        </w:tabs>
        <w:spacing w:line="330" w:lineRule="exact"/>
        <w:ind w:firstLine="630" w:firstLineChars="300"/>
        <w:rPr>
          <w:szCs w:val="21"/>
        </w:rPr>
      </w:pPr>
      <w:r>
        <w:rPr>
          <w:szCs w:val="21"/>
        </w:rPr>
        <w:t>非金属排水管道宜在地板下安装，不宜敷设在机柜上方；</w:t>
      </w:r>
      <w:bookmarkStart w:id="353" w:name="bookmark2049"/>
      <w:bookmarkEnd w:id="353"/>
    </w:p>
    <w:p w14:paraId="62683032">
      <w:pPr>
        <w:pStyle w:val="164"/>
        <w:numPr>
          <w:ilvl w:val="0"/>
          <w:numId w:val="292"/>
        </w:numPr>
        <w:tabs>
          <w:tab w:val="left" w:pos="210"/>
          <w:tab w:val="left" w:pos="567"/>
        </w:tabs>
        <w:spacing w:line="330" w:lineRule="exact"/>
        <w:ind w:firstLine="630" w:firstLineChars="300"/>
        <w:rPr>
          <w:szCs w:val="21"/>
        </w:rPr>
      </w:pPr>
      <w:r>
        <w:rPr>
          <w:szCs w:val="21"/>
        </w:rPr>
        <w:t>冷却水、冷凝水管道应采取保温措施。</w:t>
      </w:r>
    </w:p>
    <w:p w14:paraId="711146EC">
      <w:pPr>
        <w:pStyle w:val="164"/>
        <w:tabs>
          <w:tab w:val="left" w:pos="210"/>
          <w:tab w:val="left" w:pos="359"/>
        </w:tabs>
        <w:spacing w:line="330" w:lineRule="exact"/>
        <w:ind w:firstLine="0" w:firstLineChars="0"/>
        <w:rPr>
          <w:szCs w:val="21"/>
        </w:rPr>
      </w:pPr>
      <w:r>
        <w:rPr>
          <w:b/>
          <w:bCs/>
          <w:szCs w:val="21"/>
        </w:rPr>
        <w:tab/>
      </w:r>
      <w:r>
        <w:rPr>
          <w:b/>
          <w:bCs/>
          <w:szCs w:val="21"/>
        </w:rPr>
        <w:tab/>
      </w:r>
      <w:r>
        <w:rPr>
          <w:b/>
          <w:bCs/>
          <w:szCs w:val="21"/>
        </w:rPr>
        <w:t>2</w:t>
      </w:r>
      <w:r>
        <w:rPr>
          <w:szCs w:val="21"/>
        </w:rPr>
        <w:t>管径≤100mm的镀锌管道宜采用螺纹连接，螺纹的外露部分应做防腐处理；管径大于100mm的镀锌管道可采用焊接、法兰连接或卡套式专用管件连接，焊接处应采取防腐处理。</w:t>
      </w:r>
    </w:p>
    <w:p w14:paraId="2600FC12">
      <w:pPr>
        <w:pStyle w:val="164"/>
        <w:tabs>
          <w:tab w:val="left" w:pos="210"/>
          <w:tab w:val="left" w:pos="359"/>
        </w:tabs>
        <w:spacing w:line="330" w:lineRule="exact"/>
        <w:ind w:firstLine="0" w:firstLineChars="0"/>
        <w:rPr>
          <w:szCs w:val="21"/>
        </w:rPr>
      </w:pPr>
      <w:r>
        <w:rPr>
          <w:szCs w:val="21"/>
        </w:rPr>
        <w:tab/>
      </w:r>
      <w:r>
        <w:rPr>
          <w:szCs w:val="21"/>
        </w:rPr>
        <w:tab/>
      </w:r>
      <w:r>
        <w:rPr>
          <w:b/>
          <w:bCs/>
          <w:szCs w:val="21"/>
        </w:rPr>
        <w:t>3</w:t>
      </w:r>
      <w:r>
        <w:rPr>
          <w:szCs w:val="21"/>
        </w:rPr>
        <w:t>管道支架、吊架、托架的安装应符合下列规定：</w:t>
      </w:r>
      <w:bookmarkStart w:id="354" w:name="bookmark2052"/>
      <w:bookmarkEnd w:id="354"/>
    </w:p>
    <w:p w14:paraId="4BBACDE5">
      <w:pPr>
        <w:pStyle w:val="164"/>
        <w:numPr>
          <w:ilvl w:val="0"/>
          <w:numId w:val="293"/>
        </w:numPr>
        <w:tabs>
          <w:tab w:val="left" w:pos="210"/>
          <w:tab w:val="left" w:pos="567"/>
        </w:tabs>
        <w:spacing w:line="330" w:lineRule="exact"/>
        <w:ind w:firstLine="630" w:firstLineChars="300"/>
        <w:rPr>
          <w:szCs w:val="21"/>
        </w:rPr>
      </w:pPr>
      <w:r>
        <w:rPr>
          <w:szCs w:val="21"/>
        </w:rPr>
        <w:t>支架、吊架在安装前应作防锈处理；</w:t>
      </w:r>
      <w:bookmarkStart w:id="355" w:name="bookmark2053"/>
      <w:bookmarkEnd w:id="355"/>
    </w:p>
    <w:p w14:paraId="5879A621">
      <w:pPr>
        <w:pStyle w:val="164"/>
        <w:numPr>
          <w:ilvl w:val="0"/>
          <w:numId w:val="293"/>
        </w:numPr>
        <w:tabs>
          <w:tab w:val="left" w:pos="210"/>
          <w:tab w:val="left" w:pos="567"/>
        </w:tabs>
        <w:spacing w:line="330" w:lineRule="exact"/>
        <w:ind w:firstLine="630" w:firstLineChars="300"/>
        <w:rPr>
          <w:szCs w:val="21"/>
        </w:rPr>
      </w:pPr>
      <w:r>
        <w:rPr>
          <w:szCs w:val="21"/>
        </w:rPr>
        <w:t>固定支架与管道安装应牢固可靠；</w:t>
      </w:r>
      <w:bookmarkStart w:id="356" w:name="bookmark2054"/>
      <w:bookmarkEnd w:id="356"/>
    </w:p>
    <w:p w14:paraId="4DE714F5">
      <w:pPr>
        <w:pStyle w:val="164"/>
        <w:numPr>
          <w:ilvl w:val="0"/>
          <w:numId w:val="293"/>
        </w:numPr>
        <w:tabs>
          <w:tab w:val="left" w:pos="210"/>
          <w:tab w:val="left" w:pos="567"/>
        </w:tabs>
        <w:spacing w:line="330" w:lineRule="exact"/>
        <w:ind w:firstLine="630" w:firstLineChars="300"/>
        <w:rPr>
          <w:szCs w:val="21"/>
        </w:rPr>
      </w:pPr>
      <w:r>
        <w:rPr>
          <w:szCs w:val="21"/>
        </w:rPr>
        <w:t>在建筑结构上安装管道支架、吊架时，应做荷载验算，且不得破坏建筑结构。</w:t>
      </w:r>
    </w:p>
    <w:p w14:paraId="03EB1244">
      <w:pPr>
        <w:pStyle w:val="164"/>
        <w:numPr>
          <w:ilvl w:val="0"/>
          <w:numId w:val="293"/>
        </w:numPr>
        <w:tabs>
          <w:tab w:val="left" w:pos="210"/>
          <w:tab w:val="left" w:pos="567"/>
        </w:tabs>
        <w:spacing w:line="330" w:lineRule="exact"/>
        <w:ind w:firstLine="630" w:firstLineChars="300"/>
        <w:rPr>
          <w:szCs w:val="21"/>
        </w:rPr>
      </w:pPr>
      <w:r>
        <w:rPr>
          <w:szCs w:val="21"/>
        </w:rPr>
        <w:t>冷凝水排水管道的坡度应符合设计的规定，并应坡向排泄方向。</w:t>
      </w:r>
    </w:p>
    <w:p w14:paraId="0B0E01CB">
      <w:pPr>
        <w:pStyle w:val="164"/>
        <w:tabs>
          <w:tab w:val="left" w:pos="210"/>
          <w:tab w:val="left" w:pos="360"/>
        </w:tabs>
        <w:spacing w:line="330" w:lineRule="exact"/>
        <w:ind w:firstLine="0" w:firstLineChars="0"/>
        <w:rPr>
          <w:szCs w:val="21"/>
        </w:rPr>
      </w:pPr>
      <w:r>
        <w:rPr>
          <w:szCs w:val="21"/>
        </w:rPr>
        <w:tab/>
      </w:r>
      <w:r>
        <w:rPr>
          <w:szCs w:val="21"/>
        </w:rPr>
        <w:tab/>
      </w:r>
      <w:r>
        <w:rPr>
          <w:b/>
          <w:bCs/>
          <w:szCs w:val="21"/>
        </w:rPr>
        <w:t>4</w:t>
      </w:r>
      <w:r>
        <w:rPr>
          <w:szCs w:val="21"/>
        </w:rPr>
        <w:t>冷热水管道在安装前后应进行防腐处理。安装完毕应先进行压力试验，试验合格后进行保温施工。管道保温应符合下列规定：</w:t>
      </w:r>
    </w:p>
    <w:p w14:paraId="274003E9">
      <w:pPr>
        <w:pStyle w:val="164"/>
        <w:numPr>
          <w:ilvl w:val="0"/>
          <w:numId w:val="294"/>
        </w:numPr>
        <w:tabs>
          <w:tab w:val="left" w:pos="210"/>
          <w:tab w:val="left" w:pos="567"/>
        </w:tabs>
        <w:spacing w:line="330" w:lineRule="exact"/>
        <w:ind w:firstLine="630" w:firstLineChars="300"/>
        <w:rPr>
          <w:szCs w:val="21"/>
        </w:rPr>
      </w:pPr>
      <w:bookmarkStart w:id="357" w:name="bookmark2060"/>
      <w:bookmarkEnd w:id="357"/>
      <w:bookmarkStart w:id="358" w:name="bookmark2059"/>
      <w:bookmarkEnd w:id="358"/>
      <w:r>
        <w:rPr>
          <w:szCs w:val="21"/>
        </w:rPr>
        <w:t>保温层铺设应平整、密实；</w:t>
      </w:r>
      <w:bookmarkStart w:id="359" w:name="bookmark2061"/>
      <w:bookmarkEnd w:id="359"/>
    </w:p>
    <w:p w14:paraId="5DE2CFCB">
      <w:pPr>
        <w:pStyle w:val="164"/>
        <w:numPr>
          <w:ilvl w:val="0"/>
          <w:numId w:val="294"/>
        </w:numPr>
        <w:tabs>
          <w:tab w:val="left" w:pos="210"/>
          <w:tab w:val="left" w:pos="567"/>
        </w:tabs>
        <w:spacing w:line="330" w:lineRule="exact"/>
        <w:ind w:firstLine="630" w:firstLineChars="300"/>
        <w:rPr>
          <w:szCs w:val="21"/>
        </w:rPr>
      </w:pPr>
      <w:r>
        <w:rPr>
          <w:szCs w:val="21"/>
        </w:rPr>
        <w:t>防潮层应紧贴在保温层上，并应密封良好；</w:t>
      </w:r>
      <w:bookmarkStart w:id="360" w:name="bookmark2062"/>
      <w:bookmarkEnd w:id="360"/>
    </w:p>
    <w:p w14:paraId="614A89E4">
      <w:pPr>
        <w:pStyle w:val="164"/>
        <w:numPr>
          <w:ilvl w:val="0"/>
          <w:numId w:val="294"/>
        </w:numPr>
        <w:tabs>
          <w:tab w:val="left" w:pos="210"/>
          <w:tab w:val="left" w:pos="567"/>
        </w:tabs>
        <w:spacing w:line="330" w:lineRule="exact"/>
        <w:ind w:firstLine="630" w:firstLineChars="300"/>
        <w:rPr>
          <w:szCs w:val="21"/>
        </w:rPr>
      </w:pPr>
      <w:r>
        <w:rPr>
          <w:szCs w:val="21"/>
        </w:rPr>
        <w:t>表面层应光滑平整、不起尘。</w:t>
      </w:r>
    </w:p>
    <w:p w14:paraId="0398E64B">
      <w:pPr>
        <w:pStyle w:val="164"/>
        <w:spacing w:line="330" w:lineRule="exact"/>
        <w:ind w:left="210" w:firstLine="210" w:firstLineChars="0"/>
        <w:rPr>
          <w:szCs w:val="21"/>
        </w:rPr>
      </w:pPr>
      <w:r>
        <w:rPr>
          <w:b/>
          <w:bCs/>
          <w:szCs w:val="21"/>
        </w:rPr>
        <w:t>5</w:t>
      </w:r>
      <w:r>
        <w:rPr>
          <w:szCs w:val="21"/>
        </w:rPr>
        <w:t>室内地面应坡向地漏处，坡度不应＜3</w:t>
      </w:r>
      <w:r>
        <w:rPr>
          <w:color w:val="191919"/>
          <w:shd w:val="clear" w:color="auto" w:fill="FFFFFF"/>
        </w:rPr>
        <w:t>‰</w:t>
      </w:r>
      <w:r>
        <w:rPr>
          <w:szCs w:val="21"/>
        </w:rPr>
        <w:t>；地漏顶面应低于地面5mm。</w:t>
      </w:r>
    </w:p>
    <w:p w14:paraId="6BBA12A5">
      <w:pPr>
        <w:pStyle w:val="164"/>
        <w:spacing w:before="100" w:after="100" w:line="330" w:lineRule="exact"/>
        <w:ind w:firstLine="0" w:firstLineChars="0"/>
        <w:rPr>
          <w:szCs w:val="21"/>
        </w:rPr>
      </w:pPr>
      <w:r>
        <w:rPr>
          <w:szCs w:val="21"/>
        </w:rPr>
        <w:t>21.3.9监控与安全防范系统安装应符合下列规定：</w:t>
      </w:r>
      <w:r>
        <w:rPr>
          <w:szCs w:val="21"/>
        </w:rPr>
        <w:tab/>
      </w:r>
    </w:p>
    <w:p w14:paraId="73DEFDBC">
      <w:pPr>
        <w:pStyle w:val="164"/>
        <w:spacing w:before="100" w:after="100" w:line="330" w:lineRule="exact"/>
        <w:ind w:firstLine="422"/>
        <w:rPr>
          <w:szCs w:val="21"/>
        </w:rPr>
      </w:pPr>
      <w:r>
        <w:rPr>
          <w:b/>
          <w:bCs/>
          <w:szCs w:val="21"/>
        </w:rPr>
        <w:t>1</w:t>
      </w:r>
      <w:r>
        <w:rPr>
          <w:szCs w:val="21"/>
        </w:rPr>
        <w:t>配管配线与敷设应符合下列规定：</w:t>
      </w:r>
    </w:p>
    <w:p w14:paraId="7047662D">
      <w:pPr>
        <w:pStyle w:val="164"/>
        <w:numPr>
          <w:ilvl w:val="0"/>
          <w:numId w:val="295"/>
        </w:numPr>
        <w:tabs>
          <w:tab w:val="left" w:pos="210"/>
          <w:tab w:val="left" w:pos="567"/>
        </w:tabs>
        <w:spacing w:line="330" w:lineRule="exact"/>
        <w:ind w:firstLine="630" w:firstLineChars="300"/>
        <w:rPr>
          <w:color w:val="191919"/>
          <w:shd w:val="clear" w:color="auto" w:fill="FFFFFF"/>
        </w:rPr>
      </w:pPr>
      <w:r>
        <w:rPr>
          <w:szCs w:val="21"/>
        </w:rPr>
        <w:t>电力电缆、走线架（槽）和护管的敷设</w:t>
      </w:r>
      <w:r>
        <w:rPr>
          <w:color w:val="191919"/>
          <w:shd w:val="clear" w:color="auto" w:fill="FFFFFF"/>
        </w:rPr>
        <w:t>应</w:t>
      </w:r>
      <w:r>
        <w:rPr>
          <w:rFonts w:hint="eastAsia"/>
          <w:color w:val="191919"/>
          <w:shd w:val="clear" w:color="auto" w:fill="FFFFFF"/>
        </w:rPr>
        <w:t>按现行</w:t>
      </w:r>
      <w:r>
        <w:rPr>
          <w:color w:val="191919"/>
          <w:shd w:val="clear" w:color="auto" w:fill="FFFFFF"/>
        </w:rPr>
        <w:t>国家标准《建筑电气安装工程施工质量验收规范》</w:t>
      </w:r>
      <w:r>
        <w:rPr>
          <w:szCs w:val="22"/>
        </w:rPr>
        <w:t>GB 50303</w:t>
      </w:r>
      <w:r>
        <w:rPr>
          <w:rFonts w:hint="eastAsia"/>
          <w:szCs w:val="22"/>
        </w:rPr>
        <w:t>的</w:t>
      </w:r>
      <w:r>
        <w:rPr>
          <w:rFonts w:hint="eastAsia"/>
          <w:color w:val="191919"/>
          <w:shd w:val="clear" w:color="auto" w:fill="FFFFFF"/>
        </w:rPr>
        <w:t>相关</w:t>
      </w:r>
      <w:r>
        <w:rPr>
          <w:color w:val="191919"/>
          <w:shd w:val="clear" w:color="auto" w:fill="FFFFFF"/>
        </w:rPr>
        <w:t>规定</w:t>
      </w:r>
      <w:r>
        <w:rPr>
          <w:rFonts w:hint="eastAsia"/>
          <w:color w:val="191919"/>
          <w:shd w:val="clear" w:color="auto" w:fill="FFFFFF"/>
        </w:rPr>
        <w:t>执行</w:t>
      </w:r>
      <w:r>
        <w:rPr>
          <w:color w:val="191919"/>
          <w:shd w:val="clear" w:color="auto" w:fill="FFFFFF"/>
        </w:rPr>
        <w:t>。</w:t>
      </w:r>
    </w:p>
    <w:p w14:paraId="7E27CB46">
      <w:pPr>
        <w:pStyle w:val="164"/>
        <w:numPr>
          <w:ilvl w:val="0"/>
          <w:numId w:val="295"/>
        </w:numPr>
        <w:tabs>
          <w:tab w:val="left" w:pos="210"/>
          <w:tab w:val="left" w:pos="567"/>
        </w:tabs>
        <w:spacing w:line="330" w:lineRule="exact"/>
        <w:ind w:firstLine="630" w:firstLineChars="300"/>
        <w:rPr>
          <w:szCs w:val="21"/>
        </w:rPr>
      </w:pPr>
      <w:r>
        <w:rPr>
          <w:szCs w:val="21"/>
        </w:rPr>
        <w:t>同轴电缆的敷设应</w:t>
      </w:r>
      <w:r>
        <w:rPr>
          <w:rFonts w:hint="eastAsia"/>
          <w:szCs w:val="21"/>
        </w:rPr>
        <w:t>按现行</w:t>
      </w:r>
      <w:r>
        <w:rPr>
          <w:szCs w:val="21"/>
        </w:rPr>
        <w:t>国家标准</w:t>
      </w:r>
      <w:r>
        <w:rPr>
          <w:color w:val="191919"/>
          <w:shd w:val="clear" w:color="auto" w:fill="FFFFFF"/>
        </w:rPr>
        <w:t>《民用闭路监视电视系统工程技术规范》</w:t>
      </w:r>
      <w:r>
        <w:rPr>
          <w:szCs w:val="22"/>
        </w:rPr>
        <w:t>GB 50198</w:t>
      </w:r>
      <w:r>
        <w:rPr>
          <w:rFonts w:hint="eastAsia"/>
          <w:szCs w:val="22"/>
        </w:rPr>
        <w:t>的</w:t>
      </w:r>
      <w:r>
        <w:rPr>
          <w:rFonts w:hint="eastAsia"/>
          <w:szCs w:val="21"/>
        </w:rPr>
        <w:t>相关</w:t>
      </w:r>
      <w:r>
        <w:rPr>
          <w:szCs w:val="21"/>
        </w:rPr>
        <w:t>规定</w:t>
      </w:r>
      <w:r>
        <w:rPr>
          <w:rFonts w:hint="eastAsia"/>
          <w:szCs w:val="21"/>
        </w:rPr>
        <w:t>执行</w:t>
      </w:r>
      <w:r>
        <w:rPr>
          <w:szCs w:val="21"/>
        </w:rPr>
        <w:t>。</w:t>
      </w:r>
      <w:r>
        <w:rPr>
          <w:szCs w:val="21"/>
        </w:rPr>
        <w:tab/>
      </w:r>
    </w:p>
    <w:p w14:paraId="57AE313E">
      <w:pPr>
        <w:pStyle w:val="164"/>
        <w:numPr>
          <w:ilvl w:val="0"/>
          <w:numId w:val="295"/>
        </w:numPr>
        <w:tabs>
          <w:tab w:val="left" w:pos="210"/>
          <w:tab w:val="left" w:pos="567"/>
        </w:tabs>
        <w:spacing w:line="330" w:lineRule="exact"/>
        <w:ind w:firstLine="630" w:firstLineChars="300"/>
        <w:rPr>
          <w:szCs w:val="21"/>
        </w:rPr>
      </w:pPr>
      <w:r>
        <w:rPr>
          <w:szCs w:val="21"/>
        </w:rPr>
        <w:t>传感器、探测器的导线连接应牢固可靠，并应留有余量,线芯不得外露。</w:t>
      </w:r>
    </w:p>
    <w:p w14:paraId="50A3F841">
      <w:pPr>
        <w:pStyle w:val="164"/>
        <w:numPr>
          <w:ilvl w:val="0"/>
          <w:numId w:val="295"/>
        </w:numPr>
        <w:tabs>
          <w:tab w:val="left" w:pos="210"/>
          <w:tab w:val="left" w:pos="567"/>
        </w:tabs>
        <w:spacing w:line="330" w:lineRule="exact"/>
        <w:ind w:firstLine="630" w:firstLineChars="300"/>
        <w:rPr>
          <w:szCs w:val="21"/>
        </w:rPr>
      </w:pPr>
      <w:r>
        <w:rPr>
          <w:szCs w:val="21"/>
        </w:rPr>
        <w:t>电力电缆宜与信号线缆、控制线缆分开敷设，无法避免时，对信号线缆、控制线缆应采取屏蔽措施。</w:t>
      </w:r>
    </w:p>
    <w:p w14:paraId="3D77C28F">
      <w:pPr>
        <w:pStyle w:val="164"/>
        <w:spacing w:before="100" w:after="100" w:line="330" w:lineRule="exact"/>
        <w:ind w:firstLine="422"/>
        <w:rPr>
          <w:szCs w:val="21"/>
        </w:rPr>
      </w:pPr>
      <w:r>
        <w:rPr>
          <w:b/>
          <w:bCs/>
          <w:szCs w:val="21"/>
        </w:rPr>
        <w:t>2</w:t>
      </w:r>
      <w:r>
        <w:rPr>
          <w:szCs w:val="21"/>
        </w:rPr>
        <w:t>设备安装应符合下列规定：</w:t>
      </w:r>
      <w:r>
        <w:rPr>
          <w:szCs w:val="21"/>
        </w:rPr>
        <w:tab/>
      </w:r>
    </w:p>
    <w:p w14:paraId="366FC5D6">
      <w:pPr>
        <w:pStyle w:val="164"/>
        <w:numPr>
          <w:ilvl w:val="0"/>
          <w:numId w:val="296"/>
        </w:numPr>
        <w:tabs>
          <w:tab w:val="left" w:pos="210"/>
          <w:tab w:val="left" w:pos="567"/>
        </w:tabs>
        <w:spacing w:line="330" w:lineRule="exact"/>
        <w:ind w:firstLine="630" w:firstLineChars="300"/>
        <w:rPr>
          <w:szCs w:val="21"/>
        </w:rPr>
      </w:pPr>
      <w:r>
        <w:rPr>
          <w:szCs w:val="21"/>
        </w:rPr>
        <w:t>设备与设施</w:t>
      </w:r>
      <w:r>
        <w:rPr>
          <w:rFonts w:hint="eastAsia"/>
          <w:szCs w:val="21"/>
        </w:rPr>
        <w:t>安装</w:t>
      </w:r>
      <w:r>
        <w:rPr>
          <w:szCs w:val="21"/>
        </w:rPr>
        <w:t>应符合下列规定：</w:t>
      </w:r>
      <w:bookmarkStart w:id="361" w:name="bookmark2105"/>
      <w:bookmarkEnd w:id="361"/>
    </w:p>
    <w:p w14:paraId="79056D11">
      <w:pPr>
        <w:pStyle w:val="164"/>
        <w:numPr>
          <w:ilvl w:val="0"/>
          <w:numId w:val="297"/>
        </w:numPr>
        <w:autoSpaceDE w:val="0"/>
        <w:autoSpaceDN w:val="0"/>
        <w:adjustRightInd w:val="0"/>
        <w:snapToGrid w:val="0"/>
        <w:spacing w:line="330" w:lineRule="exact"/>
        <w:ind w:left="0" w:firstLine="840" w:firstLineChars="400"/>
        <w:rPr>
          <w:szCs w:val="21"/>
        </w:rPr>
      </w:pPr>
      <w:r>
        <w:rPr>
          <w:szCs w:val="21"/>
        </w:rPr>
        <w:t>应留有操作和维护空间；</w:t>
      </w:r>
    </w:p>
    <w:p w14:paraId="60362C92">
      <w:pPr>
        <w:pStyle w:val="164"/>
        <w:numPr>
          <w:ilvl w:val="0"/>
          <w:numId w:val="297"/>
        </w:numPr>
        <w:autoSpaceDE w:val="0"/>
        <w:autoSpaceDN w:val="0"/>
        <w:adjustRightInd w:val="0"/>
        <w:snapToGrid w:val="0"/>
        <w:spacing w:line="330" w:lineRule="exact"/>
        <w:ind w:left="0" w:firstLine="840" w:firstLineChars="400"/>
        <w:rPr>
          <w:szCs w:val="21"/>
        </w:rPr>
      </w:pPr>
      <w:bookmarkStart w:id="362" w:name="bookmark2106"/>
      <w:bookmarkEnd w:id="362"/>
      <w:r>
        <w:rPr>
          <w:szCs w:val="21"/>
        </w:rPr>
        <w:t>环境参数采集设备安装应满足设计要求或</w:t>
      </w:r>
      <w:r>
        <w:rPr>
          <w:rFonts w:hint="eastAsia"/>
          <w:szCs w:val="21"/>
        </w:rPr>
        <w:t>满足</w:t>
      </w:r>
      <w:r>
        <w:rPr>
          <w:szCs w:val="21"/>
        </w:rPr>
        <w:t>参数采集设备生产厂商相关技术资料要求。</w:t>
      </w:r>
    </w:p>
    <w:p w14:paraId="1958BF93">
      <w:pPr>
        <w:pStyle w:val="164"/>
        <w:numPr>
          <w:ilvl w:val="0"/>
          <w:numId w:val="296"/>
        </w:numPr>
        <w:tabs>
          <w:tab w:val="left" w:pos="210"/>
          <w:tab w:val="left" w:pos="567"/>
        </w:tabs>
        <w:spacing w:line="330" w:lineRule="exact"/>
        <w:ind w:firstLine="630" w:firstLineChars="300"/>
        <w:rPr>
          <w:szCs w:val="21"/>
        </w:rPr>
      </w:pPr>
      <w:r>
        <w:rPr>
          <w:szCs w:val="21"/>
        </w:rPr>
        <w:t>信号传输设备和信号接收设备之间的路径和距离应</w:t>
      </w:r>
      <w:r>
        <w:rPr>
          <w:rFonts w:hint="eastAsia"/>
          <w:szCs w:val="21"/>
        </w:rPr>
        <w:t>满足</w:t>
      </w:r>
      <w:r>
        <w:rPr>
          <w:szCs w:val="21"/>
        </w:rPr>
        <w:t>技术文件要求。</w:t>
      </w:r>
      <w:r>
        <w:rPr>
          <w:szCs w:val="21"/>
        </w:rPr>
        <w:tab/>
      </w:r>
    </w:p>
    <w:p w14:paraId="7CBA1868">
      <w:pPr>
        <w:pStyle w:val="164"/>
        <w:numPr>
          <w:ilvl w:val="0"/>
          <w:numId w:val="296"/>
        </w:numPr>
        <w:tabs>
          <w:tab w:val="left" w:pos="210"/>
          <w:tab w:val="left" w:pos="567"/>
        </w:tabs>
        <w:spacing w:line="330" w:lineRule="exact"/>
        <w:ind w:firstLine="630" w:firstLineChars="300"/>
        <w:rPr>
          <w:szCs w:val="21"/>
        </w:rPr>
      </w:pPr>
      <w:r>
        <w:rPr>
          <w:szCs w:val="21"/>
        </w:rPr>
        <w:t>摄像机的安装应符合下列规定：</w:t>
      </w:r>
    </w:p>
    <w:p w14:paraId="0A473BDB">
      <w:pPr>
        <w:pStyle w:val="164"/>
        <w:numPr>
          <w:ilvl w:val="0"/>
          <w:numId w:val="298"/>
        </w:numPr>
        <w:autoSpaceDE w:val="0"/>
        <w:autoSpaceDN w:val="0"/>
        <w:adjustRightInd w:val="0"/>
        <w:snapToGrid w:val="0"/>
        <w:spacing w:line="330" w:lineRule="exact"/>
        <w:ind w:left="0" w:firstLine="840" w:firstLineChars="400"/>
        <w:rPr>
          <w:szCs w:val="21"/>
        </w:rPr>
      </w:pPr>
      <w:bookmarkStart w:id="363" w:name="bookmark2109"/>
      <w:bookmarkEnd w:id="363"/>
      <w:r>
        <w:rPr>
          <w:szCs w:val="21"/>
        </w:rPr>
        <w:t>应对摄像机逐个通电、检测和粗调，在摄像机处于正常工作状态后方可安装；</w:t>
      </w:r>
      <w:bookmarkStart w:id="364" w:name="bookmark2110"/>
      <w:bookmarkEnd w:id="364"/>
    </w:p>
    <w:p w14:paraId="69CFED97">
      <w:pPr>
        <w:pStyle w:val="164"/>
        <w:numPr>
          <w:ilvl w:val="0"/>
          <w:numId w:val="298"/>
        </w:numPr>
        <w:autoSpaceDE w:val="0"/>
        <w:autoSpaceDN w:val="0"/>
        <w:adjustRightInd w:val="0"/>
        <w:snapToGrid w:val="0"/>
        <w:spacing w:line="330" w:lineRule="exact"/>
        <w:ind w:left="0" w:firstLine="840" w:firstLineChars="400"/>
        <w:rPr>
          <w:szCs w:val="21"/>
        </w:rPr>
      </w:pPr>
      <w:r>
        <w:rPr>
          <w:szCs w:val="21"/>
        </w:rPr>
        <w:t>应检查云台的水平与垂直转动角度，并应根据设计要求确定云台转动起始点；</w:t>
      </w:r>
      <w:bookmarkStart w:id="365" w:name="bookmark2111"/>
      <w:bookmarkEnd w:id="365"/>
    </w:p>
    <w:p w14:paraId="68DA9A10">
      <w:pPr>
        <w:pStyle w:val="164"/>
        <w:numPr>
          <w:ilvl w:val="0"/>
          <w:numId w:val="298"/>
        </w:numPr>
        <w:autoSpaceDE w:val="0"/>
        <w:autoSpaceDN w:val="0"/>
        <w:adjustRightInd w:val="0"/>
        <w:snapToGrid w:val="0"/>
        <w:spacing w:line="330" w:lineRule="exact"/>
        <w:ind w:left="0" w:firstLine="840" w:firstLineChars="400"/>
        <w:rPr>
          <w:szCs w:val="21"/>
        </w:rPr>
      </w:pPr>
      <w:r>
        <w:rPr>
          <w:szCs w:val="21"/>
        </w:rPr>
        <w:t>摄像机与云台的连接线缆的长度应满足摄像机转动的要求；</w:t>
      </w:r>
    </w:p>
    <w:p w14:paraId="25553A58">
      <w:pPr>
        <w:pStyle w:val="164"/>
        <w:numPr>
          <w:ilvl w:val="0"/>
          <w:numId w:val="298"/>
        </w:numPr>
        <w:autoSpaceDE w:val="0"/>
        <w:autoSpaceDN w:val="0"/>
        <w:adjustRightInd w:val="0"/>
        <w:snapToGrid w:val="0"/>
        <w:spacing w:line="330" w:lineRule="exact"/>
        <w:ind w:left="0" w:firstLine="840" w:firstLineChars="400"/>
        <w:rPr>
          <w:szCs w:val="21"/>
        </w:rPr>
      </w:pPr>
      <w:bookmarkStart w:id="366" w:name="bookmark2112"/>
      <w:bookmarkEnd w:id="366"/>
      <w:r>
        <w:rPr>
          <w:szCs w:val="21"/>
        </w:rPr>
        <w:t>对摄像机初步安装后，应进行通电调试，并应检查功能、图像质量、监视区范围，满足要求后固定；</w:t>
      </w:r>
      <w:bookmarkStart w:id="367" w:name="bookmark2113"/>
      <w:bookmarkEnd w:id="367"/>
    </w:p>
    <w:p w14:paraId="51AC1656">
      <w:pPr>
        <w:pStyle w:val="164"/>
        <w:numPr>
          <w:ilvl w:val="0"/>
          <w:numId w:val="298"/>
        </w:numPr>
        <w:autoSpaceDE w:val="0"/>
        <w:autoSpaceDN w:val="0"/>
        <w:adjustRightInd w:val="0"/>
        <w:snapToGrid w:val="0"/>
        <w:spacing w:line="330" w:lineRule="exact"/>
        <w:ind w:left="0" w:firstLine="840" w:firstLineChars="400"/>
        <w:rPr>
          <w:szCs w:val="21"/>
        </w:rPr>
      </w:pPr>
      <w:r>
        <w:rPr>
          <w:szCs w:val="21"/>
        </w:rPr>
        <w:t>摄像机安装应牢固、可靠。</w:t>
      </w:r>
      <w:r>
        <w:rPr>
          <w:szCs w:val="21"/>
        </w:rPr>
        <w:tab/>
      </w:r>
    </w:p>
    <w:p w14:paraId="51E1CF50">
      <w:pPr>
        <w:pStyle w:val="164"/>
        <w:numPr>
          <w:ilvl w:val="0"/>
          <w:numId w:val="296"/>
        </w:numPr>
        <w:tabs>
          <w:tab w:val="left" w:pos="210"/>
          <w:tab w:val="left" w:pos="567"/>
        </w:tabs>
        <w:spacing w:line="330" w:lineRule="exact"/>
        <w:ind w:firstLine="630" w:firstLineChars="300"/>
        <w:rPr>
          <w:szCs w:val="21"/>
        </w:rPr>
      </w:pPr>
      <w:r>
        <w:rPr>
          <w:szCs w:val="21"/>
        </w:rPr>
        <w:t>监视器的安装位置应符合下列规定：</w:t>
      </w:r>
      <w:r>
        <w:rPr>
          <w:szCs w:val="21"/>
        </w:rPr>
        <w:tab/>
      </w:r>
    </w:p>
    <w:p w14:paraId="5EDB0362">
      <w:pPr>
        <w:pStyle w:val="164"/>
        <w:numPr>
          <w:ilvl w:val="0"/>
          <w:numId w:val="299"/>
        </w:numPr>
        <w:autoSpaceDE w:val="0"/>
        <w:autoSpaceDN w:val="0"/>
        <w:adjustRightInd w:val="0"/>
        <w:snapToGrid w:val="0"/>
        <w:spacing w:line="330" w:lineRule="exact"/>
        <w:ind w:left="0" w:firstLine="840" w:firstLineChars="400"/>
        <w:rPr>
          <w:szCs w:val="21"/>
        </w:rPr>
      </w:pPr>
      <w:bookmarkStart w:id="368" w:name="bookmark2115"/>
      <w:bookmarkEnd w:id="368"/>
      <w:r>
        <w:rPr>
          <w:szCs w:val="21"/>
        </w:rPr>
        <w:t>监视器安装在机柜内时，应采取通风散热措施；</w:t>
      </w:r>
      <w:bookmarkStart w:id="369" w:name="bookmark2116"/>
      <w:bookmarkEnd w:id="369"/>
    </w:p>
    <w:p w14:paraId="131D9FD8">
      <w:pPr>
        <w:pStyle w:val="164"/>
        <w:numPr>
          <w:ilvl w:val="0"/>
          <w:numId w:val="299"/>
        </w:numPr>
        <w:autoSpaceDE w:val="0"/>
        <w:autoSpaceDN w:val="0"/>
        <w:adjustRightInd w:val="0"/>
        <w:snapToGrid w:val="0"/>
        <w:spacing w:line="330" w:lineRule="exact"/>
        <w:ind w:left="0" w:firstLine="840" w:firstLineChars="400"/>
        <w:rPr>
          <w:szCs w:val="21"/>
        </w:rPr>
      </w:pPr>
      <w:r>
        <w:rPr>
          <w:szCs w:val="21"/>
        </w:rPr>
        <w:t>监视器的屏幕应避免光线直射；</w:t>
      </w:r>
      <w:bookmarkStart w:id="370" w:name="bookmark2117"/>
      <w:bookmarkEnd w:id="370"/>
    </w:p>
    <w:p w14:paraId="7289E1C1">
      <w:pPr>
        <w:pStyle w:val="164"/>
        <w:numPr>
          <w:ilvl w:val="0"/>
          <w:numId w:val="299"/>
        </w:numPr>
        <w:autoSpaceDE w:val="0"/>
        <w:autoSpaceDN w:val="0"/>
        <w:adjustRightInd w:val="0"/>
        <w:snapToGrid w:val="0"/>
        <w:spacing w:line="330" w:lineRule="exact"/>
        <w:ind w:left="0" w:firstLine="840" w:firstLineChars="400"/>
        <w:rPr>
          <w:szCs w:val="21"/>
        </w:rPr>
      </w:pPr>
      <w:r>
        <w:rPr>
          <w:szCs w:val="21"/>
        </w:rPr>
        <w:t>监视器的外部调节部分，应便于操作。</w:t>
      </w:r>
      <w:r>
        <w:rPr>
          <w:szCs w:val="21"/>
        </w:rPr>
        <w:tab/>
      </w:r>
    </w:p>
    <w:p w14:paraId="2EA6A379">
      <w:pPr>
        <w:pStyle w:val="164"/>
        <w:numPr>
          <w:ilvl w:val="0"/>
          <w:numId w:val="296"/>
        </w:numPr>
        <w:tabs>
          <w:tab w:val="left" w:pos="210"/>
          <w:tab w:val="left" w:pos="567"/>
        </w:tabs>
        <w:spacing w:line="330" w:lineRule="exact"/>
        <w:ind w:firstLine="630" w:firstLineChars="300"/>
        <w:rPr>
          <w:szCs w:val="21"/>
        </w:rPr>
      </w:pPr>
      <w:r>
        <w:rPr>
          <w:szCs w:val="21"/>
        </w:rPr>
        <w:t>控制箱（柜/台）及设备的安装应符合下列规定：</w:t>
      </w:r>
    </w:p>
    <w:p w14:paraId="49DA2442">
      <w:pPr>
        <w:pStyle w:val="164"/>
        <w:numPr>
          <w:ilvl w:val="0"/>
          <w:numId w:val="300"/>
        </w:numPr>
        <w:autoSpaceDE w:val="0"/>
        <w:autoSpaceDN w:val="0"/>
        <w:adjustRightInd w:val="0"/>
        <w:snapToGrid w:val="0"/>
        <w:spacing w:line="330" w:lineRule="exact"/>
        <w:ind w:left="0" w:firstLine="840" w:firstLineChars="400"/>
        <w:rPr>
          <w:szCs w:val="21"/>
        </w:rPr>
      </w:pPr>
      <w:bookmarkStart w:id="371" w:name="bookmark2119"/>
      <w:bookmarkEnd w:id="371"/>
      <w:r>
        <w:rPr>
          <w:szCs w:val="21"/>
        </w:rPr>
        <w:t>控制箱（柜/台）安装应平稳、牢固，并应便于操作和维护；</w:t>
      </w:r>
      <w:bookmarkStart w:id="372" w:name="bookmark2120"/>
      <w:bookmarkEnd w:id="372"/>
    </w:p>
    <w:p w14:paraId="50ADE6DF">
      <w:pPr>
        <w:pStyle w:val="164"/>
        <w:numPr>
          <w:ilvl w:val="0"/>
          <w:numId w:val="300"/>
        </w:numPr>
        <w:autoSpaceDE w:val="0"/>
        <w:autoSpaceDN w:val="0"/>
        <w:adjustRightInd w:val="0"/>
        <w:snapToGrid w:val="0"/>
        <w:spacing w:line="330" w:lineRule="exact"/>
        <w:ind w:left="0" w:firstLine="840" w:firstLineChars="400"/>
        <w:rPr>
          <w:szCs w:val="21"/>
        </w:rPr>
      </w:pPr>
      <w:r>
        <w:rPr>
          <w:szCs w:val="21"/>
        </w:rPr>
        <w:t>控制箱（柜/台）内应采取通风散热措施，内部接插件与设备的连接应牢固、可靠；</w:t>
      </w:r>
      <w:bookmarkStart w:id="373" w:name="bookmark2121"/>
      <w:bookmarkEnd w:id="373"/>
    </w:p>
    <w:p w14:paraId="3A7ECC42">
      <w:pPr>
        <w:pStyle w:val="164"/>
        <w:numPr>
          <w:ilvl w:val="0"/>
          <w:numId w:val="300"/>
        </w:numPr>
        <w:autoSpaceDE w:val="0"/>
        <w:autoSpaceDN w:val="0"/>
        <w:adjustRightInd w:val="0"/>
        <w:snapToGrid w:val="0"/>
        <w:spacing w:line="330" w:lineRule="exact"/>
        <w:ind w:left="0" w:firstLine="840" w:firstLineChars="400"/>
        <w:rPr>
          <w:szCs w:val="21"/>
        </w:rPr>
      </w:pPr>
      <w:r>
        <w:rPr>
          <w:szCs w:val="21"/>
        </w:rPr>
        <w:t>所有控制、显示、记录等终端设备的安装应平稳，并应便于操作。</w:t>
      </w:r>
    </w:p>
    <w:p w14:paraId="2D6ED240">
      <w:pPr>
        <w:pStyle w:val="164"/>
        <w:spacing w:before="100" w:after="100" w:line="330" w:lineRule="exact"/>
        <w:ind w:firstLine="422"/>
        <w:rPr>
          <w:szCs w:val="21"/>
        </w:rPr>
      </w:pPr>
      <w:r>
        <w:rPr>
          <w:b/>
          <w:bCs/>
          <w:szCs w:val="21"/>
        </w:rPr>
        <w:t>3</w:t>
      </w:r>
      <w:r>
        <w:rPr>
          <w:szCs w:val="21"/>
        </w:rPr>
        <w:t>系统调试需满足下列要求：</w:t>
      </w:r>
      <w:r>
        <w:rPr>
          <w:szCs w:val="21"/>
        </w:rPr>
        <w:tab/>
      </w:r>
    </w:p>
    <w:p w14:paraId="0F84A5AA">
      <w:pPr>
        <w:pStyle w:val="164"/>
        <w:numPr>
          <w:ilvl w:val="0"/>
          <w:numId w:val="301"/>
        </w:numPr>
        <w:tabs>
          <w:tab w:val="left" w:pos="210"/>
          <w:tab w:val="left" w:pos="567"/>
        </w:tabs>
        <w:spacing w:line="330" w:lineRule="exact"/>
        <w:ind w:firstLine="630" w:firstLineChars="300"/>
        <w:rPr>
          <w:szCs w:val="21"/>
        </w:rPr>
      </w:pPr>
      <w:r>
        <w:rPr>
          <w:szCs w:val="21"/>
        </w:rPr>
        <w:t>系统调试前应做好下列准备：</w:t>
      </w:r>
    </w:p>
    <w:p w14:paraId="6ED41803">
      <w:pPr>
        <w:pStyle w:val="164"/>
        <w:numPr>
          <w:ilvl w:val="0"/>
          <w:numId w:val="302"/>
        </w:numPr>
        <w:autoSpaceDE w:val="0"/>
        <w:autoSpaceDN w:val="0"/>
        <w:adjustRightInd w:val="0"/>
        <w:snapToGrid w:val="0"/>
        <w:spacing w:line="330" w:lineRule="exact"/>
        <w:ind w:left="0" w:firstLine="840" w:firstLineChars="400"/>
        <w:rPr>
          <w:szCs w:val="21"/>
        </w:rPr>
      </w:pPr>
      <w:bookmarkStart w:id="374" w:name="bookmark2123"/>
      <w:bookmarkEnd w:id="374"/>
      <w:r>
        <w:rPr>
          <w:szCs w:val="21"/>
        </w:rPr>
        <w:t>应按设计要求检查确认已安装设备的规格、型号、数量;</w:t>
      </w:r>
      <w:bookmarkStart w:id="375" w:name="bookmark2124"/>
      <w:bookmarkEnd w:id="375"/>
    </w:p>
    <w:p w14:paraId="59AA2034">
      <w:pPr>
        <w:pStyle w:val="164"/>
        <w:numPr>
          <w:ilvl w:val="0"/>
          <w:numId w:val="302"/>
        </w:numPr>
        <w:autoSpaceDE w:val="0"/>
        <w:autoSpaceDN w:val="0"/>
        <w:adjustRightInd w:val="0"/>
        <w:snapToGrid w:val="0"/>
        <w:spacing w:line="330" w:lineRule="exact"/>
        <w:ind w:left="0" w:firstLine="840" w:firstLineChars="400"/>
        <w:rPr>
          <w:szCs w:val="21"/>
        </w:rPr>
      </w:pPr>
      <w:r>
        <w:rPr>
          <w:szCs w:val="21"/>
        </w:rPr>
        <w:t>通电前应检查供电电源的电压、极性、相序；</w:t>
      </w:r>
      <w:bookmarkStart w:id="376" w:name="bookmark2125"/>
      <w:bookmarkEnd w:id="376"/>
    </w:p>
    <w:p w14:paraId="6EA24121">
      <w:pPr>
        <w:pStyle w:val="164"/>
        <w:numPr>
          <w:ilvl w:val="0"/>
          <w:numId w:val="302"/>
        </w:numPr>
        <w:autoSpaceDE w:val="0"/>
        <w:autoSpaceDN w:val="0"/>
        <w:adjustRightInd w:val="0"/>
        <w:snapToGrid w:val="0"/>
        <w:spacing w:line="330" w:lineRule="exact"/>
        <w:ind w:left="0" w:firstLine="840" w:firstLineChars="400"/>
        <w:rPr>
          <w:szCs w:val="21"/>
        </w:rPr>
      </w:pPr>
      <w:r>
        <w:rPr>
          <w:szCs w:val="21"/>
        </w:rPr>
        <w:t>对有源设备应逐个进行通电检查。</w:t>
      </w:r>
    </w:p>
    <w:p w14:paraId="61A991D0">
      <w:pPr>
        <w:pStyle w:val="164"/>
        <w:numPr>
          <w:ilvl w:val="0"/>
          <w:numId w:val="301"/>
        </w:numPr>
        <w:tabs>
          <w:tab w:val="left" w:pos="210"/>
          <w:tab w:val="left" w:pos="567"/>
        </w:tabs>
        <w:spacing w:line="330" w:lineRule="exact"/>
        <w:ind w:firstLine="630" w:firstLineChars="300"/>
        <w:rPr>
          <w:szCs w:val="21"/>
        </w:rPr>
      </w:pPr>
      <w:r>
        <w:rPr>
          <w:szCs w:val="21"/>
        </w:rPr>
        <w:t>环境监控系统功能检测及调试应包括下列内容：</w:t>
      </w:r>
      <w:r>
        <w:rPr>
          <w:szCs w:val="21"/>
        </w:rPr>
        <w:tab/>
      </w:r>
    </w:p>
    <w:p w14:paraId="414BB819">
      <w:pPr>
        <w:pStyle w:val="164"/>
        <w:numPr>
          <w:ilvl w:val="0"/>
          <w:numId w:val="303"/>
        </w:numPr>
        <w:autoSpaceDE w:val="0"/>
        <w:autoSpaceDN w:val="0"/>
        <w:adjustRightInd w:val="0"/>
        <w:snapToGrid w:val="0"/>
        <w:spacing w:line="330" w:lineRule="exact"/>
        <w:ind w:left="0" w:firstLine="840" w:firstLineChars="400"/>
        <w:rPr>
          <w:szCs w:val="21"/>
        </w:rPr>
      </w:pPr>
      <w:bookmarkStart w:id="377" w:name="bookmark2127"/>
      <w:bookmarkEnd w:id="377"/>
      <w:r>
        <w:rPr>
          <w:szCs w:val="21"/>
        </w:rPr>
        <w:t>机房温度、相对湿度等参数应能准确测量，误差在允许范围内；</w:t>
      </w:r>
      <w:bookmarkStart w:id="378" w:name="bookmark2128"/>
      <w:bookmarkEnd w:id="378"/>
    </w:p>
    <w:p w14:paraId="10E26144">
      <w:pPr>
        <w:pStyle w:val="164"/>
        <w:numPr>
          <w:ilvl w:val="0"/>
          <w:numId w:val="303"/>
        </w:numPr>
        <w:autoSpaceDE w:val="0"/>
        <w:autoSpaceDN w:val="0"/>
        <w:adjustRightInd w:val="0"/>
        <w:snapToGrid w:val="0"/>
        <w:spacing w:line="330" w:lineRule="exact"/>
        <w:ind w:left="0" w:firstLine="840" w:firstLineChars="400"/>
        <w:rPr>
          <w:szCs w:val="21"/>
        </w:rPr>
      </w:pPr>
      <w:r>
        <w:rPr>
          <w:szCs w:val="21"/>
        </w:rPr>
        <w:t>检测监控数据准确性；</w:t>
      </w:r>
      <w:bookmarkStart w:id="379" w:name="bookmark2129"/>
      <w:bookmarkEnd w:id="379"/>
    </w:p>
    <w:p w14:paraId="57BA1A6F">
      <w:pPr>
        <w:pStyle w:val="164"/>
        <w:numPr>
          <w:ilvl w:val="0"/>
          <w:numId w:val="303"/>
        </w:numPr>
        <w:autoSpaceDE w:val="0"/>
        <w:autoSpaceDN w:val="0"/>
        <w:adjustRightInd w:val="0"/>
        <w:snapToGrid w:val="0"/>
        <w:spacing w:line="330" w:lineRule="exact"/>
        <w:ind w:left="0" w:firstLine="840" w:firstLineChars="400"/>
        <w:rPr>
          <w:szCs w:val="21"/>
        </w:rPr>
      </w:pPr>
      <w:r>
        <w:rPr>
          <w:szCs w:val="21"/>
        </w:rPr>
        <w:t>检验漏水报警的准确性。</w:t>
      </w:r>
    </w:p>
    <w:p w14:paraId="1994FF06">
      <w:pPr>
        <w:pStyle w:val="164"/>
        <w:numPr>
          <w:ilvl w:val="0"/>
          <w:numId w:val="301"/>
        </w:numPr>
        <w:tabs>
          <w:tab w:val="left" w:pos="210"/>
          <w:tab w:val="left" w:pos="567"/>
        </w:tabs>
        <w:spacing w:line="330" w:lineRule="exact"/>
        <w:ind w:firstLine="630" w:firstLineChars="300"/>
        <w:rPr>
          <w:szCs w:val="21"/>
        </w:rPr>
      </w:pPr>
      <w:r>
        <w:rPr>
          <w:szCs w:val="21"/>
        </w:rPr>
        <w:t>场地设备监控系统功能检测及调试应包括下列内容：</w:t>
      </w:r>
    </w:p>
    <w:p w14:paraId="040855D6">
      <w:pPr>
        <w:pStyle w:val="164"/>
        <w:numPr>
          <w:ilvl w:val="0"/>
          <w:numId w:val="304"/>
        </w:numPr>
        <w:autoSpaceDE w:val="0"/>
        <w:autoSpaceDN w:val="0"/>
        <w:adjustRightInd w:val="0"/>
        <w:snapToGrid w:val="0"/>
        <w:spacing w:line="330" w:lineRule="exact"/>
        <w:ind w:left="0" w:firstLine="840" w:firstLineChars="400"/>
        <w:rPr>
          <w:szCs w:val="21"/>
        </w:rPr>
      </w:pPr>
      <w:bookmarkStart w:id="380" w:name="bookmark2131"/>
      <w:bookmarkEnd w:id="380"/>
      <w:r>
        <w:rPr>
          <w:szCs w:val="21"/>
        </w:rPr>
        <w:t>检测采集参数的正确性；</w:t>
      </w:r>
      <w:bookmarkStart w:id="381" w:name="bookmark2132"/>
      <w:bookmarkEnd w:id="381"/>
    </w:p>
    <w:p w14:paraId="4ED19F40">
      <w:pPr>
        <w:pStyle w:val="164"/>
        <w:numPr>
          <w:ilvl w:val="0"/>
          <w:numId w:val="304"/>
        </w:numPr>
        <w:autoSpaceDE w:val="0"/>
        <w:autoSpaceDN w:val="0"/>
        <w:adjustRightInd w:val="0"/>
        <w:snapToGrid w:val="0"/>
        <w:spacing w:line="330" w:lineRule="exact"/>
        <w:ind w:left="0" w:firstLine="840" w:firstLineChars="400"/>
        <w:rPr>
          <w:szCs w:val="21"/>
        </w:rPr>
      </w:pPr>
      <w:r>
        <w:rPr>
          <w:szCs w:val="21"/>
        </w:rPr>
        <w:t>检测控制的稳定性和控制效果、调试响应时间</w:t>
      </w:r>
      <w:r>
        <w:rPr>
          <w:rFonts w:hint="eastAsia"/>
          <w:szCs w:val="21"/>
        </w:rPr>
        <w:t>满足</w:t>
      </w:r>
      <w:r>
        <w:rPr>
          <w:szCs w:val="21"/>
        </w:rPr>
        <w:t>技术要求；</w:t>
      </w:r>
      <w:bookmarkStart w:id="382" w:name="bookmark2133"/>
      <w:bookmarkEnd w:id="382"/>
    </w:p>
    <w:p w14:paraId="5AD7300B">
      <w:pPr>
        <w:pStyle w:val="164"/>
        <w:numPr>
          <w:ilvl w:val="0"/>
          <w:numId w:val="304"/>
        </w:numPr>
        <w:autoSpaceDE w:val="0"/>
        <w:autoSpaceDN w:val="0"/>
        <w:adjustRightInd w:val="0"/>
        <w:snapToGrid w:val="0"/>
        <w:spacing w:line="330" w:lineRule="exact"/>
        <w:ind w:left="0" w:firstLine="840" w:firstLineChars="400"/>
        <w:rPr>
          <w:szCs w:val="21"/>
        </w:rPr>
      </w:pPr>
      <w:r>
        <w:rPr>
          <w:szCs w:val="21"/>
        </w:rPr>
        <w:t>检验设备连锁控制和故障报警的正确性。</w:t>
      </w:r>
    </w:p>
    <w:p w14:paraId="0C5AEF04">
      <w:pPr>
        <w:pStyle w:val="164"/>
        <w:numPr>
          <w:ilvl w:val="0"/>
          <w:numId w:val="301"/>
        </w:numPr>
        <w:tabs>
          <w:tab w:val="left" w:pos="210"/>
          <w:tab w:val="left" w:pos="567"/>
        </w:tabs>
        <w:spacing w:line="330" w:lineRule="exact"/>
        <w:ind w:firstLine="630" w:firstLineChars="300"/>
        <w:rPr>
          <w:szCs w:val="21"/>
        </w:rPr>
      </w:pPr>
      <w:r>
        <w:rPr>
          <w:szCs w:val="21"/>
        </w:rPr>
        <w:t>设备调试应由相关专业技术人员根据设计文件和设备技术资料</w:t>
      </w:r>
      <w:r>
        <w:rPr>
          <w:rFonts w:hint="eastAsia"/>
          <w:szCs w:val="21"/>
        </w:rPr>
        <w:t>的要求</w:t>
      </w:r>
      <w:r>
        <w:rPr>
          <w:szCs w:val="21"/>
        </w:rPr>
        <w:t>进行。</w:t>
      </w:r>
    </w:p>
    <w:p w14:paraId="179017D7">
      <w:pPr>
        <w:pStyle w:val="164"/>
        <w:numPr>
          <w:ilvl w:val="0"/>
          <w:numId w:val="301"/>
        </w:numPr>
        <w:tabs>
          <w:tab w:val="left" w:pos="210"/>
          <w:tab w:val="left" w:pos="567"/>
        </w:tabs>
        <w:spacing w:line="330" w:lineRule="exact"/>
        <w:ind w:firstLine="630" w:firstLineChars="300"/>
        <w:rPr>
          <w:szCs w:val="21"/>
        </w:rPr>
      </w:pPr>
      <w:r>
        <w:rPr>
          <w:szCs w:val="21"/>
        </w:rPr>
        <w:t>系统调试应做记录，并应出具调试报告，同时应由调试人员和建设单位代表确认签字。</w:t>
      </w:r>
    </w:p>
    <w:p w14:paraId="0DEF4D1A">
      <w:pPr>
        <w:pStyle w:val="164"/>
        <w:spacing w:before="100" w:after="100" w:line="330" w:lineRule="exact"/>
        <w:ind w:firstLine="0" w:firstLineChars="0"/>
        <w:rPr>
          <w:szCs w:val="21"/>
        </w:rPr>
      </w:pPr>
      <w:bookmarkStart w:id="383" w:name="bookmark2136"/>
      <w:bookmarkStart w:id="384" w:name="bookmark2138"/>
      <w:bookmarkStart w:id="385" w:name="bookmark2137"/>
      <w:r>
        <w:rPr>
          <w:szCs w:val="21"/>
        </w:rPr>
        <w:t>21.3.10消防系统</w:t>
      </w:r>
      <w:bookmarkEnd w:id="383"/>
      <w:bookmarkEnd w:id="384"/>
      <w:bookmarkEnd w:id="385"/>
      <w:r>
        <w:rPr>
          <w:szCs w:val="21"/>
        </w:rPr>
        <w:t>安装需</w:t>
      </w:r>
      <w:r>
        <w:rPr>
          <w:rFonts w:hint="eastAsia"/>
          <w:szCs w:val="21"/>
        </w:rPr>
        <w:t>符合下列规定</w:t>
      </w:r>
      <w:r>
        <w:rPr>
          <w:szCs w:val="21"/>
        </w:rPr>
        <w:t>：</w:t>
      </w:r>
    </w:p>
    <w:p w14:paraId="306DA88D">
      <w:pPr>
        <w:pStyle w:val="164"/>
        <w:spacing w:before="100" w:after="100" w:line="330" w:lineRule="exact"/>
        <w:ind w:firstLine="422"/>
        <w:rPr>
          <w:szCs w:val="21"/>
        </w:rPr>
      </w:pPr>
      <w:r>
        <w:rPr>
          <w:b/>
          <w:bCs/>
          <w:szCs w:val="21"/>
        </w:rPr>
        <w:t>1</w:t>
      </w:r>
      <w:r>
        <w:rPr>
          <w:szCs w:val="21"/>
        </w:rPr>
        <w:t xml:space="preserve"> 采用管网式洁净气体灭火系统或高压细水雾灭火系统的主机房，应同时设置两组独立的火灾探测器，且火灾报警系统应与灭火系统联动。</w:t>
      </w:r>
    </w:p>
    <w:p w14:paraId="79E7F559">
      <w:pPr>
        <w:pStyle w:val="164"/>
        <w:spacing w:before="100" w:after="100" w:line="330" w:lineRule="exact"/>
        <w:ind w:firstLine="422"/>
        <w:rPr>
          <w:szCs w:val="21"/>
        </w:rPr>
      </w:pPr>
      <w:r>
        <w:rPr>
          <w:b/>
          <w:bCs/>
          <w:szCs w:val="21"/>
        </w:rPr>
        <w:t>2</w:t>
      </w:r>
      <w:r>
        <w:rPr>
          <w:szCs w:val="21"/>
        </w:rPr>
        <w:t xml:space="preserve"> 灭火系统控制器应在灭火设备动作之前，联动控制关闭机房内的风门、风阀，停止空调机、排风机，切断非消防电源等。</w:t>
      </w:r>
    </w:p>
    <w:p w14:paraId="52BC4626">
      <w:pPr>
        <w:pStyle w:val="164"/>
        <w:spacing w:before="100" w:after="100" w:line="330" w:lineRule="exact"/>
        <w:ind w:firstLine="422"/>
        <w:rPr>
          <w:szCs w:val="21"/>
        </w:rPr>
      </w:pPr>
      <w:r>
        <w:rPr>
          <w:b/>
          <w:bCs/>
          <w:szCs w:val="21"/>
        </w:rPr>
        <w:t>3</w:t>
      </w:r>
      <w:r>
        <w:rPr>
          <w:szCs w:val="21"/>
        </w:rPr>
        <w:t xml:space="preserve"> 机房内应设置警笛，机房门口上方应设置灭火显示灯。灭火系统的控制箱（柜）应设置在机房外便于操作的地方，且应有保护装置防止误操作。</w:t>
      </w:r>
    </w:p>
    <w:p w14:paraId="1BDC1286">
      <w:pPr>
        <w:pStyle w:val="164"/>
        <w:spacing w:before="100" w:after="100" w:line="330" w:lineRule="exact"/>
        <w:ind w:firstLine="422"/>
        <w:rPr>
          <w:szCs w:val="21"/>
        </w:rPr>
      </w:pPr>
      <w:r>
        <w:rPr>
          <w:b/>
          <w:bCs/>
          <w:szCs w:val="21"/>
        </w:rPr>
        <w:t>4</w:t>
      </w:r>
      <w:r>
        <w:rPr>
          <w:szCs w:val="21"/>
        </w:rPr>
        <w:t xml:space="preserve"> 气体灭火系统的灭火剂及设施应采用经消防检测部门检测合格的产品。各种气体灭火系统的设计及安装应</w:t>
      </w:r>
      <w:r>
        <w:rPr>
          <w:rFonts w:hint="eastAsia"/>
          <w:szCs w:val="21"/>
        </w:rPr>
        <w:t>符合</w:t>
      </w:r>
      <w:r>
        <w:rPr>
          <w:szCs w:val="21"/>
        </w:rPr>
        <w:t>国家</w:t>
      </w:r>
      <w:r>
        <w:rPr>
          <w:rFonts w:hint="eastAsia"/>
          <w:szCs w:val="21"/>
        </w:rPr>
        <w:t>现行</w:t>
      </w:r>
      <w:r>
        <w:rPr>
          <w:szCs w:val="21"/>
        </w:rPr>
        <w:t>标准</w:t>
      </w:r>
      <w:r>
        <w:rPr>
          <w:rFonts w:hint="eastAsia"/>
          <w:szCs w:val="21"/>
        </w:rPr>
        <w:t>的相关规定</w:t>
      </w:r>
      <w:r>
        <w:rPr>
          <w:szCs w:val="21"/>
        </w:rPr>
        <w:t>。</w:t>
      </w:r>
    </w:p>
    <w:p w14:paraId="64BF55AD">
      <w:pPr>
        <w:pStyle w:val="164"/>
        <w:spacing w:before="100" w:after="100" w:line="330" w:lineRule="exact"/>
        <w:ind w:firstLine="422"/>
        <w:rPr>
          <w:szCs w:val="21"/>
        </w:rPr>
      </w:pPr>
      <w:r>
        <w:rPr>
          <w:b/>
          <w:bCs/>
          <w:szCs w:val="21"/>
        </w:rPr>
        <w:t>5</w:t>
      </w:r>
      <w:r>
        <w:rPr>
          <w:szCs w:val="21"/>
        </w:rPr>
        <w:t xml:space="preserve"> 电子信息系统机房内的自动喷水灭火系统，应设置单独的报警阀组。</w:t>
      </w:r>
    </w:p>
    <w:p w14:paraId="1B46B421">
      <w:pPr>
        <w:pStyle w:val="164"/>
        <w:spacing w:before="100" w:after="100" w:line="330" w:lineRule="exact"/>
        <w:ind w:left="210" w:firstLine="210" w:firstLineChars="0"/>
        <w:rPr>
          <w:szCs w:val="21"/>
        </w:rPr>
      </w:pPr>
      <w:r>
        <w:rPr>
          <w:b/>
          <w:bCs/>
          <w:szCs w:val="21"/>
        </w:rPr>
        <w:t xml:space="preserve">6 </w:t>
      </w:r>
      <w:r>
        <w:rPr>
          <w:szCs w:val="21"/>
        </w:rPr>
        <w:t>电子信息系统机房内，手提灭火器的设置应</w:t>
      </w:r>
      <w:r>
        <w:rPr>
          <w:rFonts w:hint="eastAsia"/>
          <w:szCs w:val="21"/>
        </w:rPr>
        <w:t>按现行</w:t>
      </w:r>
      <w:r>
        <w:rPr>
          <w:szCs w:val="21"/>
        </w:rPr>
        <w:t>国家标准《建筑灭火器配置设计规范》</w:t>
      </w:r>
      <w:r>
        <w:rPr>
          <w:szCs w:val="22"/>
        </w:rPr>
        <w:t>GB 50140</w:t>
      </w:r>
      <w:r>
        <w:rPr>
          <w:rFonts w:hint="eastAsia"/>
          <w:szCs w:val="22"/>
        </w:rPr>
        <w:t>的相关</w:t>
      </w:r>
      <w:r>
        <w:rPr>
          <w:szCs w:val="21"/>
        </w:rPr>
        <w:t>规定</w:t>
      </w:r>
      <w:r>
        <w:rPr>
          <w:rFonts w:hint="eastAsia"/>
          <w:szCs w:val="21"/>
        </w:rPr>
        <w:t>执行</w:t>
      </w:r>
      <w:r>
        <w:rPr>
          <w:szCs w:val="21"/>
        </w:rPr>
        <w:t>。灭火剂不应对电子信息设备造成污渍损害。</w:t>
      </w:r>
    </w:p>
    <w:p w14:paraId="02790725">
      <w:pPr>
        <w:pStyle w:val="164"/>
        <w:spacing w:before="100" w:after="100" w:line="330" w:lineRule="exact"/>
        <w:ind w:firstLine="0" w:firstLineChars="0"/>
        <w:rPr>
          <w:szCs w:val="21"/>
        </w:rPr>
      </w:pPr>
      <w:bookmarkStart w:id="386" w:name="_Toc25885"/>
      <w:bookmarkStart w:id="387" w:name="_Toc26326"/>
      <w:bookmarkStart w:id="388" w:name="_Toc18713"/>
      <w:r>
        <w:rPr>
          <w:szCs w:val="21"/>
        </w:rPr>
        <w:t>21.3.11整体系统测试应符合下列规定：</w:t>
      </w:r>
    </w:p>
    <w:p w14:paraId="7813CFE9">
      <w:pPr>
        <w:pStyle w:val="164"/>
        <w:spacing w:before="100" w:after="100" w:line="330" w:lineRule="exact"/>
        <w:ind w:firstLine="422"/>
        <w:rPr>
          <w:szCs w:val="21"/>
        </w:rPr>
      </w:pPr>
      <w:r>
        <w:rPr>
          <w:b/>
          <w:bCs/>
          <w:szCs w:val="21"/>
        </w:rPr>
        <w:t>1</w:t>
      </w:r>
      <w:r>
        <w:rPr>
          <w:szCs w:val="21"/>
        </w:rPr>
        <w:t xml:space="preserve"> 机房基础设施工程综合测试条件应符合下列规定：</w:t>
      </w:r>
    </w:p>
    <w:p w14:paraId="2B1C03B3">
      <w:pPr>
        <w:pStyle w:val="164"/>
        <w:numPr>
          <w:ilvl w:val="0"/>
          <w:numId w:val="305"/>
        </w:numPr>
        <w:tabs>
          <w:tab w:val="left" w:pos="210"/>
          <w:tab w:val="left" w:pos="567"/>
        </w:tabs>
        <w:spacing w:line="330" w:lineRule="exact"/>
        <w:ind w:firstLine="630" w:firstLineChars="300"/>
        <w:rPr>
          <w:szCs w:val="21"/>
        </w:rPr>
      </w:pPr>
      <w:r>
        <w:rPr>
          <w:szCs w:val="21"/>
        </w:rPr>
        <w:t>测试区域所含分部、分项工程的质量均应自检合格；</w:t>
      </w:r>
    </w:p>
    <w:p w14:paraId="6CC6C3B7">
      <w:pPr>
        <w:pStyle w:val="164"/>
        <w:numPr>
          <w:ilvl w:val="0"/>
          <w:numId w:val="305"/>
        </w:numPr>
        <w:tabs>
          <w:tab w:val="left" w:pos="210"/>
          <w:tab w:val="left" w:pos="567"/>
        </w:tabs>
        <w:spacing w:line="330" w:lineRule="exact"/>
        <w:ind w:firstLine="630" w:firstLineChars="300"/>
        <w:rPr>
          <w:szCs w:val="21"/>
        </w:rPr>
      </w:pPr>
      <w:r>
        <w:rPr>
          <w:szCs w:val="21"/>
        </w:rPr>
        <w:t>测试前应对整个测试区域和空气调节系统进行清洁处理,空气调节系统连续运行不应少于48h；</w:t>
      </w:r>
    </w:p>
    <w:p w14:paraId="18946866">
      <w:pPr>
        <w:pStyle w:val="164"/>
        <w:numPr>
          <w:ilvl w:val="0"/>
          <w:numId w:val="305"/>
        </w:numPr>
        <w:tabs>
          <w:tab w:val="left" w:pos="210"/>
          <w:tab w:val="left" w:pos="567"/>
        </w:tabs>
        <w:spacing w:line="330" w:lineRule="exact"/>
        <w:ind w:firstLine="630" w:firstLineChars="300"/>
        <w:rPr>
          <w:szCs w:val="21"/>
        </w:rPr>
      </w:pPr>
      <w:r>
        <w:rPr>
          <w:szCs w:val="21"/>
        </w:rPr>
        <w:t>综合测试宜在空态条件下进行。</w:t>
      </w:r>
    </w:p>
    <w:p w14:paraId="1075DE89">
      <w:pPr>
        <w:pStyle w:val="164"/>
        <w:spacing w:before="100" w:after="100" w:line="330" w:lineRule="exact"/>
        <w:ind w:firstLine="422"/>
        <w:rPr>
          <w:szCs w:val="21"/>
        </w:rPr>
      </w:pPr>
      <w:r>
        <w:rPr>
          <w:b/>
          <w:bCs/>
          <w:szCs w:val="21"/>
        </w:rPr>
        <w:t>3</w:t>
      </w:r>
      <w:r>
        <w:rPr>
          <w:szCs w:val="21"/>
        </w:rPr>
        <w:t xml:space="preserve"> </w:t>
      </w:r>
      <w:r>
        <w:rPr>
          <w:rFonts w:hint="eastAsia"/>
          <w:szCs w:val="21"/>
        </w:rPr>
        <w:t>机房工程</w:t>
      </w:r>
      <w:r>
        <w:rPr>
          <w:szCs w:val="21"/>
        </w:rPr>
        <w:t>应检测静电防护措施，检测结果</w:t>
      </w:r>
      <w:r>
        <w:rPr>
          <w:rFonts w:hint="eastAsia"/>
          <w:szCs w:val="21"/>
        </w:rPr>
        <w:t>应</w:t>
      </w:r>
      <w:r>
        <w:rPr>
          <w:szCs w:val="21"/>
        </w:rPr>
        <w:t>满足设计要求。</w:t>
      </w:r>
    </w:p>
    <w:p w14:paraId="14E6DA34">
      <w:pPr>
        <w:pStyle w:val="164"/>
        <w:spacing w:before="100" w:after="100" w:line="330" w:lineRule="exact"/>
        <w:ind w:firstLine="422"/>
        <w:rPr>
          <w:szCs w:val="21"/>
        </w:rPr>
      </w:pPr>
      <w:r>
        <w:rPr>
          <w:b/>
          <w:bCs/>
          <w:szCs w:val="21"/>
        </w:rPr>
        <w:t>4</w:t>
      </w:r>
      <w:r>
        <w:rPr>
          <w:szCs w:val="21"/>
        </w:rPr>
        <w:t xml:space="preserve"> 弱电间检测应符合下列规定：</w:t>
      </w:r>
    </w:p>
    <w:p w14:paraId="774DCBB6">
      <w:pPr>
        <w:pStyle w:val="164"/>
        <w:numPr>
          <w:ilvl w:val="0"/>
          <w:numId w:val="306"/>
        </w:numPr>
        <w:tabs>
          <w:tab w:val="left" w:pos="210"/>
          <w:tab w:val="left" w:pos="567"/>
        </w:tabs>
        <w:spacing w:line="330" w:lineRule="exact"/>
        <w:ind w:firstLine="630" w:firstLineChars="300"/>
        <w:rPr>
          <w:szCs w:val="21"/>
        </w:rPr>
      </w:pPr>
      <w:r>
        <w:rPr>
          <w:szCs w:val="21"/>
        </w:rPr>
        <w:t>室内装饰装修应检测下列内容，检测结果满足设计要求的应判定为合格：房间面积、门的宽度及高度和室内顶棚净高；墙、顶和地的装修面层材料；地板铺装；降噪隔声措施。</w:t>
      </w:r>
    </w:p>
    <w:p w14:paraId="7E8D089D">
      <w:pPr>
        <w:pStyle w:val="164"/>
        <w:numPr>
          <w:ilvl w:val="0"/>
          <w:numId w:val="306"/>
        </w:numPr>
        <w:tabs>
          <w:tab w:val="left" w:pos="210"/>
          <w:tab w:val="left" w:pos="567"/>
        </w:tabs>
        <w:spacing w:line="330" w:lineRule="exact"/>
        <w:ind w:firstLine="630" w:firstLineChars="300"/>
        <w:rPr>
          <w:szCs w:val="21"/>
        </w:rPr>
      </w:pPr>
      <w:r>
        <w:rPr>
          <w:szCs w:val="21"/>
        </w:rPr>
        <w:t>线缆路由的冗余应满足设计要求。</w:t>
      </w:r>
    </w:p>
    <w:p w14:paraId="039066D9">
      <w:pPr>
        <w:pStyle w:val="164"/>
        <w:numPr>
          <w:ilvl w:val="0"/>
          <w:numId w:val="306"/>
        </w:numPr>
        <w:tabs>
          <w:tab w:val="left" w:pos="210"/>
          <w:tab w:val="left" w:pos="567"/>
        </w:tabs>
        <w:spacing w:line="330" w:lineRule="exact"/>
        <w:ind w:firstLine="630" w:firstLineChars="300"/>
        <w:rPr>
          <w:szCs w:val="21"/>
        </w:rPr>
      </w:pPr>
      <w:r>
        <w:rPr>
          <w:szCs w:val="21"/>
        </w:rPr>
        <w:t>配电系统的检测应符合下列规定：</w:t>
      </w:r>
    </w:p>
    <w:p w14:paraId="55C65764">
      <w:pPr>
        <w:pStyle w:val="164"/>
        <w:numPr>
          <w:ilvl w:val="0"/>
          <w:numId w:val="307"/>
        </w:numPr>
        <w:spacing w:before="100" w:after="100" w:line="330" w:lineRule="exact"/>
        <w:ind w:firstLine="840" w:firstLineChars="400"/>
        <w:rPr>
          <w:szCs w:val="21"/>
        </w:rPr>
      </w:pPr>
      <w:r>
        <w:rPr>
          <w:szCs w:val="21"/>
        </w:rPr>
        <w:t>电气装置的型号、规格和安装方式应满足设计要求；</w:t>
      </w:r>
    </w:p>
    <w:p w14:paraId="351378E3">
      <w:pPr>
        <w:pStyle w:val="164"/>
        <w:numPr>
          <w:ilvl w:val="0"/>
          <w:numId w:val="307"/>
        </w:numPr>
        <w:spacing w:before="100" w:after="100" w:line="330" w:lineRule="exact"/>
        <w:ind w:firstLine="840" w:firstLineChars="400"/>
        <w:rPr>
          <w:szCs w:val="21"/>
        </w:rPr>
      </w:pPr>
      <w:r>
        <w:rPr>
          <w:szCs w:val="21"/>
        </w:rPr>
        <w:t>电气装置与其他系统联锁动作的顺序及响应时间应满足设计要求；</w:t>
      </w:r>
    </w:p>
    <w:p w14:paraId="471162F9">
      <w:pPr>
        <w:pStyle w:val="164"/>
        <w:numPr>
          <w:ilvl w:val="0"/>
          <w:numId w:val="307"/>
        </w:numPr>
        <w:spacing w:before="100" w:after="100" w:line="330" w:lineRule="exact"/>
        <w:ind w:firstLine="840" w:firstLineChars="400"/>
        <w:rPr>
          <w:szCs w:val="21"/>
        </w:rPr>
      </w:pPr>
      <w:r>
        <w:rPr>
          <w:szCs w:val="21"/>
        </w:rPr>
        <w:t>电线、电缆的相序、敷设方式、标志和保护等应满足设计要求；</w:t>
      </w:r>
    </w:p>
    <w:p w14:paraId="010EC161">
      <w:pPr>
        <w:pStyle w:val="164"/>
        <w:numPr>
          <w:ilvl w:val="0"/>
          <w:numId w:val="307"/>
        </w:numPr>
        <w:spacing w:before="100" w:after="100" w:line="330" w:lineRule="exact"/>
        <w:ind w:firstLine="840" w:firstLineChars="400"/>
        <w:rPr>
          <w:szCs w:val="21"/>
        </w:rPr>
      </w:pPr>
      <w:r>
        <w:rPr>
          <w:szCs w:val="21"/>
        </w:rPr>
        <w:t>不间断电源装置支架应安装平整、稳固，内部接线应连接正确，紧固件应齐全、可靠不松动，焊接连接不应有脱落现象；</w:t>
      </w:r>
    </w:p>
    <w:p w14:paraId="2E1D4E54">
      <w:pPr>
        <w:pStyle w:val="164"/>
        <w:numPr>
          <w:ilvl w:val="0"/>
          <w:numId w:val="307"/>
        </w:numPr>
        <w:spacing w:before="100" w:after="100" w:line="330" w:lineRule="exact"/>
        <w:ind w:firstLine="840" w:firstLineChars="400"/>
        <w:rPr>
          <w:szCs w:val="21"/>
        </w:rPr>
      </w:pPr>
      <w:r>
        <w:rPr>
          <w:szCs w:val="21"/>
        </w:rPr>
        <w:t>配电柜（屏）的金属框架及基础型钢接地应可靠；</w:t>
      </w:r>
    </w:p>
    <w:p w14:paraId="3552A6D0">
      <w:pPr>
        <w:pStyle w:val="164"/>
        <w:numPr>
          <w:ilvl w:val="0"/>
          <w:numId w:val="307"/>
        </w:numPr>
        <w:spacing w:before="100" w:after="100" w:line="330" w:lineRule="exact"/>
        <w:ind w:firstLine="840" w:firstLineChars="400"/>
        <w:rPr>
          <w:szCs w:val="21"/>
        </w:rPr>
      </w:pPr>
      <w:r>
        <w:rPr>
          <w:szCs w:val="21"/>
        </w:rPr>
        <w:t>不同回路、不同电压等级和交流与直流的电线的敷设应满足设计要求；工作面水平照度应满足设计要求。</w:t>
      </w:r>
    </w:p>
    <w:p w14:paraId="3ED644AE">
      <w:pPr>
        <w:pStyle w:val="164"/>
        <w:numPr>
          <w:ilvl w:val="0"/>
          <w:numId w:val="306"/>
        </w:numPr>
        <w:tabs>
          <w:tab w:val="left" w:pos="210"/>
          <w:tab w:val="left" w:pos="567"/>
        </w:tabs>
        <w:spacing w:line="330" w:lineRule="exact"/>
        <w:ind w:firstLine="630" w:firstLineChars="300"/>
        <w:rPr>
          <w:szCs w:val="21"/>
        </w:rPr>
      </w:pPr>
      <w:r>
        <w:rPr>
          <w:szCs w:val="21"/>
        </w:rPr>
        <w:t>空调通风系统应检测室内温度和湿度；室内洁净度；房间内与房间外的压差值，检测结果满足设计要求的应判定为合格</w:t>
      </w:r>
      <w:r>
        <w:rPr>
          <w:rFonts w:hint="eastAsia"/>
          <w:szCs w:val="21"/>
        </w:rPr>
        <w:t>。</w:t>
      </w:r>
    </w:p>
    <w:p w14:paraId="7F7BCC30">
      <w:pPr>
        <w:pStyle w:val="164"/>
        <w:numPr>
          <w:ilvl w:val="0"/>
          <w:numId w:val="306"/>
        </w:numPr>
        <w:tabs>
          <w:tab w:val="left" w:pos="210"/>
          <w:tab w:val="left" w:pos="567"/>
        </w:tabs>
        <w:spacing w:line="330" w:lineRule="exact"/>
        <w:ind w:firstLine="630" w:firstLineChars="300"/>
        <w:rPr>
          <w:szCs w:val="21"/>
        </w:rPr>
      </w:pPr>
      <w:r>
        <w:rPr>
          <w:szCs w:val="21"/>
        </w:rPr>
        <w:t>防雷与接地的检测应按本规程第22章</w:t>
      </w:r>
      <w:r>
        <w:rPr>
          <w:rFonts w:hint="eastAsia"/>
          <w:szCs w:val="21"/>
        </w:rPr>
        <w:t>第22.3.3条第3款的相关</w:t>
      </w:r>
      <w:r>
        <w:rPr>
          <w:szCs w:val="21"/>
        </w:rPr>
        <w:t>规定执行。</w:t>
      </w:r>
    </w:p>
    <w:p w14:paraId="4B5554D5">
      <w:pPr>
        <w:pStyle w:val="164"/>
        <w:numPr>
          <w:ilvl w:val="0"/>
          <w:numId w:val="306"/>
        </w:numPr>
        <w:tabs>
          <w:tab w:val="left" w:pos="210"/>
          <w:tab w:val="left" w:pos="567"/>
        </w:tabs>
        <w:spacing w:line="330" w:lineRule="exact"/>
        <w:ind w:firstLine="630" w:firstLineChars="300"/>
        <w:rPr>
          <w:szCs w:val="21"/>
        </w:rPr>
      </w:pPr>
      <w:r>
        <w:rPr>
          <w:szCs w:val="21"/>
        </w:rPr>
        <w:t>消防系统的检测应按本规程第18章</w:t>
      </w:r>
      <w:r>
        <w:rPr>
          <w:rFonts w:hint="eastAsia"/>
          <w:szCs w:val="21"/>
        </w:rPr>
        <w:t>第18.3.8条</w:t>
      </w:r>
      <w:r>
        <w:rPr>
          <w:szCs w:val="21"/>
        </w:rPr>
        <w:t>的</w:t>
      </w:r>
      <w:r>
        <w:rPr>
          <w:rFonts w:hint="eastAsia"/>
          <w:szCs w:val="21"/>
        </w:rPr>
        <w:t>相关</w:t>
      </w:r>
      <w:r>
        <w:rPr>
          <w:szCs w:val="21"/>
        </w:rPr>
        <w:t>规定执行。</w:t>
      </w:r>
    </w:p>
    <w:p w14:paraId="23A451E9">
      <w:pPr>
        <w:pStyle w:val="164"/>
        <w:spacing w:before="100" w:after="100" w:line="330" w:lineRule="exact"/>
        <w:ind w:firstLine="422"/>
        <w:rPr>
          <w:szCs w:val="21"/>
        </w:rPr>
      </w:pPr>
      <w:r>
        <w:rPr>
          <w:b/>
          <w:bCs/>
          <w:szCs w:val="21"/>
        </w:rPr>
        <w:t>5</w:t>
      </w:r>
      <w:r>
        <w:rPr>
          <w:szCs w:val="21"/>
        </w:rPr>
        <w:t xml:space="preserve"> 对于本规程第21.4.1条第4款规定的弱电间以外的机房，应按现行国家标准《数据中心基础设施施工及验收规范》</w:t>
      </w:r>
      <w:r>
        <w:rPr>
          <w:szCs w:val="22"/>
        </w:rPr>
        <w:t>GB 50462</w:t>
      </w:r>
      <w:r>
        <w:rPr>
          <w:szCs w:val="21"/>
        </w:rPr>
        <w:t>中有关供配电系统、防雷与接地系统、空气调节系统给水排水系统、综合布线系统、监控与安全防范系统、消防系统、室内装饰装修和电磁屏蔽等系统的检验项目、检验要求及测试方法的规定执行，检测结果满足设计要求的应判定为合格。</w:t>
      </w:r>
    </w:p>
    <w:p w14:paraId="71E72C03">
      <w:pPr>
        <w:pStyle w:val="164"/>
        <w:spacing w:before="100" w:after="100" w:line="330" w:lineRule="exact"/>
        <w:ind w:firstLine="422"/>
        <w:rPr>
          <w:szCs w:val="21"/>
        </w:rPr>
      </w:pPr>
      <w:r>
        <w:rPr>
          <w:b/>
          <w:bCs/>
          <w:szCs w:val="21"/>
        </w:rPr>
        <w:t xml:space="preserve">6 </w:t>
      </w:r>
      <w:r>
        <w:rPr>
          <w:szCs w:val="21"/>
        </w:rPr>
        <w:t>温度、相对湿度测试应符合下列规定：</w:t>
      </w:r>
    </w:p>
    <w:p w14:paraId="56CE1417">
      <w:pPr>
        <w:pStyle w:val="164"/>
        <w:numPr>
          <w:ilvl w:val="0"/>
          <w:numId w:val="308"/>
        </w:numPr>
        <w:tabs>
          <w:tab w:val="left" w:pos="210"/>
          <w:tab w:val="left" w:pos="567"/>
        </w:tabs>
        <w:spacing w:line="330" w:lineRule="exact"/>
        <w:ind w:firstLine="630" w:firstLineChars="300"/>
        <w:rPr>
          <w:szCs w:val="21"/>
        </w:rPr>
      </w:pPr>
      <w:r>
        <w:rPr>
          <w:szCs w:val="21"/>
        </w:rPr>
        <w:t>选取冷通道内两排机柜的中间面为检测面，沿机柜排列方向选取不应少于3个检测点，沿机柜垂直方向宜选取3个检测点；</w:t>
      </w:r>
    </w:p>
    <w:p w14:paraId="3AE598E3">
      <w:pPr>
        <w:pStyle w:val="164"/>
        <w:numPr>
          <w:ilvl w:val="0"/>
          <w:numId w:val="308"/>
        </w:numPr>
        <w:tabs>
          <w:tab w:val="left" w:pos="210"/>
          <w:tab w:val="left" w:pos="567"/>
        </w:tabs>
        <w:spacing w:line="330" w:lineRule="exact"/>
        <w:ind w:firstLine="630" w:firstLineChars="300"/>
        <w:rPr>
          <w:szCs w:val="21"/>
        </w:rPr>
      </w:pPr>
      <w:r>
        <w:rPr>
          <w:szCs w:val="21"/>
        </w:rPr>
        <w:t>沿机柜排列方向选取的第一个检测点距第一个机柜外边线宜为300mm,检测点间距可根据机柜排列数量，选取0.6m、1.2m、1.8m三种间距之一进行测量；</w:t>
      </w:r>
    </w:p>
    <w:p w14:paraId="152710D6">
      <w:pPr>
        <w:pStyle w:val="164"/>
        <w:numPr>
          <w:ilvl w:val="0"/>
          <w:numId w:val="308"/>
        </w:numPr>
        <w:tabs>
          <w:tab w:val="left" w:pos="210"/>
          <w:tab w:val="left" w:pos="567"/>
        </w:tabs>
        <w:spacing w:line="330" w:lineRule="exact"/>
        <w:ind w:firstLine="630" w:firstLineChars="300"/>
        <w:rPr>
          <w:szCs w:val="21"/>
        </w:rPr>
      </w:pPr>
      <w:r>
        <w:rPr>
          <w:szCs w:val="21"/>
        </w:rPr>
        <w:t>垂直方向检测点可分别选取距地板面0.2m、1.1m、2.0m三个高度进行检测。</w:t>
      </w:r>
    </w:p>
    <w:p w14:paraId="16BDA974">
      <w:pPr>
        <w:pStyle w:val="164"/>
        <w:numPr>
          <w:ilvl w:val="0"/>
          <w:numId w:val="308"/>
        </w:numPr>
        <w:tabs>
          <w:tab w:val="left" w:pos="210"/>
          <w:tab w:val="left" w:pos="567"/>
        </w:tabs>
        <w:spacing w:line="330" w:lineRule="exact"/>
        <w:ind w:firstLine="630" w:firstLineChars="300"/>
        <w:rPr>
          <w:szCs w:val="21"/>
        </w:rPr>
      </w:pPr>
      <w:r>
        <w:rPr>
          <w:szCs w:val="21"/>
        </w:rPr>
        <w:t>测试温度、相对湿度的仪表精度等级不应低于2级。</w:t>
      </w:r>
    </w:p>
    <w:p w14:paraId="051A741A">
      <w:pPr>
        <w:pStyle w:val="164"/>
        <w:spacing w:before="100" w:after="100" w:line="330" w:lineRule="exact"/>
        <w:ind w:firstLine="422"/>
        <w:rPr>
          <w:szCs w:val="21"/>
        </w:rPr>
      </w:pPr>
      <w:r>
        <w:rPr>
          <w:b/>
          <w:bCs/>
          <w:szCs w:val="21"/>
        </w:rPr>
        <w:t>7</w:t>
      </w:r>
      <w:r>
        <w:rPr>
          <w:szCs w:val="21"/>
        </w:rPr>
        <w:t xml:space="preserve"> 空气含尘浓度测试应符合下列规定：</w:t>
      </w:r>
    </w:p>
    <w:p w14:paraId="62E4BC52">
      <w:pPr>
        <w:pStyle w:val="164"/>
        <w:numPr>
          <w:ilvl w:val="0"/>
          <w:numId w:val="309"/>
        </w:numPr>
        <w:tabs>
          <w:tab w:val="left" w:pos="210"/>
          <w:tab w:val="left" w:pos="567"/>
        </w:tabs>
        <w:spacing w:line="330" w:lineRule="exact"/>
        <w:ind w:firstLine="630" w:firstLineChars="300"/>
        <w:rPr>
          <w:szCs w:val="21"/>
        </w:rPr>
      </w:pPr>
      <w:r>
        <w:rPr>
          <w:szCs w:val="21"/>
        </w:rPr>
        <w:t>测试仪器宜使用光散射粒子计数器，采样速率宜大于lL/min。</w:t>
      </w:r>
    </w:p>
    <w:p w14:paraId="7C197C70">
      <w:pPr>
        <w:pStyle w:val="164"/>
        <w:numPr>
          <w:ilvl w:val="0"/>
          <w:numId w:val="309"/>
        </w:numPr>
        <w:tabs>
          <w:tab w:val="left" w:pos="210"/>
          <w:tab w:val="left" w:pos="567"/>
        </w:tabs>
        <w:spacing w:line="330" w:lineRule="exact"/>
        <w:ind w:firstLine="630" w:firstLineChars="300"/>
        <w:rPr>
          <w:szCs w:val="21"/>
        </w:rPr>
      </w:pPr>
      <w:r>
        <w:rPr>
          <w:szCs w:val="21"/>
        </w:rPr>
        <w:t>空气含尘浓度测试方法应符合下列规定：</w:t>
      </w:r>
    </w:p>
    <w:p w14:paraId="245ECAAA">
      <w:pPr>
        <w:pStyle w:val="164"/>
        <w:numPr>
          <w:ilvl w:val="0"/>
          <w:numId w:val="310"/>
        </w:numPr>
        <w:autoSpaceDE w:val="0"/>
        <w:autoSpaceDN w:val="0"/>
        <w:adjustRightInd w:val="0"/>
        <w:snapToGrid w:val="0"/>
        <w:spacing w:line="330" w:lineRule="exact"/>
        <w:ind w:left="0" w:firstLine="840" w:firstLineChars="400"/>
        <w:rPr>
          <w:szCs w:val="21"/>
        </w:rPr>
      </w:pPr>
      <w:r>
        <w:rPr>
          <w:rFonts w:hint="eastAsia"/>
          <w:szCs w:val="21"/>
        </w:rPr>
        <w:t>检测点应均匀分布于冷通道内，检测点净高应控制在</w:t>
      </w:r>
      <w:r>
        <w:rPr>
          <w:szCs w:val="21"/>
        </w:rPr>
        <w:t>0.8m</w:t>
      </w:r>
      <w:r>
        <w:rPr>
          <w:rFonts w:hint="eastAsia" w:ascii="微软雅黑" w:hAnsi="微软雅黑" w:eastAsia="微软雅黑" w:cs="微软雅黑"/>
          <w:szCs w:val="21"/>
        </w:rPr>
        <w:t>〜</w:t>
      </w:r>
      <w:r>
        <w:rPr>
          <w:szCs w:val="21"/>
        </w:rPr>
        <w:t>1.1m</w:t>
      </w:r>
      <w:r>
        <w:rPr>
          <w:rFonts w:hint="eastAsia"/>
          <w:szCs w:val="21"/>
        </w:rPr>
        <w:t>的范围内；</w:t>
      </w:r>
    </w:p>
    <w:p w14:paraId="6D78A0E3">
      <w:pPr>
        <w:pStyle w:val="164"/>
        <w:numPr>
          <w:ilvl w:val="0"/>
          <w:numId w:val="310"/>
        </w:numPr>
        <w:autoSpaceDE w:val="0"/>
        <w:autoSpaceDN w:val="0"/>
        <w:adjustRightInd w:val="0"/>
        <w:snapToGrid w:val="0"/>
        <w:spacing w:line="330" w:lineRule="exact"/>
        <w:ind w:left="0" w:firstLine="840" w:firstLineChars="400"/>
        <w:rPr>
          <w:szCs w:val="21"/>
        </w:rPr>
      </w:pPr>
      <w:r>
        <w:rPr>
          <w:rFonts w:hint="eastAsia"/>
          <w:szCs w:val="21"/>
        </w:rPr>
        <w:t>每个检测点应采样</w:t>
      </w:r>
      <w:r>
        <w:rPr>
          <w:szCs w:val="21"/>
        </w:rPr>
        <w:t>3</w:t>
      </w:r>
      <w:r>
        <w:rPr>
          <w:rFonts w:hint="eastAsia"/>
          <w:szCs w:val="21"/>
        </w:rPr>
        <w:t>次，每次采样时间不应少于</w:t>
      </w:r>
      <w:r>
        <w:rPr>
          <w:szCs w:val="21"/>
        </w:rPr>
        <w:t>1min,</w:t>
      </w:r>
      <w:r>
        <w:rPr>
          <w:rFonts w:hint="eastAsia"/>
          <w:szCs w:val="21"/>
        </w:rPr>
        <w:t>每次采样量不应少于</w:t>
      </w:r>
      <w:r>
        <w:rPr>
          <w:szCs w:val="21"/>
        </w:rPr>
        <w:t>2L</w:t>
      </w:r>
      <w:r>
        <w:rPr>
          <w:rFonts w:hint="eastAsia"/>
          <w:szCs w:val="21"/>
        </w:rPr>
        <w:t>。</w:t>
      </w:r>
    </w:p>
    <w:p w14:paraId="47C112E9">
      <w:pPr>
        <w:pStyle w:val="164"/>
        <w:numPr>
          <w:ilvl w:val="0"/>
          <w:numId w:val="310"/>
        </w:numPr>
        <w:autoSpaceDE w:val="0"/>
        <w:autoSpaceDN w:val="0"/>
        <w:adjustRightInd w:val="0"/>
        <w:snapToGrid w:val="0"/>
        <w:spacing w:line="330" w:lineRule="exact"/>
        <w:ind w:left="0" w:firstLine="840" w:firstLineChars="400"/>
        <w:rPr>
          <w:szCs w:val="21"/>
        </w:rPr>
      </w:pPr>
      <w:r>
        <w:rPr>
          <w:rFonts w:hint="eastAsia"/>
          <w:szCs w:val="21"/>
        </w:rPr>
        <w:t>计数器采样管口应位于气流中，并应对着气流方向。</w:t>
      </w:r>
    </w:p>
    <w:p w14:paraId="54FF4FFB">
      <w:pPr>
        <w:pStyle w:val="164"/>
        <w:numPr>
          <w:ilvl w:val="0"/>
          <w:numId w:val="310"/>
        </w:numPr>
        <w:autoSpaceDE w:val="0"/>
        <w:autoSpaceDN w:val="0"/>
        <w:adjustRightInd w:val="0"/>
        <w:snapToGrid w:val="0"/>
        <w:spacing w:line="330" w:lineRule="exact"/>
        <w:ind w:left="0" w:firstLine="840" w:firstLineChars="400"/>
        <w:rPr>
          <w:szCs w:val="21"/>
        </w:rPr>
      </w:pPr>
      <w:r>
        <w:rPr>
          <w:rFonts w:hint="eastAsia"/>
          <w:szCs w:val="21"/>
        </w:rPr>
        <w:t>采样管应清洁干净，连接处不得有渗漏。采样管的长度不宜大于</w:t>
      </w:r>
      <w:r>
        <w:rPr>
          <w:szCs w:val="21"/>
        </w:rPr>
        <w:t>1.5m</w:t>
      </w:r>
      <w:r>
        <w:rPr>
          <w:rFonts w:hint="eastAsia"/>
          <w:szCs w:val="21"/>
        </w:rPr>
        <w:t>。</w:t>
      </w:r>
      <w:r>
        <w:rPr>
          <w:szCs w:val="21"/>
        </w:rPr>
        <w:t xml:space="preserve"> </w:t>
      </w:r>
      <w:r>
        <w:rPr>
          <w:szCs w:val="21"/>
        </w:rPr>
        <w:tab/>
      </w:r>
    </w:p>
    <w:p w14:paraId="61AC3A21">
      <w:pPr>
        <w:pStyle w:val="164"/>
        <w:numPr>
          <w:ilvl w:val="0"/>
          <w:numId w:val="310"/>
        </w:numPr>
        <w:autoSpaceDE w:val="0"/>
        <w:autoSpaceDN w:val="0"/>
        <w:adjustRightInd w:val="0"/>
        <w:snapToGrid w:val="0"/>
        <w:spacing w:line="330" w:lineRule="exact"/>
        <w:ind w:left="0" w:firstLine="840" w:firstLineChars="400"/>
        <w:rPr>
          <w:szCs w:val="21"/>
        </w:rPr>
      </w:pPr>
      <w:r>
        <w:rPr>
          <w:rFonts w:hint="eastAsia"/>
          <w:szCs w:val="21"/>
        </w:rPr>
        <w:t>检测人员在检测时不应站在采样口的上风侧，并应减少活动。</w:t>
      </w:r>
    </w:p>
    <w:p w14:paraId="273EFE0C">
      <w:pPr>
        <w:pStyle w:val="164"/>
        <w:spacing w:before="100" w:after="100" w:line="330" w:lineRule="exact"/>
        <w:ind w:firstLine="422"/>
        <w:rPr>
          <w:szCs w:val="21"/>
        </w:rPr>
      </w:pPr>
      <w:r>
        <w:rPr>
          <w:b/>
          <w:bCs/>
          <w:szCs w:val="21"/>
        </w:rPr>
        <w:t>8</w:t>
      </w:r>
      <w:r>
        <w:rPr>
          <w:szCs w:val="21"/>
        </w:rPr>
        <w:t xml:space="preserve"> 照度测试应符合下列规定：</w:t>
      </w:r>
    </w:p>
    <w:p w14:paraId="36A4E814">
      <w:pPr>
        <w:pStyle w:val="164"/>
        <w:numPr>
          <w:ilvl w:val="0"/>
          <w:numId w:val="311"/>
        </w:numPr>
        <w:tabs>
          <w:tab w:val="left" w:pos="210"/>
          <w:tab w:val="left" w:pos="567"/>
        </w:tabs>
        <w:spacing w:line="330" w:lineRule="exact"/>
        <w:ind w:firstLine="630" w:firstLineChars="300"/>
        <w:rPr>
          <w:rFonts w:eastAsiaTheme="minorEastAsia"/>
        </w:rPr>
      </w:pPr>
      <w:r>
        <w:rPr>
          <w:rFonts w:hint="eastAsia" w:eastAsiaTheme="minorEastAsia"/>
        </w:rPr>
        <w:t>测试仪器应采用照度计，精度不应低于</w:t>
      </w:r>
      <w:r>
        <w:rPr>
          <w:rFonts w:eastAsiaTheme="minorEastAsia"/>
        </w:rPr>
        <w:t>3</w:t>
      </w:r>
      <w:r>
        <w:rPr>
          <w:rFonts w:hint="eastAsia" w:eastAsiaTheme="minorEastAsia"/>
        </w:rPr>
        <w:t>级。</w:t>
      </w:r>
    </w:p>
    <w:p w14:paraId="4FB7FEBC">
      <w:pPr>
        <w:pStyle w:val="164"/>
        <w:numPr>
          <w:ilvl w:val="0"/>
          <w:numId w:val="311"/>
        </w:numPr>
        <w:tabs>
          <w:tab w:val="left" w:pos="210"/>
          <w:tab w:val="left" w:pos="567"/>
        </w:tabs>
        <w:spacing w:line="330" w:lineRule="exact"/>
        <w:ind w:firstLine="630" w:firstLineChars="300"/>
        <w:rPr>
          <w:rFonts w:eastAsiaTheme="minorEastAsia"/>
          <w:szCs w:val="21"/>
        </w:rPr>
      </w:pPr>
      <w:r>
        <w:rPr>
          <w:rFonts w:hint="eastAsia"/>
          <w:szCs w:val="21"/>
        </w:rPr>
        <w:t>机柜或设备成行排列的主机房，照度检测点应设置在两列机柜或设备之间的通道内。在通道的中心线上应每隔</w:t>
      </w:r>
      <w:r>
        <w:rPr>
          <w:szCs w:val="21"/>
        </w:rPr>
        <w:t>1.0m</w:t>
      </w:r>
      <w:r>
        <w:rPr>
          <w:rFonts w:hint="eastAsia"/>
          <w:szCs w:val="21"/>
        </w:rPr>
        <w:t>选择一个检测点，检测点距地面高度应为</w:t>
      </w:r>
      <w:r>
        <w:rPr>
          <w:szCs w:val="21"/>
        </w:rPr>
        <w:t>0.75m,</w:t>
      </w:r>
      <w:r>
        <w:rPr>
          <w:rFonts w:hint="eastAsia"/>
          <w:szCs w:val="21"/>
        </w:rPr>
        <w:t>距通道一端应</w:t>
      </w:r>
      <w:r>
        <w:rPr>
          <w:szCs w:val="21"/>
        </w:rPr>
        <w:t>0.5m</w:t>
      </w:r>
      <w:r>
        <w:rPr>
          <w:rFonts w:hint="eastAsia" w:eastAsiaTheme="minorEastAsia"/>
        </w:rPr>
        <w:t>；</w:t>
      </w:r>
    </w:p>
    <w:p w14:paraId="6F68194F">
      <w:pPr>
        <w:pStyle w:val="164"/>
        <w:numPr>
          <w:ilvl w:val="0"/>
          <w:numId w:val="311"/>
        </w:numPr>
        <w:tabs>
          <w:tab w:val="left" w:pos="210"/>
          <w:tab w:val="left" w:pos="567"/>
        </w:tabs>
        <w:spacing w:line="330" w:lineRule="exact"/>
        <w:ind w:firstLine="630" w:firstLineChars="300"/>
        <w:rPr>
          <w:rFonts w:eastAsiaTheme="minorEastAsia"/>
          <w:szCs w:val="21"/>
        </w:rPr>
      </w:pPr>
      <w:r>
        <w:rPr>
          <w:rFonts w:hint="eastAsia"/>
          <w:szCs w:val="21"/>
        </w:rPr>
        <w:t>其他房间的照度检测应将测量区域划分成</w:t>
      </w:r>
      <w:r>
        <w:rPr>
          <w:szCs w:val="21"/>
        </w:rPr>
        <w:t>1.0m *1.0m</w:t>
      </w:r>
      <w:r>
        <w:rPr>
          <w:rFonts w:hint="eastAsia"/>
          <w:szCs w:val="21"/>
        </w:rPr>
        <w:t>的正方形网格，在正方形网格的中心点测量照度，检测点距地面高度应为</w:t>
      </w:r>
      <w:r>
        <w:rPr>
          <w:szCs w:val="21"/>
        </w:rPr>
        <w:t>0.75m</w:t>
      </w:r>
      <w:r>
        <w:rPr>
          <w:rFonts w:hint="eastAsia"/>
          <w:szCs w:val="21"/>
        </w:rPr>
        <w:t>。</w:t>
      </w:r>
    </w:p>
    <w:p w14:paraId="135923C9">
      <w:pPr>
        <w:pStyle w:val="164"/>
        <w:spacing w:before="100" w:after="100" w:line="330" w:lineRule="exact"/>
        <w:ind w:left="209" w:firstLine="211" w:firstLineChars="100"/>
        <w:rPr>
          <w:szCs w:val="21"/>
        </w:rPr>
      </w:pPr>
      <w:r>
        <w:rPr>
          <w:b/>
          <w:bCs/>
          <w:szCs w:val="21"/>
        </w:rPr>
        <w:t>9</w:t>
      </w:r>
      <w:r>
        <w:rPr>
          <w:szCs w:val="21"/>
        </w:rPr>
        <w:t xml:space="preserve"> 噪声测试应符合下列规定：</w:t>
      </w:r>
      <w:r>
        <w:rPr>
          <w:szCs w:val="21"/>
        </w:rPr>
        <w:tab/>
      </w:r>
    </w:p>
    <w:p w14:paraId="5DBE8825">
      <w:pPr>
        <w:pStyle w:val="164"/>
        <w:numPr>
          <w:ilvl w:val="0"/>
          <w:numId w:val="312"/>
        </w:numPr>
        <w:tabs>
          <w:tab w:val="left" w:pos="210"/>
          <w:tab w:val="left" w:pos="567"/>
        </w:tabs>
        <w:spacing w:line="330" w:lineRule="exact"/>
        <w:ind w:firstLine="630" w:firstLineChars="300"/>
        <w:rPr>
          <w:szCs w:val="21"/>
        </w:rPr>
      </w:pPr>
      <w:r>
        <w:rPr>
          <w:szCs w:val="21"/>
        </w:rPr>
        <w:t xml:space="preserve">测试仪器应釆用声级计，精度不应低于2级。 </w:t>
      </w:r>
      <w:r>
        <w:rPr>
          <w:szCs w:val="21"/>
        </w:rPr>
        <w:tab/>
      </w:r>
    </w:p>
    <w:p w14:paraId="7179E122">
      <w:pPr>
        <w:pStyle w:val="164"/>
        <w:numPr>
          <w:ilvl w:val="0"/>
          <w:numId w:val="312"/>
        </w:numPr>
        <w:tabs>
          <w:tab w:val="left" w:pos="210"/>
          <w:tab w:val="left" w:pos="567"/>
        </w:tabs>
        <w:spacing w:line="330" w:lineRule="exact"/>
        <w:ind w:firstLine="630" w:firstLineChars="300"/>
        <w:rPr>
          <w:szCs w:val="21"/>
        </w:rPr>
      </w:pPr>
      <w:r>
        <w:rPr>
          <w:szCs w:val="21"/>
        </w:rPr>
        <w:t>测试仪器距地面应为1.2m</w:t>
      </w:r>
      <w:r>
        <w:rPr>
          <w:rFonts w:hint="eastAsia" w:ascii="微软雅黑" w:hAnsi="微软雅黑" w:eastAsia="微软雅黑" w:cs="微软雅黑"/>
          <w:szCs w:val="21"/>
        </w:rPr>
        <w:t>〜</w:t>
      </w:r>
      <w:r>
        <w:rPr>
          <w:szCs w:val="21"/>
        </w:rPr>
        <w:t xml:space="preserve">1.5m,应在主操作员的位置进行测试。 </w:t>
      </w:r>
      <w:r>
        <w:rPr>
          <w:szCs w:val="21"/>
        </w:rPr>
        <w:tab/>
      </w:r>
    </w:p>
    <w:p w14:paraId="6BBED28E">
      <w:pPr>
        <w:pStyle w:val="164"/>
        <w:spacing w:before="100" w:after="100" w:line="330" w:lineRule="exact"/>
        <w:ind w:left="210" w:firstLine="211" w:firstLineChars="100"/>
        <w:rPr>
          <w:szCs w:val="21"/>
        </w:rPr>
      </w:pPr>
      <w:r>
        <w:rPr>
          <w:b/>
          <w:bCs/>
          <w:szCs w:val="21"/>
        </w:rPr>
        <w:t>10</w:t>
      </w:r>
      <w:r>
        <w:rPr>
          <w:szCs w:val="21"/>
        </w:rPr>
        <w:t xml:space="preserve"> 电磁屏蔽测试应符合下列规定：</w:t>
      </w:r>
      <w:r>
        <w:rPr>
          <w:szCs w:val="21"/>
        </w:rPr>
        <w:tab/>
      </w:r>
    </w:p>
    <w:p w14:paraId="12A07F82">
      <w:pPr>
        <w:pStyle w:val="164"/>
        <w:numPr>
          <w:ilvl w:val="0"/>
          <w:numId w:val="313"/>
        </w:numPr>
        <w:tabs>
          <w:tab w:val="left" w:pos="210"/>
          <w:tab w:val="left" w:pos="567"/>
        </w:tabs>
        <w:spacing w:line="330" w:lineRule="exact"/>
        <w:ind w:firstLine="630" w:firstLineChars="300"/>
        <w:rPr>
          <w:szCs w:val="21"/>
        </w:rPr>
      </w:pPr>
      <w:r>
        <w:rPr>
          <w:szCs w:val="21"/>
        </w:rPr>
        <w:t>电磁屏蔽效能检测应在屏蔽室内相关专业施工完毕并自检合格后进行。</w:t>
      </w:r>
      <w:r>
        <w:rPr>
          <w:szCs w:val="21"/>
        </w:rPr>
        <w:tab/>
      </w:r>
    </w:p>
    <w:p w14:paraId="324863B0">
      <w:pPr>
        <w:pStyle w:val="164"/>
        <w:numPr>
          <w:ilvl w:val="0"/>
          <w:numId w:val="313"/>
        </w:numPr>
        <w:tabs>
          <w:tab w:val="left" w:pos="210"/>
          <w:tab w:val="left" w:pos="567"/>
        </w:tabs>
        <w:spacing w:line="330" w:lineRule="exact"/>
        <w:ind w:firstLine="630" w:firstLineChars="300"/>
        <w:rPr>
          <w:szCs w:val="21"/>
        </w:rPr>
      </w:pPr>
      <w:r>
        <w:rPr>
          <w:szCs w:val="21"/>
        </w:rPr>
        <w:t>屏蔽室屏蔽效能的检测方法应按现行国家标准《电磁屏蔽室屏蔽效能的测量方法》</w:t>
      </w:r>
      <w:r>
        <w:rPr>
          <w:color w:val="191919"/>
          <w:shd w:val="clear" w:color="auto" w:fill="FFFFFF"/>
        </w:rPr>
        <w:t>GB/T 12190</w:t>
      </w:r>
      <w:r>
        <w:rPr>
          <w:rFonts w:hint="eastAsia"/>
          <w:color w:val="191919"/>
          <w:shd w:val="clear" w:color="auto" w:fill="FFFFFF"/>
        </w:rPr>
        <w:t>的</w:t>
      </w:r>
      <w:r>
        <w:rPr>
          <w:rFonts w:hint="eastAsia"/>
          <w:szCs w:val="21"/>
        </w:rPr>
        <w:t>相关规定</w:t>
      </w:r>
      <w:r>
        <w:rPr>
          <w:szCs w:val="21"/>
        </w:rPr>
        <w:t>执行。</w:t>
      </w:r>
    </w:p>
    <w:p w14:paraId="1E251907">
      <w:pPr>
        <w:pStyle w:val="164"/>
        <w:spacing w:before="100" w:after="100" w:line="330" w:lineRule="exact"/>
        <w:ind w:left="210" w:firstLine="211" w:firstLineChars="100"/>
        <w:rPr>
          <w:szCs w:val="21"/>
        </w:rPr>
      </w:pPr>
      <w:r>
        <w:rPr>
          <w:b/>
          <w:bCs/>
          <w:szCs w:val="21"/>
        </w:rPr>
        <w:t>11</w:t>
      </w:r>
      <w:r>
        <w:rPr>
          <w:szCs w:val="21"/>
        </w:rPr>
        <w:t xml:space="preserve"> 接地电阻测试应符合下列规定：</w:t>
      </w:r>
    </w:p>
    <w:p w14:paraId="103DDCF7">
      <w:pPr>
        <w:pStyle w:val="164"/>
        <w:numPr>
          <w:ilvl w:val="0"/>
          <w:numId w:val="314"/>
        </w:numPr>
        <w:tabs>
          <w:tab w:val="left" w:pos="210"/>
          <w:tab w:val="left" w:pos="567"/>
        </w:tabs>
        <w:spacing w:line="330" w:lineRule="exact"/>
        <w:ind w:firstLine="630" w:firstLineChars="300"/>
        <w:rPr>
          <w:szCs w:val="21"/>
        </w:rPr>
      </w:pPr>
      <w:r>
        <w:rPr>
          <w:szCs w:val="21"/>
        </w:rPr>
        <w:t>测试仪器应采用接地电阻测试仪，分辨率应大于0.001Ω</w:t>
      </w:r>
      <w:r>
        <w:rPr>
          <w:rFonts w:hint="eastAsia"/>
          <w:szCs w:val="21"/>
        </w:rPr>
        <w:t>；</w:t>
      </w:r>
    </w:p>
    <w:p w14:paraId="668B11B6">
      <w:pPr>
        <w:pStyle w:val="164"/>
        <w:numPr>
          <w:ilvl w:val="0"/>
          <w:numId w:val="314"/>
        </w:numPr>
        <w:tabs>
          <w:tab w:val="left" w:pos="210"/>
          <w:tab w:val="left" w:pos="567"/>
        </w:tabs>
        <w:spacing w:line="330" w:lineRule="exact"/>
        <w:ind w:firstLine="630" w:firstLineChars="300"/>
        <w:rPr>
          <w:szCs w:val="21"/>
        </w:rPr>
      </w:pPr>
      <w:r>
        <w:rPr>
          <w:rFonts w:hint="eastAsia"/>
          <w:szCs w:val="21"/>
        </w:rPr>
        <w:t>应采用截面面积≥</w:t>
      </w:r>
      <w:r>
        <w:rPr>
          <w:szCs w:val="21"/>
        </w:rPr>
        <w:t>2.5</w:t>
      </w:r>
      <w:r>
        <w:t>mm</w:t>
      </w:r>
      <w:r>
        <w:rPr>
          <w:vertAlign w:val="superscript"/>
        </w:rPr>
        <w:t>2</w:t>
      </w:r>
      <w:r>
        <w:rPr>
          <w:rFonts w:hint="eastAsia"/>
          <w:szCs w:val="21"/>
        </w:rPr>
        <w:t>的铜芯软电线或电缆作为辅助线缆，并使用接地电阻测试仪测试辅助线的电阻值</w:t>
      </w:r>
      <w:r>
        <w:rPr>
          <w:szCs w:val="21"/>
        </w:rPr>
        <w:t>Ro</w:t>
      </w:r>
      <w:r>
        <w:rPr>
          <w:rFonts w:hint="eastAsia"/>
          <w:szCs w:val="21"/>
        </w:rPr>
        <w:t xml:space="preserve">; </w:t>
      </w:r>
    </w:p>
    <w:p w14:paraId="7201BC22">
      <w:pPr>
        <w:pStyle w:val="164"/>
        <w:numPr>
          <w:ilvl w:val="0"/>
          <w:numId w:val="314"/>
        </w:numPr>
        <w:tabs>
          <w:tab w:val="left" w:pos="210"/>
          <w:tab w:val="left" w:pos="567"/>
        </w:tabs>
        <w:spacing w:line="330" w:lineRule="exact"/>
        <w:ind w:firstLine="630" w:firstLineChars="300"/>
        <w:rPr>
          <w:szCs w:val="21"/>
        </w:rPr>
      </w:pPr>
      <w:r>
        <w:rPr>
          <w:rFonts w:hint="eastAsia"/>
          <w:szCs w:val="21"/>
        </w:rPr>
        <w:t>应以局部等电位联结箱作为参考点，辅助线缆一端连接参考点，辅助线另一端与被测点分别连接接地电阻测试仪，应连续测试三次取平均值</w:t>
      </w:r>
      <m:oMath>
        <m:sSub>
          <m:sSubPr>
            <m:ctrlPr>
              <w:rPr>
                <w:rFonts w:ascii="Cambria Math" w:hAnsi="Cambria Math"/>
                <w:szCs w:val="21"/>
              </w:rPr>
            </m:ctrlPr>
          </m:sSubPr>
          <m:e>
            <m:r>
              <m:rPr/>
              <w:rPr>
                <w:rFonts w:ascii="Cambria Math" w:hAnsi="Cambria Math"/>
                <w:szCs w:val="21"/>
              </w:rPr>
              <m:t>R</m:t>
            </m:r>
            <m:ctrlPr>
              <w:rPr>
                <w:rFonts w:ascii="Cambria Math" w:hAnsi="Cambria Math"/>
                <w:szCs w:val="21"/>
              </w:rPr>
            </m:ctrlPr>
          </m:e>
          <m:sub>
            <m:r>
              <m:rPr>
                <m:sty m:val="p"/>
              </m:rPr>
              <w:rPr>
                <w:rFonts w:ascii="Cambria Math" w:hAnsi="Cambria Math"/>
                <w:szCs w:val="21"/>
              </w:rPr>
              <m:t>1</m:t>
            </m:r>
            <m:ctrlPr>
              <w:rPr>
                <w:rFonts w:ascii="Cambria Math" w:hAnsi="Cambria Math"/>
                <w:szCs w:val="21"/>
              </w:rPr>
            </m:ctrlPr>
          </m:sub>
        </m:sSub>
      </m:oMath>
      <w:r>
        <w:rPr>
          <w:rFonts w:hint="eastAsia"/>
          <w:szCs w:val="21"/>
        </w:rPr>
        <w:t>；</w:t>
      </w:r>
    </w:p>
    <w:p w14:paraId="2ABD7030">
      <w:pPr>
        <w:pStyle w:val="164"/>
        <w:numPr>
          <w:ilvl w:val="0"/>
          <w:numId w:val="314"/>
        </w:numPr>
        <w:tabs>
          <w:tab w:val="left" w:pos="210"/>
          <w:tab w:val="left" w:pos="567"/>
        </w:tabs>
        <w:spacing w:line="330" w:lineRule="exact"/>
        <w:ind w:firstLine="630" w:firstLineChars="300"/>
        <w:rPr>
          <w:szCs w:val="21"/>
        </w:rPr>
      </w:pPr>
      <w:r>
        <w:rPr>
          <w:rFonts w:hint="eastAsia"/>
          <w:szCs w:val="21"/>
        </w:rPr>
        <w:t>局部等电位联结箱与被测点之间的电阻值</w:t>
      </w:r>
      <w:r>
        <w:rPr>
          <w:szCs w:val="21"/>
        </w:rPr>
        <w:t>R</w:t>
      </w:r>
      <w:r>
        <w:rPr>
          <w:rFonts w:hint="eastAsia"/>
          <w:szCs w:val="21"/>
        </w:rPr>
        <w:t>应按下式计算：</w:t>
      </w:r>
      <w:r>
        <w:rPr>
          <w:szCs w:val="21"/>
        </w:rPr>
        <w:t>R=</w:t>
      </w:r>
      <m:oMath>
        <m:sSub>
          <m:sSubPr>
            <m:ctrlPr>
              <w:rPr>
                <w:rFonts w:ascii="Cambria Math" w:hAnsi="Cambria Math"/>
                <w:szCs w:val="21"/>
              </w:rPr>
            </m:ctrlPr>
          </m:sSubPr>
          <m:e>
            <m:r>
              <m:rPr/>
              <w:rPr>
                <w:rFonts w:ascii="Cambria Math" w:hAnsi="Cambria Math"/>
                <w:szCs w:val="21"/>
              </w:rPr>
              <m:t>R</m:t>
            </m:r>
            <m:ctrlPr>
              <w:rPr>
                <w:rFonts w:ascii="Cambria Math" w:hAnsi="Cambria Math"/>
                <w:szCs w:val="21"/>
              </w:rPr>
            </m:ctrlPr>
          </m:e>
          <m:sub>
            <m:r>
              <m:rPr>
                <m:sty m:val="p"/>
              </m:rPr>
              <w:rPr>
                <w:rFonts w:ascii="Cambria Math" w:hAnsi="Cambria Math"/>
                <w:szCs w:val="21"/>
              </w:rPr>
              <m:t>1</m:t>
            </m:r>
            <m:ctrlPr>
              <w:rPr>
                <w:rFonts w:ascii="Cambria Math" w:hAnsi="Cambria Math"/>
                <w:szCs w:val="21"/>
              </w:rPr>
            </m:ctrlPr>
          </m:sub>
        </m:sSub>
      </m:oMath>
      <w:r>
        <w:rPr>
          <w:szCs w:val="21"/>
        </w:rPr>
        <w:t>-Ro</w:t>
      </w:r>
      <w:r>
        <w:rPr>
          <w:rFonts w:hint="eastAsia"/>
          <w:szCs w:val="21"/>
        </w:rPr>
        <w:t>。</w:t>
      </w:r>
    </w:p>
    <w:p w14:paraId="79AE49E2">
      <w:pPr>
        <w:pStyle w:val="164"/>
        <w:spacing w:before="100" w:after="100" w:line="330" w:lineRule="exact"/>
        <w:ind w:left="210" w:firstLine="211" w:firstLineChars="100"/>
        <w:rPr>
          <w:szCs w:val="21"/>
        </w:rPr>
      </w:pPr>
      <w:r>
        <w:rPr>
          <w:b/>
          <w:bCs/>
          <w:szCs w:val="21"/>
        </w:rPr>
        <w:t>12</w:t>
      </w:r>
      <w:r>
        <w:rPr>
          <w:szCs w:val="21"/>
        </w:rPr>
        <w:t xml:space="preserve"> 供电电源质量测试应符合下列规定：</w:t>
      </w:r>
    </w:p>
    <w:p w14:paraId="2E556C12">
      <w:pPr>
        <w:pStyle w:val="164"/>
        <w:numPr>
          <w:ilvl w:val="0"/>
          <w:numId w:val="315"/>
        </w:numPr>
        <w:tabs>
          <w:tab w:val="left" w:pos="210"/>
          <w:tab w:val="left" w:pos="567"/>
        </w:tabs>
        <w:spacing w:line="330" w:lineRule="exact"/>
        <w:ind w:firstLine="630" w:firstLineChars="300"/>
        <w:rPr>
          <w:szCs w:val="21"/>
        </w:rPr>
      </w:pPr>
      <w:r>
        <w:rPr>
          <w:szCs w:val="21"/>
        </w:rPr>
        <w:t>机房工程系统检测前，宜检查机房工程的引入电源质量的检测记录。</w:t>
      </w:r>
    </w:p>
    <w:p w14:paraId="1E1FC9E1">
      <w:pPr>
        <w:pStyle w:val="164"/>
        <w:numPr>
          <w:ilvl w:val="0"/>
          <w:numId w:val="315"/>
        </w:numPr>
        <w:tabs>
          <w:tab w:val="left" w:pos="210"/>
          <w:tab w:val="left" w:pos="567"/>
        </w:tabs>
        <w:spacing w:line="330" w:lineRule="exact"/>
        <w:ind w:firstLine="630" w:firstLineChars="300"/>
        <w:rPr>
          <w:szCs w:val="21"/>
        </w:rPr>
      </w:pPr>
      <w:r>
        <w:rPr>
          <w:szCs w:val="21"/>
        </w:rPr>
        <w:t>应检测供配电系统的输岀电能质量,检测结果</w:t>
      </w:r>
      <w:r>
        <w:rPr>
          <w:rFonts w:hint="eastAsia"/>
          <w:szCs w:val="21"/>
        </w:rPr>
        <w:t>应</w:t>
      </w:r>
      <w:r>
        <w:rPr>
          <w:szCs w:val="21"/>
        </w:rPr>
        <w:t>满足设计要求。</w:t>
      </w:r>
    </w:p>
    <w:p w14:paraId="44908053">
      <w:pPr>
        <w:pStyle w:val="164"/>
        <w:numPr>
          <w:ilvl w:val="0"/>
          <w:numId w:val="315"/>
        </w:numPr>
        <w:tabs>
          <w:tab w:val="left" w:pos="210"/>
          <w:tab w:val="left" w:pos="567"/>
        </w:tabs>
        <w:spacing w:line="330" w:lineRule="exact"/>
        <w:ind w:firstLine="630" w:firstLineChars="300"/>
        <w:rPr>
          <w:szCs w:val="21"/>
        </w:rPr>
      </w:pPr>
      <w:r>
        <w:rPr>
          <w:szCs w:val="21"/>
        </w:rPr>
        <w:t>应检测不间断电源的供电时延，检测结果</w:t>
      </w:r>
      <w:r>
        <w:rPr>
          <w:rFonts w:hint="eastAsia"/>
          <w:szCs w:val="21"/>
        </w:rPr>
        <w:t>应</w:t>
      </w:r>
      <w:r>
        <w:rPr>
          <w:szCs w:val="21"/>
        </w:rPr>
        <w:t>满足设计要求。</w:t>
      </w:r>
    </w:p>
    <w:p w14:paraId="5B16C045">
      <w:pPr>
        <w:pStyle w:val="164"/>
        <w:numPr>
          <w:ilvl w:val="0"/>
          <w:numId w:val="315"/>
        </w:numPr>
        <w:tabs>
          <w:tab w:val="left" w:pos="210"/>
          <w:tab w:val="left" w:pos="567"/>
        </w:tabs>
        <w:spacing w:line="330" w:lineRule="exact"/>
        <w:ind w:firstLine="630" w:firstLineChars="300"/>
        <w:rPr>
          <w:szCs w:val="21"/>
        </w:rPr>
      </w:pPr>
      <w:r>
        <w:rPr>
          <w:szCs w:val="21"/>
        </w:rPr>
        <w:t>测试电压、零地电压、频率的仪器精度等级不应低于0.5级；测试波形畸变率的仪器精度等级不应低于2. 5级。</w:t>
      </w:r>
    </w:p>
    <w:p w14:paraId="12DAECF0">
      <w:pPr>
        <w:pStyle w:val="164"/>
        <w:numPr>
          <w:ilvl w:val="0"/>
          <w:numId w:val="315"/>
        </w:numPr>
        <w:tabs>
          <w:tab w:val="left" w:pos="210"/>
          <w:tab w:val="left" w:pos="567"/>
        </w:tabs>
        <w:spacing w:line="330" w:lineRule="exact"/>
        <w:ind w:firstLine="630" w:firstLineChars="300"/>
        <w:rPr>
          <w:szCs w:val="21"/>
        </w:rPr>
      </w:pPr>
      <w:r>
        <w:rPr>
          <w:szCs w:val="21"/>
        </w:rPr>
        <w:t>电压/频率/电压谐波含量和零地电压应在UPS电源输出末端进行检测。</w:t>
      </w:r>
    </w:p>
    <w:p w14:paraId="73C06CCE">
      <w:pPr>
        <w:pStyle w:val="164"/>
        <w:numPr>
          <w:ilvl w:val="0"/>
          <w:numId w:val="315"/>
        </w:numPr>
        <w:tabs>
          <w:tab w:val="left" w:pos="210"/>
          <w:tab w:val="left" w:pos="567"/>
        </w:tabs>
        <w:spacing w:line="330" w:lineRule="exact"/>
        <w:ind w:firstLine="630" w:firstLineChars="300"/>
        <w:rPr>
          <w:szCs w:val="21"/>
        </w:rPr>
      </w:pPr>
      <w:r>
        <w:rPr>
          <w:szCs w:val="21"/>
        </w:rPr>
        <w:t>测试电压和频率时，测量仪器的测试棒应并接在UPS电源输出末端的相线（L）与中性线（N）之间。</w:t>
      </w:r>
    </w:p>
    <w:p w14:paraId="381B0ED3">
      <w:pPr>
        <w:pStyle w:val="164"/>
        <w:numPr>
          <w:ilvl w:val="0"/>
          <w:numId w:val="315"/>
        </w:numPr>
        <w:tabs>
          <w:tab w:val="left" w:pos="210"/>
          <w:tab w:val="left" w:pos="567"/>
        </w:tabs>
        <w:spacing w:line="330" w:lineRule="exact"/>
        <w:ind w:firstLine="630" w:firstLineChars="300"/>
        <w:rPr>
          <w:szCs w:val="21"/>
        </w:rPr>
      </w:pPr>
      <w:r>
        <w:rPr>
          <w:szCs w:val="21"/>
        </w:rPr>
        <w:t>测试零地电压时，测量仪器的测试棒应并接在UPS电源输岀末端的中性线（N）与保护线（PE）之间。</w:t>
      </w:r>
    </w:p>
    <w:p w14:paraId="01149564">
      <w:pPr>
        <w:pStyle w:val="164"/>
        <w:numPr>
          <w:ilvl w:val="0"/>
          <w:numId w:val="315"/>
        </w:numPr>
        <w:tabs>
          <w:tab w:val="left" w:pos="210"/>
          <w:tab w:val="left" w:pos="567"/>
        </w:tabs>
        <w:spacing w:line="330" w:lineRule="exact"/>
        <w:ind w:firstLine="630" w:firstLineChars="300"/>
        <w:rPr>
          <w:szCs w:val="21"/>
        </w:rPr>
      </w:pPr>
      <w:r>
        <w:rPr>
          <w:szCs w:val="21"/>
        </w:rPr>
        <w:t>测试电压谐波含量时，测量仪器的测试棒应并接在UPS电源输出末端的相线LI、L2、L3之间。</w:t>
      </w:r>
    </w:p>
    <w:p w14:paraId="0DB3BD8D">
      <w:pPr>
        <w:pStyle w:val="164"/>
        <w:spacing w:before="100" w:after="100" w:line="330" w:lineRule="exact"/>
        <w:ind w:left="210" w:firstLine="211" w:firstLineChars="100"/>
        <w:rPr>
          <w:szCs w:val="21"/>
        </w:rPr>
      </w:pPr>
      <w:r>
        <w:rPr>
          <w:b/>
          <w:bCs/>
          <w:szCs w:val="21"/>
        </w:rPr>
        <w:t>13</w:t>
      </w:r>
      <w:r>
        <w:rPr>
          <w:szCs w:val="21"/>
        </w:rPr>
        <w:t xml:space="preserve"> 无线电骚扰环境场强和工频磁场场强测试应符合下列规定：</w:t>
      </w:r>
    </w:p>
    <w:p w14:paraId="437B81BF">
      <w:pPr>
        <w:pStyle w:val="164"/>
        <w:numPr>
          <w:ilvl w:val="0"/>
          <w:numId w:val="316"/>
        </w:numPr>
        <w:tabs>
          <w:tab w:val="left" w:pos="210"/>
          <w:tab w:val="left" w:pos="567"/>
        </w:tabs>
        <w:spacing w:line="330" w:lineRule="exact"/>
        <w:ind w:firstLine="630" w:firstLineChars="300"/>
        <w:rPr>
          <w:szCs w:val="21"/>
        </w:rPr>
      </w:pPr>
      <w:r>
        <w:rPr>
          <w:szCs w:val="21"/>
        </w:rPr>
        <w:t>测试仪器宜为无线电场强仪、测量天线、工频磁场仪, 并应符合下列规定：</w:t>
      </w:r>
    </w:p>
    <w:p w14:paraId="742D5237">
      <w:pPr>
        <w:pStyle w:val="164"/>
        <w:numPr>
          <w:ilvl w:val="0"/>
          <w:numId w:val="317"/>
        </w:numPr>
        <w:autoSpaceDE w:val="0"/>
        <w:autoSpaceDN w:val="0"/>
        <w:adjustRightInd w:val="0"/>
        <w:snapToGrid w:val="0"/>
        <w:spacing w:line="330" w:lineRule="exact"/>
        <w:ind w:left="0" w:firstLine="840" w:firstLineChars="400"/>
        <w:rPr>
          <w:szCs w:val="21"/>
        </w:rPr>
      </w:pPr>
      <w:r>
        <w:rPr>
          <w:szCs w:val="21"/>
        </w:rPr>
        <w:t>无线电场强仪的频率范围应为80MHz</w:t>
      </w:r>
      <w:r>
        <w:rPr>
          <w:rFonts w:hint="eastAsia" w:ascii="微软雅黑" w:hAnsi="微软雅黑" w:eastAsia="微软雅黑" w:cs="微软雅黑"/>
          <w:szCs w:val="21"/>
        </w:rPr>
        <w:t>〜</w:t>
      </w:r>
      <w:r>
        <w:rPr>
          <w:szCs w:val="21"/>
        </w:rPr>
        <w:t>2000MHz,带宽应为6dB,正弦波电压的测量准确度应为士2dB；</w:t>
      </w:r>
    </w:p>
    <w:p w14:paraId="09B7F7A1">
      <w:pPr>
        <w:pStyle w:val="164"/>
        <w:numPr>
          <w:ilvl w:val="0"/>
          <w:numId w:val="317"/>
        </w:numPr>
        <w:autoSpaceDE w:val="0"/>
        <w:autoSpaceDN w:val="0"/>
        <w:adjustRightInd w:val="0"/>
        <w:snapToGrid w:val="0"/>
        <w:spacing w:line="330" w:lineRule="exact"/>
        <w:ind w:left="0" w:firstLine="840" w:firstLineChars="400"/>
        <w:rPr>
          <w:szCs w:val="21"/>
        </w:rPr>
      </w:pPr>
      <w:r>
        <w:rPr>
          <w:szCs w:val="21"/>
        </w:rPr>
        <w:t>测量天线的频率范围应为80MHz</w:t>
      </w:r>
      <w:r>
        <w:rPr>
          <w:rFonts w:hint="eastAsia" w:ascii="微软雅黑" w:hAnsi="微软雅黑" w:eastAsia="微软雅黑" w:cs="微软雅黑"/>
          <w:szCs w:val="21"/>
        </w:rPr>
        <w:t>〜</w:t>
      </w:r>
      <w:r>
        <w:rPr>
          <w:szCs w:val="21"/>
        </w:rPr>
        <w:t>2000MHz；</w:t>
      </w:r>
    </w:p>
    <w:p w14:paraId="71A38179">
      <w:pPr>
        <w:pStyle w:val="164"/>
        <w:numPr>
          <w:ilvl w:val="0"/>
          <w:numId w:val="317"/>
        </w:numPr>
        <w:autoSpaceDE w:val="0"/>
        <w:autoSpaceDN w:val="0"/>
        <w:adjustRightInd w:val="0"/>
        <w:snapToGrid w:val="0"/>
        <w:spacing w:line="330" w:lineRule="exact"/>
        <w:ind w:left="0" w:firstLine="840" w:firstLineChars="400"/>
        <w:rPr>
          <w:szCs w:val="21"/>
        </w:rPr>
      </w:pPr>
      <w:r>
        <w:rPr>
          <w:szCs w:val="21"/>
        </w:rPr>
        <w:t>工频磁场测试仪的测量范围应为（0</w:t>
      </w:r>
      <w:r>
        <w:rPr>
          <w:rFonts w:hint="eastAsia" w:ascii="微软雅黑" w:hAnsi="微软雅黑" w:eastAsia="微软雅黑" w:cs="微软雅黑"/>
          <w:szCs w:val="21"/>
        </w:rPr>
        <w:t>〜</w:t>
      </w:r>
      <w:r>
        <w:rPr>
          <w:szCs w:val="21"/>
        </w:rPr>
        <w:t>50）A/m,准确度不应低于土 5%。</w:t>
      </w:r>
    </w:p>
    <w:p w14:paraId="28AB02AF">
      <w:pPr>
        <w:pStyle w:val="164"/>
        <w:numPr>
          <w:ilvl w:val="0"/>
          <w:numId w:val="316"/>
        </w:numPr>
        <w:tabs>
          <w:tab w:val="left" w:pos="210"/>
          <w:tab w:val="left" w:pos="567"/>
        </w:tabs>
        <w:spacing w:line="330" w:lineRule="exact"/>
        <w:ind w:firstLine="630" w:firstLineChars="300"/>
        <w:rPr>
          <w:szCs w:val="21"/>
        </w:rPr>
      </w:pPr>
      <w:r>
        <w:rPr>
          <w:szCs w:val="21"/>
        </w:rPr>
        <w:t xml:space="preserve">无线电骚扰环境场强测量点应选择在机房内距专用空调、UPS主机及电池、新风机、机房动力配电柜等机房专用辅助设 备 0. 6m 外任意一点。在 80MHz ~ 1000MHz、1400MHz </w:t>
      </w:r>
      <w:r>
        <w:rPr>
          <w:rFonts w:hint="eastAsia" w:ascii="微软雅黑" w:hAnsi="微软雅黑" w:eastAsia="微软雅黑" w:cs="微软雅黑"/>
          <w:szCs w:val="21"/>
        </w:rPr>
        <w:t>〜</w:t>
      </w:r>
      <w:r>
        <w:rPr>
          <w:szCs w:val="21"/>
        </w:rPr>
        <w:t xml:space="preserve"> 2000MHz频率范围内进行扫描，由大到小选取不少于10个场强 值进行记录。</w:t>
      </w:r>
    </w:p>
    <w:p w14:paraId="4392B3A3">
      <w:pPr>
        <w:pStyle w:val="164"/>
        <w:numPr>
          <w:ilvl w:val="0"/>
          <w:numId w:val="316"/>
        </w:numPr>
        <w:tabs>
          <w:tab w:val="left" w:pos="210"/>
          <w:tab w:val="left" w:pos="567"/>
        </w:tabs>
        <w:spacing w:line="330" w:lineRule="exact"/>
        <w:ind w:firstLine="630" w:firstLineChars="300"/>
        <w:rPr>
          <w:szCs w:val="21"/>
        </w:rPr>
      </w:pPr>
      <w:r>
        <w:rPr>
          <w:szCs w:val="21"/>
        </w:rPr>
        <w:t>工频磁场场强测量点应选择在距专用空调、UPS主机及 电池、新风机、机房动力配电柜、带隔离变压器的UPS列头柜 等机房专用设备0. 6m外，电子信息系统设备摆放位置每50</w:t>
      </w:r>
      <w:r>
        <w:t>m</w:t>
      </w:r>
      <w:r>
        <w:rPr>
          <w:vertAlign w:val="superscript"/>
        </w:rPr>
        <w:t>2</w:t>
      </w:r>
      <w:r>
        <w:rPr>
          <w:szCs w:val="21"/>
        </w:rPr>
        <w:t xml:space="preserve"> 布置不宜少于5个测量点。</w:t>
      </w:r>
    </w:p>
    <w:p w14:paraId="6E0259AA">
      <w:pPr>
        <w:pStyle w:val="164"/>
        <w:spacing w:before="100" w:after="100" w:line="330" w:lineRule="exact"/>
        <w:ind w:left="210" w:firstLine="211" w:firstLineChars="100"/>
        <w:rPr>
          <w:szCs w:val="21"/>
        </w:rPr>
      </w:pPr>
      <w:r>
        <w:rPr>
          <w:b/>
          <w:bCs/>
          <w:szCs w:val="21"/>
        </w:rPr>
        <w:t>14</w:t>
      </w:r>
      <w:r>
        <w:rPr>
          <w:szCs w:val="21"/>
        </w:rPr>
        <w:t xml:space="preserve"> 综合布线系统测试应符合下列规定：</w:t>
      </w:r>
    </w:p>
    <w:p w14:paraId="6B36CCB6">
      <w:pPr>
        <w:pStyle w:val="164"/>
        <w:numPr>
          <w:ilvl w:val="0"/>
          <w:numId w:val="318"/>
        </w:numPr>
        <w:tabs>
          <w:tab w:val="left" w:pos="210"/>
          <w:tab w:val="left" w:pos="567"/>
        </w:tabs>
        <w:spacing w:line="330" w:lineRule="exact"/>
        <w:ind w:firstLine="630" w:firstLineChars="300"/>
        <w:rPr>
          <w:szCs w:val="21"/>
        </w:rPr>
      </w:pPr>
      <w:r>
        <w:rPr>
          <w:szCs w:val="21"/>
        </w:rPr>
        <w:t>测试仪器应为数字线缆分析仪，超五类线缆仪器精度等级应为三级（Ⅲ级），六类及以上线缆仪器精度等级应为四级（IV 级）。</w:t>
      </w:r>
    </w:p>
    <w:p w14:paraId="305848FF">
      <w:pPr>
        <w:pStyle w:val="164"/>
        <w:numPr>
          <w:ilvl w:val="0"/>
          <w:numId w:val="318"/>
        </w:numPr>
        <w:tabs>
          <w:tab w:val="left" w:pos="210"/>
          <w:tab w:val="left" w:pos="567"/>
        </w:tabs>
        <w:spacing w:line="330" w:lineRule="exact"/>
        <w:ind w:firstLine="630" w:firstLineChars="300"/>
        <w:rPr>
          <w:szCs w:val="21"/>
        </w:rPr>
      </w:pPr>
      <w:r>
        <w:rPr>
          <w:szCs w:val="21"/>
        </w:rPr>
        <w:t>综合布线系统的检测方法应按现行国家标准《综合布线系统工程验收规范》</w:t>
      </w:r>
      <w:r>
        <w:rPr>
          <w:szCs w:val="22"/>
        </w:rPr>
        <w:t>GB 50312</w:t>
      </w:r>
      <w:r>
        <w:rPr>
          <w:rFonts w:hint="eastAsia"/>
          <w:szCs w:val="22"/>
        </w:rPr>
        <w:t>的</w:t>
      </w:r>
      <w:r>
        <w:rPr>
          <w:rFonts w:hint="eastAsia"/>
          <w:szCs w:val="21"/>
        </w:rPr>
        <w:t>相关规定</w:t>
      </w:r>
      <w:r>
        <w:rPr>
          <w:szCs w:val="21"/>
        </w:rPr>
        <w:t>执行。</w:t>
      </w:r>
    </w:p>
    <w:bookmarkEnd w:id="386"/>
    <w:bookmarkEnd w:id="387"/>
    <w:bookmarkEnd w:id="388"/>
    <w:p w14:paraId="45F5213F">
      <w:pPr>
        <w:pStyle w:val="164"/>
        <w:spacing w:before="100" w:after="100" w:line="330" w:lineRule="exact"/>
        <w:ind w:firstLine="0" w:firstLineChars="0"/>
        <w:rPr>
          <w:szCs w:val="21"/>
        </w:rPr>
      </w:pPr>
    </w:p>
    <w:p w14:paraId="68095A15">
      <w:pPr>
        <w:pStyle w:val="3"/>
        <w:spacing w:before="240" w:after="120" w:afterLines="50" w:line="330" w:lineRule="exact"/>
        <w:rPr>
          <w:rFonts w:eastAsia="黑体"/>
          <w:b w:val="0"/>
          <w:bCs w:val="0"/>
          <w:sz w:val="21"/>
          <w:szCs w:val="21"/>
          <w:lang w:val="en-US"/>
        </w:rPr>
      </w:pPr>
      <w:bookmarkStart w:id="389" w:name="bookmark2331"/>
      <w:bookmarkEnd w:id="389"/>
      <w:bookmarkStart w:id="390" w:name="bookmark2333"/>
      <w:bookmarkEnd w:id="390"/>
      <w:bookmarkStart w:id="391" w:name="bookmark2325"/>
      <w:bookmarkEnd w:id="391"/>
      <w:bookmarkStart w:id="392" w:name="_Toc14025"/>
      <w:bookmarkStart w:id="393" w:name="_Toc23212"/>
      <w:bookmarkStart w:id="394" w:name="_Toc19219"/>
      <w:bookmarkStart w:id="395" w:name="_Toc21920"/>
      <w:bookmarkStart w:id="396" w:name="_Toc13819"/>
      <w:bookmarkStart w:id="397" w:name="_Toc17219"/>
      <w:bookmarkStart w:id="398" w:name="_Toc171955180"/>
      <w:bookmarkStart w:id="399" w:name="_Toc182488009"/>
      <w:r>
        <w:rPr>
          <w:rFonts w:eastAsia="黑体"/>
          <w:b w:val="0"/>
          <w:bCs w:val="0"/>
          <w:sz w:val="21"/>
          <w:szCs w:val="21"/>
          <w:lang w:val="en-US"/>
        </w:rPr>
        <w:t>21.</w:t>
      </w:r>
      <w:bookmarkEnd w:id="392"/>
      <w:bookmarkEnd w:id="393"/>
      <w:bookmarkEnd w:id="394"/>
      <w:bookmarkEnd w:id="395"/>
      <w:bookmarkEnd w:id="396"/>
      <w:bookmarkEnd w:id="397"/>
      <w:r>
        <w:rPr>
          <w:rFonts w:eastAsia="黑体"/>
          <w:b w:val="0"/>
          <w:bCs w:val="0"/>
          <w:sz w:val="21"/>
          <w:szCs w:val="21"/>
          <w:lang w:val="en-US"/>
        </w:rPr>
        <w:t>4质量记录</w:t>
      </w:r>
      <w:bookmarkEnd w:id="398"/>
      <w:bookmarkEnd w:id="399"/>
    </w:p>
    <w:p w14:paraId="49D1BC8F">
      <w:pPr>
        <w:ind w:left="105" w:hanging="105"/>
        <w:rPr>
          <w:rFonts w:ascii="Times New Roman" w:hAnsi="Times New Roman"/>
        </w:rPr>
      </w:pPr>
      <w:r>
        <w:rPr>
          <w:rFonts w:ascii="Times New Roman" w:hAnsi="Times New Roman"/>
        </w:rPr>
        <w:t>21.4.1 质量记录应包含下列内容：</w:t>
      </w:r>
    </w:p>
    <w:p w14:paraId="0E3B8721">
      <w:pPr>
        <w:pStyle w:val="164"/>
        <w:spacing w:before="100" w:after="100" w:line="330" w:lineRule="exact"/>
        <w:ind w:firstLine="422"/>
        <w:rPr>
          <w:szCs w:val="21"/>
        </w:rPr>
      </w:pPr>
      <w:r>
        <w:rPr>
          <w:b/>
          <w:bCs/>
          <w:szCs w:val="21"/>
        </w:rPr>
        <w:t>1</w:t>
      </w:r>
      <w:r>
        <w:rPr>
          <w:szCs w:val="21"/>
        </w:rPr>
        <w:t xml:space="preserve"> 机房强弱电线缆质量检测记录。</w:t>
      </w:r>
    </w:p>
    <w:p w14:paraId="1CBBB3EA">
      <w:pPr>
        <w:pStyle w:val="164"/>
        <w:spacing w:before="100" w:after="100" w:line="330" w:lineRule="exact"/>
        <w:ind w:firstLine="422"/>
        <w:rPr>
          <w:szCs w:val="21"/>
        </w:rPr>
      </w:pPr>
      <w:r>
        <w:rPr>
          <w:b/>
          <w:bCs/>
          <w:szCs w:val="21"/>
        </w:rPr>
        <w:t>2</w:t>
      </w:r>
      <w:r>
        <w:rPr>
          <w:szCs w:val="21"/>
        </w:rPr>
        <w:t xml:space="preserve"> 机房动环系统检测记录。</w:t>
      </w:r>
    </w:p>
    <w:p w14:paraId="67F1D0F4">
      <w:pPr>
        <w:pStyle w:val="164"/>
        <w:spacing w:before="100" w:after="100" w:line="330" w:lineRule="exact"/>
        <w:ind w:firstLine="422"/>
        <w:rPr>
          <w:szCs w:val="21"/>
        </w:rPr>
      </w:pPr>
      <w:r>
        <w:rPr>
          <w:b/>
          <w:bCs/>
          <w:szCs w:val="21"/>
        </w:rPr>
        <w:t xml:space="preserve">3 </w:t>
      </w:r>
      <w:r>
        <w:rPr>
          <w:szCs w:val="21"/>
        </w:rPr>
        <w:t>UPS系统功能检测记录。</w:t>
      </w:r>
    </w:p>
    <w:p w14:paraId="42E9FC47">
      <w:pPr>
        <w:pStyle w:val="164"/>
        <w:spacing w:before="100" w:after="100" w:line="330" w:lineRule="exact"/>
        <w:ind w:firstLine="422"/>
        <w:rPr>
          <w:szCs w:val="21"/>
        </w:rPr>
      </w:pPr>
      <w:r>
        <w:rPr>
          <w:b/>
          <w:bCs/>
          <w:szCs w:val="21"/>
        </w:rPr>
        <w:t>4</w:t>
      </w:r>
      <w:r>
        <w:rPr>
          <w:szCs w:val="21"/>
        </w:rPr>
        <w:t xml:space="preserve"> 电气工程隐蔽</w:t>
      </w:r>
      <w:r>
        <w:rPr>
          <w:rFonts w:hint="eastAsia"/>
          <w:szCs w:val="21"/>
        </w:rPr>
        <w:t>检验</w:t>
      </w:r>
      <w:r>
        <w:rPr>
          <w:szCs w:val="21"/>
        </w:rPr>
        <w:t>记录。</w:t>
      </w:r>
    </w:p>
    <w:p w14:paraId="25800F41">
      <w:pPr>
        <w:pStyle w:val="164"/>
        <w:spacing w:before="100" w:after="100" w:line="330" w:lineRule="exact"/>
        <w:ind w:firstLine="422"/>
        <w:rPr>
          <w:szCs w:val="21"/>
        </w:rPr>
      </w:pPr>
      <w:r>
        <w:rPr>
          <w:b/>
          <w:bCs/>
          <w:szCs w:val="21"/>
        </w:rPr>
        <w:t>5</w:t>
      </w:r>
      <w:r>
        <w:rPr>
          <w:szCs w:val="21"/>
        </w:rPr>
        <w:t xml:space="preserve"> 电气绝缘电阻测试记录。</w:t>
      </w:r>
    </w:p>
    <w:p w14:paraId="3CD5F3D3">
      <w:pPr>
        <w:pStyle w:val="164"/>
        <w:spacing w:before="100" w:after="100" w:line="330" w:lineRule="exact"/>
        <w:ind w:firstLine="422"/>
        <w:rPr>
          <w:szCs w:val="21"/>
        </w:rPr>
      </w:pPr>
      <w:r>
        <w:rPr>
          <w:b/>
          <w:bCs/>
          <w:szCs w:val="21"/>
        </w:rPr>
        <w:t>6</w:t>
      </w:r>
      <w:r>
        <w:rPr>
          <w:szCs w:val="21"/>
        </w:rPr>
        <w:t xml:space="preserve"> 系统功能测定记录。</w:t>
      </w:r>
    </w:p>
    <w:p w14:paraId="76F7BCDE">
      <w:pPr>
        <w:widowControl/>
        <w:ind w:left="0" w:firstLine="422" w:firstLineChars="200"/>
        <w:jc w:val="left"/>
        <w:rPr>
          <w:rFonts w:ascii="Times New Roman" w:hAnsi="Times New Roman"/>
        </w:rPr>
      </w:pPr>
      <w:r>
        <w:rPr>
          <w:rFonts w:ascii="Times New Roman" w:hAnsi="Times New Roman"/>
          <w:b/>
          <w:bCs/>
          <w:szCs w:val="21"/>
        </w:rPr>
        <w:t>7</w:t>
      </w:r>
      <w:r>
        <w:rPr>
          <w:rFonts w:ascii="Times New Roman" w:hAnsi="Times New Roman"/>
          <w:szCs w:val="21"/>
        </w:rPr>
        <w:t xml:space="preserve"> 接地电阻测试记录。</w:t>
      </w:r>
      <w:bookmarkStart w:id="400" w:name="baidusnap0"/>
      <w:bookmarkEnd w:id="400"/>
    </w:p>
    <w:p w14:paraId="19157AF9">
      <w:pPr>
        <w:ind w:left="0" w:firstLine="0" w:firstLineChars="0"/>
        <w:rPr>
          <w:rFonts w:ascii="Times New Roman" w:hAnsi="Times New Roman"/>
        </w:rPr>
      </w:pPr>
    </w:p>
    <w:p w14:paraId="681B72B4">
      <w:pPr>
        <w:widowControl/>
        <w:spacing w:line="330" w:lineRule="exact"/>
        <w:ind w:left="0" w:firstLine="0" w:firstLineChars="0"/>
        <w:jc w:val="left"/>
        <w:rPr>
          <w:rFonts w:ascii="Times New Roman" w:hAnsi="Times New Roman" w:eastAsiaTheme="minorEastAsia"/>
          <w:b/>
          <w:bCs/>
        </w:rPr>
      </w:pPr>
    </w:p>
    <w:p w14:paraId="000C51D7">
      <w:pPr>
        <w:widowControl/>
        <w:spacing w:line="330" w:lineRule="exact"/>
        <w:ind w:left="0" w:firstLine="0" w:firstLineChars="0"/>
        <w:jc w:val="left"/>
        <w:rPr>
          <w:rFonts w:ascii="Times New Roman" w:hAnsi="Times New Roman" w:eastAsiaTheme="minorEastAsia"/>
          <w:b/>
          <w:bCs/>
        </w:rPr>
      </w:pPr>
    </w:p>
    <w:p w14:paraId="73AC4E8A">
      <w:pPr>
        <w:widowControl/>
        <w:spacing w:line="330" w:lineRule="exact"/>
        <w:ind w:left="0" w:firstLine="0" w:firstLineChars="0"/>
        <w:jc w:val="left"/>
        <w:rPr>
          <w:rFonts w:ascii="Times New Roman" w:hAnsi="Times New Roman" w:eastAsiaTheme="minorEastAsia"/>
          <w:b/>
          <w:bCs/>
        </w:rPr>
      </w:pPr>
    </w:p>
    <w:p w14:paraId="344DEF22">
      <w:pPr>
        <w:widowControl/>
        <w:spacing w:line="330" w:lineRule="exact"/>
        <w:ind w:left="0" w:firstLine="0" w:firstLineChars="0"/>
        <w:jc w:val="left"/>
        <w:rPr>
          <w:rFonts w:ascii="Times New Roman" w:hAnsi="Times New Roman" w:eastAsiaTheme="minorEastAsia"/>
          <w:b/>
          <w:bCs/>
        </w:rPr>
      </w:pPr>
    </w:p>
    <w:p w14:paraId="5504AFCB">
      <w:pPr>
        <w:pStyle w:val="16"/>
        <w:tabs>
          <w:tab w:val="left" w:pos="425"/>
        </w:tabs>
        <w:spacing w:before="240" w:beforeLines="100" w:afterLines="50" w:line="330" w:lineRule="exact"/>
        <w:jc w:val="center"/>
        <w:outlineLvl w:val="0"/>
        <w:rPr>
          <w:rFonts w:ascii="Times New Roman" w:hAnsi="Times New Roman" w:eastAsia="黑体"/>
          <w:bCs/>
          <w:sz w:val="28"/>
          <w:szCs w:val="28"/>
        </w:rPr>
      </w:pPr>
      <w:bookmarkStart w:id="401" w:name="_Toc171955181"/>
      <w:bookmarkStart w:id="402" w:name="_Toc182488010"/>
      <w:r>
        <w:rPr>
          <w:rFonts w:ascii="Times New Roman" w:hAnsi="Times New Roman" w:eastAsia="黑体"/>
          <w:bCs/>
          <w:sz w:val="28"/>
          <w:szCs w:val="28"/>
        </w:rPr>
        <w:t>22 防雷与接地</w:t>
      </w:r>
      <w:bookmarkEnd w:id="401"/>
      <w:bookmarkEnd w:id="402"/>
    </w:p>
    <w:p w14:paraId="2FD8D870">
      <w:pPr>
        <w:pStyle w:val="3"/>
        <w:spacing w:before="240" w:after="120" w:afterLines="50" w:line="330" w:lineRule="exact"/>
        <w:rPr>
          <w:rFonts w:eastAsia="黑体"/>
          <w:b w:val="0"/>
          <w:bCs w:val="0"/>
          <w:sz w:val="21"/>
          <w:szCs w:val="21"/>
        </w:rPr>
      </w:pPr>
      <w:bookmarkStart w:id="403" w:name="_Toc44618593"/>
      <w:bookmarkStart w:id="404" w:name="_Toc44618493"/>
      <w:bookmarkStart w:id="405" w:name="_Toc56517713"/>
      <w:bookmarkStart w:id="406" w:name="_Toc182488011"/>
      <w:bookmarkStart w:id="407" w:name="_Toc45092855"/>
      <w:bookmarkStart w:id="408" w:name="_Toc171955182"/>
      <w:r>
        <w:rPr>
          <w:rFonts w:eastAsia="黑体"/>
          <w:b w:val="0"/>
          <w:bCs w:val="0"/>
          <w:sz w:val="21"/>
          <w:szCs w:val="21"/>
          <w:lang w:val="en-US"/>
        </w:rPr>
        <w:t xml:space="preserve">22.1 </w:t>
      </w:r>
      <w:r>
        <w:rPr>
          <w:rFonts w:eastAsia="黑体"/>
          <w:b w:val="0"/>
          <w:bCs w:val="0"/>
          <w:sz w:val="21"/>
          <w:szCs w:val="21"/>
        </w:rPr>
        <w:t>一般规定</w:t>
      </w:r>
      <w:bookmarkEnd w:id="403"/>
      <w:bookmarkEnd w:id="404"/>
      <w:bookmarkEnd w:id="405"/>
      <w:bookmarkEnd w:id="406"/>
      <w:bookmarkEnd w:id="407"/>
      <w:bookmarkEnd w:id="408"/>
    </w:p>
    <w:p w14:paraId="2CF4046D">
      <w:pPr>
        <w:pStyle w:val="164"/>
        <w:numPr>
          <w:ilvl w:val="0"/>
          <w:numId w:val="119"/>
        </w:numPr>
        <w:spacing w:line="330" w:lineRule="exact"/>
        <w:ind w:firstLineChars="0"/>
        <w:rPr>
          <w:rFonts w:eastAsiaTheme="minorEastAsia"/>
          <w:vanish/>
          <w:szCs w:val="21"/>
        </w:rPr>
      </w:pPr>
    </w:p>
    <w:p w14:paraId="285A84DE">
      <w:pPr>
        <w:pStyle w:val="164"/>
        <w:numPr>
          <w:ilvl w:val="1"/>
          <w:numId w:val="119"/>
        </w:numPr>
        <w:spacing w:line="330" w:lineRule="exact"/>
        <w:ind w:firstLineChars="0"/>
        <w:rPr>
          <w:rFonts w:eastAsiaTheme="minorEastAsia"/>
          <w:vanish/>
          <w:szCs w:val="21"/>
        </w:rPr>
      </w:pPr>
    </w:p>
    <w:p w14:paraId="33A80620">
      <w:pPr>
        <w:pStyle w:val="164"/>
        <w:numPr>
          <w:ilvl w:val="1"/>
          <w:numId w:val="119"/>
        </w:numPr>
        <w:spacing w:line="330" w:lineRule="exact"/>
        <w:ind w:firstLineChars="0"/>
        <w:rPr>
          <w:rFonts w:eastAsiaTheme="minorEastAsia"/>
          <w:vanish/>
          <w:szCs w:val="21"/>
        </w:rPr>
      </w:pPr>
    </w:p>
    <w:p w14:paraId="4FFFCC6C">
      <w:pPr>
        <w:pStyle w:val="164"/>
        <w:spacing w:before="100" w:after="100" w:line="330" w:lineRule="exact"/>
        <w:ind w:firstLine="0" w:firstLineChars="0"/>
        <w:rPr>
          <w:szCs w:val="21"/>
        </w:rPr>
      </w:pPr>
      <w:r>
        <w:rPr>
          <w:szCs w:val="21"/>
        </w:rPr>
        <w:t>22.1.1 本章适用于智能建筑工程中防雷与接地系统的工程实施及质量控制、系统检测。</w:t>
      </w:r>
    </w:p>
    <w:p w14:paraId="23521A10">
      <w:pPr>
        <w:pStyle w:val="164"/>
        <w:spacing w:before="100" w:after="100" w:line="330" w:lineRule="exact"/>
        <w:ind w:firstLine="0" w:firstLineChars="0"/>
        <w:rPr>
          <w:szCs w:val="21"/>
        </w:rPr>
      </w:pPr>
      <w:r>
        <w:rPr>
          <w:szCs w:val="21"/>
        </w:rPr>
        <w:t>22.1.2</w:t>
      </w:r>
      <w:r>
        <w:rPr>
          <w:szCs w:val="21"/>
        </w:rPr>
        <w:tab/>
      </w:r>
      <w:r>
        <w:rPr>
          <w:szCs w:val="21"/>
        </w:rPr>
        <w:t>在执行本章各项规定的同时，应</w:t>
      </w:r>
      <w:r>
        <w:rPr>
          <w:rFonts w:hint="eastAsia"/>
          <w:szCs w:val="21"/>
        </w:rPr>
        <w:t>按现行</w:t>
      </w:r>
      <w:r>
        <w:rPr>
          <w:szCs w:val="21"/>
        </w:rPr>
        <w:t>国家标准</w:t>
      </w:r>
      <w:r>
        <w:rPr>
          <w:rFonts w:eastAsiaTheme="minorEastAsia"/>
        </w:rPr>
        <w:t>《建筑物电子信息系统防雷技术规范》</w:t>
      </w:r>
      <w:r>
        <w:rPr>
          <w:szCs w:val="22"/>
        </w:rPr>
        <w:t>GB 50343</w:t>
      </w:r>
      <w:r>
        <w:rPr>
          <w:rFonts w:eastAsiaTheme="minorEastAsia"/>
        </w:rPr>
        <w:t>和《电气装置安装工程接地装置施工及验收规范</w:t>
      </w:r>
      <w:r>
        <w:rPr>
          <w:color w:val="191919"/>
          <w:shd w:val="clear" w:color="auto" w:fill="FFFFFF"/>
        </w:rPr>
        <w:t>》</w:t>
      </w:r>
      <w:r>
        <w:rPr>
          <w:szCs w:val="22"/>
        </w:rPr>
        <w:t>GB 50169</w:t>
      </w:r>
      <w:r>
        <w:rPr>
          <w:rFonts w:hint="eastAsia"/>
          <w:szCs w:val="22"/>
        </w:rPr>
        <w:t>的相关</w:t>
      </w:r>
      <w:r>
        <w:rPr>
          <w:szCs w:val="21"/>
        </w:rPr>
        <w:t>规定</w:t>
      </w:r>
      <w:r>
        <w:rPr>
          <w:rFonts w:hint="eastAsia"/>
          <w:szCs w:val="21"/>
        </w:rPr>
        <w:t>执行</w:t>
      </w:r>
      <w:r>
        <w:rPr>
          <w:szCs w:val="21"/>
        </w:rPr>
        <w:t>。</w:t>
      </w:r>
    </w:p>
    <w:p w14:paraId="1FBE8E96">
      <w:pPr>
        <w:pStyle w:val="3"/>
        <w:spacing w:before="240" w:after="120" w:afterLines="50" w:line="330" w:lineRule="exact"/>
        <w:rPr>
          <w:rFonts w:eastAsia="黑体"/>
          <w:b w:val="0"/>
          <w:bCs w:val="0"/>
          <w:sz w:val="21"/>
          <w:szCs w:val="21"/>
          <w:lang w:val="en-US"/>
        </w:rPr>
      </w:pPr>
      <w:bookmarkStart w:id="409" w:name="_Toc44618495"/>
      <w:bookmarkStart w:id="410" w:name="_Toc182488012"/>
      <w:bookmarkStart w:id="411" w:name="_Toc44618595"/>
      <w:bookmarkStart w:id="412" w:name="_Toc45092856"/>
      <w:bookmarkStart w:id="413" w:name="_Toc56517714"/>
      <w:bookmarkStart w:id="414" w:name="_Toc171955183"/>
      <w:r>
        <w:rPr>
          <w:rFonts w:eastAsia="黑体"/>
          <w:b w:val="0"/>
          <w:bCs w:val="0"/>
          <w:sz w:val="21"/>
          <w:szCs w:val="21"/>
          <w:lang w:val="en-US"/>
        </w:rPr>
        <w:t>22.2 施工准备</w:t>
      </w:r>
      <w:bookmarkEnd w:id="409"/>
      <w:bookmarkEnd w:id="410"/>
      <w:bookmarkEnd w:id="411"/>
      <w:bookmarkEnd w:id="412"/>
      <w:bookmarkEnd w:id="413"/>
      <w:bookmarkEnd w:id="414"/>
    </w:p>
    <w:p w14:paraId="6C70E1DD">
      <w:pPr>
        <w:pStyle w:val="164"/>
        <w:numPr>
          <w:ilvl w:val="1"/>
          <w:numId w:val="119"/>
        </w:numPr>
        <w:spacing w:line="330" w:lineRule="exact"/>
        <w:ind w:firstLineChars="0"/>
        <w:rPr>
          <w:rFonts w:eastAsiaTheme="minorEastAsia"/>
          <w:vanish/>
          <w:szCs w:val="21"/>
        </w:rPr>
      </w:pPr>
    </w:p>
    <w:p w14:paraId="4195BF2A">
      <w:pPr>
        <w:pStyle w:val="164"/>
        <w:spacing w:before="100" w:after="100" w:line="330" w:lineRule="exact"/>
        <w:ind w:firstLine="0" w:firstLineChars="0"/>
        <w:rPr>
          <w:b/>
          <w:lang w:val="zh-CN"/>
        </w:rPr>
      </w:pPr>
      <w:r>
        <w:rPr>
          <w:szCs w:val="21"/>
        </w:rPr>
        <w:t>22.2.1 主要材料</w:t>
      </w:r>
      <w:r>
        <w:rPr>
          <w:rFonts w:hint="eastAsia"/>
          <w:szCs w:val="21"/>
        </w:rPr>
        <w:t>有</w:t>
      </w:r>
      <w:r>
        <w:rPr>
          <w:lang w:val="zh-CN"/>
        </w:rPr>
        <w:t>浪涌保护器、防雷器、接地导线、电缆、管材型材、扁钢、圆钢、铜箔、铜排、接地端子、绝缘子、紧固件、电焊机等。</w:t>
      </w:r>
    </w:p>
    <w:p w14:paraId="28D38D0B">
      <w:pPr>
        <w:pStyle w:val="164"/>
        <w:numPr>
          <w:ilvl w:val="255"/>
          <w:numId w:val="0"/>
        </w:numPr>
        <w:spacing w:before="100" w:after="100" w:line="330" w:lineRule="exact"/>
        <w:rPr>
          <w:rFonts w:eastAsiaTheme="minorEastAsia"/>
        </w:rPr>
      </w:pPr>
      <w:r>
        <w:rPr>
          <w:szCs w:val="21"/>
        </w:rPr>
        <w:t xml:space="preserve">22.2.2 </w:t>
      </w:r>
      <w:r>
        <w:rPr>
          <w:rFonts w:hint="eastAsia"/>
          <w:szCs w:val="21"/>
        </w:rPr>
        <w:t>主要机具</w:t>
      </w:r>
      <w:r>
        <w:rPr>
          <w:rFonts w:hint="eastAsia" w:eastAsiaTheme="minorEastAsia"/>
        </w:rPr>
        <w:t>有</w:t>
      </w:r>
      <w:r>
        <w:rPr>
          <w:rFonts w:eastAsiaTheme="minorEastAsia"/>
        </w:rPr>
        <w:t>电焊机、切割机、电钻、冲击电钻、电工工具、对讲机等安装器；接地电阻测试仪、兆欧表、数字万用表等测试器。选择的测试仪表、量具应检定合格，并在有限期内使用。</w:t>
      </w:r>
    </w:p>
    <w:p w14:paraId="56D6B038">
      <w:pPr>
        <w:pStyle w:val="164"/>
        <w:spacing w:before="100" w:after="100" w:line="330" w:lineRule="exact"/>
        <w:ind w:firstLine="0" w:firstLineChars="0"/>
        <w:rPr>
          <w:szCs w:val="21"/>
        </w:rPr>
      </w:pPr>
      <w:r>
        <w:rPr>
          <w:szCs w:val="21"/>
        </w:rPr>
        <w:t>22.2.3 作业条件应符合下列规定：</w:t>
      </w:r>
    </w:p>
    <w:p w14:paraId="05332A4A">
      <w:pPr>
        <w:pStyle w:val="164"/>
        <w:numPr>
          <w:ilvl w:val="0"/>
          <w:numId w:val="319"/>
        </w:numPr>
        <w:spacing w:line="330" w:lineRule="exact"/>
        <w:ind w:left="0" w:firstLine="420"/>
        <w:rPr>
          <w:rFonts w:eastAsiaTheme="minorEastAsia"/>
        </w:rPr>
      </w:pPr>
      <w:r>
        <w:rPr>
          <w:rFonts w:eastAsiaTheme="minorEastAsia"/>
        </w:rPr>
        <w:t>防雷与接地系统安装前，应具备下列条件：</w:t>
      </w:r>
    </w:p>
    <w:p w14:paraId="16EA1979">
      <w:pPr>
        <w:pStyle w:val="164"/>
        <w:numPr>
          <w:ilvl w:val="0"/>
          <w:numId w:val="319"/>
        </w:numPr>
        <w:spacing w:line="330" w:lineRule="exact"/>
        <w:ind w:left="0" w:firstLine="420"/>
        <w:rPr>
          <w:rFonts w:eastAsiaTheme="minorEastAsia"/>
        </w:rPr>
      </w:pPr>
      <w:r>
        <w:rPr>
          <w:rFonts w:eastAsiaTheme="minorEastAsia"/>
        </w:rPr>
        <w:t>接地汇流排已施工完毕；</w:t>
      </w:r>
    </w:p>
    <w:p w14:paraId="2DE00077">
      <w:pPr>
        <w:pStyle w:val="164"/>
        <w:numPr>
          <w:ilvl w:val="0"/>
          <w:numId w:val="319"/>
        </w:numPr>
        <w:spacing w:line="330" w:lineRule="exact"/>
        <w:ind w:left="0" w:firstLine="420"/>
        <w:rPr>
          <w:rFonts w:eastAsiaTheme="minorEastAsia"/>
        </w:rPr>
      </w:pPr>
      <w:r>
        <w:rPr>
          <w:rFonts w:eastAsiaTheme="minorEastAsia"/>
        </w:rPr>
        <w:t>预埋管及预留孔满足设计要求；</w:t>
      </w:r>
    </w:p>
    <w:p w14:paraId="057E8FFA">
      <w:pPr>
        <w:pStyle w:val="164"/>
        <w:numPr>
          <w:ilvl w:val="0"/>
          <w:numId w:val="319"/>
        </w:numPr>
        <w:spacing w:line="330" w:lineRule="exact"/>
        <w:ind w:left="0" w:firstLine="420"/>
        <w:rPr>
          <w:rFonts w:eastAsiaTheme="minorEastAsia"/>
        </w:rPr>
      </w:pPr>
      <w:r>
        <w:rPr>
          <w:rFonts w:eastAsiaTheme="minorEastAsia"/>
        </w:rPr>
        <w:t>设备机房施工完毕，机房环境具备安装条件；</w:t>
      </w:r>
    </w:p>
    <w:p w14:paraId="63662CE1">
      <w:pPr>
        <w:pStyle w:val="164"/>
        <w:numPr>
          <w:ilvl w:val="0"/>
          <w:numId w:val="319"/>
        </w:numPr>
        <w:spacing w:line="330" w:lineRule="exact"/>
        <w:ind w:left="0" w:firstLine="420"/>
        <w:rPr>
          <w:rFonts w:eastAsiaTheme="minorEastAsia"/>
        </w:rPr>
      </w:pPr>
      <w:r>
        <w:rPr>
          <w:rFonts w:eastAsiaTheme="minorEastAsia"/>
        </w:rPr>
        <w:t>独立接地系统室外部分已经完成；</w:t>
      </w:r>
    </w:p>
    <w:p w14:paraId="61D4A361">
      <w:pPr>
        <w:pStyle w:val="164"/>
        <w:numPr>
          <w:ilvl w:val="0"/>
          <w:numId w:val="319"/>
        </w:numPr>
        <w:spacing w:line="330" w:lineRule="exact"/>
        <w:ind w:left="0" w:firstLine="420"/>
        <w:rPr>
          <w:rFonts w:eastAsiaTheme="minorEastAsia"/>
        </w:rPr>
      </w:pPr>
      <w:r>
        <w:rPr>
          <w:rFonts w:eastAsiaTheme="minorEastAsia"/>
        </w:rPr>
        <w:t>引下线施工前建筑基础钢筋及柱筋</w:t>
      </w:r>
      <w:r>
        <w:rPr>
          <w:rFonts w:hint="eastAsia" w:eastAsiaTheme="minorEastAsia"/>
        </w:rPr>
        <w:t>已</w:t>
      </w:r>
      <w:r>
        <w:rPr>
          <w:rFonts w:eastAsiaTheme="minorEastAsia"/>
        </w:rPr>
        <w:t>绑扎完成；</w:t>
      </w:r>
    </w:p>
    <w:p w14:paraId="358CB2CE">
      <w:pPr>
        <w:pStyle w:val="164"/>
        <w:numPr>
          <w:ilvl w:val="0"/>
          <w:numId w:val="319"/>
        </w:numPr>
        <w:spacing w:line="330" w:lineRule="exact"/>
        <w:ind w:left="0" w:firstLine="420"/>
        <w:rPr>
          <w:rFonts w:eastAsiaTheme="minorEastAsia"/>
        </w:rPr>
      </w:pPr>
      <w:r>
        <w:rPr>
          <w:rFonts w:eastAsiaTheme="minorEastAsia"/>
        </w:rPr>
        <w:t>接地体施工前土建基坑</w:t>
      </w:r>
      <w:r>
        <w:rPr>
          <w:rFonts w:hint="eastAsia" w:eastAsiaTheme="minorEastAsia"/>
        </w:rPr>
        <w:t>已</w:t>
      </w:r>
      <w:r>
        <w:rPr>
          <w:rFonts w:eastAsiaTheme="minorEastAsia"/>
        </w:rPr>
        <w:t>清理完成，具备施工作业面。</w:t>
      </w:r>
    </w:p>
    <w:p w14:paraId="71B45842">
      <w:pPr>
        <w:pStyle w:val="3"/>
        <w:spacing w:before="240" w:after="120" w:afterLines="50" w:line="330" w:lineRule="exact"/>
        <w:rPr>
          <w:rFonts w:eastAsia="黑体"/>
          <w:b w:val="0"/>
          <w:bCs w:val="0"/>
          <w:sz w:val="21"/>
          <w:szCs w:val="21"/>
          <w:lang w:val="en-US"/>
        </w:rPr>
      </w:pPr>
      <w:bookmarkStart w:id="415" w:name="_Toc56517715"/>
      <w:bookmarkStart w:id="416" w:name="_Toc171955184"/>
      <w:bookmarkStart w:id="417" w:name="_Toc44618596"/>
      <w:bookmarkStart w:id="418" w:name="_Toc45092857"/>
      <w:bookmarkStart w:id="419" w:name="_Toc182488013"/>
      <w:bookmarkStart w:id="420" w:name="_Toc44618496"/>
      <w:r>
        <w:rPr>
          <w:rFonts w:eastAsia="黑体"/>
          <w:b w:val="0"/>
          <w:bCs w:val="0"/>
          <w:sz w:val="21"/>
          <w:szCs w:val="21"/>
          <w:lang w:val="en-US"/>
        </w:rPr>
        <w:t>22.3 施工工艺</w:t>
      </w:r>
      <w:bookmarkEnd w:id="415"/>
      <w:bookmarkEnd w:id="416"/>
      <w:bookmarkEnd w:id="417"/>
      <w:bookmarkEnd w:id="418"/>
      <w:bookmarkEnd w:id="419"/>
      <w:bookmarkEnd w:id="420"/>
    </w:p>
    <w:p w14:paraId="2EAACA7F">
      <w:pPr>
        <w:pStyle w:val="164"/>
        <w:numPr>
          <w:ilvl w:val="1"/>
          <w:numId w:val="119"/>
        </w:numPr>
        <w:spacing w:line="330" w:lineRule="exact"/>
        <w:ind w:firstLineChars="0"/>
        <w:rPr>
          <w:rFonts w:eastAsiaTheme="minorEastAsia"/>
          <w:vanish/>
          <w:szCs w:val="21"/>
        </w:rPr>
      </w:pPr>
    </w:p>
    <w:p w14:paraId="692740FA">
      <w:pPr>
        <w:pStyle w:val="164"/>
        <w:spacing w:before="100" w:after="100" w:line="330" w:lineRule="exact"/>
        <w:ind w:firstLine="0" w:firstLineChars="0"/>
        <w:jc w:val="left"/>
        <w:rPr>
          <w:szCs w:val="21"/>
        </w:rPr>
      </w:pPr>
      <w:r>
        <w:rPr>
          <w:szCs w:val="21"/>
        </w:rPr>
        <w:t xml:space="preserve">22.3.1 </w:t>
      </w:r>
      <w:r>
        <w:rPr>
          <w:rFonts w:eastAsiaTheme="minorEastAsia"/>
          <w:szCs w:val="21"/>
        </w:rPr>
        <w:t>防雷与接地施工工艺流程见图22.3.1。</w:t>
      </w:r>
    </w:p>
    <w:p w14:paraId="21F4A4AB">
      <w:pPr>
        <w:ind w:left="105" w:firstLine="417" w:firstLineChars="199"/>
        <w:jc w:val="left"/>
        <w:rPr>
          <w:rFonts w:ascii="Times New Roman" w:hAnsi="Times New Roman" w:eastAsiaTheme="minorEastAsia"/>
          <w:b/>
          <w:bCs/>
        </w:rPr>
      </w:pPr>
      <w:r>
        <w:rPr>
          <w:rFonts w:ascii="Times New Roman" w:hAnsi="Times New Roman"/>
        </w:rPr>
        <mc:AlternateContent>
          <mc:Choice Requires="wpc">
            <w:drawing>
              <wp:inline distT="0" distB="0" distL="0" distR="0">
                <wp:extent cx="5274945" cy="904875"/>
                <wp:effectExtent l="0" t="0" r="1905" b="9525"/>
                <wp:docPr id="135"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05" name="Text Box 8"/>
                        <wps:cNvSpPr txBox="1">
                          <a:spLocks noChangeArrowheads="1"/>
                        </wps:cNvSpPr>
                        <wps:spPr bwMode="auto">
                          <a:xfrm>
                            <a:off x="0" y="286778"/>
                            <a:ext cx="1266826" cy="348329"/>
                          </a:xfrm>
                          <a:prstGeom prst="rect">
                            <a:avLst/>
                          </a:prstGeom>
                          <a:solidFill>
                            <a:srgbClr val="FFFFFF"/>
                          </a:solidFill>
                          <a:ln w="9525">
                            <a:solidFill>
                              <a:srgbClr val="000000"/>
                            </a:solidFill>
                            <a:miter lim="800000"/>
                          </a:ln>
                        </wps:spPr>
                        <wps:txbx>
                          <w:txbxContent>
                            <w:p w14:paraId="7C40DA5B">
                              <w:pPr>
                                <w:spacing w:line="288" w:lineRule="auto"/>
                                <w:ind w:left="105" w:hanging="105"/>
                              </w:pPr>
                              <w:r>
                                <w:rPr>
                                  <w:rFonts w:hint="eastAsia"/>
                                  <w:color w:val="000000"/>
                                  <w:szCs w:val="21"/>
                                </w:rPr>
                                <w:t>防雷工程安装</w:t>
                              </w:r>
                              <w:r>
                                <w:rPr>
                                  <w:szCs w:val="21"/>
                                </w:rPr>
                                <w:t> </w:t>
                              </w:r>
                            </w:p>
                          </w:txbxContent>
                        </wps:txbx>
                        <wps:bodyPr rot="0" vert="horz" wrap="square" lIns="126000" tIns="82800" rIns="91440" bIns="45720" anchor="t" anchorCtr="0" upright="1">
                          <a:noAutofit/>
                        </wps:bodyPr>
                      </wps:wsp>
                      <wps:wsp>
                        <wps:cNvPr id="306" name="Text Box 9"/>
                        <wps:cNvSpPr txBox="1">
                          <a:spLocks noChangeArrowheads="1"/>
                        </wps:cNvSpPr>
                        <wps:spPr bwMode="auto">
                          <a:xfrm>
                            <a:off x="1504013" y="283603"/>
                            <a:ext cx="1279298" cy="354266"/>
                          </a:xfrm>
                          <a:prstGeom prst="rect">
                            <a:avLst/>
                          </a:prstGeom>
                          <a:solidFill>
                            <a:srgbClr val="FFFFFF"/>
                          </a:solidFill>
                          <a:ln w="9525">
                            <a:solidFill>
                              <a:srgbClr val="000000"/>
                            </a:solidFill>
                            <a:miter lim="800000"/>
                          </a:ln>
                        </wps:spPr>
                        <wps:txbx>
                          <w:txbxContent>
                            <w:p w14:paraId="7CDC0835">
                              <w:pPr>
                                <w:spacing w:line="314" w:lineRule="exact"/>
                                <w:ind w:left="105" w:hanging="105"/>
                                <w:jc w:val="center"/>
                                <w:rPr>
                                  <w:kern w:val="0"/>
                                  <w:sz w:val="24"/>
                                  <w:szCs w:val="24"/>
                                </w:rPr>
                              </w:pPr>
                              <w:r>
                                <w:rPr>
                                  <w:rFonts w:hint="eastAsia"/>
                                  <w:szCs w:val="21"/>
                                </w:rPr>
                                <w:t>接地工程安装</w:t>
                              </w:r>
                            </w:p>
                          </w:txbxContent>
                        </wps:txbx>
                        <wps:bodyPr rot="0" vert="horz" wrap="square" lIns="91440" tIns="82800" rIns="91440" bIns="45720" anchor="t" anchorCtr="0" upright="1">
                          <a:noAutofit/>
                        </wps:bodyPr>
                      </wps:wsp>
                      <wps:wsp>
                        <wps:cNvPr id="307" name="Text Box 12"/>
                        <wps:cNvSpPr txBox="1">
                          <a:spLocks noChangeArrowheads="1"/>
                        </wps:cNvSpPr>
                        <wps:spPr bwMode="auto">
                          <a:xfrm>
                            <a:off x="3258323" y="267597"/>
                            <a:ext cx="924265" cy="386715"/>
                          </a:xfrm>
                          <a:prstGeom prst="rect">
                            <a:avLst/>
                          </a:prstGeom>
                          <a:solidFill>
                            <a:srgbClr val="FFFFFF"/>
                          </a:solidFill>
                          <a:ln w="9525">
                            <a:solidFill>
                              <a:srgbClr val="000000"/>
                            </a:solidFill>
                            <a:miter lim="800000"/>
                          </a:ln>
                        </wps:spPr>
                        <wps:txbx>
                          <w:txbxContent>
                            <w:p w14:paraId="7CC3365C">
                              <w:pPr>
                                <w:spacing w:line="314" w:lineRule="exact"/>
                                <w:ind w:left="105" w:hanging="105"/>
                                <w:jc w:val="center"/>
                                <w:rPr>
                                  <w:kern w:val="0"/>
                                  <w:sz w:val="24"/>
                                  <w:szCs w:val="24"/>
                                </w:rPr>
                              </w:pPr>
                              <w:r>
                                <w:rPr>
                                  <w:rFonts w:hint="eastAsia"/>
                                  <w:szCs w:val="21"/>
                                </w:rPr>
                                <w:t>系统测试</w:t>
                              </w:r>
                            </w:p>
                          </w:txbxContent>
                        </wps:txbx>
                        <wps:bodyPr rot="0" vert="horz" wrap="square" lIns="162000" tIns="82800" rIns="91440" bIns="45720" anchor="t" anchorCtr="0" upright="1">
                          <a:noAutofit/>
                        </wps:bodyPr>
                      </wps:wsp>
                      <wps:wsp>
                        <wps:cNvPr id="308" name="Line 16"/>
                        <wps:cNvCnPr>
                          <a:cxnSpLocks noChangeShapeType="1"/>
                          <a:stCxn id="305" idx="3"/>
                          <a:endCxn id="306" idx="1"/>
                        </wps:cNvCnPr>
                        <wps:spPr bwMode="auto">
                          <a:xfrm flipV="1">
                            <a:off x="1266826" y="460736"/>
                            <a:ext cx="237187" cy="207"/>
                          </a:xfrm>
                          <a:prstGeom prst="line">
                            <a:avLst/>
                          </a:prstGeom>
                          <a:noFill/>
                          <a:ln w="9525">
                            <a:solidFill>
                              <a:srgbClr val="000000"/>
                            </a:solidFill>
                            <a:round/>
                            <a:tailEnd type="triangle" w="med" len="med"/>
                          </a:ln>
                        </wps:spPr>
                        <wps:bodyPr/>
                      </wps:wsp>
                      <wps:wsp>
                        <wps:cNvPr id="309" name="Line 18"/>
                        <wps:cNvCnPr>
                          <a:cxnSpLocks noChangeShapeType="1"/>
                          <a:stCxn id="306" idx="3"/>
                          <a:endCxn id="307" idx="1"/>
                        </wps:cNvCnPr>
                        <wps:spPr bwMode="auto">
                          <a:xfrm>
                            <a:off x="2783311" y="460736"/>
                            <a:ext cx="475012" cy="219"/>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71.25pt;width:415.35pt;" coordsize="5274945,904875" editas="canvas" o:gfxdata="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DcSARU1AAAAAUBAAAPAAAAAAAAAAEAIAAAACIAAABkcnMvZG93bnJldi54bWxQ&#10;SwECFAAUAAAACACHTuJAul3ef/wDAACgDwAADgAAAAAAAAABACAAAAAjAQAAZHJzL2Uyb0RvYy54&#10;bWxQSwUGAAAAAAYABgBZAQAAkQcAAAAA&#10;">
                <o:lock v:ext="edit" aspectratio="f"/>
                <v:shape id="_x0000_s1026" o:spid="_x0000_s1026" style="position:absolute;left:0;top:0;height:904875;width:5274945;" fillcolor="#FFFFFF" filled="t" stroked="f" coordsize="21600,21600" o:gfxdata="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3EgEVNQAAAAFAQAADwAAAAAAAAABACAAAAAiAAAAZHJzL2Rvd25yZXYueG1sUEsBAhQAFAAAAAgA&#10;h07iQKHBReC4AwAAIA8AAA4AAAAAAAAAAQAgAAAAIwEAAGRycy9lMm9Eb2MueG1sUEsFBgAAAAAG&#10;AAYAWQEAAE0HAAAAAA==&#10;">
                  <v:fill on="t" focussize="0,0"/>
                  <v:stroke on="f"/>
                  <v:imagedata o:title=""/>
                  <o:lock v:ext="edit" aspectratio="t"/>
                </v:shape>
                <v:shape id="Text Box 8" o:spid="_x0000_s1026" o:spt="202" type="#_x0000_t202" style="position:absolute;left:0;top:286778;height:348329;width:1266826;" fillcolor="#FFFFFF" filled="t" stroked="t" coordsize="21600,21600" o:gfxdata="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4OCPVAAAABQEAAA8AAAAAAAAAAQAgAAAAIgAAAGRy&#10;cy9kb3ducmV2LnhtbFBLAQIUABQAAAAIAIdO4kADAqDIQQIAAI4EAAAOAAAAAAAAAAEAIAAAACQB&#10;AABkcnMvZTJvRG9jLnhtbFBLBQYAAAAABgAGAFkBAADXBQAAAAA=&#10;">
                  <v:fill on="t" focussize="0,0"/>
                  <v:stroke color="#000000" miterlimit="8" joinstyle="miter"/>
                  <v:imagedata o:title=""/>
                  <o:lock v:ext="edit" aspectratio="f"/>
                  <v:textbox inset="3.5mm,2.3mm,2.54mm,1.27mm">
                    <w:txbxContent>
                      <w:p w14:paraId="7C40DA5B">
                        <w:pPr>
                          <w:spacing w:line="288" w:lineRule="auto"/>
                          <w:ind w:left="105" w:hanging="105"/>
                        </w:pPr>
                        <w:r>
                          <w:rPr>
                            <w:rFonts w:hint="eastAsia"/>
                            <w:color w:val="000000"/>
                            <w:szCs w:val="21"/>
                          </w:rPr>
                          <w:t>防雷工程安装</w:t>
                        </w:r>
                        <w:r>
                          <w:rPr>
                            <w:szCs w:val="21"/>
                          </w:rPr>
                          <w:t> </w:t>
                        </w:r>
                      </w:p>
                    </w:txbxContent>
                  </v:textbox>
                </v:shape>
                <v:shape id="Text Box 9" o:spid="_x0000_s1026" o:spt="202" type="#_x0000_t202" style="position:absolute;left:1504013;top:283603;height:354266;width:1279298;" fillcolor="#FFFFFF" filled="t" stroked="t" coordsize="21600,21600" o:gfxdata="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m+gRdQAAAAFAQAADwAAAAAAAAABACAAAAAiAAAAZHJz&#10;L2Rvd25yZXYueG1sUEsBAhQAFAAAAAgAh07iQNAmKBNBAgAAkwQAAA4AAAAAAAAAAQAgAAAAIwEA&#10;AGRycy9lMm9Eb2MueG1sUEsFBgAAAAAGAAYAWQEAANYFAAAAAA==&#10;">
                  <v:fill on="t" focussize="0,0"/>
                  <v:stroke color="#000000" miterlimit="8" joinstyle="miter"/>
                  <v:imagedata o:title=""/>
                  <o:lock v:ext="edit" aspectratio="f"/>
                  <v:textbox inset="2.54mm,2.3mm,2.54mm,1.27mm">
                    <w:txbxContent>
                      <w:p w14:paraId="7CDC0835">
                        <w:pPr>
                          <w:spacing w:line="314" w:lineRule="exact"/>
                          <w:ind w:left="105" w:hanging="105"/>
                          <w:jc w:val="center"/>
                          <w:rPr>
                            <w:kern w:val="0"/>
                            <w:sz w:val="24"/>
                            <w:szCs w:val="24"/>
                          </w:rPr>
                        </w:pPr>
                        <w:r>
                          <w:rPr>
                            <w:rFonts w:hint="eastAsia"/>
                            <w:szCs w:val="21"/>
                          </w:rPr>
                          <w:t>接地工程安装</w:t>
                        </w:r>
                      </w:p>
                    </w:txbxContent>
                  </v:textbox>
                </v:shape>
                <v:shape id="Text Box 12" o:spid="_x0000_s1026" o:spt="202" type="#_x0000_t202" style="position:absolute;left:3258323;top:267597;height:386715;width:924265;" fillcolor="#FFFFFF" filled="t" stroked="t" coordsize="21600,21600" o:gfxdata="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3DDevXAAAABQEAAA8AAAAAAAAAAQAgAAAA&#10;IgAAAGRycy9kb3ducmV2LnhtbFBLAQIUABQAAAAIAIdO4kAZk0hQRQIAAJQEAAAOAAAAAAAAAAEA&#10;IAAAACYBAABkcnMvZTJvRG9jLnhtbFBLBQYAAAAABgAGAFkBAADdBQAAAAA=&#10;">
                  <v:fill on="t" focussize="0,0"/>
                  <v:stroke color="#000000" miterlimit="8" joinstyle="miter"/>
                  <v:imagedata o:title=""/>
                  <o:lock v:ext="edit" aspectratio="f"/>
                  <v:textbox inset="4.5mm,2.3mm,2.54mm,1.27mm">
                    <w:txbxContent>
                      <w:p w14:paraId="7CC3365C">
                        <w:pPr>
                          <w:spacing w:line="314" w:lineRule="exact"/>
                          <w:ind w:left="105" w:hanging="105"/>
                          <w:jc w:val="center"/>
                          <w:rPr>
                            <w:kern w:val="0"/>
                            <w:sz w:val="24"/>
                            <w:szCs w:val="24"/>
                          </w:rPr>
                        </w:pPr>
                        <w:r>
                          <w:rPr>
                            <w:rFonts w:hint="eastAsia"/>
                            <w:szCs w:val="21"/>
                          </w:rPr>
                          <w:t>系统测试</w:t>
                        </w:r>
                      </w:p>
                    </w:txbxContent>
                  </v:textbox>
                </v:shape>
                <v:line id="Line 16" o:spid="_x0000_s1026" o:spt="20" style="position:absolute;left:1266826;top:460736;flip:y;height:207;width:237187;" filled="f" stroked="t" coordsize="21600,21600" o:gfxdata="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ydmT1gAAAAUBAAAPAAAAAAAAAAEAIAAA&#10;ACIAAABkcnMvZG93bnJldi54bWxQSwECFAAUAAAACACHTuJA3gCGHw4CAAAdBAAADgAAAAAAAAAB&#10;ACAAAAAlAQAAZHJzL2Uyb0RvYy54bWxQSwUGAAAAAAYABgBZAQAApQUAAAAA&#10;">
                  <v:fill on="f" focussize="0,0"/>
                  <v:stroke color="#000000" joinstyle="round" endarrow="block"/>
                  <v:imagedata o:title=""/>
                  <o:lock v:ext="edit" aspectratio="f"/>
                </v:line>
                <v:line id="Line 18" o:spid="_x0000_s1026" o:spt="20" style="position:absolute;left:2783311;top:460736;height:219;width:475012;" filled="f" stroked="t" coordsize="21600,21600" o:gfxdata="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oUzA1wAAAAUBAAAPAAAAAAAAAAEAIAAAACIAAABk&#10;cnMvZG93bnJldi54bWxQSwECFAAUAAAACACHTuJAgHG/RQcCAAATBAAADgAAAAAAAAABACAAAAAm&#10;AQAAZHJzL2Uyb0RvYy54bWxQSwUGAAAAAAYABgBZAQAAnwUAAAAA&#10;">
                  <v:fill on="f" focussize="0,0"/>
                  <v:stroke color="#000000" joinstyle="round" endarrow="block"/>
                  <v:imagedata o:title=""/>
                  <o:lock v:ext="edit" aspectratio="f"/>
                </v:line>
                <w10:wrap type="none"/>
                <w10:anchorlock/>
              </v:group>
            </w:pict>
          </mc:Fallback>
        </mc:AlternateContent>
      </w:r>
    </w:p>
    <w:p w14:paraId="415DF289">
      <w:pPr>
        <w:ind w:left="105" w:hanging="105" w:firstLineChars="0"/>
        <w:jc w:val="center"/>
        <w:rPr>
          <w:rFonts w:ascii="Times New Roman" w:hAnsi="Times New Roman" w:eastAsiaTheme="minorEastAsia"/>
          <w:sz w:val="20"/>
          <w:szCs w:val="21"/>
        </w:rPr>
      </w:pPr>
      <w:r>
        <w:rPr>
          <w:rFonts w:ascii="Times New Roman" w:hAnsi="Times New Roman" w:eastAsiaTheme="minorEastAsia"/>
          <w:sz w:val="20"/>
          <w:szCs w:val="21"/>
        </w:rPr>
        <w:t>图22.3.1   防雷与接地施工工艺流程图</w:t>
      </w:r>
    </w:p>
    <w:p w14:paraId="4C2E575F">
      <w:pPr>
        <w:pStyle w:val="164"/>
        <w:spacing w:before="100" w:after="100" w:line="330" w:lineRule="exact"/>
        <w:ind w:firstLine="0" w:firstLineChars="0"/>
        <w:rPr>
          <w:szCs w:val="21"/>
        </w:rPr>
      </w:pPr>
      <w:r>
        <w:rPr>
          <w:szCs w:val="21"/>
        </w:rPr>
        <w:t>22.3.2 防雷工程安装应符合下列规定：</w:t>
      </w:r>
    </w:p>
    <w:p w14:paraId="28DABD0B">
      <w:pPr>
        <w:pStyle w:val="164"/>
        <w:numPr>
          <w:ilvl w:val="0"/>
          <w:numId w:val="320"/>
        </w:numPr>
        <w:spacing w:line="330" w:lineRule="exact"/>
        <w:ind w:left="0" w:firstLine="420"/>
        <w:rPr>
          <w:rFonts w:eastAsiaTheme="minorEastAsia"/>
        </w:rPr>
      </w:pPr>
      <w:r>
        <w:rPr>
          <w:rFonts w:eastAsiaTheme="minorEastAsia"/>
        </w:rPr>
        <w:t>防雷工程包含接闪功能、分流影响、均衡电位、屏蔽作除应用、接地效果和合理布线等六项，均应达到设计要求。</w:t>
      </w:r>
    </w:p>
    <w:p w14:paraId="6A930731">
      <w:pPr>
        <w:pStyle w:val="164"/>
        <w:numPr>
          <w:ilvl w:val="0"/>
          <w:numId w:val="320"/>
        </w:numPr>
        <w:spacing w:line="330" w:lineRule="exact"/>
        <w:ind w:left="0" w:firstLine="420"/>
        <w:rPr>
          <w:rFonts w:eastAsiaTheme="minorEastAsia"/>
        </w:rPr>
      </w:pPr>
      <w:r>
        <w:rPr>
          <w:rFonts w:eastAsiaTheme="minorEastAsia"/>
        </w:rPr>
        <w:t>接闪器</w:t>
      </w:r>
      <w:r>
        <w:rPr>
          <w:rFonts w:hint="eastAsia" w:eastAsiaTheme="minorEastAsia"/>
        </w:rPr>
        <w:t>、</w:t>
      </w:r>
      <w:r>
        <w:rPr>
          <w:rFonts w:eastAsiaTheme="minorEastAsia"/>
        </w:rPr>
        <w:t>避雷引下线的安装应按</w:t>
      </w:r>
      <w:r>
        <w:rPr>
          <w:rFonts w:hint="eastAsia" w:eastAsiaTheme="minorEastAsia"/>
        </w:rPr>
        <w:t>国家现行标准</w:t>
      </w:r>
      <w:r>
        <w:rPr>
          <w:rFonts w:eastAsiaTheme="minorEastAsia"/>
        </w:rPr>
        <w:t>《建筑电气工程施工技术标准》</w:t>
      </w:r>
      <w:r>
        <w:rPr>
          <w:szCs w:val="22"/>
        </w:rPr>
        <w:t>GB 50303</w:t>
      </w:r>
      <w:r>
        <w:rPr>
          <w:rFonts w:hint="eastAsia"/>
          <w:szCs w:val="22"/>
        </w:rPr>
        <w:t>的</w:t>
      </w:r>
      <w:r>
        <w:rPr>
          <w:rFonts w:hint="eastAsia" w:eastAsiaTheme="minorEastAsia"/>
        </w:rPr>
        <w:t>相关规定</w:t>
      </w:r>
      <w:r>
        <w:rPr>
          <w:rFonts w:eastAsiaTheme="minorEastAsia"/>
        </w:rPr>
        <w:t>执行。</w:t>
      </w:r>
    </w:p>
    <w:p w14:paraId="64AFE1FD">
      <w:pPr>
        <w:pStyle w:val="164"/>
        <w:spacing w:before="100" w:after="100" w:line="330" w:lineRule="exact"/>
        <w:ind w:firstLine="0" w:firstLineChars="0"/>
        <w:rPr>
          <w:szCs w:val="21"/>
        </w:rPr>
      </w:pPr>
      <w:r>
        <w:rPr>
          <w:szCs w:val="21"/>
        </w:rPr>
        <w:t>22.3.3 接地工程安装应符合下列规定：</w:t>
      </w:r>
    </w:p>
    <w:p w14:paraId="4D8D02BB">
      <w:pPr>
        <w:pStyle w:val="164"/>
        <w:numPr>
          <w:ilvl w:val="0"/>
          <w:numId w:val="321"/>
        </w:numPr>
        <w:autoSpaceDE w:val="0"/>
        <w:autoSpaceDN w:val="0"/>
        <w:spacing w:line="330" w:lineRule="exact"/>
        <w:ind w:left="0" w:firstLine="420" w:firstLineChars="0"/>
        <w:rPr>
          <w:rFonts w:eastAsiaTheme="minorEastAsia"/>
        </w:rPr>
      </w:pPr>
      <w:r>
        <w:rPr>
          <w:rFonts w:eastAsiaTheme="minorEastAsia"/>
        </w:rPr>
        <w:t>浪涌保护器</w:t>
      </w:r>
      <w:r>
        <w:rPr>
          <w:rFonts w:hint="eastAsia" w:eastAsiaTheme="minorEastAsia"/>
        </w:rPr>
        <w:t>的</w:t>
      </w:r>
      <w:r>
        <w:rPr>
          <w:rFonts w:eastAsiaTheme="minorEastAsia"/>
        </w:rPr>
        <w:t>安装应</w:t>
      </w:r>
      <w:r>
        <w:rPr>
          <w:rFonts w:hint="eastAsia" w:eastAsiaTheme="minorEastAsia"/>
        </w:rPr>
        <w:t>按现行</w:t>
      </w:r>
      <w:r>
        <w:rPr>
          <w:rFonts w:eastAsiaTheme="minorEastAsia"/>
        </w:rPr>
        <w:t>国家标准《建筑物电子信息系统防雷技术术规范》</w:t>
      </w:r>
      <w:r>
        <w:t>GB 50343</w:t>
      </w:r>
      <w:r>
        <w:rPr>
          <w:rFonts w:hint="eastAsia"/>
        </w:rPr>
        <w:t>的</w:t>
      </w:r>
      <w:r>
        <w:rPr>
          <w:rFonts w:hint="eastAsia" w:eastAsiaTheme="minorEastAsia"/>
        </w:rPr>
        <w:t>相关规定执行</w:t>
      </w:r>
      <w:r>
        <w:rPr>
          <w:rFonts w:eastAsiaTheme="minorEastAsia"/>
        </w:rPr>
        <w:t>，</w:t>
      </w:r>
      <w:r>
        <w:rPr>
          <w:rFonts w:hint="eastAsia" w:eastAsiaTheme="minorEastAsia"/>
        </w:rPr>
        <w:t>并</w:t>
      </w:r>
      <w:r>
        <w:rPr>
          <w:rFonts w:eastAsiaTheme="minorEastAsia"/>
        </w:rPr>
        <w:t xml:space="preserve">应符合下列规定： </w:t>
      </w:r>
    </w:p>
    <w:p w14:paraId="35AE9222">
      <w:pPr>
        <w:pStyle w:val="164"/>
        <w:numPr>
          <w:ilvl w:val="0"/>
          <w:numId w:val="322"/>
        </w:numPr>
        <w:tabs>
          <w:tab w:val="left" w:pos="210"/>
          <w:tab w:val="left" w:pos="567"/>
        </w:tabs>
        <w:spacing w:line="330" w:lineRule="exact"/>
        <w:ind w:firstLine="630" w:firstLineChars="300"/>
        <w:rPr>
          <w:rFonts w:eastAsiaTheme="minorEastAsia"/>
          <w:szCs w:val="21"/>
        </w:rPr>
      </w:pPr>
      <w:r>
        <w:rPr>
          <w:rFonts w:eastAsiaTheme="minorEastAsia"/>
          <w:szCs w:val="21"/>
        </w:rPr>
        <w:t>室外安装时应有防水措施；</w:t>
      </w:r>
    </w:p>
    <w:p w14:paraId="0528DFCC">
      <w:pPr>
        <w:pStyle w:val="164"/>
        <w:numPr>
          <w:ilvl w:val="0"/>
          <w:numId w:val="322"/>
        </w:numPr>
        <w:tabs>
          <w:tab w:val="left" w:pos="210"/>
          <w:tab w:val="left" w:pos="567"/>
        </w:tabs>
        <w:spacing w:line="330" w:lineRule="exact"/>
        <w:ind w:firstLine="630" w:firstLineChars="300"/>
        <w:rPr>
          <w:rFonts w:eastAsiaTheme="minorEastAsia"/>
          <w:szCs w:val="21"/>
        </w:rPr>
      </w:pPr>
      <w:r>
        <w:rPr>
          <w:rFonts w:eastAsiaTheme="minorEastAsia"/>
          <w:szCs w:val="21"/>
        </w:rPr>
        <w:t>浪涌保护器安装位置应靠近被保护设备。</w:t>
      </w:r>
    </w:p>
    <w:p w14:paraId="0082F7CA">
      <w:pPr>
        <w:pStyle w:val="164"/>
        <w:numPr>
          <w:ilvl w:val="0"/>
          <w:numId w:val="321"/>
        </w:numPr>
        <w:autoSpaceDE w:val="0"/>
        <w:autoSpaceDN w:val="0"/>
        <w:spacing w:line="330" w:lineRule="exact"/>
        <w:ind w:left="0" w:firstLine="420" w:firstLineChars="0"/>
        <w:rPr>
          <w:rFonts w:eastAsiaTheme="minorEastAsia"/>
          <w:b/>
          <w:bCs/>
        </w:rPr>
      </w:pPr>
      <w:r>
        <w:rPr>
          <w:rFonts w:eastAsiaTheme="minorEastAsia"/>
        </w:rPr>
        <w:t>综合管线的防雷与接地</w:t>
      </w:r>
      <w:r>
        <w:rPr>
          <w:szCs w:val="21"/>
        </w:rPr>
        <w:t>应</w:t>
      </w:r>
      <w:r>
        <w:rPr>
          <w:rFonts w:hint="eastAsia" w:eastAsiaTheme="minorEastAsia"/>
        </w:rPr>
        <w:t>按</w:t>
      </w:r>
      <w:r>
        <w:rPr>
          <w:rFonts w:eastAsiaTheme="minorEastAsia"/>
        </w:rPr>
        <w:t>国家</w:t>
      </w:r>
      <w:r>
        <w:rPr>
          <w:rFonts w:hint="eastAsia" w:eastAsiaTheme="minorEastAsia"/>
        </w:rPr>
        <w:t>现行</w:t>
      </w:r>
      <w:r>
        <w:rPr>
          <w:rFonts w:eastAsiaTheme="minorEastAsia"/>
        </w:rPr>
        <w:t>标准《建筑物电子信息系统防雷技术规范》</w:t>
      </w:r>
      <w:r>
        <w:t>GB 50343</w:t>
      </w:r>
      <w:r>
        <w:rPr>
          <w:rFonts w:eastAsiaTheme="minorEastAsia"/>
        </w:rPr>
        <w:t>和《电气装置安装工程接地装置施工及验收接地规范》</w:t>
      </w:r>
      <w:r>
        <w:t>GB 50169</w:t>
      </w:r>
      <w:r>
        <w:rPr>
          <w:rFonts w:eastAsiaTheme="minorEastAsia"/>
        </w:rPr>
        <w:t>及《建筑电气工程施工质量验收规范》</w:t>
      </w:r>
      <w:r>
        <w:t>GB 50303</w:t>
      </w:r>
      <w:r>
        <w:rPr>
          <w:rFonts w:eastAsiaTheme="minorEastAsia"/>
        </w:rPr>
        <w:t>的</w:t>
      </w:r>
      <w:r>
        <w:rPr>
          <w:rFonts w:hint="eastAsia" w:eastAsiaTheme="minorEastAsia"/>
        </w:rPr>
        <w:t>相关</w:t>
      </w:r>
      <w:r>
        <w:rPr>
          <w:rFonts w:eastAsiaTheme="minorEastAsia"/>
        </w:rPr>
        <w:t>规定</w:t>
      </w:r>
      <w:r>
        <w:rPr>
          <w:rFonts w:hint="eastAsia" w:eastAsiaTheme="minorEastAsia"/>
        </w:rPr>
        <w:t>执行</w:t>
      </w:r>
      <w:r>
        <w:rPr>
          <w:rFonts w:eastAsiaTheme="minorEastAsia"/>
        </w:rPr>
        <w:t>，</w:t>
      </w:r>
      <w:r>
        <w:rPr>
          <w:rFonts w:hint="eastAsia" w:eastAsiaTheme="minorEastAsia"/>
        </w:rPr>
        <w:t>并</w:t>
      </w:r>
      <w:r>
        <w:rPr>
          <w:rFonts w:eastAsiaTheme="minorEastAsia"/>
        </w:rPr>
        <w:t>应符合下列规定：</w:t>
      </w:r>
    </w:p>
    <w:p w14:paraId="3B68B3B6">
      <w:pPr>
        <w:pStyle w:val="164"/>
        <w:numPr>
          <w:ilvl w:val="0"/>
          <w:numId w:val="323"/>
        </w:numPr>
        <w:tabs>
          <w:tab w:val="left" w:pos="210"/>
          <w:tab w:val="left" w:pos="567"/>
        </w:tabs>
        <w:spacing w:line="330" w:lineRule="exact"/>
        <w:ind w:firstLine="630" w:firstLineChars="300"/>
        <w:rPr>
          <w:rFonts w:eastAsiaTheme="minorEastAsia"/>
          <w:szCs w:val="21"/>
        </w:rPr>
      </w:pPr>
      <w:r>
        <w:rPr>
          <w:rFonts w:eastAsiaTheme="minorEastAsia"/>
          <w:szCs w:val="21"/>
        </w:rPr>
        <w:t>金属桥架与接地干线连接应不少于2处。</w:t>
      </w:r>
    </w:p>
    <w:p w14:paraId="3AC310DB">
      <w:pPr>
        <w:pStyle w:val="164"/>
        <w:numPr>
          <w:ilvl w:val="0"/>
          <w:numId w:val="323"/>
        </w:numPr>
        <w:tabs>
          <w:tab w:val="left" w:pos="210"/>
          <w:tab w:val="left" w:pos="567"/>
        </w:tabs>
        <w:spacing w:line="330" w:lineRule="exact"/>
        <w:ind w:firstLine="630" w:firstLineChars="300"/>
        <w:rPr>
          <w:rFonts w:eastAsiaTheme="minorEastAsia"/>
          <w:szCs w:val="21"/>
        </w:rPr>
      </w:pPr>
      <w:r>
        <w:rPr>
          <w:rFonts w:eastAsiaTheme="minorEastAsia"/>
          <w:szCs w:val="21"/>
        </w:rPr>
        <w:t>非镀锌桥架间连接板的两端跨接铜芯接地线，截面积不应＜4mm²。</w:t>
      </w:r>
    </w:p>
    <w:p w14:paraId="686A684A">
      <w:pPr>
        <w:pStyle w:val="164"/>
        <w:numPr>
          <w:ilvl w:val="0"/>
          <w:numId w:val="323"/>
        </w:numPr>
        <w:tabs>
          <w:tab w:val="left" w:pos="210"/>
          <w:tab w:val="left" w:pos="567"/>
        </w:tabs>
        <w:spacing w:line="330" w:lineRule="exact"/>
        <w:ind w:firstLine="630" w:firstLineChars="300"/>
        <w:rPr>
          <w:rFonts w:eastAsiaTheme="minorEastAsia"/>
          <w:szCs w:val="21"/>
        </w:rPr>
      </w:pPr>
      <w:r>
        <w:rPr>
          <w:rFonts w:eastAsiaTheme="minorEastAsia"/>
          <w:szCs w:val="21"/>
        </w:rPr>
        <w:t>镀锌钢管应以专用接地卡件跨接，跨接线应采用截面积≥4mm²的铜芯软线。非镀锌钢管采用螺纹连接时，连接处的两端应焊接跨接地线。</w:t>
      </w:r>
    </w:p>
    <w:p w14:paraId="552FCAB4">
      <w:pPr>
        <w:pStyle w:val="164"/>
        <w:numPr>
          <w:ilvl w:val="0"/>
          <w:numId w:val="323"/>
        </w:numPr>
        <w:tabs>
          <w:tab w:val="left" w:pos="210"/>
          <w:tab w:val="left" w:pos="567"/>
        </w:tabs>
        <w:spacing w:line="330" w:lineRule="exact"/>
        <w:ind w:firstLine="630" w:firstLineChars="300"/>
        <w:rPr>
          <w:rFonts w:eastAsiaTheme="minorEastAsia"/>
          <w:szCs w:val="21"/>
        </w:rPr>
      </w:pPr>
      <w:r>
        <w:rPr>
          <w:rFonts w:eastAsiaTheme="minorEastAsia"/>
          <w:szCs w:val="21"/>
        </w:rPr>
        <w:t>铠装电缆的屏蔽层在入户处应与等电位端子排连接。</w:t>
      </w:r>
    </w:p>
    <w:p w14:paraId="44B770E3">
      <w:pPr>
        <w:pStyle w:val="164"/>
        <w:numPr>
          <w:ilvl w:val="0"/>
          <w:numId w:val="321"/>
        </w:numPr>
        <w:autoSpaceDE w:val="0"/>
        <w:autoSpaceDN w:val="0"/>
        <w:spacing w:line="330" w:lineRule="exact"/>
        <w:ind w:left="0" w:firstLine="420" w:firstLineChars="0"/>
        <w:rPr>
          <w:rFonts w:eastAsiaTheme="minorEastAsia"/>
        </w:rPr>
      </w:pPr>
      <w:r>
        <w:rPr>
          <w:rFonts w:eastAsiaTheme="minorEastAsia"/>
        </w:rPr>
        <w:t>安全技术防范系统的防雷与接地</w:t>
      </w:r>
      <w:r>
        <w:rPr>
          <w:szCs w:val="21"/>
        </w:rPr>
        <w:t>应</w:t>
      </w:r>
      <w:r>
        <w:rPr>
          <w:rFonts w:hint="eastAsia"/>
          <w:szCs w:val="21"/>
        </w:rPr>
        <w:t>按</w:t>
      </w:r>
      <w:r>
        <w:rPr>
          <w:rFonts w:eastAsiaTheme="minorEastAsia"/>
        </w:rPr>
        <w:t>国家</w:t>
      </w:r>
      <w:r>
        <w:rPr>
          <w:rFonts w:hint="eastAsia" w:eastAsiaTheme="minorEastAsia"/>
        </w:rPr>
        <w:t>现行</w:t>
      </w:r>
      <w:r>
        <w:rPr>
          <w:rFonts w:eastAsiaTheme="minorEastAsia"/>
        </w:rPr>
        <w:t>标准《建筑物电子信息系统防雷技术规范》</w:t>
      </w:r>
      <w:r>
        <w:t>GB 50343</w:t>
      </w:r>
      <w:r>
        <w:rPr>
          <w:rFonts w:eastAsiaTheme="minorEastAsia"/>
        </w:rPr>
        <w:t>和《安全防范工程技术规范》</w:t>
      </w:r>
      <w:r>
        <w:t>GB 50348</w:t>
      </w:r>
      <w:r>
        <w:rPr>
          <w:rFonts w:eastAsiaTheme="minorEastAsia"/>
        </w:rPr>
        <w:t>的</w:t>
      </w:r>
      <w:r>
        <w:rPr>
          <w:rFonts w:hint="eastAsia" w:eastAsiaTheme="minorEastAsia"/>
        </w:rPr>
        <w:t>相关</w:t>
      </w:r>
      <w:r>
        <w:rPr>
          <w:rFonts w:eastAsiaTheme="minorEastAsia"/>
        </w:rPr>
        <w:t>规定</w:t>
      </w:r>
      <w:r>
        <w:rPr>
          <w:rFonts w:hint="eastAsia" w:eastAsiaTheme="minorEastAsia"/>
        </w:rPr>
        <w:t>执行</w:t>
      </w:r>
      <w:r>
        <w:rPr>
          <w:rFonts w:eastAsiaTheme="minorEastAsia"/>
        </w:rPr>
        <w:t>，</w:t>
      </w:r>
      <w:r>
        <w:rPr>
          <w:rFonts w:hint="eastAsia" w:eastAsiaTheme="minorEastAsia"/>
        </w:rPr>
        <w:t>并</w:t>
      </w:r>
      <w:r>
        <w:rPr>
          <w:rFonts w:eastAsiaTheme="minorEastAsia"/>
        </w:rPr>
        <w:t>应符合下列规定：</w:t>
      </w:r>
    </w:p>
    <w:p w14:paraId="4C728FE0">
      <w:pPr>
        <w:pStyle w:val="164"/>
        <w:numPr>
          <w:ilvl w:val="0"/>
          <w:numId w:val="324"/>
        </w:numPr>
        <w:tabs>
          <w:tab w:val="left" w:pos="210"/>
          <w:tab w:val="left" w:pos="567"/>
        </w:tabs>
        <w:spacing w:line="330" w:lineRule="exact"/>
        <w:ind w:firstLine="630" w:firstLineChars="300"/>
        <w:rPr>
          <w:rFonts w:eastAsiaTheme="minorEastAsia"/>
          <w:szCs w:val="21"/>
        </w:rPr>
      </w:pPr>
      <w:r>
        <w:rPr>
          <w:rFonts w:eastAsiaTheme="minorEastAsia"/>
          <w:szCs w:val="21"/>
        </w:rPr>
        <w:t>室外设备应有防雷保护接地，并应设置线路浪涌保护器。</w:t>
      </w:r>
    </w:p>
    <w:p w14:paraId="6206754A">
      <w:pPr>
        <w:pStyle w:val="164"/>
        <w:numPr>
          <w:ilvl w:val="0"/>
          <w:numId w:val="324"/>
        </w:numPr>
        <w:tabs>
          <w:tab w:val="left" w:pos="210"/>
          <w:tab w:val="left" w:pos="567"/>
        </w:tabs>
        <w:spacing w:line="330" w:lineRule="exact"/>
        <w:ind w:firstLine="630" w:firstLineChars="300"/>
        <w:rPr>
          <w:rFonts w:eastAsiaTheme="minorEastAsia"/>
          <w:szCs w:val="21"/>
        </w:rPr>
      </w:pPr>
      <w:r>
        <w:rPr>
          <w:rFonts w:eastAsiaTheme="minorEastAsia"/>
          <w:szCs w:val="21"/>
        </w:rPr>
        <w:t>室外的交流供电线路、控制信号线路应有金属屏蔽层并穿钢管埋地敷设，钢管两端应可靠接地。</w:t>
      </w:r>
    </w:p>
    <w:p w14:paraId="2CCE8DD2">
      <w:pPr>
        <w:pStyle w:val="164"/>
        <w:numPr>
          <w:ilvl w:val="0"/>
          <w:numId w:val="324"/>
        </w:numPr>
        <w:tabs>
          <w:tab w:val="left" w:pos="210"/>
          <w:tab w:val="left" w:pos="567"/>
        </w:tabs>
        <w:spacing w:line="330" w:lineRule="exact"/>
        <w:ind w:firstLine="630" w:firstLineChars="300"/>
        <w:rPr>
          <w:rFonts w:eastAsiaTheme="minorEastAsia"/>
          <w:szCs w:val="21"/>
        </w:rPr>
      </w:pPr>
      <w:r>
        <w:rPr>
          <w:rFonts w:eastAsiaTheme="minorEastAsia"/>
          <w:szCs w:val="21"/>
        </w:rPr>
        <w:t>室外摄像机应置于避雷针或其他接闪导体有效保护范围之内。</w:t>
      </w:r>
    </w:p>
    <w:p w14:paraId="0B238763">
      <w:pPr>
        <w:pStyle w:val="164"/>
        <w:numPr>
          <w:ilvl w:val="0"/>
          <w:numId w:val="324"/>
        </w:numPr>
        <w:tabs>
          <w:tab w:val="left" w:pos="210"/>
          <w:tab w:val="left" w:pos="567"/>
        </w:tabs>
        <w:spacing w:line="330" w:lineRule="exact"/>
        <w:ind w:firstLine="630" w:firstLineChars="300"/>
        <w:rPr>
          <w:rFonts w:eastAsiaTheme="minorEastAsia"/>
          <w:szCs w:val="21"/>
        </w:rPr>
      </w:pPr>
      <w:r>
        <w:rPr>
          <w:rFonts w:eastAsiaTheme="minorEastAsia"/>
          <w:szCs w:val="21"/>
        </w:rPr>
        <w:t>摄像机立杆接地极防雷接地电阻应＜10Ω。</w:t>
      </w:r>
    </w:p>
    <w:p w14:paraId="6D0D8920">
      <w:pPr>
        <w:pStyle w:val="164"/>
        <w:numPr>
          <w:ilvl w:val="0"/>
          <w:numId w:val="324"/>
        </w:numPr>
        <w:tabs>
          <w:tab w:val="left" w:pos="210"/>
          <w:tab w:val="left" w:pos="567"/>
        </w:tabs>
        <w:spacing w:line="330" w:lineRule="exact"/>
        <w:ind w:firstLine="630" w:firstLineChars="300"/>
        <w:rPr>
          <w:rFonts w:eastAsiaTheme="minorEastAsia"/>
          <w:szCs w:val="21"/>
        </w:rPr>
      </w:pPr>
      <w:r>
        <w:rPr>
          <w:rFonts w:eastAsiaTheme="minorEastAsia"/>
          <w:szCs w:val="21"/>
        </w:rPr>
        <w:t>设备的金属外壳、机柜、控制台、外露的金属管、槽、屏蔽线缆外层及浪涌保护器接地端等均应最短距离与等电位联结网络的接地端子连接。</w:t>
      </w:r>
    </w:p>
    <w:p w14:paraId="3B527840">
      <w:pPr>
        <w:pStyle w:val="164"/>
        <w:numPr>
          <w:ilvl w:val="0"/>
          <w:numId w:val="324"/>
        </w:numPr>
        <w:tabs>
          <w:tab w:val="left" w:pos="210"/>
          <w:tab w:val="left" w:pos="567"/>
        </w:tabs>
        <w:spacing w:line="330" w:lineRule="exact"/>
        <w:ind w:firstLine="630" w:firstLineChars="300"/>
        <w:rPr>
          <w:rFonts w:eastAsiaTheme="minorEastAsia"/>
          <w:szCs w:val="21"/>
        </w:rPr>
      </w:pPr>
      <w:r>
        <w:rPr>
          <w:rFonts w:eastAsiaTheme="minorEastAsia"/>
          <w:szCs w:val="21"/>
        </w:rPr>
        <w:t>信号线路浪涌保护器安装，安全技术防范系统视频信号、控制信号浪涌保护器应分别安装在前端摄像机处和机房内。浪涌保护器</w:t>
      </w:r>
      <w:r>
        <w:rPr>
          <w:szCs w:val="22"/>
        </w:rPr>
        <w:t>SPD</w:t>
      </w:r>
      <w:r>
        <w:rPr>
          <w:rFonts w:eastAsiaTheme="minorEastAsia"/>
          <w:szCs w:val="21"/>
        </w:rPr>
        <w:t>输出端与被保护设备的端口相连。其他线路也应安装相应的浪涌保护器，保护机房设备不受雷电破坏。</w:t>
      </w:r>
    </w:p>
    <w:p w14:paraId="468BFB0F">
      <w:pPr>
        <w:pStyle w:val="164"/>
        <w:numPr>
          <w:ilvl w:val="0"/>
          <w:numId w:val="321"/>
        </w:numPr>
        <w:autoSpaceDE w:val="0"/>
        <w:autoSpaceDN w:val="0"/>
        <w:spacing w:line="330" w:lineRule="exact"/>
        <w:ind w:left="0" w:firstLine="420" w:firstLineChars="0"/>
        <w:rPr>
          <w:rFonts w:eastAsiaTheme="minorEastAsia"/>
        </w:rPr>
      </w:pPr>
      <w:r>
        <w:rPr>
          <w:rFonts w:eastAsiaTheme="minorEastAsia"/>
        </w:rPr>
        <w:t>综合布线系统的防雷与接地</w:t>
      </w:r>
      <w:r>
        <w:rPr>
          <w:szCs w:val="21"/>
        </w:rPr>
        <w:t>应</w:t>
      </w:r>
      <w:r>
        <w:rPr>
          <w:rFonts w:eastAsiaTheme="minorEastAsia"/>
        </w:rPr>
        <w:t>除应</w:t>
      </w:r>
      <w:r>
        <w:rPr>
          <w:rFonts w:hint="eastAsia" w:eastAsiaTheme="minorEastAsia"/>
        </w:rPr>
        <w:t>按</w:t>
      </w:r>
      <w:r>
        <w:rPr>
          <w:rFonts w:eastAsiaTheme="minorEastAsia"/>
        </w:rPr>
        <w:t>国家</w:t>
      </w:r>
      <w:r>
        <w:rPr>
          <w:rFonts w:hint="eastAsia" w:eastAsiaTheme="minorEastAsia"/>
        </w:rPr>
        <w:t>现行</w:t>
      </w:r>
      <w:r>
        <w:rPr>
          <w:rFonts w:eastAsiaTheme="minorEastAsia"/>
        </w:rPr>
        <w:t>标准《建筑物电子信息系统防雷技术规范》</w:t>
      </w:r>
      <w:r>
        <w:t>GB 50343</w:t>
      </w:r>
      <w:r>
        <w:rPr>
          <w:rFonts w:hint="eastAsia"/>
        </w:rPr>
        <w:t>的</w:t>
      </w:r>
      <w:r>
        <w:rPr>
          <w:rFonts w:eastAsiaTheme="minorEastAsia"/>
        </w:rPr>
        <w:t>相关规定</w:t>
      </w:r>
      <w:r>
        <w:rPr>
          <w:rFonts w:hint="eastAsia" w:eastAsiaTheme="minorEastAsia"/>
        </w:rPr>
        <w:t>执行</w:t>
      </w:r>
      <w:r>
        <w:rPr>
          <w:rFonts w:eastAsiaTheme="minorEastAsia"/>
        </w:rPr>
        <w:t>，</w:t>
      </w:r>
      <w:r>
        <w:rPr>
          <w:rFonts w:hint="eastAsia" w:eastAsiaTheme="minorEastAsia"/>
        </w:rPr>
        <w:t>并</w:t>
      </w:r>
      <w:r>
        <w:rPr>
          <w:rFonts w:eastAsiaTheme="minorEastAsia"/>
        </w:rPr>
        <w:t xml:space="preserve">应符合下列规定: </w:t>
      </w:r>
    </w:p>
    <w:p w14:paraId="032B5721">
      <w:pPr>
        <w:pStyle w:val="164"/>
        <w:numPr>
          <w:ilvl w:val="0"/>
          <w:numId w:val="325"/>
        </w:numPr>
        <w:tabs>
          <w:tab w:val="left" w:pos="210"/>
          <w:tab w:val="left" w:pos="567"/>
        </w:tabs>
        <w:spacing w:line="330" w:lineRule="exact"/>
        <w:ind w:firstLine="630" w:firstLineChars="300"/>
        <w:rPr>
          <w:rFonts w:eastAsiaTheme="minorEastAsia"/>
          <w:szCs w:val="21"/>
        </w:rPr>
      </w:pPr>
      <w:r>
        <w:rPr>
          <w:rFonts w:eastAsiaTheme="minorEastAsia"/>
          <w:szCs w:val="21"/>
        </w:rPr>
        <w:t>进入建筑物的电缆，应在入口处安装浪涌保护器。</w:t>
      </w:r>
    </w:p>
    <w:p w14:paraId="30BA36F3">
      <w:pPr>
        <w:pStyle w:val="164"/>
        <w:numPr>
          <w:ilvl w:val="0"/>
          <w:numId w:val="325"/>
        </w:numPr>
        <w:tabs>
          <w:tab w:val="left" w:pos="210"/>
          <w:tab w:val="left" w:pos="567"/>
        </w:tabs>
        <w:spacing w:line="330" w:lineRule="exact"/>
        <w:ind w:firstLine="630" w:firstLineChars="300"/>
        <w:rPr>
          <w:rFonts w:eastAsiaTheme="minorEastAsia"/>
          <w:szCs w:val="21"/>
        </w:rPr>
      </w:pPr>
      <w:r>
        <w:rPr>
          <w:rFonts w:eastAsiaTheme="minorEastAsia"/>
          <w:szCs w:val="21"/>
        </w:rPr>
        <w:t>线缆进入建筑物，电缆和光缆的金属护套或金属件应在入口处就近与等电位端子板联结。</w:t>
      </w:r>
    </w:p>
    <w:p w14:paraId="72DAD754">
      <w:pPr>
        <w:pStyle w:val="164"/>
        <w:numPr>
          <w:ilvl w:val="0"/>
          <w:numId w:val="325"/>
        </w:numPr>
        <w:tabs>
          <w:tab w:val="left" w:pos="210"/>
          <w:tab w:val="left" w:pos="567"/>
        </w:tabs>
        <w:spacing w:line="330" w:lineRule="exact"/>
        <w:ind w:firstLine="630" w:firstLineChars="300"/>
        <w:rPr>
          <w:rFonts w:eastAsiaTheme="minorEastAsia"/>
          <w:szCs w:val="21"/>
        </w:rPr>
      </w:pPr>
      <w:r>
        <w:rPr>
          <w:rFonts w:eastAsiaTheme="minorEastAsia"/>
          <w:szCs w:val="21"/>
        </w:rPr>
        <w:t>配线柜(架、箱)应采用绝缘铜导线与就近的等电位装置联结。</w:t>
      </w:r>
    </w:p>
    <w:p w14:paraId="50839432">
      <w:pPr>
        <w:pStyle w:val="164"/>
        <w:numPr>
          <w:ilvl w:val="0"/>
          <w:numId w:val="325"/>
        </w:numPr>
        <w:tabs>
          <w:tab w:val="left" w:pos="210"/>
          <w:tab w:val="left" w:pos="567"/>
        </w:tabs>
        <w:spacing w:line="330" w:lineRule="exact"/>
        <w:ind w:firstLine="630" w:firstLineChars="300"/>
        <w:rPr>
          <w:rFonts w:eastAsiaTheme="minorEastAsia"/>
          <w:szCs w:val="21"/>
        </w:rPr>
      </w:pPr>
      <w:r>
        <w:rPr>
          <w:rFonts w:eastAsiaTheme="minorEastAsia"/>
          <w:szCs w:val="21"/>
        </w:rPr>
        <w:t>设备的金属外壳、机柜、金属管、槽、屏蔽线缆外层、设备防静电接地、安全保护接地、浪涌保护器接地端等均应与就近的等电位联结网络的接地端子联结。</w:t>
      </w:r>
    </w:p>
    <w:p w14:paraId="62D9248B">
      <w:pPr>
        <w:pStyle w:val="164"/>
        <w:numPr>
          <w:ilvl w:val="0"/>
          <w:numId w:val="325"/>
        </w:numPr>
        <w:tabs>
          <w:tab w:val="left" w:pos="210"/>
          <w:tab w:val="left" w:pos="567"/>
        </w:tabs>
        <w:spacing w:line="330" w:lineRule="exact"/>
        <w:ind w:firstLine="630" w:firstLineChars="300"/>
        <w:rPr>
          <w:rFonts w:eastAsiaTheme="minorEastAsia"/>
          <w:szCs w:val="21"/>
        </w:rPr>
      </w:pPr>
      <w:r>
        <w:rPr>
          <w:rFonts w:eastAsiaTheme="minorEastAsia"/>
          <w:szCs w:val="21"/>
        </w:rPr>
        <w:t>综合布线系统应有良好的接地系统，所有屏蔽层应保持连续性。</w:t>
      </w:r>
    </w:p>
    <w:p w14:paraId="3F5BD54B">
      <w:pPr>
        <w:pStyle w:val="164"/>
        <w:numPr>
          <w:ilvl w:val="0"/>
          <w:numId w:val="326"/>
        </w:numPr>
        <w:autoSpaceDE w:val="0"/>
        <w:autoSpaceDN w:val="0"/>
        <w:adjustRightInd w:val="0"/>
        <w:snapToGrid w:val="0"/>
        <w:spacing w:line="330" w:lineRule="exact"/>
        <w:ind w:left="0" w:firstLine="840" w:firstLineChars="400"/>
        <w:rPr>
          <w:rFonts w:eastAsiaTheme="minorEastAsia"/>
        </w:rPr>
      </w:pPr>
      <w:r>
        <w:rPr>
          <w:rFonts w:eastAsiaTheme="minorEastAsia"/>
        </w:rPr>
        <w:t>屏蔽层的配线设备</w:t>
      </w:r>
      <w:r>
        <w:rPr>
          <w:szCs w:val="22"/>
        </w:rPr>
        <w:t>(FD或BD</w:t>
      </w:r>
      <w:r>
        <w:rPr>
          <w:rFonts w:eastAsiaTheme="minorEastAsia"/>
        </w:rPr>
        <w:t>)端应接地，终端视具体情况宜接地，两端的接地应尽量连接同一接地体或接地电位差≤1Vr·m·s。</w:t>
      </w:r>
    </w:p>
    <w:p w14:paraId="41126E32">
      <w:pPr>
        <w:pStyle w:val="164"/>
        <w:numPr>
          <w:ilvl w:val="0"/>
          <w:numId w:val="326"/>
        </w:numPr>
        <w:autoSpaceDE w:val="0"/>
        <w:autoSpaceDN w:val="0"/>
        <w:adjustRightInd w:val="0"/>
        <w:snapToGrid w:val="0"/>
        <w:spacing w:line="330" w:lineRule="exact"/>
        <w:ind w:left="0" w:firstLine="840" w:firstLineChars="400"/>
        <w:rPr>
          <w:rFonts w:eastAsiaTheme="minorEastAsia"/>
        </w:rPr>
      </w:pPr>
      <w:r>
        <w:rPr>
          <w:rFonts w:eastAsiaTheme="minorEastAsia"/>
        </w:rPr>
        <w:t>每一楼层的配线柜都应单独布线至接地体，选用的绝缘地铜导线的截面积应大于6mm²~16mm² (接地距离≤30m)或16mm² ~50mm² (接地距离≤100m)。</w:t>
      </w:r>
    </w:p>
    <w:p w14:paraId="7B1A46BB">
      <w:pPr>
        <w:pStyle w:val="164"/>
        <w:numPr>
          <w:ilvl w:val="0"/>
          <w:numId w:val="326"/>
        </w:numPr>
        <w:autoSpaceDE w:val="0"/>
        <w:autoSpaceDN w:val="0"/>
        <w:adjustRightInd w:val="0"/>
        <w:snapToGrid w:val="0"/>
        <w:spacing w:line="330" w:lineRule="exact"/>
        <w:ind w:left="0" w:firstLine="840" w:firstLineChars="400"/>
        <w:rPr>
          <w:rFonts w:eastAsiaTheme="minorEastAsia"/>
        </w:rPr>
      </w:pPr>
      <w:r>
        <w:rPr>
          <w:rFonts w:eastAsiaTheme="minorEastAsia"/>
        </w:rPr>
        <w:t>信息插座的接地可利用电缆屏蔽层连至每层的配线柜上。</w:t>
      </w:r>
    </w:p>
    <w:p w14:paraId="3A187A95">
      <w:pPr>
        <w:pStyle w:val="164"/>
        <w:numPr>
          <w:ilvl w:val="0"/>
          <w:numId w:val="326"/>
        </w:numPr>
        <w:autoSpaceDE w:val="0"/>
        <w:autoSpaceDN w:val="0"/>
        <w:adjustRightInd w:val="0"/>
        <w:snapToGrid w:val="0"/>
        <w:spacing w:line="330" w:lineRule="exact"/>
        <w:ind w:left="0" w:firstLine="840" w:firstLineChars="400"/>
        <w:rPr>
          <w:rFonts w:eastAsiaTheme="minorEastAsia"/>
        </w:rPr>
      </w:pPr>
      <w:r>
        <w:rPr>
          <w:rFonts w:eastAsiaTheme="minorEastAsia"/>
        </w:rPr>
        <w:t>工作站的外壳接地应单独布线连接至接地体，选用的绝缘铜导线截面积应≥25mm²。</w:t>
      </w:r>
    </w:p>
    <w:p w14:paraId="58236957">
      <w:pPr>
        <w:pStyle w:val="164"/>
        <w:numPr>
          <w:ilvl w:val="0"/>
          <w:numId w:val="326"/>
        </w:numPr>
        <w:autoSpaceDE w:val="0"/>
        <w:autoSpaceDN w:val="0"/>
        <w:adjustRightInd w:val="0"/>
        <w:snapToGrid w:val="0"/>
        <w:spacing w:line="330" w:lineRule="exact"/>
        <w:ind w:left="0" w:firstLine="840" w:firstLineChars="400"/>
        <w:rPr>
          <w:rFonts w:eastAsiaTheme="minorEastAsia"/>
        </w:rPr>
      </w:pPr>
      <w:r>
        <w:rPr>
          <w:rFonts w:eastAsiaTheme="minorEastAsia"/>
        </w:rPr>
        <w:t>金属线槽或钢管应保持连续的电气连接，并在两端应有良好的接地。</w:t>
      </w:r>
    </w:p>
    <w:p w14:paraId="618D05D2">
      <w:pPr>
        <w:pStyle w:val="164"/>
        <w:numPr>
          <w:ilvl w:val="0"/>
          <w:numId w:val="326"/>
        </w:numPr>
        <w:autoSpaceDE w:val="0"/>
        <w:autoSpaceDN w:val="0"/>
        <w:adjustRightInd w:val="0"/>
        <w:snapToGrid w:val="0"/>
        <w:spacing w:line="330" w:lineRule="exact"/>
        <w:ind w:left="0" w:firstLine="840" w:firstLineChars="400"/>
        <w:rPr>
          <w:rFonts w:eastAsiaTheme="minorEastAsia"/>
        </w:rPr>
      </w:pPr>
      <w:r>
        <w:rPr>
          <w:rFonts w:eastAsiaTheme="minorEastAsia"/>
        </w:rPr>
        <w:t>综合布线系统有源设备的外壳、电缆屏蔽层及连通接地线均应接地；同层有避雷带及均压网时应与此相接，使接地系统组成一个笼式均压体。</w:t>
      </w:r>
    </w:p>
    <w:p w14:paraId="7A25339C">
      <w:pPr>
        <w:pStyle w:val="164"/>
        <w:numPr>
          <w:ilvl w:val="0"/>
          <w:numId w:val="321"/>
        </w:numPr>
        <w:spacing w:line="330" w:lineRule="exact"/>
        <w:ind w:left="0" w:firstLine="420"/>
        <w:rPr>
          <w:rFonts w:eastAsiaTheme="minorEastAsia"/>
        </w:rPr>
      </w:pPr>
      <w:r>
        <w:rPr>
          <w:rFonts w:eastAsiaTheme="minorEastAsia"/>
        </w:rPr>
        <w:t>电信设备的接地</w:t>
      </w:r>
      <w:r>
        <w:rPr>
          <w:szCs w:val="21"/>
        </w:rPr>
        <w:t>应符合下列规定：</w:t>
      </w:r>
    </w:p>
    <w:p w14:paraId="470E7EE1">
      <w:pPr>
        <w:pStyle w:val="164"/>
        <w:numPr>
          <w:ilvl w:val="0"/>
          <w:numId w:val="327"/>
        </w:numPr>
        <w:tabs>
          <w:tab w:val="left" w:pos="210"/>
          <w:tab w:val="left" w:pos="567"/>
        </w:tabs>
        <w:spacing w:line="330" w:lineRule="exact"/>
        <w:ind w:firstLine="630" w:firstLineChars="300"/>
        <w:rPr>
          <w:rFonts w:eastAsiaTheme="minorEastAsia"/>
          <w:szCs w:val="21"/>
        </w:rPr>
      </w:pPr>
      <w:r>
        <w:rPr>
          <w:rFonts w:eastAsiaTheme="minorEastAsia"/>
          <w:szCs w:val="21"/>
        </w:rPr>
        <w:t>直流电源、电信设备的机架、机壳、入站通信电缆的金属护套和屏蔽层</w:t>
      </w:r>
      <w:r>
        <w:rPr>
          <w:rFonts w:hint="eastAsia" w:eastAsiaTheme="minorEastAsia"/>
          <w:szCs w:val="21"/>
        </w:rPr>
        <w:t>应接地处理</w:t>
      </w:r>
      <w:r>
        <w:rPr>
          <w:rFonts w:eastAsiaTheme="minorEastAsia"/>
          <w:szCs w:val="21"/>
        </w:rPr>
        <w:t>;</w:t>
      </w:r>
    </w:p>
    <w:p w14:paraId="12265F99">
      <w:pPr>
        <w:pStyle w:val="164"/>
        <w:numPr>
          <w:ilvl w:val="0"/>
          <w:numId w:val="327"/>
        </w:numPr>
        <w:tabs>
          <w:tab w:val="left" w:pos="210"/>
          <w:tab w:val="left" w:pos="567"/>
        </w:tabs>
        <w:spacing w:line="330" w:lineRule="exact"/>
        <w:ind w:firstLine="630" w:firstLineChars="300"/>
        <w:rPr>
          <w:rFonts w:eastAsiaTheme="minorEastAsia"/>
          <w:szCs w:val="21"/>
        </w:rPr>
      </w:pPr>
      <w:r>
        <w:rPr>
          <w:rFonts w:eastAsiaTheme="minorEastAsia"/>
          <w:szCs w:val="21"/>
        </w:rPr>
        <w:t>交流配电屏、整流器屏等供电设备的外露导电部分</w:t>
      </w:r>
      <w:r>
        <w:rPr>
          <w:rFonts w:hint="eastAsia" w:eastAsiaTheme="minorEastAsia"/>
          <w:szCs w:val="21"/>
        </w:rPr>
        <w:t>应接地处理</w:t>
      </w:r>
      <w:r>
        <w:rPr>
          <w:rFonts w:eastAsiaTheme="minorEastAsia"/>
          <w:szCs w:val="21"/>
        </w:rPr>
        <w:t>;</w:t>
      </w:r>
    </w:p>
    <w:p w14:paraId="652E3AFC">
      <w:pPr>
        <w:pStyle w:val="164"/>
        <w:numPr>
          <w:ilvl w:val="0"/>
          <w:numId w:val="327"/>
        </w:numPr>
        <w:tabs>
          <w:tab w:val="left" w:pos="210"/>
          <w:tab w:val="left" w:pos="567"/>
        </w:tabs>
        <w:spacing w:line="330" w:lineRule="exact"/>
        <w:ind w:firstLine="630" w:firstLineChars="300"/>
        <w:rPr>
          <w:rFonts w:eastAsiaTheme="minorEastAsia"/>
          <w:szCs w:val="21"/>
        </w:rPr>
      </w:pPr>
      <w:r>
        <w:rPr>
          <w:rFonts w:eastAsiaTheme="minorEastAsia"/>
          <w:szCs w:val="21"/>
        </w:rPr>
        <w:t>直流配电屏的外露导电部分</w:t>
      </w:r>
      <w:r>
        <w:rPr>
          <w:rFonts w:hint="eastAsia" w:eastAsiaTheme="minorEastAsia"/>
          <w:szCs w:val="21"/>
        </w:rPr>
        <w:t>应接地处理</w:t>
      </w:r>
      <w:r>
        <w:rPr>
          <w:rFonts w:eastAsiaTheme="minorEastAsia"/>
          <w:szCs w:val="21"/>
        </w:rPr>
        <w:t>;</w:t>
      </w:r>
    </w:p>
    <w:p w14:paraId="3999BD8C">
      <w:pPr>
        <w:pStyle w:val="164"/>
        <w:numPr>
          <w:ilvl w:val="0"/>
          <w:numId w:val="327"/>
        </w:numPr>
        <w:tabs>
          <w:tab w:val="left" w:pos="210"/>
          <w:tab w:val="left" w:pos="567"/>
        </w:tabs>
        <w:spacing w:line="330" w:lineRule="exact"/>
        <w:ind w:firstLine="630" w:firstLineChars="300"/>
        <w:rPr>
          <w:rFonts w:eastAsiaTheme="minorEastAsia"/>
          <w:szCs w:val="21"/>
        </w:rPr>
      </w:pPr>
      <w:r>
        <w:rPr>
          <w:rFonts w:eastAsiaTheme="minorEastAsia"/>
          <w:szCs w:val="21"/>
        </w:rPr>
        <w:t>交直流两用电信设备的机架、内机框与机架、机框不绝缘的供电整流盘的外露导电部分</w:t>
      </w:r>
      <w:r>
        <w:rPr>
          <w:rFonts w:hint="eastAsia" w:eastAsiaTheme="minorEastAsia"/>
          <w:szCs w:val="21"/>
        </w:rPr>
        <w:t>应接地处理</w:t>
      </w:r>
      <w:r>
        <w:rPr>
          <w:rFonts w:eastAsiaTheme="minorEastAsia"/>
          <w:szCs w:val="21"/>
        </w:rPr>
        <w:t xml:space="preserve">; </w:t>
      </w:r>
    </w:p>
    <w:p w14:paraId="5A098231">
      <w:pPr>
        <w:pStyle w:val="164"/>
        <w:numPr>
          <w:ilvl w:val="0"/>
          <w:numId w:val="327"/>
        </w:numPr>
        <w:tabs>
          <w:tab w:val="left" w:pos="210"/>
          <w:tab w:val="left" w:pos="567"/>
        </w:tabs>
        <w:spacing w:line="330" w:lineRule="exact"/>
        <w:ind w:firstLine="630" w:firstLineChars="300"/>
        <w:rPr>
          <w:rFonts w:eastAsiaTheme="minorEastAsia"/>
          <w:szCs w:val="21"/>
        </w:rPr>
      </w:pPr>
      <w:r>
        <w:rPr>
          <w:rFonts w:eastAsiaTheme="minorEastAsia"/>
          <w:szCs w:val="21"/>
        </w:rPr>
        <w:t>电缆、架空线路及有关需要接地的部分，如放电器、避雷器、保护器等</w:t>
      </w:r>
      <w:r>
        <w:rPr>
          <w:rFonts w:hint="eastAsia" w:eastAsiaTheme="minorEastAsia"/>
          <w:szCs w:val="21"/>
        </w:rPr>
        <w:t>应接地处理</w:t>
      </w:r>
      <w:r>
        <w:rPr>
          <w:rFonts w:eastAsiaTheme="minorEastAsia"/>
          <w:szCs w:val="21"/>
        </w:rPr>
        <w:t>;</w:t>
      </w:r>
      <w:r>
        <w:rPr>
          <w:rFonts w:hint="eastAsia" w:eastAsiaTheme="minorEastAsia"/>
          <w:szCs w:val="21"/>
        </w:rPr>
        <w:t xml:space="preserve"> </w:t>
      </w:r>
    </w:p>
    <w:p w14:paraId="39D485F1">
      <w:pPr>
        <w:pStyle w:val="164"/>
        <w:numPr>
          <w:ilvl w:val="0"/>
          <w:numId w:val="327"/>
        </w:numPr>
        <w:tabs>
          <w:tab w:val="left" w:pos="210"/>
          <w:tab w:val="left" w:pos="567"/>
        </w:tabs>
        <w:spacing w:line="330" w:lineRule="exact"/>
        <w:ind w:firstLine="630" w:firstLineChars="300"/>
        <w:rPr>
          <w:rFonts w:eastAsiaTheme="minorEastAsia"/>
          <w:szCs w:val="21"/>
        </w:rPr>
      </w:pPr>
      <w:r>
        <w:rPr>
          <w:rFonts w:eastAsiaTheme="minorEastAsia"/>
          <w:szCs w:val="21"/>
        </w:rPr>
        <w:t>配电屏、整流器屏等外露导电部分</w:t>
      </w:r>
      <w:r>
        <w:rPr>
          <w:rFonts w:hint="eastAsia" w:eastAsiaTheme="minorEastAsia"/>
          <w:szCs w:val="21"/>
        </w:rPr>
        <w:t>应接地处理</w:t>
      </w:r>
      <w:r>
        <w:rPr>
          <w:rFonts w:eastAsiaTheme="minorEastAsia"/>
          <w:szCs w:val="21"/>
        </w:rPr>
        <w:t>，当加固装置将其与机架、机框在电气上已连通时，仍需与PE线或PEN线相连。</w:t>
      </w:r>
    </w:p>
    <w:p w14:paraId="292336DC">
      <w:pPr>
        <w:pStyle w:val="164"/>
        <w:numPr>
          <w:ilvl w:val="0"/>
          <w:numId w:val="321"/>
        </w:numPr>
        <w:spacing w:line="330" w:lineRule="exact"/>
        <w:ind w:left="0" w:firstLine="420"/>
        <w:rPr>
          <w:rFonts w:eastAsiaTheme="minorEastAsia"/>
        </w:rPr>
      </w:pPr>
      <w:r>
        <w:rPr>
          <w:rFonts w:eastAsiaTheme="minorEastAsia"/>
        </w:rPr>
        <w:t>机房接地</w:t>
      </w:r>
      <w:r>
        <w:rPr>
          <w:szCs w:val="21"/>
        </w:rPr>
        <w:t>应符合下列规定：</w:t>
      </w:r>
    </w:p>
    <w:p w14:paraId="46FC5443">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接地电阻值</w:t>
      </w:r>
      <w:r>
        <w:rPr>
          <w:rFonts w:hint="eastAsia" w:eastAsiaTheme="minorEastAsia"/>
          <w:szCs w:val="21"/>
        </w:rPr>
        <w:t>应符合下列规定</w:t>
      </w:r>
      <w:r>
        <w:rPr>
          <w:rFonts w:eastAsiaTheme="minorEastAsia"/>
          <w:szCs w:val="21"/>
        </w:rPr>
        <w:t>：</w:t>
      </w:r>
    </w:p>
    <w:p w14:paraId="59396CF9">
      <w:pPr>
        <w:pStyle w:val="164"/>
        <w:numPr>
          <w:ilvl w:val="0"/>
          <w:numId w:val="329"/>
        </w:numPr>
        <w:autoSpaceDE w:val="0"/>
        <w:autoSpaceDN w:val="0"/>
        <w:adjustRightInd w:val="0"/>
        <w:snapToGrid w:val="0"/>
        <w:spacing w:line="330" w:lineRule="exact"/>
        <w:ind w:left="0" w:firstLine="840" w:firstLineChars="400"/>
        <w:rPr>
          <w:rFonts w:eastAsiaTheme="minorEastAsia"/>
        </w:rPr>
      </w:pPr>
      <w:r>
        <w:rPr>
          <w:rFonts w:eastAsiaTheme="minorEastAsia"/>
        </w:rPr>
        <w:t>交流工作接地(交流电的设备作二次接地)接地电阻应≤4Ω；</w:t>
      </w:r>
    </w:p>
    <w:p w14:paraId="0B16761C">
      <w:pPr>
        <w:pStyle w:val="164"/>
        <w:numPr>
          <w:ilvl w:val="0"/>
          <w:numId w:val="329"/>
        </w:numPr>
        <w:autoSpaceDE w:val="0"/>
        <w:autoSpaceDN w:val="0"/>
        <w:adjustRightInd w:val="0"/>
        <w:snapToGrid w:val="0"/>
        <w:spacing w:line="330" w:lineRule="exact"/>
        <w:ind w:left="0" w:firstLine="840" w:firstLineChars="400"/>
        <w:rPr>
          <w:rFonts w:eastAsiaTheme="minorEastAsia"/>
        </w:rPr>
      </w:pPr>
      <w:r>
        <w:rPr>
          <w:rFonts w:eastAsiaTheme="minorEastAsia"/>
        </w:rPr>
        <w:t>安全保护接地(机柜的外壳用一根绝缘导线串起来后接地)接地电阻应≤4Ω；</w:t>
      </w:r>
    </w:p>
    <w:p w14:paraId="77BDC7FE">
      <w:pPr>
        <w:pStyle w:val="164"/>
        <w:numPr>
          <w:ilvl w:val="0"/>
          <w:numId w:val="329"/>
        </w:numPr>
        <w:autoSpaceDE w:val="0"/>
        <w:autoSpaceDN w:val="0"/>
        <w:adjustRightInd w:val="0"/>
        <w:snapToGrid w:val="0"/>
        <w:spacing w:line="330" w:lineRule="exact"/>
        <w:ind w:left="0" w:firstLine="840" w:firstLineChars="400"/>
        <w:rPr>
          <w:rFonts w:eastAsiaTheme="minorEastAsia"/>
        </w:rPr>
      </w:pPr>
      <w:r>
        <w:rPr>
          <w:rFonts w:eastAsiaTheme="minorEastAsia"/>
        </w:rPr>
        <w:t>直流地悬浮和直流地直接大地</w:t>
      </w:r>
      <w:r>
        <w:rPr>
          <w:rFonts w:hint="eastAsia" w:eastAsiaTheme="minorEastAsia"/>
        </w:rPr>
        <w:t>的</w:t>
      </w:r>
      <w:r>
        <w:rPr>
          <w:rFonts w:eastAsiaTheme="minorEastAsia"/>
        </w:rPr>
        <w:t>接地电阻值</w:t>
      </w:r>
      <w:r>
        <w:rPr>
          <w:rFonts w:hint="eastAsia" w:eastAsiaTheme="minorEastAsia"/>
        </w:rPr>
        <w:t>应满足设计要求</w:t>
      </w:r>
      <w:r>
        <w:rPr>
          <w:rFonts w:eastAsiaTheme="minorEastAsia"/>
        </w:rPr>
        <w:t>；</w:t>
      </w:r>
    </w:p>
    <w:p w14:paraId="46AE417A">
      <w:pPr>
        <w:pStyle w:val="164"/>
        <w:numPr>
          <w:ilvl w:val="0"/>
          <w:numId w:val="329"/>
        </w:numPr>
        <w:autoSpaceDE w:val="0"/>
        <w:autoSpaceDN w:val="0"/>
        <w:adjustRightInd w:val="0"/>
        <w:snapToGrid w:val="0"/>
        <w:spacing w:line="330" w:lineRule="exact"/>
        <w:ind w:left="0" w:firstLine="840" w:firstLineChars="400"/>
        <w:rPr>
          <w:rFonts w:eastAsiaTheme="minorEastAsia"/>
        </w:rPr>
      </w:pPr>
      <w:r>
        <w:rPr>
          <w:rFonts w:eastAsiaTheme="minorEastAsia"/>
        </w:rPr>
        <w:t>防雷接地</w:t>
      </w:r>
      <w:r>
        <w:rPr>
          <w:rFonts w:hint="eastAsia" w:eastAsiaTheme="minorEastAsia"/>
        </w:rPr>
        <w:t>的接地</w:t>
      </w:r>
      <w:r>
        <w:rPr>
          <w:rFonts w:eastAsiaTheme="minorEastAsia"/>
        </w:rPr>
        <w:t>电阻值</w:t>
      </w:r>
      <w:r>
        <w:rPr>
          <w:rFonts w:hint="eastAsia" w:eastAsiaTheme="minorEastAsia"/>
        </w:rPr>
        <w:t>应满足设计要求</w:t>
      </w:r>
      <w:r>
        <w:rPr>
          <w:rFonts w:eastAsiaTheme="minorEastAsia"/>
        </w:rPr>
        <w:t>；</w:t>
      </w:r>
    </w:p>
    <w:p w14:paraId="2612B5DF">
      <w:pPr>
        <w:pStyle w:val="164"/>
        <w:numPr>
          <w:ilvl w:val="0"/>
          <w:numId w:val="329"/>
        </w:numPr>
        <w:autoSpaceDE w:val="0"/>
        <w:autoSpaceDN w:val="0"/>
        <w:adjustRightInd w:val="0"/>
        <w:snapToGrid w:val="0"/>
        <w:spacing w:line="330" w:lineRule="exact"/>
        <w:ind w:left="0" w:firstLine="840" w:firstLineChars="400"/>
        <w:rPr>
          <w:rFonts w:eastAsiaTheme="minorEastAsia"/>
        </w:rPr>
      </w:pPr>
      <w:r>
        <w:rPr>
          <w:rFonts w:eastAsiaTheme="minorEastAsia"/>
        </w:rPr>
        <w:t>采用联合接地时，接地电阻均应＜1Ω。</w:t>
      </w:r>
    </w:p>
    <w:p w14:paraId="36D7E99B">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计算机系统的接地应采取单点接地并采取等电位措施。</w:t>
      </w:r>
    </w:p>
    <w:p w14:paraId="14299EA0">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多个计算机系统分别采用接地线与接地体连接。</w:t>
      </w:r>
    </w:p>
    <w:p w14:paraId="1BB72643">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接地引下线应选用截面积≥35mm²的多芯铜电缆，以减少高频阻抗。</w:t>
      </w:r>
    </w:p>
    <w:p w14:paraId="5C438C6A">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机房内的非计算机系统的管、线、风道或暖气片等金属实体，应做接地处理，接地电阻应＜4Ω。</w:t>
      </w:r>
    </w:p>
    <w:p w14:paraId="266EA191">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计算机终端及网络的节点机均不宜就地做接地保护，应统一设计。</w:t>
      </w:r>
    </w:p>
    <w:p w14:paraId="7D38F018">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电源箱柜内接地线应直接接地干线上，不应通过其它设备连接接地。检查联合接地与等电位连接是否满足设计要求。</w:t>
      </w:r>
    </w:p>
    <w:p w14:paraId="0C5FC04F">
      <w:pPr>
        <w:pStyle w:val="164"/>
        <w:numPr>
          <w:ilvl w:val="0"/>
          <w:numId w:val="328"/>
        </w:numPr>
        <w:tabs>
          <w:tab w:val="left" w:pos="210"/>
          <w:tab w:val="left" w:pos="567"/>
        </w:tabs>
        <w:spacing w:line="330" w:lineRule="exact"/>
        <w:ind w:firstLine="630" w:firstLineChars="300"/>
        <w:rPr>
          <w:rFonts w:eastAsiaTheme="minorEastAsia"/>
          <w:szCs w:val="21"/>
        </w:rPr>
      </w:pPr>
      <w:r>
        <w:rPr>
          <w:rFonts w:eastAsiaTheme="minorEastAsia"/>
          <w:szCs w:val="21"/>
        </w:rPr>
        <w:t>导体之间和导体对地之间的绝缘电阻应大于1000Ω/V，且其值不应＜0.5MΩ。</w:t>
      </w:r>
    </w:p>
    <w:p w14:paraId="50614647">
      <w:pPr>
        <w:pStyle w:val="164"/>
        <w:numPr>
          <w:ilvl w:val="0"/>
          <w:numId w:val="321"/>
        </w:numPr>
        <w:spacing w:line="330" w:lineRule="exact"/>
        <w:ind w:left="0" w:firstLine="420"/>
        <w:rPr>
          <w:rFonts w:eastAsiaTheme="minorEastAsia"/>
        </w:rPr>
      </w:pPr>
      <w:r>
        <w:rPr>
          <w:rFonts w:eastAsiaTheme="minorEastAsia"/>
        </w:rPr>
        <w:t>屏蔽接地与防静电接地</w:t>
      </w:r>
      <w:r>
        <w:rPr>
          <w:szCs w:val="21"/>
        </w:rPr>
        <w:t>应符合下列规定：</w:t>
      </w:r>
    </w:p>
    <w:p w14:paraId="3ED1F8BF">
      <w:pPr>
        <w:pStyle w:val="164"/>
        <w:numPr>
          <w:ilvl w:val="0"/>
          <w:numId w:val="330"/>
        </w:numPr>
        <w:tabs>
          <w:tab w:val="left" w:pos="210"/>
          <w:tab w:val="left" w:pos="567"/>
        </w:tabs>
        <w:spacing w:line="330" w:lineRule="exact"/>
        <w:ind w:firstLine="630" w:firstLineChars="300"/>
        <w:rPr>
          <w:rFonts w:eastAsiaTheme="minorEastAsia"/>
        </w:rPr>
      </w:pPr>
      <w:r>
        <w:rPr>
          <w:rFonts w:hint="eastAsia" w:eastAsiaTheme="minorEastAsia"/>
        </w:rPr>
        <w:t>设备应</w:t>
      </w:r>
      <w:r>
        <w:rPr>
          <w:rFonts w:eastAsiaTheme="minorEastAsia"/>
        </w:rPr>
        <w:t>能防止内部自身传导和外来干扰，接地</w:t>
      </w:r>
      <w:r>
        <w:rPr>
          <w:rFonts w:hint="eastAsia" w:eastAsiaTheme="minorEastAsia"/>
        </w:rPr>
        <w:t>应满足设计要求</w:t>
      </w:r>
      <w:r>
        <w:rPr>
          <w:rFonts w:eastAsiaTheme="minorEastAsia"/>
        </w:rPr>
        <w:t>。</w:t>
      </w:r>
    </w:p>
    <w:p w14:paraId="7D9D8BEF">
      <w:pPr>
        <w:pStyle w:val="164"/>
        <w:numPr>
          <w:ilvl w:val="0"/>
          <w:numId w:val="330"/>
        </w:numPr>
        <w:tabs>
          <w:tab w:val="left" w:pos="210"/>
          <w:tab w:val="left" w:pos="567"/>
        </w:tabs>
        <w:spacing w:line="330" w:lineRule="exact"/>
        <w:ind w:firstLine="630" w:firstLineChars="300"/>
        <w:rPr>
          <w:rFonts w:eastAsiaTheme="minorEastAsia"/>
          <w:szCs w:val="21"/>
        </w:rPr>
      </w:pPr>
      <w:r>
        <w:rPr>
          <w:rFonts w:eastAsiaTheme="minorEastAsia"/>
          <w:szCs w:val="21"/>
        </w:rPr>
        <w:t>设备外壳</w:t>
      </w:r>
      <w:r>
        <w:rPr>
          <w:rFonts w:hint="eastAsia" w:eastAsiaTheme="minorEastAsia"/>
          <w:szCs w:val="21"/>
        </w:rPr>
        <w:t>、</w:t>
      </w:r>
      <w:r>
        <w:rPr>
          <w:rFonts w:eastAsiaTheme="minorEastAsia"/>
          <w:szCs w:val="21"/>
        </w:rPr>
        <w:t>屏蔽管路两端应与PE线连接</w:t>
      </w:r>
      <w:r>
        <w:rPr>
          <w:rFonts w:hint="eastAsia" w:eastAsiaTheme="minorEastAsia"/>
          <w:szCs w:val="21"/>
        </w:rPr>
        <w:t>，</w:t>
      </w:r>
      <w:r>
        <w:rPr>
          <w:rFonts w:eastAsiaTheme="minorEastAsia"/>
          <w:szCs w:val="21"/>
        </w:rPr>
        <w:t>室内屏蔽应与PE线多点连接；</w:t>
      </w:r>
    </w:p>
    <w:p w14:paraId="200E3940">
      <w:pPr>
        <w:pStyle w:val="164"/>
        <w:numPr>
          <w:ilvl w:val="0"/>
          <w:numId w:val="330"/>
        </w:numPr>
        <w:tabs>
          <w:tab w:val="left" w:pos="210"/>
          <w:tab w:val="left" w:pos="567"/>
        </w:tabs>
        <w:spacing w:line="330" w:lineRule="exact"/>
        <w:ind w:firstLine="630" w:firstLineChars="300"/>
        <w:rPr>
          <w:rFonts w:eastAsiaTheme="minorEastAsia"/>
          <w:szCs w:val="21"/>
        </w:rPr>
      </w:pPr>
      <w:r>
        <w:rPr>
          <w:rFonts w:eastAsiaTheme="minorEastAsia"/>
          <w:szCs w:val="21"/>
        </w:rPr>
        <w:t>防静电接地</w:t>
      </w:r>
      <w:r>
        <w:rPr>
          <w:rFonts w:hint="eastAsia" w:eastAsiaTheme="minorEastAsia"/>
          <w:szCs w:val="21"/>
        </w:rPr>
        <w:t>应保持</w:t>
      </w:r>
      <w:r>
        <w:rPr>
          <w:rFonts w:eastAsiaTheme="minorEastAsia"/>
          <w:szCs w:val="21"/>
        </w:rPr>
        <w:t>在洁净干燥的环境中，</w:t>
      </w:r>
      <w:r>
        <w:rPr>
          <w:rFonts w:hint="eastAsia" w:eastAsiaTheme="minorEastAsia"/>
          <w:szCs w:val="21"/>
        </w:rPr>
        <w:t>且</w:t>
      </w:r>
      <w:r>
        <w:rPr>
          <w:rFonts w:eastAsiaTheme="minorEastAsia"/>
          <w:szCs w:val="21"/>
        </w:rPr>
        <w:t>所有设备外壳及室内(包括地坪)设施均应与PE线多点连接。</w:t>
      </w:r>
    </w:p>
    <w:p w14:paraId="5CB7159A">
      <w:pPr>
        <w:pStyle w:val="164"/>
        <w:numPr>
          <w:ilvl w:val="255"/>
          <w:numId w:val="0"/>
        </w:numPr>
        <w:spacing w:before="100" w:after="100" w:line="330" w:lineRule="exact"/>
        <w:rPr>
          <w:szCs w:val="21"/>
        </w:rPr>
      </w:pPr>
      <w:r>
        <w:rPr>
          <w:szCs w:val="21"/>
        </w:rPr>
        <w:t>22.3.4系统测试应符合下列规定：</w:t>
      </w:r>
    </w:p>
    <w:p w14:paraId="76C4AE7A">
      <w:pPr>
        <w:pStyle w:val="164"/>
        <w:numPr>
          <w:ilvl w:val="0"/>
          <w:numId w:val="331"/>
        </w:numPr>
        <w:spacing w:line="330" w:lineRule="exact"/>
        <w:ind w:left="0" w:firstLine="420"/>
        <w:rPr>
          <w:rFonts w:eastAsiaTheme="minorEastAsia"/>
        </w:rPr>
      </w:pPr>
      <w:r>
        <w:rPr>
          <w:rFonts w:eastAsiaTheme="minorEastAsia"/>
        </w:rPr>
        <w:t>智能建筑的防雷与接地系统检测前宜检查建筑工程的防雷工程质量验收记录。</w:t>
      </w:r>
    </w:p>
    <w:p w14:paraId="72666FFC">
      <w:pPr>
        <w:pStyle w:val="164"/>
        <w:numPr>
          <w:ilvl w:val="0"/>
          <w:numId w:val="331"/>
        </w:numPr>
        <w:spacing w:line="330" w:lineRule="exact"/>
        <w:ind w:left="0" w:firstLine="420"/>
        <w:rPr>
          <w:rFonts w:eastAsiaTheme="minorEastAsia"/>
        </w:rPr>
      </w:pPr>
      <w:r>
        <w:rPr>
          <w:rFonts w:eastAsiaTheme="minorEastAsia"/>
        </w:rPr>
        <w:t>智能建筑的防雷与接地系统检测应检查下列内容，结果满足设计要求的应判定为合格：</w:t>
      </w:r>
    </w:p>
    <w:p w14:paraId="5EE30584">
      <w:pPr>
        <w:pStyle w:val="164"/>
        <w:numPr>
          <w:ilvl w:val="0"/>
          <w:numId w:val="332"/>
        </w:numPr>
        <w:tabs>
          <w:tab w:val="left" w:pos="210"/>
          <w:tab w:val="left" w:pos="567"/>
        </w:tabs>
        <w:spacing w:line="330" w:lineRule="exact"/>
        <w:ind w:firstLine="630" w:firstLineChars="300"/>
        <w:rPr>
          <w:rFonts w:eastAsiaTheme="minorEastAsia"/>
          <w:szCs w:val="21"/>
        </w:rPr>
      </w:pPr>
      <w:r>
        <w:rPr>
          <w:rFonts w:eastAsiaTheme="minorEastAsia"/>
          <w:szCs w:val="21"/>
        </w:rPr>
        <w:t>接地装置及接地连接点的安装；</w:t>
      </w:r>
    </w:p>
    <w:p w14:paraId="4657733E">
      <w:pPr>
        <w:pStyle w:val="164"/>
        <w:numPr>
          <w:ilvl w:val="0"/>
          <w:numId w:val="332"/>
        </w:numPr>
        <w:tabs>
          <w:tab w:val="left" w:pos="210"/>
          <w:tab w:val="left" w:pos="567"/>
        </w:tabs>
        <w:spacing w:line="330" w:lineRule="exact"/>
        <w:ind w:firstLine="630" w:firstLineChars="300"/>
        <w:rPr>
          <w:rFonts w:eastAsiaTheme="minorEastAsia"/>
          <w:szCs w:val="21"/>
        </w:rPr>
      </w:pPr>
      <w:r>
        <w:rPr>
          <w:rFonts w:eastAsiaTheme="minorEastAsia"/>
          <w:szCs w:val="21"/>
        </w:rPr>
        <w:t>接地电阻的阻值；</w:t>
      </w:r>
    </w:p>
    <w:p w14:paraId="23ECE6A5">
      <w:pPr>
        <w:pStyle w:val="164"/>
        <w:numPr>
          <w:ilvl w:val="0"/>
          <w:numId w:val="332"/>
        </w:numPr>
        <w:tabs>
          <w:tab w:val="left" w:pos="210"/>
          <w:tab w:val="left" w:pos="567"/>
        </w:tabs>
        <w:spacing w:line="330" w:lineRule="exact"/>
        <w:ind w:firstLine="630" w:firstLineChars="300"/>
        <w:rPr>
          <w:rFonts w:eastAsiaTheme="minorEastAsia"/>
          <w:szCs w:val="21"/>
        </w:rPr>
      </w:pPr>
      <w:r>
        <w:rPr>
          <w:rFonts w:eastAsiaTheme="minorEastAsia"/>
          <w:szCs w:val="21"/>
        </w:rPr>
        <w:t>接地导体的规格、敷设方法和连接方法；</w:t>
      </w:r>
    </w:p>
    <w:p w14:paraId="5259089B">
      <w:pPr>
        <w:pStyle w:val="164"/>
        <w:numPr>
          <w:ilvl w:val="0"/>
          <w:numId w:val="332"/>
        </w:numPr>
        <w:tabs>
          <w:tab w:val="left" w:pos="210"/>
          <w:tab w:val="left" w:pos="567"/>
        </w:tabs>
        <w:spacing w:line="330" w:lineRule="exact"/>
        <w:ind w:firstLine="630" w:firstLineChars="300"/>
        <w:rPr>
          <w:rFonts w:eastAsiaTheme="minorEastAsia"/>
          <w:szCs w:val="21"/>
        </w:rPr>
      </w:pPr>
      <w:r>
        <w:rPr>
          <w:rFonts w:eastAsiaTheme="minorEastAsia"/>
          <w:szCs w:val="21"/>
        </w:rPr>
        <w:t>等电位联结带的规格、联结方法和安装位置；</w:t>
      </w:r>
    </w:p>
    <w:p w14:paraId="3CABF2C8">
      <w:pPr>
        <w:pStyle w:val="164"/>
        <w:numPr>
          <w:ilvl w:val="0"/>
          <w:numId w:val="332"/>
        </w:numPr>
        <w:tabs>
          <w:tab w:val="left" w:pos="210"/>
          <w:tab w:val="left" w:pos="567"/>
        </w:tabs>
        <w:spacing w:line="330" w:lineRule="exact"/>
        <w:ind w:firstLine="630" w:firstLineChars="300"/>
        <w:rPr>
          <w:rFonts w:eastAsiaTheme="minorEastAsia"/>
          <w:szCs w:val="21"/>
        </w:rPr>
      </w:pPr>
      <w:r>
        <w:rPr>
          <w:rFonts w:eastAsiaTheme="minorEastAsia"/>
          <w:szCs w:val="21"/>
        </w:rPr>
        <w:t>屏蔽设施的安装;；</w:t>
      </w:r>
    </w:p>
    <w:p w14:paraId="2B8DBFA5">
      <w:pPr>
        <w:pStyle w:val="164"/>
        <w:numPr>
          <w:ilvl w:val="0"/>
          <w:numId w:val="332"/>
        </w:numPr>
        <w:tabs>
          <w:tab w:val="left" w:pos="210"/>
          <w:tab w:val="left" w:pos="567"/>
        </w:tabs>
        <w:spacing w:line="330" w:lineRule="exact"/>
        <w:ind w:firstLine="630" w:firstLineChars="300"/>
        <w:rPr>
          <w:rFonts w:eastAsiaTheme="minorEastAsia"/>
          <w:szCs w:val="21"/>
        </w:rPr>
      </w:pPr>
      <w:r>
        <w:rPr>
          <w:rFonts w:eastAsiaTheme="minorEastAsia"/>
          <w:szCs w:val="21"/>
        </w:rPr>
        <w:t>电涌保护器的性能参数、安装位置、安装方式和连核导线规格。</w:t>
      </w:r>
    </w:p>
    <w:p w14:paraId="77FDE060">
      <w:pPr>
        <w:pStyle w:val="164"/>
        <w:numPr>
          <w:ilvl w:val="0"/>
          <w:numId w:val="331"/>
        </w:numPr>
        <w:spacing w:line="330" w:lineRule="exact"/>
        <w:ind w:left="0" w:firstLine="420"/>
        <w:rPr>
          <w:rFonts w:eastAsiaTheme="minorEastAsia"/>
        </w:rPr>
      </w:pPr>
      <w:r>
        <w:rPr>
          <w:rFonts w:eastAsiaTheme="minorEastAsia"/>
        </w:rPr>
        <w:t>智能化系统的防雷与接地系统应与《建筑电气工程施工技术标准》</w:t>
      </w:r>
      <w:r>
        <w:rPr>
          <w:szCs w:val="22"/>
        </w:rPr>
        <w:t>GB 50303</w:t>
      </w:r>
      <w:r>
        <w:rPr>
          <w:rFonts w:hint="eastAsia" w:eastAsiaTheme="minorEastAsia"/>
        </w:rPr>
        <w:t>检验</w:t>
      </w:r>
      <w:r>
        <w:rPr>
          <w:rFonts w:eastAsiaTheme="minorEastAsia"/>
        </w:rPr>
        <w:t>合格的建筑物共享接地装置。采用建筑物金属体作为共用接地装置时，接地电阻不应大于1Ω。</w:t>
      </w:r>
    </w:p>
    <w:p w14:paraId="6195AEFF">
      <w:pPr>
        <w:pStyle w:val="164"/>
        <w:numPr>
          <w:ilvl w:val="0"/>
          <w:numId w:val="331"/>
        </w:numPr>
        <w:spacing w:line="330" w:lineRule="exact"/>
        <w:ind w:left="0" w:firstLine="420"/>
        <w:rPr>
          <w:rFonts w:eastAsiaTheme="minorEastAsia"/>
        </w:rPr>
      </w:pPr>
      <w:r>
        <w:rPr>
          <w:rFonts w:eastAsiaTheme="minorEastAsia"/>
        </w:rPr>
        <w:t>智能化系统的单独接地装置的检测，应</w:t>
      </w:r>
      <w:r>
        <w:rPr>
          <w:rFonts w:hint="eastAsia" w:eastAsiaTheme="minorEastAsia"/>
        </w:rPr>
        <w:t>按国家现行标准</w:t>
      </w:r>
      <w:r>
        <w:rPr>
          <w:rFonts w:eastAsiaTheme="minorEastAsia"/>
        </w:rPr>
        <w:t>《建筑电气工程施工技术标准》</w:t>
      </w:r>
      <w:r>
        <w:rPr>
          <w:szCs w:val="22"/>
        </w:rPr>
        <w:t>GB 50303</w:t>
      </w:r>
      <w:r>
        <w:rPr>
          <w:rFonts w:hint="eastAsia"/>
          <w:szCs w:val="22"/>
        </w:rPr>
        <w:t>相关</w:t>
      </w:r>
      <w:r>
        <w:rPr>
          <w:rFonts w:eastAsiaTheme="minorEastAsia"/>
        </w:rPr>
        <w:t>规定</w:t>
      </w:r>
      <w:r>
        <w:rPr>
          <w:rFonts w:hint="eastAsia" w:eastAsiaTheme="minorEastAsia"/>
        </w:rPr>
        <w:t>执行</w:t>
      </w:r>
      <w:r>
        <w:rPr>
          <w:rFonts w:eastAsiaTheme="minorEastAsia"/>
        </w:rPr>
        <w:t>，接地电阻应按设备要求的最小值确定。</w:t>
      </w:r>
    </w:p>
    <w:p w14:paraId="46674AAC">
      <w:pPr>
        <w:pStyle w:val="164"/>
        <w:numPr>
          <w:ilvl w:val="0"/>
          <w:numId w:val="331"/>
        </w:numPr>
        <w:spacing w:line="330" w:lineRule="exact"/>
        <w:ind w:left="0" w:firstLine="420"/>
        <w:rPr>
          <w:rFonts w:eastAsiaTheme="minorEastAsia"/>
        </w:rPr>
      </w:pPr>
      <w:r>
        <w:rPr>
          <w:rFonts w:eastAsiaTheme="minorEastAsia"/>
        </w:rPr>
        <w:t>智能化系统的防过流、过压组件的接地装置、防电磁干扰屏蔽的接地装置、防静电接地装置的检测，其设置应满足设计要求，连接可靠。</w:t>
      </w:r>
    </w:p>
    <w:p w14:paraId="72601E8A">
      <w:pPr>
        <w:pStyle w:val="164"/>
        <w:numPr>
          <w:ilvl w:val="0"/>
          <w:numId w:val="331"/>
        </w:numPr>
        <w:spacing w:line="330" w:lineRule="exact"/>
        <w:ind w:left="0" w:firstLine="420"/>
        <w:rPr>
          <w:rFonts w:eastAsiaTheme="minorEastAsia"/>
        </w:rPr>
      </w:pPr>
      <w:r>
        <w:rPr>
          <w:rFonts w:eastAsiaTheme="minorEastAsia"/>
        </w:rPr>
        <w:t>智能化系统的单独接地装置</w:t>
      </w:r>
      <w:r>
        <w:rPr>
          <w:rFonts w:hint="eastAsia" w:eastAsiaTheme="minorEastAsia"/>
        </w:rPr>
        <w:t>、</w:t>
      </w:r>
      <w:r>
        <w:rPr>
          <w:rFonts w:eastAsiaTheme="minorEastAsia"/>
        </w:rPr>
        <w:t>防过流和防过压组件的接地装置、防电磁干扰屏蔽的接地装置及防静电接地装置的检测，应</w:t>
      </w:r>
      <w:r>
        <w:rPr>
          <w:rFonts w:hint="eastAsia" w:eastAsiaTheme="minorEastAsia"/>
        </w:rPr>
        <w:t>按</w:t>
      </w:r>
      <w:r>
        <w:rPr>
          <w:rFonts w:eastAsiaTheme="minorEastAsia"/>
        </w:rPr>
        <w:t>国家现行标准《建筑电气工程施工技术标准》</w:t>
      </w:r>
      <w:r>
        <w:rPr>
          <w:szCs w:val="22"/>
        </w:rPr>
        <w:t>GB 50303</w:t>
      </w:r>
      <w:r>
        <w:rPr>
          <w:rFonts w:eastAsiaTheme="minorEastAsia"/>
        </w:rPr>
        <w:t>相关规定</w:t>
      </w:r>
      <w:r>
        <w:rPr>
          <w:rFonts w:hint="eastAsia" w:eastAsiaTheme="minorEastAsia"/>
        </w:rPr>
        <w:t>执行</w:t>
      </w:r>
      <w:r>
        <w:rPr>
          <w:rFonts w:eastAsiaTheme="minorEastAsia"/>
        </w:rPr>
        <w:t>。</w:t>
      </w:r>
    </w:p>
    <w:p w14:paraId="6C807756">
      <w:pPr>
        <w:pStyle w:val="164"/>
        <w:numPr>
          <w:ilvl w:val="0"/>
          <w:numId w:val="331"/>
        </w:numPr>
        <w:spacing w:line="330" w:lineRule="exact"/>
        <w:ind w:left="0" w:firstLine="420"/>
        <w:rPr>
          <w:rFonts w:eastAsiaTheme="minorEastAsia"/>
        </w:rPr>
      </w:pPr>
      <w:r>
        <w:rPr>
          <w:rFonts w:eastAsiaTheme="minorEastAsia"/>
        </w:rPr>
        <w:t>智能化系统与建筑物等电位联结的检测，应</w:t>
      </w:r>
      <w:r>
        <w:rPr>
          <w:rFonts w:hint="eastAsia" w:eastAsiaTheme="minorEastAsia"/>
        </w:rPr>
        <w:t>按</w:t>
      </w:r>
      <w:r>
        <w:rPr>
          <w:rFonts w:eastAsiaTheme="minorEastAsia"/>
        </w:rPr>
        <w:t>国家现行标准《建筑电气工程施工技术标准》</w:t>
      </w:r>
      <w:r>
        <w:rPr>
          <w:szCs w:val="22"/>
        </w:rPr>
        <w:t>GB 50303</w:t>
      </w:r>
      <w:r>
        <w:rPr>
          <w:rFonts w:eastAsiaTheme="minorEastAsia"/>
        </w:rPr>
        <w:t>相关规定</w:t>
      </w:r>
      <w:r>
        <w:rPr>
          <w:rFonts w:hint="eastAsia" w:eastAsiaTheme="minorEastAsia"/>
        </w:rPr>
        <w:t>执行</w:t>
      </w:r>
      <w:r>
        <w:rPr>
          <w:rFonts w:eastAsiaTheme="minorEastAsia"/>
        </w:rPr>
        <w:t>。</w:t>
      </w:r>
    </w:p>
    <w:p w14:paraId="5F233BD7">
      <w:pPr>
        <w:pStyle w:val="3"/>
        <w:spacing w:before="240" w:after="120" w:afterLines="50" w:line="330" w:lineRule="exact"/>
        <w:rPr>
          <w:rFonts w:eastAsia="黑体"/>
          <w:b w:val="0"/>
          <w:bCs w:val="0"/>
          <w:sz w:val="21"/>
          <w:szCs w:val="21"/>
          <w:lang w:val="en-US"/>
        </w:rPr>
      </w:pPr>
      <w:bookmarkStart w:id="421" w:name="_Toc45092859"/>
      <w:bookmarkStart w:id="422" w:name="_Toc56517717"/>
      <w:bookmarkStart w:id="423" w:name="_Toc44618501"/>
      <w:bookmarkStart w:id="424" w:name="_Toc171955185"/>
      <w:bookmarkStart w:id="425" w:name="_Toc182488014"/>
      <w:bookmarkStart w:id="426" w:name="_Toc44618601"/>
      <w:r>
        <w:rPr>
          <w:rFonts w:eastAsia="黑体"/>
          <w:b w:val="0"/>
          <w:bCs w:val="0"/>
          <w:sz w:val="21"/>
          <w:szCs w:val="21"/>
          <w:lang w:val="en-US"/>
        </w:rPr>
        <w:t>22.4 质量记录</w:t>
      </w:r>
      <w:bookmarkEnd w:id="421"/>
      <w:bookmarkEnd w:id="422"/>
      <w:bookmarkEnd w:id="423"/>
      <w:bookmarkEnd w:id="424"/>
      <w:bookmarkEnd w:id="425"/>
      <w:bookmarkEnd w:id="426"/>
    </w:p>
    <w:p w14:paraId="65BB9540">
      <w:pPr>
        <w:ind w:left="105" w:hanging="105"/>
      </w:pPr>
      <w:r>
        <w:rPr>
          <w:rFonts w:ascii="Times New Roman" w:hAnsi="Times New Roman"/>
        </w:rPr>
        <w:t>2</w:t>
      </w:r>
      <w:r>
        <w:rPr>
          <w:rFonts w:hint="eastAsia" w:ascii="Times New Roman" w:hAnsi="Times New Roman"/>
        </w:rPr>
        <w:t>2</w:t>
      </w:r>
      <w:r>
        <w:rPr>
          <w:rFonts w:ascii="Times New Roman" w:hAnsi="Times New Roman"/>
        </w:rPr>
        <w:t>.4.1 质量记录</w:t>
      </w:r>
      <w:r>
        <w:rPr>
          <w:rFonts w:hint="eastAsia" w:ascii="Times New Roman" w:hAnsi="Times New Roman"/>
        </w:rPr>
        <w:t>应</w:t>
      </w:r>
      <w:r>
        <w:rPr>
          <w:rFonts w:ascii="Times New Roman" w:hAnsi="Times New Roman"/>
        </w:rPr>
        <w:t>包含下列内容：</w:t>
      </w:r>
    </w:p>
    <w:p w14:paraId="68599289">
      <w:pPr>
        <w:pStyle w:val="164"/>
        <w:numPr>
          <w:ilvl w:val="1"/>
          <w:numId w:val="119"/>
        </w:numPr>
        <w:spacing w:line="330" w:lineRule="exact"/>
        <w:ind w:firstLineChars="0"/>
        <w:rPr>
          <w:rFonts w:eastAsiaTheme="minorEastAsia"/>
          <w:vanish/>
          <w:szCs w:val="21"/>
        </w:rPr>
      </w:pPr>
    </w:p>
    <w:p w14:paraId="4F578D40">
      <w:pPr>
        <w:pStyle w:val="164"/>
        <w:numPr>
          <w:ilvl w:val="0"/>
          <w:numId w:val="333"/>
        </w:numPr>
        <w:spacing w:line="330" w:lineRule="exact"/>
        <w:ind w:left="0" w:firstLine="420"/>
        <w:rPr>
          <w:rFonts w:eastAsiaTheme="minorEastAsia"/>
        </w:rPr>
      </w:pPr>
      <w:r>
        <w:rPr>
          <w:rFonts w:hint="eastAsia" w:eastAsiaTheme="minorEastAsia"/>
        </w:rPr>
        <w:t>电气工程隐蔽检测记录。</w:t>
      </w:r>
    </w:p>
    <w:p w14:paraId="6CD2B746">
      <w:pPr>
        <w:pStyle w:val="164"/>
        <w:numPr>
          <w:ilvl w:val="0"/>
          <w:numId w:val="333"/>
        </w:numPr>
        <w:spacing w:line="330" w:lineRule="exact"/>
        <w:ind w:left="0" w:firstLine="420"/>
        <w:rPr>
          <w:rFonts w:eastAsiaTheme="minorEastAsia"/>
        </w:rPr>
      </w:pPr>
      <w:r>
        <w:rPr>
          <w:rFonts w:hint="eastAsia" w:eastAsiaTheme="minorEastAsia"/>
        </w:rPr>
        <w:t>电气绝缘电阻测试记录。</w:t>
      </w:r>
    </w:p>
    <w:p w14:paraId="6ACDEF44">
      <w:pPr>
        <w:pStyle w:val="164"/>
        <w:numPr>
          <w:ilvl w:val="0"/>
          <w:numId w:val="333"/>
        </w:numPr>
        <w:spacing w:line="330" w:lineRule="exact"/>
        <w:ind w:left="0" w:firstLine="420"/>
        <w:rPr>
          <w:rFonts w:eastAsiaTheme="minorEastAsia"/>
        </w:rPr>
      </w:pPr>
      <w:r>
        <w:rPr>
          <w:rFonts w:hint="eastAsia" w:eastAsiaTheme="minorEastAsia"/>
        </w:rPr>
        <w:t>电源配电箱安装工程质量检测记录。</w:t>
      </w:r>
    </w:p>
    <w:p w14:paraId="7960E0D6">
      <w:pPr>
        <w:pStyle w:val="164"/>
        <w:numPr>
          <w:ilvl w:val="0"/>
          <w:numId w:val="333"/>
        </w:numPr>
        <w:spacing w:line="330" w:lineRule="exact"/>
        <w:ind w:left="0" w:firstLine="420"/>
        <w:rPr>
          <w:rFonts w:eastAsiaTheme="minorEastAsia"/>
        </w:rPr>
      </w:pPr>
      <w:r>
        <w:rPr>
          <w:rFonts w:hint="eastAsia" w:eastAsiaTheme="minorEastAsia"/>
        </w:rPr>
        <w:t>系统功能测定记录。</w:t>
      </w:r>
    </w:p>
    <w:p w14:paraId="149E698E">
      <w:pPr>
        <w:pStyle w:val="164"/>
        <w:numPr>
          <w:ilvl w:val="0"/>
          <w:numId w:val="333"/>
        </w:numPr>
        <w:spacing w:line="330" w:lineRule="exact"/>
        <w:ind w:left="0" w:firstLine="420"/>
        <w:rPr>
          <w:rFonts w:eastAsiaTheme="minorEastAsia"/>
        </w:rPr>
      </w:pPr>
      <w:r>
        <w:rPr>
          <w:rFonts w:hint="eastAsia" w:eastAsiaTheme="minorEastAsia"/>
        </w:rPr>
        <w:t>接地电阻测试记录。</w:t>
      </w:r>
    </w:p>
    <w:p w14:paraId="1C443126">
      <w:pPr>
        <w:pStyle w:val="164"/>
        <w:numPr>
          <w:ilvl w:val="0"/>
          <w:numId w:val="333"/>
        </w:numPr>
        <w:spacing w:line="330" w:lineRule="exact"/>
        <w:ind w:left="0" w:firstLine="420"/>
        <w:rPr>
          <w:rFonts w:eastAsiaTheme="minorEastAsia"/>
        </w:rPr>
      </w:pPr>
      <w:r>
        <w:rPr>
          <w:rFonts w:hint="eastAsia" w:eastAsiaTheme="minorEastAsia"/>
        </w:rPr>
        <w:t>智能建筑各子系统通电试运行记录。</w:t>
      </w:r>
    </w:p>
    <w:p w14:paraId="366633B2">
      <w:pPr>
        <w:ind w:left="105" w:hanging="105"/>
        <w:rPr>
          <w:rFonts w:ascii="Times New Roman" w:hAnsi="Times New Roman"/>
        </w:rPr>
      </w:pPr>
    </w:p>
    <w:p w14:paraId="09DA0078">
      <w:pPr>
        <w:widowControl/>
        <w:spacing w:line="330" w:lineRule="exact"/>
        <w:ind w:left="0" w:firstLine="0" w:firstLineChars="0"/>
        <w:jc w:val="left"/>
        <w:rPr>
          <w:rFonts w:ascii="Times New Roman" w:hAnsi="Times New Roman" w:eastAsiaTheme="minorEastAsia"/>
          <w:b/>
          <w:bCs/>
        </w:rPr>
      </w:pPr>
    </w:p>
    <w:p w14:paraId="0B50B60B">
      <w:pPr>
        <w:widowControl/>
        <w:spacing w:line="330" w:lineRule="exact"/>
        <w:ind w:left="0" w:firstLine="0" w:firstLineChars="0"/>
        <w:jc w:val="left"/>
        <w:rPr>
          <w:rFonts w:ascii="Times New Roman" w:hAnsi="Times New Roman" w:eastAsiaTheme="minorEastAsia"/>
          <w:b/>
          <w:bCs/>
        </w:rPr>
      </w:pPr>
    </w:p>
    <w:p w14:paraId="32646B2F">
      <w:pPr>
        <w:widowControl/>
        <w:spacing w:line="330" w:lineRule="exact"/>
        <w:ind w:left="0" w:firstLine="0" w:firstLineChars="0"/>
        <w:jc w:val="left"/>
        <w:rPr>
          <w:rFonts w:ascii="Times New Roman" w:hAnsi="Times New Roman" w:eastAsiaTheme="minorEastAsia"/>
          <w:b/>
          <w:bCs/>
        </w:rPr>
      </w:pPr>
    </w:p>
    <w:p w14:paraId="5170C3D6">
      <w:pPr>
        <w:widowControl/>
        <w:spacing w:line="330" w:lineRule="exact"/>
        <w:ind w:left="0" w:firstLine="0" w:firstLineChars="0"/>
        <w:jc w:val="left"/>
        <w:rPr>
          <w:rFonts w:ascii="Times New Roman" w:hAnsi="Times New Roman" w:eastAsiaTheme="minorEastAsia"/>
          <w:b/>
          <w:bCs/>
        </w:rPr>
      </w:pPr>
    </w:p>
    <w:p w14:paraId="6E15D9CE">
      <w:pPr>
        <w:widowControl/>
        <w:spacing w:line="330" w:lineRule="exact"/>
        <w:ind w:left="0" w:firstLine="0" w:firstLineChars="0"/>
        <w:jc w:val="left"/>
        <w:rPr>
          <w:rFonts w:ascii="Times New Roman" w:hAnsi="Times New Roman" w:eastAsiaTheme="minorEastAsia"/>
          <w:b/>
          <w:bCs/>
        </w:rPr>
      </w:pPr>
    </w:p>
    <w:p w14:paraId="5751B7B5">
      <w:pPr>
        <w:widowControl/>
        <w:spacing w:line="330" w:lineRule="exact"/>
        <w:ind w:left="0" w:firstLine="0" w:firstLineChars="0"/>
        <w:jc w:val="left"/>
        <w:rPr>
          <w:rFonts w:ascii="Times New Roman" w:hAnsi="Times New Roman" w:eastAsiaTheme="minorEastAsia"/>
          <w:b/>
          <w:bCs/>
        </w:rPr>
      </w:pPr>
    </w:p>
    <w:p w14:paraId="75018EF7">
      <w:pPr>
        <w:widowControl/>
        <w:spacing w:line="330" w:lineRule="exact"/>
        <w:ind w:left="0" w:firstLine="0" w:firstLineChars="0"/>
        <w:jc w:val="left"/>
        <w:rPr>
          <w:rFonts w:ascii="Times New Roman" w:hAnsi="Times New Roman" w:eastAsiaTheme="minorEastAsia"/>
          <w:b/>
          <w:bCs/>
        </w:rPr>
      </w:pPr>
    </w:p>
    <w:p w14:paraId="57D68F5E">
      <w:pPr>
        <w:widowControl/>
        <w:spacing w:line="330" w:lineRule="exact"/>
        <w:ind w:left="0" w:firstLine="0" w:firstLineChars="0"/>
        <w:jc w:val="left"/>
        <w:rPr>
          <w:rFonts w:ascii="Times New Roman" w:hAnsi="Times New Roman" w:eastAsiaTheme="minorEastAsia"/>
          <w:b/>
          <w:bCs/>
        </w:rPr>
      </w:pPr>
    </w:p>
    <w:p w14:paraId="5D46E9E1">
      <w:pPr>
        <w:widowControl/>
        <w:spacing w:line="330" w:lineRule="exact"/>
        <w:ind w:left="0" w:firstLine="0" w:firstLineChars="0"/>
        <w:jc w:val="left"/>
        <w:rPr>
          <w:rFonts w:ascii="Times New Roman" w:hAnsi="Times New Roman" w:eastAsiaTheme="minorEastAsia"/>
          <w:b/>
          <w:bCs/>
        </w:rPr>
      </w:pPr>
    </w:p>
    <w:p w14:paraId="048749B0">
      <w:pPr>
        <w:widowControl/>
        <w:spacing w:line="330" w:lineRule="exact"/>
        <w:ind w:left="0" w:firstLine="0" w:firstLineChars="0"/>
        <w:jc w:val="left"/>
        <w:rPr>
          <w:rFonts w:ascii="Times New Roman" w:hAnsi="Times New Roman" w:eastAsiaTheme="minorEastAsia"/>
          <w:b/>
          <w:bCs/>
        </w:rPr>
      </w:pPr>
    </w:p>
    <w:p w14:paraId="55229C75">
      <w:pPr>
        <w:widowControl/>
        <w:spacing w:line="330" w:lineRule="exact"/>
        <w:ind w:left="0" w:firstLine="0" w:firstLineChars="0"/>
        <w:jc w:val="left"/>
        <w:rPr>
          <w:rFonts w:ascii="Times New Roman" w:hAnsi="Times New Roman" w:eastAsiaTheme="minorEastAsia"/>
          <w:b/>
          <w:bCs/>
        </w:rPr>
      </w:pPr>
    </w:p>
    <w:p w14:paraId="2BD92533">
      <w:pPr>
        <w:widowControl/>
        <w:spacing w:line="330" w:lineRule="exact"/>
        <w:ind w:left="0" w:firstLine="0" w:firstLineChars="0"/>
        <w:jc w:val="left"/>
        <w:rPr>
          <w:rFonts w:ascii="Times New Roman" w:hAnsi="Times New Roman" w:eastAsiaTheme="minorEastAsia"/>
          <w:b/>
          <w:bCs/>
        </w:rPr>
      </w:pPr>
    </w:p>
    <w:p w14:paraId="4474D032">
      <w:pPr>
        <w:widowControl/>
        <w:spacing w:line="330" w:lineRule="exact"/>
        <w:ind w:left="0" w:firstLine="0" w:firstLineChars="0"/>
        <w:jc w:val="left"/>
        <w:rPr>
          <w:rFonts w:ascii="Times New Roman" w:hAnsi="Times New Roman" w:eastAsiaTheme="minorEastAsia"/>
          <w:b/>
          <w:bCs/>
        </w:rPr>
      </w:pPr>
    </w:p>
    <w:p w14:paraId="5063F09F">
      <w:pPr>
        <w:widowControl/>
        <w:spacing w:line="330" w:lineRule="exact"/>
        <w:ind w:left="0" w:firstLine="0" w:firstLineChars="0"/>
        <w:jc w:val="left"/>
        <w:rPr>
          <w:rFonts w:ascii="Times New Roman" w:hAnsi="Times New Roman" w:eastAsiaTheme="minorEastAsia"/>
          <w:b/>
          <w:bCs/>
        </w:rPr>
      </w:pPr>
    </w:p>
    <w:p w14:paraId="2512D12A">
      <w:pPr>
        <w:widowControl/>
        <w:spacing w:line="330" w:lineRule="exact"/>
        <w:ind w:left="0" w:firstLine="0" w:firstLineChars="0"/>
        <w:jc w:val="left"/>
        <w:rPr>
          <w:rFonts w:ascii="Times New Roman" w:hAnsi="Times New Roman" w:eastAsiaTheme="minorEastAsia"/>
          <w:b/>
          <w:bCs/>
        </w:rPr>
      </w:pPr>
    </w:p>
    <w:p w14:paraId="5DEF0415">
      <w:pPr>
        <w:widowControl/>
        <w:spacing w:line="330" w:lineRule="exact"/>
        <w:ind w:left="0" w:firstLine="0" w:firstLineChars="0"/>
        <w:jc w:val="left"/>
        <w:rPr>
          <w:rFonts w:ascii="Times New Roman" w:hAnsi="Times New Roman" w:eastAsiaTheme="minorEastAsia"/>
          <w:b/>
          <w:bCs/>
        </w:rPr>
      </w:pPr>
    </w:p>
    <w:p w14:paraId="357C92F0">
      <w:pPr>
        <w:widowControl/>
        <w:spacing w:line="330" w:lineRule="exact"/>
        <w:ind w:left="0" w:firstLine="0" w:firstLineChars="0"/>
        <w:jc w:val="left"/>
        <w:rPr>
          <w:rFonts w:ascii="Times New Roman" w:hAnsi="Times New Roman" w:eastAsiaTheme="minorEastAsia"/>
          <w:b/>
          <w:bCs/>
        </w:rPr>
      </w:pPr>
    </w:p>
    <w:p w14:paraId="071DDDF4">
      <w:pPr>
        <w:widowControl/>
        <w:spacing w:line="330" w:lineRule="exact"/>
        <w:ind w:left="0" w:firstLine="0" w:firstLineChars="0"/>
        <w:jc w:val="left"/>
        <w:rPr>
          <w:rFonts w:ascii="Times New Roman" w:hAnsi="Times New Roman" w:eastAsiaTheme="minorEastAsia"/>
          <w:b/>
          <w:bCs/>
        </w:rPr>
      </w:pPr>
    </w:p>
    <w:p w14:paraId="1FD8882C">
      <w:pPr>
        <w:widowControl/>
        <w:spacing w:line="330" w:lineRule="exact"/>
        <w:ind w:left="0" w:firstLine="0" w:firstLineChars="0"/>
        <w:jc w:val="left"/>
        <w:rPr>
          <w:rFonts w:ascii="Times New Roman" w:hAnsi="Times New Roman" w:eastAsiaTheme="minorEastAsia"/>
          <w:b/>
          <w:bCs/>
        </w:rPr>
      </w:pPr>
    </w:p>
    <w:p w14:paraId="50ECD21B">
      <w:pPr>
        <w:widowControl/>
        <w:spacing w:line="330" w:lineRule="exact"/>
        <w:ind w:left="0" w:firstLine="0" w:firstLineChars="0"/>
        <w:jc w:val="left"/>
        <w:rPr>
          <w:rFonts w:ascii="Times New Roman" w:hAnsi="Times New Roman" w:eastAsiaTheme="minorEastAsia"/>
          <w:b/>
          <w:bCs/>
        </w:rPr>
      </w:pPr>
    </w:p>
    <w:p w14:paraId="284532A6">
      <w:pPr>
        <w:widowControl/>
        <w:spacing w:line="330" w:lineRule="exact"/>
        <w:ind w:left="0" w:firstLine="0" w:firstLineChars="0"/>
        <w:jc w:val="left"/>
        <w:rPr>
          <w:rFonts w:ascii="Times New Roman" w:hAnsi="Times New Roman" w:eastAsiaTheme="minorEastAsia"/>
          <w:b/>
          <w:bCs/>
        </w:rPr>
      </w:pPr>
    </w:p>
    <w:p w14:paraId="01B4BFCF">
      <w:pPr>
        <w:widowControl/>
        <w:spacing w:line="330" w:lineRule="exact"/>
        <w:ind w:left="0" w:firstLine="0" w:firstLineChars="0"/>
        <w:jc w:val="left"/>
        <w:rPr>
          <w:rFonts w:ascii="Times New Roman" w:hAnsi="Times New Roman" w:eastAsiaTheme="minorEastAsia"/>
          <w:b/>
          <w:bCs/>
        </w:rPr>
      </w:pPr>
    </w:p>
    <w:p w14:paraId="0E2F0FD7">
      <w:pPr>
        <w:widowControl/>
        <w:spacing w:line="330" w:lineRule="exact"/>
        <w:ind w:left="0" w:firstLine="0" w:firstLineChars="0"/>
        <w:jc w:val="left"/>
        <w:rPr>
          <w:rFonts w:ascii="Times New Roman" w:hAnsi="Times New Roman" w:eastAsiaTheme="minorEastAsia"/>
          <w:b/>
          <w:bCs/>
        </w:rPr>
      </w:pPr>
    </w:p>
    <w:p w14:paraId="3E7F61F5">
      <w:pPr>
        <w:widowControl/>
        <w:spacing w:line="330" w:lineRule="exact"/>
        <w:ind w:left="0" w:firstLine="0" w:firstLineChars="0"/>
        <w:jc w:val="left"/>
        <w:rPr>
          <w:rFonts w:ascii="Times New Roman" w:hAnsi="Times New Roman" w:eastAsiaTheme="minorEastAsia"/>
          <w:b/>
          <w:bCs/>
        </w:rPr>
      </w:pPr>
    </w:p>
    <w:p w14:paraId="37DDBCFC">
      <w:pPr>
        <w:widowControl/>
        <w:spacing w:line="330" w:lineRule="exact"/>
        <w:ind w:left="0" w:firstLine="0" w:firstLineChars="0"/>
        <w:jc w:val="left"/>
        <w:rPr>
          <w:rFonts w:ascii="Times New Roman" w:hAnsi="Times New Roman" w:eastAsiaTheme="minorEastAsia"/>
          <w:b/>
          <w:bCs/>
        </w:rPr>
      </w:pPr>
    </w:p>
    <w:p w14:paraId="50A7E63D">
      <w:pPr>
        <w:widowControl/>
        <w:spacing w:line="330" w:lineRule="exact"/>
        <w:ind w:left="0" w:firstLine="0" w:firstLineChars="0"/>
        <w:jc w:val="left"/>
        <w:rPr>
          <w:rFonts w:ascii="Times New Roman" w:hAnsi="Times New Roman" w:eastAsiaTheme="minorEastAsia"/>
          <w:b/>
          <w:bCs/>
        </w:rPr>
      </w:pPr>
    </w:p>
    <w:p w14:paraId="54389211">
      <w:pPr>
        <w:widowControl/>
        <w:spacing w:line="330" w:lineRule="exact"/>
        <w:ind w:left="0" w:firstLine="0" w:firstLineChars="0"/>
        <w:jc w:val="left"/>
        <w:rPr>
          <w:rFonts w:ascii="Times New Roman" w:hAnsi="Times New Roman" w:eastAsiaTheme="minorEastAsia"/>
          <w:b/>
          <w:bCs/>
        </w:rPr>
      </w:pPr>
    </w:p>
    <w:p w14:paraId="19488333">
      <w:pPr>
        <w:widowControl/>
        <w:spacing w:line="330" w:lineRule="exact"/>
        <w:ind w:left="0" w:firstLine="0" w:firstLineChars="0"/>
        <w:jc w:val="left"/>
        <w:rPr>
          <w:rFonts w:ascii="Times New Roman" w:hAnsi="Times New Roman" w:eastAsiaTheme="minorEastAsia"/>
          <w:b/>
          <w:bCs/>
        </w:rPr>
      </w:pPr>
    </w:p>
    <w:p w14:paraId="0DDDFA05">
      <w:pPr>
        <w:widowControl/>
        <w:spacing w:line="330" w:lineRule="exact"/>
        <w:ind w:left="0" w:firstLine="0" w:firstLineChars="0"/>
        <w:jc w:val="left"/>
        <w:rPr>
          <w:rFonts w:ascii="Times New Roman" w:hAnsi="Times New Roman" w:eastAsiaTheme="minorEastAsia"/>
          <w:b/>
          <w:bCs/>
        </w:rPr>
      </w:pPr>
    </w:p>
    <w:p w14:paraId="0071399F">
      <w:pPr>
        <w:pStyle w:val="16"/>
        <w:tabs>
          <w:tab w:val="left" w:pos="425"/>
        </w:tabs>
        <w:spacing w:before="240" w:beforeLines="100" w:afterLines="50" w:line="330" w:lineRule="exact"/>
        <w:jc w:val="center"/>
        <w:outlineLvl w:val="0"/>
        <w:rPr>
          <w:rFonts w:ascii="Times New Roman" w:hAnsi="Times New Roman" w:eastAsiaTheme="minorEastAsia"/>
          <w:b/>
          <w:sz w:val="24"/>
          <w:szCs w:val="24"/>
        </w:rPr>
        <w:sectPr>
          <w:headerReference r:id="rId30" w:type="default"/>
          <w:pgSz w:w="11907" w:h="16840"/>
          <w:pgMar w:top="1559" w:right="1542" w:bottom="1111" w:left="1565" w:header="851" w:footer="992" w:gutter="0"/>
          <w:cols w:space="720" w:num="1"/>
          <w:docGrid w:linePitch="312" w:charSpace="0"/>
        </w:sectPr>
      </w:pPr>
      <w:bookmarkStart w:id="427" w:name="_Toc171955190"/>
      <w:bookmarkStart w:id="428" w:name="_Toc56517718"/>
    </w:p>
    <w:p w14:paraId="3BB6BF96">
      <w:pPr>
        <w:pStyle w:val="16"/>
        <w:tabs>
          <w:tab w:val="left" w:pos="425"/>
        </w:tabs>
        <w:spacing w:before="240" w:beforeLines="100" w:afterLines="50" w:line="330" w:lineRule="exact"/>
        <w:jc w:val="center"/>
        <w:outlineLvl w:val="0"/>
        <w:rPr>
          <w:rFonts w:ascii="Times New Roman" w:hAnsi="Times New Roman" w:eastAsiaTheme="minorEastAsia"/>
          <w:b/>
          <w:sz w:val="24"/>
          <w:szCs w:val="24"/>
        </w:rPr>
      </w:pPr>
      <w:bookmarkStart w:id="429" w:name="_Toc182488015"/>
      <w:r>
        <w:rPr>
          <w:rFonts w:ascii="Times New Roman" w:hAnsi="Times New Roman" w:eastAsiaTheme="minorEastAsia"/>
          <w:b/>
          <w:sz w:val="24"/>
          <w:szCs w:val="24"/>
        </w:rPr>
        <w:t>本规程用词说明</w:t>
      </w:r>
      <w:bookmarkEnd w:id="427"/>
      <w:bookmarkEnd w:id="428"/>
      <w:bookmarkEnd w:id="429"/>
    </w:p>
    <w:p w14:paraId="6CE0BC6D">
      <w:pPr>
        <w:pStyle w:val="164"/>
        <w:numPr>
          <w:ilvl w:val="0"/>
          <w:numId w:val="334"/>
        </w:numPr>
        <w:spacing w:before="100" w:after="100" w:line="330" w:lineRule="exact"/>
        <w:ind w:left="0" w:firstLine="0" w:firstLineChars="0"/>
        <w:rPr>
          <w:szCs w:val="21"/>
        </w:rPr>
      </w:pPr>
      <w:r>
        <w:rPr>
          <w:szCs w:val="21"/>
        </w:rPr>
        <w:t>执行本规程条文时，要求严格程度的用词，说明如下，以便在执行中区别对待。</w:t>
      </w:r>
    </w:p>
    <w:p w14:paraId="04A980C3">
      <w:pPr>
        <w:spacing w:line="330" w:lineRule="exact"/>
        <w:ind w:left="0" w:firstLine="420" w:firstLineChars="200"/>
        <w:rPr>
          <w:rFonts w:ascii="Times New Roman" w:hAnsi="Times New Roman" w:eastAsiaTheme="minorEastAsia"/>
          <w:szCs w:val="21"/>
        </w:rPr>
      </w:pPr>
      <w:r>
        <w:rPr>
          <w:rFonts w:ascii="Times New Roman" w:hAnsi="Times New Roman" w:eastAsiaTheme="minorEastAsia"/>
          <w:szCs w:val="21"/>
        </w:rPr>
        <w:t>（1）表示很严格，非这样做不可的用词：</w:t>
      </w:r>
    </w:p>
    <w:p w14:paraId="75BD6053">
      <w:pPr>
        <w:spacing w:line="330" w:lineRule="exact"/>
        <w:ind w:left="0" w:firstLine="945" w:firstLineChars="450"/>
        <w:rPr>
          <w:rFonts w:ascii="Times New Roman" w:hAnsi="Times New Roman" w:eastAsiaTheme="minorEastAsia"/>
          <w:szCs w:val="21"/>
        </w:rPr>
      </w:pPr>
      <w:r>
        <w:rPr>
          <w:rFonts w:ascii="Times New Roman" w:hAnsi="Times New Roman" w:eastAsiaTheme="minorEastAsia"/>
          <w:szCs w:val="21"/>
        </w:rPr>
        <w:t>正面词采用“应”；</w:t>
      </w:r>
    </w:p>
    <w:p w14:paraId="7D2545C9">
      <w:pPr>
        <w:spacing w:line="330" w:lineRule="exact"/>
        <w:ind w:left="0" w:firstLine="945" w:firstLineChars="450"/>
        <w:rPr>
          <w:rFonts w:ascii="Times New Roman" w:hAnsi="Times New Roman" w:eastAsiaTheme="minorEastAsia"/>
          <w:szCs w:val="21"/>
        </w:rPr>
      </w:pPr>
      <w:r>
        <w:rPr>
          <w:rFonts w:ascii="Times New Roman" w:hAnsi="Times New Roman" w:eastAsiaTheme="minorEastAsia"/>
          <w:szCs w:val="21"/>
        </w:rPr>
        <w:t>反面词采用“严禁”。</w:t>
      </w:r>
    </w:p>
    <w:p w14:paraId="19F3371E">
      <w:pPr>
        <w:spacing w:line="330" w:lineRule="exact"/>
        <w:ind w:left="0" w:firstLine="420" w:firstLineChars="200"/>
        <w:rPr>
          <w:rFonts w:ascii="Times New Roman" w:hAnsi="Times New Roman" w:eastAsiaTheme="minorEastAsia"/>
          <w:szCs w:val="21"/>
        </w:rPr>
      </w:pPr>
      <w:r>
        <w:rPr>
          <w:rFonts w:ascii="Times New Roman" w:hAnsi="Times New Roman" w:eastAsiaTheme="minorEastAsia"/>
          <w:szCs w:val="21"/>
        </w:rPr>
        <w:t>（2）表示严格，在正常情况下均应这样做的用词：</w:t>
      </w:r>
    </w:p>
    <w:p w14:paraId="2296408F">
      <w:pPr>
        <w:spacing w:line="330" w:lineRule="exact"/>
        <w:ind w:left="0" w:firstLine="945" w:firstLineChars="450"/>
        <w:rPr>
          <w:rFonts w:ascii="Times New Roman" w:hAnsi="Times New Roman" w:eastAsiaTheme="minorEastAsia"/>
          <w:szCs w:val="21"/>
        </w:rPr>
      </w:pPr>
      <w:r>
        <w:rPr>
          <w:rFonts w:ascii="Times New Roman" w:hAnsi="Times New Roman" w:eastAsiaTheme="minorEastAsia"/>
          <w:szCs w:val="21"/>
        </w:rPr>
        <w:t>正面词采用“应”；</w:t>
      </w:r>
    </w:p>
    <w:p w14:paraId="79376C70">
      <w:pPr>
        <w:spacing w:line="330" w:lineRule="exact"/>
        <w:ind w:left="0" w:firstLine="945" w:firstLineChars="450"/>
        <w:rPr>
          <w:rFonts w:ascii="Times New Roman" w:hAnsi="Times New Roman" w:eastAsiaTheme="minorEastAsia"/>
          <w:szCs w:val="21"/>
        </w:rPr>
      </w:pPr>
      <w:r>
        <w:rPr>
          <w:rFonts w:ascii="Times New Roman" w:hAnsi="Times New Roman" w:eastAsiaTheme="minorEastAsia"/>
          <w:szCs w:val="21"/>
        </w:rPr>
        <w:t>反面词采用“不应”或“不得”。</w:t>
      </w:r>
    </w:p>
    <w:p w14:paraId="5E47F142">
      <w:pPr>
        <w:spacing w:line="330" w:lineRule="exact"/>
        <w:ind w:left="0" w:firstLine="420" w:firstLineChars="200"/>
        <w:rPr>
          <w:rFonts w:ascii="Times New Roman" w:hAnsi="Times New Roman" w:eastAsiaTheme="minorEastAsia"/>
          <w:szCs w:val="21"/>
        </w:rPr>
      </w:pPr>
      <w:r>
        <w:rPr>
          <w:rFonts w:ascii="Times New Roman" w:hAnsi="Times New Roman" w:eastAsiaTheme="minorEastAsia"/>
          <w:szCs w:val="21"/>
        </w:rPr>
        <w:t>（3）表示允许稍有选择，在条件许可时首先应这样做的用词：</w:t>
      </w:r>
    </w:p>
    <w:p w14:paraId="08FF5276">
      <w:pPr>
        <w:spacing w:line="330" w:lineRule="exact"/>
        <w:ind w:left="0" w:firstLine="945" w:firstLineChars="450"/>
        <w:rPr>
          <w:rFonts w:ascii="Times New Roman" w:hAnsi="Times New Roman" w:eastAsiaTheme="minorEastAsia"/>
          <w:szCs w:val="21"/>
        </w:rPr>
      </w:pPr>
      <w:r>
        <w:rPr>
          <w:rFonts w:ascii="Times New Roman" w:hAnsi="Times New Roman" w:eastAsiaTheme="minorEastAsia"/>
          <w:szCs w:val="21"/>
        </w:rPr>
        <w:t>正面词采用“宜”或“可”。</w:t>
      </w:r>
    </w:p>
    <w:p w14:paraId="460B3868">
      <w:pPr>
        <w:spacing w:line="330" w:lineRule="exact"/>
        <w:ind w:left="0" w:firstLine="945" w:firstLineChars="450"/>
        <w:rPr>
          <w:rFonts w:ascii="Times New Roman" w:hAnsi="Times New Roman" w:eastAsiaTheme="minorEastAsia"/>
          <w:szCs w:val="21"/>
        </w:rPr>
      </w:pPr>
      <w:r>
        <w:rPr>
          <w:rFonts w:ascii="Times New Roman" w:hAnsi="Times New Roman" w:eastAsiaTheme="minorEastAsia"/>
          <w:szCs w:val="21"/>
        </w:rPr>
        <w:t>反面词采用“不宜”；</w:t>
      </w:r>
    </w:p>
    <w:p w14:paraId="377FC8D2">
      <w:pPr>
        <w:pStyle w:val="164"/>
        <w:numPr>
          <w:ilvl w:val="0"/>
          <w:numId w:val="334"/>
        </w:numPr>
        <w:spacing w:before="100" w:after="100" w:line="330" w:lineRule="exact"/>
        <w:ind w:left="0" w:firstLine="0" w:firstLineChars="0"/>
        <w:rPr>
          <w:szCs w:val="21"/>
        </w:rPr>
      </w:pPr>
      <w:r>
        <w:rPr>
          <w:szCs w:val="21"/>
        </w:rPr>
        <w:t>条文中指明应按有关的标准、规范或规定执行的写法为“应按······执行”或“应符合······要求或规定”。非应按所指的标准、规范或其他规定执行的写法为“可参照······执行”。</w:t>
      </w:r>
    </w:p>
    <w:p w14:paraId="3C47EE5D">
      <w:pPr>
        <w:ind w:left="105" w:hanging="105"/>
        <w:rPr>
          <w:rFonts w:ascii="Times New Roman" w:hAnsi="Times New Roman"/>
        </w:rPr>
      </w:pPr>
    </w:p>
    <w:p w14:paraId="2E9049F7">
      <w:pPr>
        <w:ind w:left="105" w:hanging="105"/>
        <w:rPr>
          <w:rFonts w:ascii="Times New Roman" w:hAnsi="Times New Roman"/>
        </w:rPr>
      </w:pPr>
    </w:p>
    <w:p w14:paraId="70725CF2">
      <w:pPr>
        <w:ind w:left="105" w:hanging="105"/>
        <w:rPr>
          <w:rFonts w:ascii="Times New Roman" w:hAnsi="Times New Roman"/>
        </w:rPr>
      </w:pPr>
    </w:p>
    <w:p w14:paraId="6E64B668">
      <w:pPr>
        <w:ind w:left="105" w:hanging="105"/>
        <w:rPr>
          <w:rFonts w:ascii="Times New Roman" w:hAnsi="Times New Roman"/>
        </w:rPr>
      </w:pPr>
    </w:p>
    <w:p w14:paraId="28B6B5C9">
      <w:pPr>
        <w:ind w:left="105" w:hanging="105"/>
        <w:rPr>
          <w:rFonts w:ascii="Times New Roman" w:hAnsi="Times New Roman"/>
        </w:rPr>
      </w:pPr>
    </w:p>
    <w:p w14:paraId="04689932">
      <w:pPr>
        <w:ind w:left="105" w:hanging="105"/>
        <w:rPr>
          <w:rFonts w:ascii="Times New Roman" w:hAnsi="Times New Roman"/>
        </w:rPr>
      </w:pPr>
    </w:p>
    <w:p w14:paraId="3BC9B6FB">
      <w:pPr>
        <w:ind w:left="105" w:hanging="105"/>
        <w:rPr>
          <w:rFonts w:ascii="Times New Roman" w:hAnsi="Times New Roman"/>
        </w:rPr>
      </w:pPr>
    </w:p>
    <w:p w14:paraId="447D8E47">
      <w:pPr>
        <w:ind w:left="105" w:hanging="105"/>
        <w:rPr>
          <w:rFonts w:ascii="Times New Roman" w:hAnsi="Times New Roman"/>
        </w:rPr>
      </w:pPr>
    </w:p>
    <w:p w14:paraId="1FC8247E">
      <w:pPr>
        <w:ind w:left="105" w:hanging="105"/>
        <w:rPr>
          <w:rFonts w:ascii="Times New Roman" w:hAnsi="Times New Roman"/>
        </w:rPr>
      </w:pPr>
    </w:p>
    <w:p w14:paraId="5C2CC26C">
      <w:pPr>
        <w:ind w:left="105" w:hanging="105"/>
        <w:rPr>
          <w:rFonts w:ascii="Times New Roman" w:hAnsi="Times New Roman"/>
        </w:rPr>
      </w:pPr>
    </w:p>
    <w:p w14:paraId="3C2BA278">
      <w:pPr>
        <w:ind w:left="105" w:hanging="105"/>
        <w:rPr>
          <w:rFonts w:ascii="Times New Roman" w:hAnsi="Times New Roman"/>
        </w:rPr>
      </w:pPr>
    </w:p>
    <w:p w14:paraId="7104AB62">
      <w:pPr>
        <w:ind w:left="105" w:hanging="105"/>
        <w:rPr>
          <w:rFonts w:ascii="Times New Roman" w:hAnsi="Times New Roman"/>
        </w:rPr>
      </w:pPr>
    </w:p>
    <w:p w14:paraId="5B2FCDFA">
      <w:pPr>
        <w:ind w:left="105" w:hanging="105"/>
        <w:rPr>
          <w:rFonts w:ascii="Times New Roman" w:hAnsi="Times New Roman"/>
        </w:rPr>
      </w:pPr>
    </w:p>
    <w:p w14:paraId="53FDE7EE">
      <w:pPr>
        <w:ind w:left="105" w:hanging="105"/>
        <w:rPr>
          <w:rFonts w:ascii="Times New Roman" w:hAnsi="Times New Roman"/>
        </w:rPr>
      </w:pPr>
    </w:p>
    <w:p w14:paraId="4EB775D1">
      <w:pPr>
        <w:ind w:left="105" w:hanging="105"/>
        <w:rPr>
          <w:rFonts w:ascii="Times New Roman" w:hAnsi="Times New Roman"/>
        </w:rPr>
      </w:pPr>
    </w:p>
    <w:p w14:paraId="6F2FC364">
      <w:pPr>
        <w:ind w:left="105" w:hanging="105"/>
        <w:rPr>
          <w:rFonts w:ascii="Times New Roman" w:hAnsi="Times New Roman"/>
        </w:rPr>
      </w:pPr>
    </w:p>
    <w:p w14:paraId="1667C5D2">
      <w:pPr>
        <w:ind w:left="105" w:hanging="105"/>
        <w:rPr>
          <w:rFonts w:ascii="Times New Roman" w:hAnsi="Times New Roman"/>
        </w:rPr>
      </w:pPr>
    </w:p>
    <w:p w14:paraId="261CD1BF">
      <w:pPr>
        <w:ind w:left="105" w:hanging="105"/>
        <w:rPr>
          <w:rFonts w:ascii="Times New Roman" w:hAnsi="Times New Roman"/>
        </w:rPr>
      </w:pPr>
    </w:p>
    <w:p w14:paraId="3AA758AA">
      <w:pPr>
        <w:ind w:left="105" w:hanging="105"/>
        <w:rPr>
          <w:rFonts w:ascii="Times New Roman" w:hAnsi="Times New Roman"/>
        </w:rPr>
      </w:pPr>
    </w:p>
    <w:p w14:paraId="41014827">
      <w:pPr>
        <w:ind w:left="105" w:hanging="105"/>
        <w:rPr>
          <w:rFonts w:ascii="Times New Roman" w:hAnsi="Times New Roman"/>
        </w:rPr>
      </w:pPr>
    </w:p>
    <w:p w14:paraId="6939C433">
      <w:pPr>
        <w:ind w:left="105" w:hanging="105"/>
        <w:rPr>
          <w:rFonts w:ascii="Times New Roman" w:hAnsi="Times New Roman"/>
        </w:rPr>
      </w:pPr>
    </w:p>
    <w:p w14:paraId="6828D608">
      <w:pPr>
        <w:ind w:left="105" w:hanging="105"/>
        <w:rPr>
          <w:rFonts w:ascii="Times New Roman" w:hAnsi="Times New Roman"/>
        </w:rPr>
      </w:pPr>
    </w:p>
    <w:p w14:paraId="01A7D444">
      <w:pPr>
        <w:ind w:left="105" w:hanging="105"/>
        <w:rPr>
          <w:rFonts w:ascii="Times New Roman" w:hAnsi="Times New Roman"/>
        </w:rPr>
      </w:pPr>
    </w:p>
    <w:p w14:paraId="1E86E2A3">
      <w:pPr>
        <w:ind w:left="105" w:hanging="105"/>
        <w:rPr>
          <w:rFonts w:ascii="Times New Roman" w:hAnsi="Times New Roman"/>
        </w:rPr>
      </w:pPr>
    </w:p>
    <w:p w14:paraId="37B147F4">
      <w:pPr>
        <w:ind w:left="105" w:hanging="105"/>
        <w:rPr>
          <w:rFonts w:ascii="Times New Roman" w:hAnsi="Times New Roman"/>
        </w:rPr>
      </w:pPr>
    </w:p>
    <w:p w14:paraId="27223E96">
      <w:pPr>
        <w:ind w:left="105" w:hanging="105"/>
        <w:rPr>
          <w:rFonts w:ascii="Times New Roman" w:hAnsi="Times New Roman"/>
        </w:rPr>
      </w:pPr>
    </w:p>
    <w:p w14:paraId="67C7C1AD">
      <w:pPr>
        <w:ind w:left="105" w:hanging="105"/>
        <w:rPr>
          <w:rFonts w:ascii="Times New Roman" w:hAnsi="Times New Roman"/>
        </w:rPr>
      </w:pPr>
    </w:p>
    <w:p w14:paraId="755E0B19">
      <w:pPr>
        <w:ind w:left="105" w:hanging="105"/>
        <w:rPr>
          <w:rFonts w:ascii="Times New Roman" w:hAnsi="Times New Roman"/>
        </w:rPr>
      </w:pPr>
    </w:p>
    <w:p w14:paraId="33DCA496">
      <w:pPr>
        <w:ind w:left="105" w:hanging="105"/>
        <w:rPr>
          <w:rFonts w:ascii="Times New Roman" w:hAnsi="Times New Roman"/>
        </w:rPr>
      </w:pPr>
    </w:p>
    <w:p w14:paraId="32A2D48D">
      <w:pPr>
        <w:ind w:left="105" w:hanging="105"/>
        <w:rPr>
          <w:rFonts w:ascii="Times New Roman" w:hAnsi="Times New Roman"/>
        </w:rPr>
      </w:pPr>
    </w:p>
    <w:p w14:paraId="2BC0F8B2">
      <w:pPr>
        <w:ind w:left="105" w:hanging="105"/>
        <w:rPr>
          <w:rFonts w:ascii="Times New Roman" w:hAnsi="Times New Roman"/>
        </w:rPr>
      </w:pPr>
    </w:p>
    <w:p w14:paraId="2511857B">
      <w:pPr>
        <w:ind w:left="105" w:hanging="105"/>
        <w:rPr>
          <w:rFonts w:ascii="Times New Roman" w:hAnsi="Times New Roman"/>
        </w:rPr>
      </w:pPr>
    </w:p>
    <w:p w14:paraId="2C3A77BB">
      <w:pPr>
        <w:ind w:left="105" w:hanging="105"/>
        <w:rPr>
          <w:rFonts w:ascii="Times New Roman" w:hAnsi="Times New Roman"/>
        </w:rPr>
      </w:pPr>
    </w:p>
    <w:p w14:paraId="5A1015AD">
      <w:pPr>
        <w:tabs>
          <w:tab w:val="left" w:pos="3214"/>
        </w:tabs>
        <w:ind w:left="105" w:hanging="105"/>
        <w:rPr>
          <w:rFonts w:ascii="Times New Roman" w:hAnsi="Times New Roman"/>
        </w:rPr>
      </w:pPr>
      <w:r>
        <w:rPr>
          <w:rFonts w:ascii="Times New Roman" w:hAnsi="Times New Roman"/>
        </w:rPr>
        <w:tab/>
      </w:r>
      <w:r>
        <w:rPr>
          <w:rFonts w:ascii="Times New Roman" w:hAnsi="Times New Roman"/>
        </w:rPr>
        <w:tab/>
      </w:r>
    </w:p>
    <w:p w14:paraId="3FD40FF2">
      <w:pPr>
        <w:tabs>
          <w:tab w:val="left" w:pos="3214"/>
        </w:tabs>
        <w:ind w:left="105" w:hanging="105"/>
        <w:rPr>
          <w:rFonts w:ascii="Times New Roman" w:hAnsi="Times New Roman"/>
        </w:rPr>
        <w:sectPr>
          <w:pgSz w:w="11907" w:h="16840"/>
          <w:pgMar w:top="1559" w:right="1542" w:bottom="1111" w:left="1565" w:header="851" w:footer="992" w:gutter="0"/>
          <w:cols w:space="720" w:num="1"/>
          <w:docGrid w:linePitch="312" w:charSpace="0"/>
        </w:sectPr>
      </w:pPr>
      <w:r>
        <w:rPr>
          <w:rFonts w:ascii="Times New Roman" w:hAnsi="Times New Roman"/>
        </w:rPr>
        <w:tab/>
      </w:r>
    </w:p>
    <w:p w14:paraId="7D439FC4">
      <w:pPr>
        <w:pStyle w:val="16"/>
        <w:tabs>
          <w:tab w:val="left" w:pos="425"/>
        </w:tabs>
        <w:spacing w:before="240" w:beforeLines="100" w:afterLines="50" w:line="330" w:lineRule="exact"/>
        <w:jc w:val="center"/>
        <w:outlineLvl w:val="0"/>
        <w:rPr>
          <w:rFonts w:ascii="Times New Roman" w:hAnsi="Times New Roman" w:eastAsiaTheme="minorEastAsia"/>
          <w:b/>
          <w:sz w:val="24"/>
        </w:rPr>
      </w:pPr>
      <w:bookmarkStart w:id="430" w:name="_Toc182488016"/>
      <w:bookmarkStart w:id="431" w:name="_Toc171955191"/>
      <w:r>
        <w:rPr>
          <w:rFonts w:ascii="Times New Roman" w:hAnsi="Times New Roman" w:eastAsiaTheme="minorEastAsia"/>
          <w:b/>
          <w:sz w:val="24"/>
          <w:szCs w:val="24"/>
        </w:rPr>
        <w:t>引用标准名录</w:t>
      </w:r>
      <w:bookmarkEnd w:id="430"/>
      <w:bookmarkEnd w:id="431"/>
    </w:p>
    <w:p w14:paraId="265523AE">
      <w:pPr>
        <w:ind w:left="0" w:firstLine="0" w:firstLineChars="0"/>
        <w:rPr>
          <w:rFonts w:ascii="Times New Roman" w:hAnsi="Times New Roman"/>
        </w:rPr>
      </w:pPr>
      <w:bookmarkStart w:id="432" w:name="_Hlk182216792"/>
      <w:r>
        <w:rPr>
          <w:rFonts w:hint="eastAsia" w:ascii="Times New Roman" w:hAnsi="Times New Roman"/>
        </w:rPr>
        <w:t>1</w:t>
      </w:r>
      <w:r>
        <w:rPr>
          <w:rFonts w:ascii="Times New Roman" w:hAnsi="Times New Roman"/>
        </w:rPr>
        <w:t>《火灾自动报警系统施工及验收规范》GB 50166</w:t>
      </w:r>
    </w:p>
    <w:p w14:paraId="2B469F42">
      <w:pPr>
        <w:ind w:left="0" w:firstLine="0" w:firstLineChars="0"/>
        <w:rPr>
          <w:rFonts w:ascii="Times New Roman" w:hAnsi="Times New Roman"/>
        </w:rPr>
      </w:pPr>
      <w:r>
        <w:rPr>
          <w:rFonts w:ascii="Times New Roman" w:hAnsi="Times New Roman"/>
        </w:rPr>
        <w:t>2《民用闭路监控电视系统工程技术规范》GB 50198</w:t>
      </w:r>
    </w:p>
    <w:p w14:paraId="4F5860AC">
      <w:pPr>
        <w:ind w:left="0" w:firstLine="0" w:firstLineChars="0"/>
        <w:rPr>
          <w:rFonts w:ascii="Times New Roman" w:hAnsi="Times New Roman"/>
        </w:rPr>
      </w:pPr>
      <w:r>
        <w:rPr>
          <w:rFonts w:ascii="Times New Roman" w:hAnsi="Times New Roman"/>
        </w:rPr>
        <w:t>3《现场设备、工业管道焊接工程施工规范》GB 50236</w:t>
      </w:r>
    </w:p>
    <w:p w14:paraId="0C817B15">
      <w:pPr>
        <w:ind w:left="0" w:firstLine="0" w:firstLineChars="0"/>
        <w:rPr>
          <w:rFonts w:ascii="Times New Roman" w:hAnsi="Times New Roman"/>
        </w:rPr>
      </w:pPr>
      <w:r>
        <w:rPr>
          <w:rFonts w:ascii="Times New Roman" w:hAnsi="Times New Roman"/>
        </w:rPr>
        <w:t xml:space="preserve">4《建筑工程施工质量验收统一标准》GB 50300 </w:t>
      </w:r>
    </w:p>
    <w:p w14:paraId="5E5B8AE0">
      <w:pPr>
        <w:ind w:left="0" w:firstLine="0" w:firstLineChars="0"/>
        <w:rPr>
          <w:rFonts w:ascii="Times New Roman" w:hAnsi="Times New Roman"/>
        </w:rPr>
      </w:pPr>
      <w:r>
        <w:rPr>
          <w:rFonts w:ascii="Times New Roman" w:hAnsi="Times New Roman"/>
        </w:rPr>
        <w:t xml:space="preserve">5《建筑电气工程施工质量验收规范》GB 50303 </w:t>
      </w:r>
    </w:p>
    <w:p w14:paraId="78EBA0B1">
      <w:pPr>
        <w:ind w:left="0" w:firstLine="0" w:firstLineChars="0"/>
        <w:rPr>
          <w:rFonts w:ascii="Times New Roman" w:hAnsi="Times New Roman"/>
          <w:szCs w:val="21"/>
        </w:rPr>
      </w:pPr>
      <w:r>
        <w:rPr>
          <w:rFonts w:ascii="Times New Roman" w:hAnsi="Times New Roman"/>
          <w:szCs w:val="21"/>
        </w:rPr>
        <w:t>6《综合布线系统工程设计规范》GB 50311</w:t>
      </w:r>
    </w:p>
    <w:p w14:paraId="0280A708">
      <w:pPr>
        <w:ind w:left="0" w:firstLine="0" w:firstLineChars="0"/>
        <w:rPr>
          <w:rFonts w:ascii="Times New Roman" w:hAnsi="Times New Roman"/>
        </w:rPr>
      </w:pPr>
      <w:r>
        <w:rPr>
          <w:rFonts w:ascii="Times New Roman" w:hAnsi="Times New Roman"/>
        </w:rPr>
        <w:t>7《综合布线系统工程验收规范》GB 50312</w:t>
      </w:r>
    </w:p>
    <w:p w14:paraId="1C9493C8">
      <w:pPr>
        <w:ind w:left="0" w:firstLine="0" w:firstLineChars="0"/>
        <w:rPr>
          <w:rFonts w:ascii="Times New Roman" w:hAnsi="Times New Roman"/>
        </w:rPr>
      </w:pPr>
      <w:r>
        <w:rPr>
          <w:rFonts w:ascii="Times New Roman" w:hAnsi="Times New Roman"/>
        </w:rPr>
        <w:t>8《智能建筑工程质量验收规范》GB 50339</w:t>
      </w:r>
    </w:p>
    <w:p w14:paraId="0AF62A24">
      <w:pPr>
        <w:ind w:left="0" w:firstLine="0" w:firstLineChars="0"/>
        <w:rPr>
          <w:rFonts w:ascii="Times New Roman" w:hAnsi="Times New Roman"/>
        </w:rPr>
      </w:pPr>
      <w:r>
        <w:rPr>
          <w:rFonts w:ascii="Times New Roman" w:hAnsi="Times New Roman"/>
        </w:rPr>
        <w:t>9《建筑物电子信息系统防雷技术术规范》GB 50343</w:t>
      </w:r>
    </w:p>
    <w:p w14:paraId="20BB6053">
      <w:pPr>
        <w:ind w:left="0" w:firstLine="0" w:firstLineChars="0"/>
        <w:rPr>
          <w:rFonts w:ascii="Times New Roman" w:hAnsi="Times New Roman"/>
        </w:rPr>
      </w:pPr>
      <w:r>
        <w:rPr>
          <w:rFonts w:ascii="Times New Roman" w:hAnsi="Times New Roman"/>
        </w:rPr>
        <w:t>10《安全防范工程技术规范》GB 50348</w:t>
      </w:r>
    </w:p>
    <w:p w14:paraId="4F6B214D">
      <w:pPr>
        <w:ind w:left="0" w:firstLine="0" w:firstLineChars="0"/>
        <w:rPr>
          <w:rFonts w:ascii="Times New Roman" w:hAnsi="Times New Roman"/>
        </w:rPr>
      </w:pPr>
      <w:r>
        <w:rPr>
          <w:rFonts w:ascii="Times New Roman" w:hAnsi="Times New Roman"/>
        </w:rPr>
        <w:t>11《通信管道工程施工及验收技术规范》GB 50374</w:t>
      </w:r>
    </w:p>
    <w:p w14:paraId="5BE955F2">
      <w:pPr>
        <w:ind w:left="0" w:firstLine="0" w:firstLineChars="0"/>
        <w:rPr>
          <w:rFonts w:ascii="Times New Roman" w:hAnsi="Times New Roman"/>
        </w:rPr>
      </w:pPr>
      <w:r>
        <w:rPr>
          <w:rFonts w:ascii="Times New Roman" w:hAnsi="Times New Roman"/>
        </w:rPr>
        <w:t>12《外壳防护等级(IP代码) 》GB/T 4208</w:t>
      </w:r>
    </w:p>
    <w:p w14:paraId="21930FFD">
      <w:pPr>
        <w:ind w:left="0" w:firstLine="0" w:firstLineChars="0"/>
        <w:rPr>
          <w:rFonts w:ascii="Times New Roman" w:hAnsi="Times New Roman"/>
        </w:rPr>
      </w:pPr>
      <w:r>
        <w:rPr>
          <w:rFonts w:ascii="Times New Roman" w:hAnsi="Times New Roman"/>
        </w:rPr>
        <w:t>13《通信用多模光纤系列》GB/T 12357</w:t>
      </w:r>
    </w:p>
    <w:p w14:paraId="21D9260B">
      <w:pPr>
        <w:ind w:left="0" w:firstLine="0" w:firstLineChars="0"/>
        <w:rPr>
          <w:rFonts w:ascii="Times New Roman" w:hAnsi="Times New Roman"/>
        </w:rPr>
      </w:pPr>
      <w:r>
        <w:rPr>
          <w:rFonts w:ascii="Times New Roman" w:hAnsi="Times New Roman"/>
        </w:rPr>
        <w:t>14《信息安全技术信息系统安全等级保护基本要求》GB/T 22239</w:t>
      </w:r>
    </w:p>
    <w:p w14:paraId="22953243">
      <w:pPr>
        <w:ind w:left="0" w:firstLine="0" w:firstLineChars="0"/>
        <w:rPr>
          <w:rFonts w:ascii="Times New Roman" w:hAnsi="Times New Roman"/>
        </w:rPr>
      </w:pPr>
      <w:r>
        <w:rPr>
          <w:rFonts w:ascii="Times New Roman" w:hAnsi="Times New Roman"/>
        </w:rPr>
        <w:t>15《固定电话交换设备安装工程设计规安装应范》YD 5076</w:t>
      </w:r>
    </w:p>
    <w:bookmarkEnd w:id="432"/>
    <w:p w14:paraId="50B60C01">
      <w:pPr>
        <w:ind w:left="0" w:firstLine="0" w:firstLineChars="0"/>
        <w:rPr>
          <w:rFonts w:ascii="Times New Roman" w:hAnsi="Times New Roman"/>
        </w:rPr>
      </w:pPr>
    </w:p>
    <w:p w14:paraId="72F77021">
      <w:pPr>
        <w:ind w:left="0" w:firstLine="0" w:firstLineChars="0"/>
        <w:rPr>
          <w:rFonts w:ascii="Times New Roman" w:hAnsi="Times New Roman"/>
        </w:rPr>
      </w:pPr>
    </w:p>
    <w:p w14:paraId="1995A62A">
      <w:pPr>
        <w:ind w:left="0" w:firstLine="0" w:firstLineChars="0"/>
        <w:rPr>
          <w:rFonts w:ascii="Times New Roman" w:hAnsi="Times New Roman"/>
        </w:rPr>
      </w:pPr>
    </w:p>
    <w:sectPr>
      <w:pgSz w:w="11907" w:h="16840"/>
      <w:pgMar w:top="1440" w:right="1800" w:bottom="1440" w:left="1800"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hanging="105"/>
      </w:pPr>
      <w:r>
        <w:separator/>
      </w:r>
    </w:p>
  </w:endnote>
  <w:endnote w:type="continuationSeparator" w:id="1">
    <w:p>
      <w:pPr>
        <w:ind w:hanging="10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872351-960F-479F-A683-53161C19BE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26BE538-8491-4E5B-B861-A8E2025CF4F1}"/>
  </w:font>
  <w:font w:name="PMingLiU">
    <w:altName w:val="Microsoft JhengHei UI"/>
    <w:panose1 w:val="02010601000101010101"/>
    <w:charset w:val="88"/>
    <w:family w:val="roman"/>
    <w:pitch w:val="default"/>
    <w:sig w:usb0="00000000" w:usb1="00000000" w:usb2="00000016" w:usb3="00000000" w:csb0="00100001" w:csb1="00000000"/>
  </w:font>
  <w:font w:name="楷体_GB2312">
    <w:altName w:val="楷体"/>
    <w:panose1 w:val="00000000000000000000"/>
    <w:charset w:val="86"/>
    <w:family w:val="modern"/>
    <w:pitch w:val="default"/>
    <w:sig w:usb0="00000000" w:usb1="00000000" w:usb2="00000000" w:usb3="00000000" w:csb0="00040000" w:csb1="00000000"/>
  </w:font>
  <w:font w:name="Plotter">
    <w:altName w:val="Verdana"/>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方正小标宋_GBK">
    <w:panose1 w:val="02000000000000000000"/>
    <w:charset w:val="86"/>
    <w:family w:val="script"/>
    <w:pitch w:val="default"/>
    <w:sig w:usb0="A00002BF" w:usb1="38CF7CFA" w:usb2="00082016" w:usb3="00000000" w:csb0="00040001" w:csb1="00000000"/>
    <w:embedRegular r:id="rId3" w:fontKey="{CD549E9D-8FD2-43D6-88AC-7150E80274B7}"/>
  </w:font>
  <w:font w:name="楷体">
    <w:panose1 w:val="02010609060101010101"/>
    <w:charset w:val="86"/>
    <w:family w:val="modern"/>
    <w:pitch w:val="default"/>
    <w:sig w:usb0="800002BF" w:usb1="38CF7CFA" w:usb2="00000016" w:usb3="00000000" w:csb0="00040001" w:csb1="00000000"/>
    <w:embedRegular r:id="rId4" w:fontKey="{A3449DEB-80B3-4D37-9BE6-66694F10866B}"/>
  </w:font>
  <w:font w:name="微软雅黑">
    <w:panose1 w:val="020B0503020204020204"/>
    <w:charset w:val="86"/>
    <w:family w:val="swiss"/>
    <w:pitch w:val="default"/>
    <w:sig w:usb0="80000287" w:usb1="2ACF3C50" w:usb2="00000016" w:usb3="00000000" w:csb0="0004001F" w:csb1="00000000"/>
    <w:embedRegular r:id="rId5" w:fontKey="{8EE59E7C-6337-49BB-9809-652148EC773F}"/>
  </w:font>
  <w:font w:name="Cambria Math">
    <w:panose1 w:val="02040503050406030204"/>
    <w:charset w:val="00"/>
    <w:family w:val="roman"/>
    <w:pitch w:val="default"/>
    <w:sig w:usb0="E00006FF" w:usb1="420024FF" w:usb2="02000000" w:usb3="00000000" w:csb0="2000019F" w:csb1="00000000"/>
    <w:embedRegular r:id="rId6" w:fontKey="{8079C179-00E7-4EA7-B083-8CE075A87B55}"/>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B0217">
    <w:pPr>
      <w:pStyle w:val="15"/>
      <w:ind w:left="90" w:right="240" w:hanging="9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1E37">
    <w:pPr>
      <w:spacing w:line="1" w:lineRule="exact"/>
      <w:ind w:left="105" w:hanging="105"/>
    </w:pPr>
    <w:r>
      <mc:AlternateContent>
        <mc:Choice Requires="wps">
          <w:drawing>
            <wp:anchor distT="0" distB="0" distL="0" distR="0" simplePos="0" relativeHeight="251667456" behindDoc="1" locked="0" layoutInCell="1" allowOverlap="1">
              <wp:simplePos x="0" y="0"/>
              <wp:positionH relativeFrom="page">
                <wp:posOffset>1169035</wp:posOffset>
              </wp:positionH>
              <wp:positionV relativeFrom="page">
                <wp:posOffset>10066655</wp:posOffset>
              </wp:positionV>
              <wp:extent cx="278765" cy="132715"/>
              <wp:effectExtent l="0" t="0" r="0" b="0"/>
              <wp:wrapNone/>
              <wp:docPr id="18" name="Shape 533"/>
              <wp:cNvGraphicFramePr/>
              <a:graphic xmlns:a="http://schemas.openxmlformats.org/drawingml/2006/main">
                <a:graphicData uri="http://schemas.microsoft.com/office/word/2010/wordprocessingShape">
                  <wps:wsp>
                    <wps:cNvSpPr txBox="1"/>
                    <wps:spPr>
                      <a:xfrm>
                        <a:off x="0" y="0"/>
                        <a:ext cx="278765" cy="132715"/>
                      </a:xfrm>
                      <a:prstGeom prst="rect">
                        <a:avLst/>
                      </a:prstGeom>
                      <a:noFill/>
                    </wps:spPr>
                    <wps:txbx>
                      <w:txbxContent>
                        <w:p w14:paraId="6DA6C813">
                          <w:pPr>
                            <w:pStyle w:val="200"/>
                            <w:ind w:left="130" w:hanging="130"/>
                            <w:jc w:val="left"/>
                            <w:rPr>
                              <w:sz w:val="30"/>
                              <w:szCs w:val="30"/>
                            </w:rPr>
                          </w:pPr>
                          <w:r>
                            <w:fldChar w:fldCharType="begin"/>
                          </w:r>
                          <w:r>
                            <w:instrText xml:space="preserve"> PAGE \* MERGEFORMAT </w:instrText>
                          </w:r>
                          <w:r>
                            <w:fldChar w:fldCharType="separate"/>
                          </w:r>
                          <w:r>
                            <w:rPr>
                              <w:rFonts w:ascii="Times New Roman" w:hAnsi="Times New Roman" w:eastAsia="Times New Roman" w:cs="Times New Roman"/>
                              <w:i/>
                              <w:iCs/>
                              <w:color w:val="000000"/>
                              <w:sz w:val="30"/>
                              <w:szCs w:val="30"/>
                            </w:rPr>
                            <w:t>#</w:t>
                          </w:r>
                          <w:r>
                            <w:rPr>
                              <w:rFonts w:ascii="Times New Roman" w:hAnsi="Times New Roman" w:eastAsia="Times New Roman" w:cs="Times New Roman"/>
                              <w:i/>
                              <w:iCs/>
                              <w:color w:val="000000"/>
                              <w:sz w:val="30"/>
                              <w:szCs w:val="30"/>
                            </w:rPr>
                            <w:fldChar w:fldCharType="end"/>
                          </w:r>
                        </w:p>
                      </w:txbxContent>
                    </wps:txbx>
                    <wps:bodyPr wrap="none" lIns="0" tIns="0" rIns="0" bIns="0">
                      <a:spAutoFit/>
                    </wps:bodyPr>
                  </wps:wsp>
                </a:graphicData>
              </a:graphic>
            </wp:anchor>
          </w:drawing>
        </mc:Choice>
        <mc:Fallback>
          <w:pict>
            <v:shape id="Shape 533" o:spid="_x0000_s1026" o:spt="202" type="#_x0000_t202" style="position:absolute;left:0pt;margin-left:92.05pt;margin-top:792.65pt;height:10.45pt;width:21.95pt;mso-position-horizontal-relative:page;mso-position-vertical-relative:page;mso-wrap-style:none;z-index:-251649024;mso-width-relative:page;mso-height-relative:page;" filled="f" stroked="f" coordsize="21600,21600" o:gfxdata="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7uYFV&#10;2AAAAA0BAAAPAAAAAAAAAAEAIAAAACIAAABkcnMvZG93bnJldi54bWxQSwECFAAUAAAACACHTuJA&#10;NswNzq8BAAByAwAADgAAAAAAAAABACAAAAAnAQAAZHJzL2Uyb0RvYy54bWxQSwUGAAAAAAYABgBZ&#10;AQAASAUAAAAA&#10;">
              <v:fill on="f" focussize="0,0"/>
              <v:stroke on="f"/>
              <v:imagedata o:title=""/>
              <o:lock v:ext="edit" aspectratio="f"/>
              <v:textbox inset="0mm,0mm,0mm,0mm" style="mso-fit-shape-to-text:t;">
                <w:txbxContent>
                  <w:p w14:paraId="6DA6C813">
                    <w:pPr>
                      <w:pStyle w:val="200"/>
                      <w:ind w:left="130" w:hanging="130"/>
                      <w:jc w:val="left"/>
                      <w:rPr>
                        <w:sz w:val="30"/>
                        <w:szCs w:val="30"/>
                      </w:rPr>
                    </w:pPr>
                    <w:r>
                      <w:fldChar w:fldCharType="begin"/>
                    </w:r>
                    <w:r>
                      <w:instrText xml:space="preserve"> PAGE \* MERGEFORMAT </w:instrText>
                    </w:r>
                    <w:r>
                      <w:fldChar w:fldCharType="separate"/>
                    </w:r>
                    <w:r>
                      <w:rPr>
                        <w:rFonts w:ascii="Times New Roman" w:hAnsi="Times New Roman" w:eastAsia="Times New Roman" w:cs="Times New Roman"/>
                        <w:i/>
                        <w:iCs/>
                        <w:color w:val="000000"/>
                        <w:sz w:val="30"/>
                        <w:szCs w:val="30"/>
                      </w:rPr>
                      <w:t>#</w:t>
                    </w:r>
                    <w:r>
                      <w:rPr>
                        <w:rFonts w:ascii="Times New Roman" w:hAnsi="Times New Roman" w:eastAsia="Times New Roman" w:cs="Times New Roman"/>
                        <w:i/>
                        <w:iCs/>
                        <w:color w:val="000000"/>
                        <w:sz w:val="30"/>
                        <w:szCs w:val="30"/>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5292">
    <w:pPr>
      <w:spacing w:line="1" w:lineRule="exact"/>
      <w:ind w:left="105" w:hanging="105"/>
    </w:pPr>
    <w:r>
      <mc:AlternateContent>
        <mc:Choice Requires="wps">
          <w:drawing>
            <wp:anchor distT="0" distB="0" distL="0" distR="0" simplePos="0" relativeHeight="251662336" behindDoc="1" locked="0" layoutInCell="1" allowOverlap="1">
              <wp:simplePos x="0" y="0"/>
              <wp:positionH relativeFrom="page">
                <wp:posOffset>1186180</wp:posOffset>
              </wp:positionH>
              <wp:positionV relativeFrom="page">
                <wp:posOffset>10023475</wp:posOffset>
              </wp:positionV>
              <wp:extent cx="278765" cy="132715"/>
              <wp:effectExtent l="0" t="0" r="0" b="0"/>
              <wp:wrapNone/>
              <wp:docPr id="529" name="Shape 529"/>
              <wp:cNvGraphicFramePr/>
              <a:graphic xmlns:a="http://schemas.openxmlformats.org/drawingml/2006/main">
                <a:graphicData uri="http://schemas.microsoft.com/office/word/2010/wordprocessingShape">
                  <wps:wsp>
                    <wps:cNvSpPr txBox="1"/>
                    <wps:spPr>
                      <a:xfrm>
                        <a:off x="0" y="0"/>
                        <a:ext cx="278765" cy="132715"/>
                      </a:xfrm>
                      <a:prstGeom prst="rect">
                        <a:avLst/>
                      </a:prstGeom>
                      <a:noFill/>
                    </wps:spPr>
                    <wps:txbx>
                      <w:txbxContent>
                        <w:p w14:paraId="3C4A730E">
                          <w:pPr>
                            <w:pStyle w:val="200"/>
                            <w:ind w:left="130" w:hanging="130"/>
                            <w:jc w:val="left"/>
                            <w:rPr>
                              <w:sz w:val="30"/>
                              <w:szCs w:val="30"/>
                            </w:rPr>
                          </w:pPr>
                          <w:r>
                            <w:fldChar w:fldCharType="begin"/>
                          </w:r>
                          <w:r>
                            <w:instrText xml:space="preserve"> PAGE \* MERGEFORMAT </w:instrText>
                          </w:r>
                          <w:r>
                            <w:fldChar w:fldCharType="separate"/>
                          </w:r>
                          <w:r>
                            <w:rPr>
                              <w:rFonts w:ascii="Times New Roman" w:hAnsi="Times New Roman" w:eastAsia="Times New Roman" w:cs="Times New Roman"/>
                              <w:i/>
                              <w:iCs/>
                              <w:color w:val="000000"/>
                              <w:sz w:val="30"/>
                              <w:szCs w:val="30"/>
                            </w:rPr>
                            <w:t>#</w:t>
                          </w:r>
                          <w:r>
                            <w:rPr>
                              <w:rFonts w:ascii="Times New Roman" w:hAnsi="Times New Roman" w:eastAsia="Times New Roman" w:cs="Times New Roman"/>
                              <w:i/>
                              <w:iCs/>
                              <w:color w:val="000000"/>
                              <w:sz w:val="30"/>
                              <w:szCs w:val="30"/>
                            </w:rPr>
                            <w:fldChar w:fldCharType="end"/>
                          </w:r>
                        </w:p>
                      </w:txbxContent>
                    </wps:txbx>
                    <wps:bodyPr wrap="none" lIns="0" tIns="0" rIns="0" bIns="0">
                      <a:spAutoFit/>
                    </wps:bodyPr>
                  </wps:wsp>
                </a:graphicData>
              </a:graphic>
            </wp:anchor>
          </w:drawing>
        </mc:Choice>
        <mc:Fallback>
          <w:pict>
            <v:shape id="Shape 529" o:spid="_x0000_s1026" o:spt="202" type="#_x0000_t202" style="position:absolute;left:0pt;margin-left:93.4pt;margin-top:789.25pt;height:10.45pt;width:21.95pt;mso-position-horizontal-relative:page;mso-position-vertical-relative:page;mso-wrap-style:none;z-index:-251654144;mso-width-relative:page;mso-height-relative:page;" filled="f" stroked="f" coordsize="21600,21600" o:gfxdata="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8hy&#10;kNgAAAANAQAADwAAAAAAAAABACAAAAAiAAAAZHJzL2Rvd25yZXYueG1sUEsBAhQAFAAAAAgAh07i&#10;QOL00PmwAQAAcwMAAA4AAAAAAAAAAQAgAAAAJwEAAGRycy9lMm9Eb2MueG1sUEsFBgAAAAAGAAYA&#10;WQEAAEkFAAAAAA==&#10;">
              <v:fill on="f" focussize="0,0"/>
              <v:stroke on="f"/>
              <v:imagedata o:title=""/>
              <o:lock v:ext="edit" aspectratio="f"/>
              <v:textbox inset="0mm,0mm,0mm,0mm" style="mso-fit-shape-to-text:t;">
                <w:txbxContent>
                  <w:p w14:paraId="3C4A730E">
                    <w:pPr>
                      <w:pStyle w:val="200"/>
                      <w:ind w:left="130" w:hanging="130"/>
                      <w:jc w:val="left"/>
                      <w:rPr>
                        <w:sz w:val="30"/>
                        <w:szCs w:val="30"/>
                      </w:rPr>
                    </w:pPr>
                    <w:r>
                      <w:fldChar w:fldCharType="begin"/>
                    </w:r>
                    <w:r>
                      <w:instrText xml:space="preserve"> PAGE \* MERGEFORMAT </w:instrText>
                    </w:r>
                    <w:r>
                      <w:fldChar w:fldCharType="separate"/>
                    </w:r>
                    <w:r>
                      <w:rPr>
                        <w:rFonts w:ascii="Times New Roman" w:hAnsi="Times New Roman" w:eastAsia="Times New Roman" w:cs="Times New Roman"/>
                        <w:i/>
                        <w:iCs/>
                        <w:color w:val="000000"/>
                        <w:sz w:val="30"/>
                        <w:szCs w:val="30"/>
                      </w:rPr>
                      <w:t>#</w:t>
                    </w:r>
                    <w:r>
                      <w:rPr>
                        <w:rFonts w:ascii="Times New Roman" w:hAnsi="Times New Roman" w:eastAsia="Times New Roman" w:cs="Times New Roman"/>
                        <w:i/>
                        <w:iCs/>
                        <w:color w:val="000000"/>
                        <w:sz w:val="30"/>
                        <w:szCs w:val="3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22922">
    <w:pPr>
      <w:pStyle w:val="15"/>
      <w:framePr w:wrap="around" w:vAnchor="text" w:hAnchor="margin" w:xAlign="outside" w:y="1"/>
      <w:ind w:left="90" w:right="240" w:hanging="90"/>
      <w:rPr>
        <w:rStyle w:val="67"/>
      </w:rPr>
    </w:pPr>
    <w:r>
      <w:rPr>
        <w:rStyle w:val="67"/>
      </w:rPr>
      <w:fldChar w:fldCharType="begin"/>
    </w:r>
    <w:r>
      <w:rPr>
        <w:rStyle w:val="67"/>
      </w:rPr>
      <w:instrText xml:space="preserve">PAGE  </w:instrText>
    </w:r>
    <w:r>
      <w:rPr>
        <w:rStyle w:val="67"/>
      </w:rPr>
      <w:fldChar w:fldCharType="end"/>
    </w:r>
  </w:p>
  <w:p w14:paraId="5A10B04D">
    <w:pPr>
      <w:pStyle w:val="15"/>
      <w:ind w:left="90" w:right="240" w:hanging="9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9B5C2">
    <w:pPr>
      <w:pStyle w:val="15"/>
      <w:ind w:left="90" w:right="240" w:hanging="9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26FBF">
    <w:pPr>
      <w:pStyle w:val="15"/>
      <w:ind w:left="90" w:hanging="90"/>
      <w:jc w:val="right"/>
    </w:pPr>
  </w:p>
  <w:p w14:paraId="06F5B5AD">
    <w:pPr>
      <w:pStyle w:val="15"/>
      <w:ind w:left="90" w:hanging="9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21F9">
    <w:pPr>
      <w:pStyle w:val="15"/>
      <w:ind w:left="90" w:hanging="9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A433">
    <w:pPr>
      <w:pStyle w:val="15"/>
      <w:ind w:left="90" w:hanging="9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5389532"/>
    </w:sdtPr>
    <w:sdtEndPr>
      <w:rPr>
        <w:sz w:val="21"/>
        <w:szCs w:val="21"/>
      </w:rPr>
    </w:sdtEndPr>
    <w:sdtContent>
      <w:p w14:paraId="3455C9A5">
        <w:pPr>
          <w:pStyle w:val="26"/>
          <w:ind w:left="90" w:hanging="9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t>2</w:t>
        </w:r>
        <w:r>
          <w:rPr>
            <w:sz w:val="21"/>
            <w:szCs w:val="21"/>
          </w:rPr>
          <w:fldChar w:fldCharType="end"/>
        </w:r>
      </w:p>
    </w:sdtContent>
  </w:sdt>
  <w:p w14:paraId="5A259688">
    <w:pPr>
      <w:spacing w:line="1" w:lineRule="exact"/>
      <w:ind w:left="105" w:hanging="10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967D9">
    <w:pPr>
      <w:spacing w:line="1" w:lineRule="exact"/>
      <w:ind w:left="105" w:hanging="105"/>
    </w:pPr>
    <w:r>
      <mc:AlternateContent>
        <mc:Choice Requires="wps">
          <w:drawing>
            <wp:anchor distT="0" distB="0" distL="0" distR="0" simplePos="0" relativeHeight="251660288" behindDoc="1" locked="0" layoutInCell="1" allowOverlap="1">
              <wp:simplePos x="0" y="0"/>
              <wp:positionH relativeFrom="page">
                <wp:posOffset>1173480</wp:posOffset>
              </wp:positionH>
              <wp:positionV relativeFrom="page">
                <wp:posOffset>10072370</wp:posOffset>
              </wp:positionV>
              <wp:extent cx="283210" cy="137160"/>
              <wp:effectExtent l="0" t="0" r="0" b="0"/>
              <wp:wrapNone/>
              <wp:docPr id="50" name="Shape 517"/>
              <wp:cNvGraphicFramePr/>
              <a:graphic xmlns:a="http://schemas.openxmlformats.org/drawingml/2006/main">
                <a:graphicData uri="http://schemas.microsoft.com/office/word/2010/wordprocessingShape">
                  <wps:wsp>
                    <wps:cNvSpPr txBox="1"/>
                    <wps:spPr>
                      <a:xfrm>
                        <a:off x="0" y="0"/>
                        <a:ext cx="283210" cy="137160"/>
                      </a:xfrm>
                      <a:prstGeom prst="rect">
                        <a:avLst/>
                      </a:prstGeom>
                      <a:noFill/>
                    </wps:spPr>
                    <wps:txbx>
                      <w:txbxContent>
                        <w:p w14:paraId="4FEDC127">
                          <w:pPr>
                            <w:pStyle w:val="200"/>
                            <w:ind w:left="130" w:hanging="130"/>
                            <w:jc w:val="left"/>
                            <w:rPr>
                              <w:sz w:val="30"/>
                              <w:szCs w:val="30"/>
                            </w:rPr>
                          </w:pPr>
                          <w:r>
                            <w:fldChar w:fldCharType="begin"/>
                          </w:r>
                          <w:r>
                            <w:instrText xml:space="preserve"> PAGE \* MERGEFORMAT </w:instrText>
                          </w:r>
                          <w:r>
                            <w:fldChar w:fldCharType="separate"/>
                          </w:r>
                          <w:r>
                            <w:rPr>
                              <w:rFonts w:ascii="Times New Roman" w:hAnsi="Times New Roman" w:eastAsia="Times New Roman" w:cs="Times New Roman"/>
                              <w:i/>
                              <w:iCs/>
                              <w:color w:val="000000"/>
                              <w:sz w:val="30"/>
                              <w:szCs w:val="30"/>
                            </w:rPr>
                            <w:t>#</w:t>
                          </w:r>
                          <w:r>
                            <w:rPr>
                              <w:rFonts w:ascii="Times New Roman" w:hAnsi="Times New Roman" w:eastAsia="Times New Roman" w:cs="Times New Roman"/>
                              <w:i/>
                              <w:iCs/>
                              <w:color w:val="000000"/>
                              <w:sz w:val="30"/>
                              <w:szCs w:val="30"/>
                            </w:rPr>
                            <w:fldChar w:fldCharType="end"/>
                          </w:r>
                        </w:p>
                      </w:txbxContent>
                    </wps:txbx>
                    <wps:bodyPr wrap="none" lIns="0" tIns="0" rIns="0" bIns="0">
                      <a:spAutoFit/>
                    </wps:bodyPr>
                  </wps:wsp>
                </a:graphicData>
              </a:graphic>
            </wp:anchor>
          </w:drawing>
        </mc:Choice>
        <mc:Fallback>
          <w:pict>
            <v:shape id="Shape 517" o:spid="_x0000_s1026" o:spt="202" type="#_x0000_t202" style="position:absolute;left:0pt;margin-left:92.4pt;margin-top:793.1pt;height:10.8pt;width:22.3pt;mso-position-horizontal-relative:page;mso-position-vertical-relative:page;mso-wrap-style:none;z-index:-251656192;mso-width-relative:page;mso-height-relative:page;" filled="f" stroked="f" coordsize="21600,21600" o:gfxdata="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daFz&#10;2AAAAA0BAAAPAAAAAAAAAAEAIAAAACIAAABkcnMvZG93bnJldi54bWxQSwECFAAUAAAACACHTuJA&#10;SBr6Mq8BAAByAwAADgAAAAAAAAABACAAAAAnAQAAZHJzL2Uyb0RvYy54bWxQSwUGAAAAAAYABgBZ&#10;AQAASAUAAAAA&#10;">
              <v:fill on="f" focussize="0,0"/>
              <v:stroke on="f"/>
              <v:imagedata o:title=""/>
              <o:lock v:ext="edit" aspectratio="f"/>
              <v:textbox inset="0mm,0mm,0mm,0mm" style="mso-fit-shape-to-text:t;">
                <w:txbxContent>
                  <w:p w14:paraId="4FEDC127">
                    <w:pPr>
                      <w:pStyle w:val="200"/>
                      <w:ind w:left="130" w:hanging="130"/>
                      <w:jc w:val="left"/>
                      <w:rPr>
                        <w:sz w:val="30"/>
                        <w:szCs w:val="30"/>
                      </w:rPr>
                    </w:pPr>
                    <w:r>
                      <w:fldChar w:fldCharType="begin"/>
                    </w:r>
                    <w:r>
                      <w:instrText xml:space="preserve"> PAGE \* MERGEFORMAT </w:instrText>
                    </w:r>
                    <w:r>
                      <w:fldChar w:fldCharType="separate"/>
                    </w:r>
                    <w:r>
                      <w:rPr>
                        <w:rFonts w:ascii="Times New Roman" w:hAnsi="Times New Roman" w:eastAsia="Times New Roman" w:cs="Times New Roman"/>
                        <w:i/>
                        <w:iCs/>
                        <w:color w:val="000000"/>
                        <w:sz w:val="30"/>
                        <w:szCs w:val="30"/>
                      </w:rPr>
                      <w:t>#</w:t>
                    </w:r>
                    <w:r>
                      <w:rPr>
                        <w:rFonts w:ascii="Times New Roman" w:hAnsi="Times New Roman" w:eastAsia="Times New Roman" w:cs="Times New Roman"/>
                        <w:i/>
                        <w:iCs/>
                        <w:color w:val="000000"/>
                        <w:sz w:val="30"/>
                        <w:szCs w:val="30"/>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73F58">
    <w:pPr>
      <w:spacing w:line="1" w:lineRule="exact"/>
      <w:ind w:left="105" w:hanging="105"/>
    </w:pPr>
    <w:r>
      <mc:AlternateContent>
        <mc:Choice Requires="wps">
          <w:drawing>
            <wp:anchor distT="0" distB="0" distL="0" distR="0" simplePos="0" relativeHeight="251661312" behindDoc="1" locked="0" layoutInCell="1" allowOverlap="1">
              <wp:simplePos x="0" y="0"/>
              <wp:positionH relativeFrom="page">
                <wp:posOffset>1199515</wp:posOffset>
              </wp:positionH>
              <wp:positionV relativeFrom="page">
                <wp:posOffset>9978390</wp:posOffset>
              </wp:positionV>
              <wp:extent cx="283210" cy="132715"/>
              <wp:effectExtent l="0" t="0" r="0" b="0"/>
              <wp:wrapNone/>
              <wp:docPr id="112" name="Shape 525"/>
              <wp:cNvGraphicFramePr/>
              <a:graphic xmlns:a="http://schemas.openxmlformats.org/drawingml/2006/main">
                <a:graphicData uri="http://schemas.microsoft.com/office/word/2010/wordprocessingShape">
                  <wps:wsp>
                    <wps:cNvSpPr txBox="1"/>
                    <wps:spPr>
                      <a:xfrm>
                        <a:off x="0" y="0"/>
                        <a:ext cx="283210" cy="132715"/>
                      </a:xfrm>
                      <a:prstGeom prst="rect">
                        <a:avLst/>
                      </a:prstGeom>
                      <a:noFill/>
                    </wps:spPr>
                    <wps:txbx>
                      <w:txbxContent>
                        <w:p w14:paraId="00648648">
                          <w:pPr>
                            <w:pStyle w:val="200"/>
                            <w:ind w:left="130" w:hanging="130"/>
                            <w:jc w:val="left"/>
                            <w:rPr>
                              <w:sz w:val="28"/>
                              <w:szCs w:val="28"/>
                            </w:rPr>
                          </w:pPr>
                          <w:r>
                            <w:fldChar w:fldCharType="begin"/>
                          </w:r>
                          <w:r>
                            <w:instrText xml:space="preserve"> PAGE \* MERGEFORMAT </w:instrText>
                          </w:r>
                          <w:r>
                            <w:fldChar w:fldCharType="separate"/>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rPr>
                            <w:fldChar w:fldCharType="end"/>
                          </w:r>
                        </w:p>
                      </w:txbxContent>
                    </wps:txbx>
                    <wps:bodyPr wrap="none" lIns="0" tIns="0" rIns="0" bIns="0">
                      <a:spAutoFit/>
                    </wps:bodyPr>
                  </wps:wsp>
                </a:graphicData>
              </a:graphic>
            </wp:anchor>
          </w:drawing>
        </mc:Choice>
        <mc:Fallback>
          <w:pict>
            <v:shape id="Shape 525" o:spid="_x0000_s1026" o:spt="202" type="#_x0000_t202" style="position:absolute;left:0pt;margin-left:94.45pt;margin-top:785.7pt;height:10.45pt;width:22.3pt;mso-position-horizontal-relative:page;mso-position-vertical-relative:page;mso-wrap-style:none;z-index:-251655168;mso-width-relative:page;mso-height-relative:page;" filled="f" stroked="f" coordsize="21600,21600" o:gfxdata="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S65&#10;2AAAAA0BAAAPAAAAAAAAAAEAIAAAACIAAABkcnMvZG93bnJldi54bWxQSwECFAAUAAAACACHTuJA&#10;HRuZh68BAABzAwAADgAAAAAAAAABACAAAAAnAQAAZHJzL2Uyb0RvYy54bWxQSwUGAAAAAAYABgBZ&#10;AQAASAUAAAAA&#10;">
              <v:fill on="f" focussize="0,0"/>
              <v:stroke on="f"/>
              <v:imagedata o:title=""/>
              <o:lock v:ext="edit" aspectratio="f"/>
              <v:textbox inset="0mm,0mm,0mm,0mm" style="mso-fit-shape-to-text:t;">
                <w:txbxContent>
                  <w:p w14:paraId="00648648">
                    <w:pPr>
                      <w:pStyle w:val="200"/>
                      <w:ind w:left="130" w:hanging="130"/>
                      <w:jc w:val="left"/>
                      <w:rPr>
                        <w:sz w:val="28"/>
                        <w:szCs w:val="28"/>
                      </w:rPr>
                    </w:pPr>
                    <w:r>
                      <w:fldChar w:fldCharType="begin"/>
                    </w:r>
                    <w:r>
                      <w:instrText xml:space="preserve"> PAGE \* MERGEFORMAT </w:instrText>
                    </w:r>
                    <w:r>
                      <w:fldChar w:fldCharType="separate"/>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hanging="105"/>
      </w:pPr>
      <w:r>
        <w:separator/>
      </w:r>
    </w:p>
  </w:footnote>
  <w:footnote w:type="continuationSeparator" w:id="1">
    <w:p>
      <w:pPr>
        <w:ind w:hanging="10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89E24">
    <w:pPr>
      <w:ind w:left="105" w:hanging="10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C12F">
    <w:pPr>
      <w:spacing w:line="1" w:lineRule="exact"/>
      <w:ind w:left="105" w:hanging="10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834C0">
    <w:pPr>
      <w:spacing w:line="1" w:lineRule="exact"/>
      <w:ind w:left="105" w:hanging="10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3FAA5">
    <w:pPr>
      <w:spacing w:line="1" w:lineRule="exact"/>
      <w:ind w:left="105" w:hanging="10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28CC1">
    <w:pPr>
      <w:spacing w:line="1" w:lineRule="exact"/>
      <w:ind w:left="105" w:hanging="10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CB2D2">
    <w:pPr>
      <w:spacing w:line="1" w:lineRule="exact"/>
      <w:ind w:left="105" w:hanging="10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46793">
    <w:pPr>
      <w:spacing w:line="1" w:lineRule="exact"/>
      <w:ind w:left="105" w:hanging="10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615EF">
    <w:pPr>
      <w:ind w:left="105" w:hanging="10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41445">
    <w:pPr>
      <w:ind w:left="105" w:hanging="10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5EE7">
    <w:pPr>
      <w:ind w:left="105" w:hanging="10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688A">
    <w:pPr>
      <w:ind w:left="105" w:hanging="10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42D4">
    <w:pPr>
      <w:ind w:left="105" w:hanging="10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39B66">
    <w:pPr>
      <w:spacing w:line="1" w:lineRule="exact"/>
      <w:ind w:left="105" w:hanging="10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04E90">
    <w:pPr>
      <w:spacing w:line="1" w:lineRule="exact"/>
      <w:ind w:left="105" w:hanging="10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824C7">
    <w:pPr>
      <w:spacing w:line="1" w:lineRule="exact"/>
      <w:ind w:left="105" w:hanging="10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038F9"/>
    <w:multiLevelType w:val="multilevel"/>
    <w:tmpl w:val="81A038F9"/>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
    <w:nsid w:val="84841E1F"/>
    <w:multiLevelType w:val="multilevel"/>
    <w:tmpl w:val="84841E1F"/>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87858EC3"/>
    <w:multiLevelType w:val="multilevel"/>
    <w:tmpl w:val="87858EC3"/>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
    <w:nsid w:val="87D84C9D"/>
    <w:multiLevelType w:val="multilevel"/>
    <w:tmpl w:val="87D84C9D"/>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4">
    <w:nsid w:val="8811A7B9"/>
    <w:multiLevelType w:val="multilevel"/>
    <w:tmpl w:val="8811A7B9"/>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5">
    <w:nsid w:val="93DDC830"/>
    <w:multiLevelType w:val="multilevel"/>
    <w:tmpl w:val="93DDC83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95A6CF9E"/>
    <w:multiLevelType w:val="multilevel"/>
    <w:tmpl w:val="95A6CF9E"/>
    <w:lvl w:ilvl="0" w:tentative="0">
      <w:start w:val="1"/>
      <w:numFmt w:val="decimal"/>
      <w:lvlText w:val="%1"/>
      <w:lvlJc w:val="left"/>
      <w:pPr>
        <w:ind w:left="1838"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7">
    <w:nsid w:val="996EFD16"/>
    <w:multiLevelType w:val="multilevel"/>
    <w:tmpl w:val="996EFD16"/>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8">
    <w:nsid w:val="9C3E1E74"/>
    <w:multiLevelType w:val="multilevel"/>
    <w:tmpl w:val="9C3E1E74"/>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9">
    <w:nsid w:val="A664495A"/>
    <w:multiLevelType w:val="multilevel"/>
    <w:tmpl w:val="A664495A"/>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0">
    <w:nsid w:val="A66C4E63"/>
    <w:multiLevelType w:val="multilevel"/>
    <w:tmpl w:val="A66C4E63"/>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A72609C4"/>
    <w:multiLevelType w:val="multilevel"/>
    <w:tmpl w:val="A72609C4"/>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AB5A3F9A"/>
    <w:multiLevelType w:val="multilevel"/>
    <w:tmpl w:val="AB5A3F9A"/>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3">
    <w:nsid w:val="ABDE45E8"/>
    <w:multiLevelType w:val="multilevel"/>
    <w:tmpl w:val="ABDE45E8"/>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4">
    <w:nsid w:val="B0388115"/>
    <w:multiLevelType w:val="multilevel"/>
    <w:tmpl w:val="B0388115"/>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5">
    <w:nsid w:val="B6AD0A1C"/>
    <w:multiLevelType w:val="multilevel"/>
    <w:tmpl w:val="B6AD0A1C"/>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6">
    <w:nsid w:val="BB331202"/>
    <w:multiLevelType w:val="multilevel"/>
    <w:tmpl w:val="BB331202"/>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7">
    <w:nsid w:val="BBCC007C"/>
    <w:multiLevelType w:val="multilevel"/>
    <w:tmpl w:val="BBCC007C"/>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8">
    <w:nsid w:val="BC5C7010"/>
    <w:multiLevelType w:val="multilevel"/>
    <w:tmpl w:val="BC5C701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CA9AD0E9"/>
    <w:multiLevelType w:val="multilevel"/>
    <w:tmpl w:val="CA9AD0E9"/>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0">
    <w:nsid w:val="CB89A002"/>
    <w:multiLevelType w:val="multilevel"/>
    <w:tmpl w:val="CB89A002"/>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1">
    <w:nsid w:val="CD0D54EE"/>
    <w:multiLevelType w:val="multilevel"/>
    <w:tmpl w:val="CD0D54EE"/>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CD9842CC"/>
    <w:multiLevelType w:val="multilevel"/>
    <w:tmpl w:val="CD9842CC"/>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3">
    <w:nsid w:val="D454B094"/>
    <w:multiLevelType w:val="multilevel"/>
    <w:tmpl w:val="D454B094"/>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D4DC8C99"/>
    <w:multiLevelType w:val="multilevel"/>
    <w:tmpl w:val="D4DC8C9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D4F54B3D"/>
    <w:multiLevelType w:val="multilevel"/>
    <w:tmpl w:val="D4F54B3D"/>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6">
    <w:nsid w:val="D785E8E5"/>
    <w:multiLevelType w:val="multilevel"/>
    <w:tmpl w:val="D785E8E5"/>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DA3DDDFB"/>
    <w:multiLevelType w:val="multilevel"/>
    <w:tmpl w:val="DA3DDDFB"/>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8">
    <w:nsid w:val="DBDFBFC0"/>
    <w:multiLevelType w:val="multilevel"/>
    <w:tmpl w:val="DBDFBFC0"/>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9">
    <w:nsid w:val="DE0A5976"/>
    <w:multiLevelType w:val="multilevel"/>
    <w:tmpl w:val="DE0A5976"/>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0">
    <w:nsid w:val="E16CDB2D"/>
    <w:multiLevelType w:val="multilevel"/>
    <w:tmpl w:val="E16CDB2D"/>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E1B4C62A"/>
    <w:multiLevelType w:val="multilevel"/>
    <w:tmpl w:val="E1B4C62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E36C06D7"/>
    <w:multiLevelType w:val="multilevel"/>
    <w:tmpl w:val="E36C06D7"/>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E5526210"/>
    <w:multiLevelType w:val="multilevel"/>
    <w:tmpl w:val="E5526210"/>
    <w:lvl w:ilvl="0" w:tentative="0">
      <w:start w:val="1"/>
      <w:numFmt w:val="decimal"/>
      <w:lvlText w:val="%1"/>
      <w:lvlJc w:val="left"/>
      <w:pPr>
        <w:ind w:left="1838"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4">
    <w:nsid w:val="E68E204B"/>
    <w:multiLevelType w:val="multilevel"/>
    <w:tmpl w:val="E68E204B"/>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5">
    <w:nsid w:val="E6E34EA8"/>
    <w:multiLevelType w:val="multilevel"/>
    <w:tmpl w:val="E6E34EA8"/>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6">
    <w:nsid w:val="E988F8E7"/>
    <w:multiLevelType w:val="multilevel"/>
    <w:tmpl w:val="E988F8E7"/>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7">
    <w:nsid w:val="EEFC2DDF"/>
    <w:multiLevelType w:val="multilevel"/>
    <w:tmpl w:val="EEFC2DDF"/>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8">
    <w:nsid w:val="F08585BD"/>
    <w:multiLevelType w:val="multilevel"/>
    <w:tmpl w:val="F08585BD"/>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9">
    <w:nsid w:val="F188A0FB"/>
    <w:multiLevelType w:val="multilevel"/>
    <w:tmpl w:val="F188A0FB"/>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40">
    <w:nsid w:val="F2BD1B72"/>
    <w:multiLevelType w:val="multilevel"/>
    <w:tmpl w:val="F2BD1B72"/>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41">
    <w:nsid w:val="01222A7C"/>
    <w:multiLevelType w:val="multilevel"/>
    <w:tmpl w:val="01222A7C"/>
    <w:lvl w:ilvl="0" w:tentative="0">
      <w:start w:val="1"/>
      <w:numFmt w:val="decimal"/>
      <w:lvlText w:val="%1"/>
      <w:lvlJc w:val="left"/>
      <w:pPr>
        <w:ind w:left="645" w:hanging="645"/>
      </w:pPr>
      <w:rPr>
        <w:rFonts w:hint="default"/>
        <w:b/>
      </w:rPr>
    </w:lvl>
    <w:lvl w:ilvl="1" w:tentative="0">
      <w:start w:val="0"/>
      <w:numFmt w:val="decimal"/>
      <w:lvlText w:val="%1.%2"/>
      <w:lvlJc w:val="left"/>
      <w:pPr>
        <w:ind w:left="645" w:hanging="645"/>
      </w:pPr>
      <w:rPr>
        <w:rFonts w:hint="default"/>
        <w:b/>
      </w:rPr>
    </w:lvl>
    <w:lvl w:ilvl="2" w:tentative="0">
      <w:start w:val="1"/>
      <w:numFmt w:val="decimal"/>
      <w:lvlText w:val="%1.%2.%3"/>
      <w:lvlJc w:val="left"/>
      <w:pPr>
        <w:tabs>
          <w:tab w:val="left" w:pos="624"/>
        </w:tabs>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080" w:hanging="108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440" w:hanging="1440"/>
      </w:pPr>
      <w:rPr>
        <w:rFonts w:hint="default"/>
        <w:b/>
      </w:rPr>
    </w:lvl>
  </w:abstractNum>
  <w:abstractNum w:abstractNumId="42">
    <w:nsid w:val="018E62C6"/>
    <w:multiLevelType w:val="multilevel"/>
    <w:tmpl w:val="018E62C6"/>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43">
    <w:nsid w:val="019B5488"/>
    <w:multiLevelType w:val="multilevel"/>
    <w:tmpl w:val="019B548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4">
    <w:nsid w:val="01EB53E7"/>
    <w:multiLevelType w:val="multilevel"/>
    <w:tmpl w:val="01EB53E7"/>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024A7409"/>
    <w:multiLevelType w:val="multilevel"/>
    <w:tmpl w:val="024A740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6">
    <w:nsid w:val="024E1090"/>
    <w:multiLevelType w:val="multilevel"/>
    <w:tmpl w:val="024E109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02CB42E4"/>
    <w:multiLevelType w:val="multilevel"/>
    <w:tmpl w:val="02CB42E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8">
    <w:nsid w:val="02E111F8"/>
    <w:multiLevelType w:val="multilevel"/>
    <w:tmpl w:val="02E111F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9">
    <w:nsid w:val="03005460"/>
    <w:multiLevelType w:val="multilevel"/>
    <w:tmpl w:val="03005460"/>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50">
    <w:nsid w:val="04055DAF"/>
    <w:multiLevelType w:val="multilevel"/>
    <w:tmpl w:val="04055DA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1">
    <w:nsid w:val="04573357"/>
    <w:multiLevelType w:val="multilevel"/>
    <w:tmpl w:val="0457335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2">
    <w:nsid w:val="04956F9C"/>
    <w:multiLevelType w:val="multilevel"/>
    <w:tmpl w:val="04956F9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3">
    <w:nsid w:val="04AA2FE4"/>
    <w:multiLevelType w:val="multilevel"/>
    <w:tmpl w:val="04AA2FE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4">
    <w:nsid w:val="05431117"/>
    <w:multiLevelType w:val="multilevel"/>
    <w:tmpl w:val="0543111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5">
    <w:nsid w:val="05AE2B09"/>
    <w:multiLevelType w:val="multilevel"/>
    <w:tmpl w:val="05AE2B0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6">
    <w:nsid w:val="061872FB"/>
    <w:multiLevelType w:val="multilevel"/>
    <w:tmpl w:val="061872F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7">
    <w:nsid w:val="06E81DF3"/>
    <w:multiLevelType w:val="multilevel"/>
    <w:tmpl w:val="06E81DF3"/>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8">
    <w:nsid w:val="08FB3F99"/>
    <w:multiLevelType w:val="multilevel"/>
    <w:tmpl w:val="08FB3F9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9">
    <w:nsid w:val="0998D926"/>
    <w:multiLevelType w:val="multilevel"/>
    <w:tmpl w:val="0998D926"/>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0">
    <w:nsid w:val="0A102BDC"/>
    <w:multiLevelType w:val="multilevel"/>
    <w:tmpl w:val="0A102BD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1">
    <w:nsid w:val="0B846202"/>
    <w:multiLevelType w:val="singleLevel"/>
    <w:tmpl w:val="0B846202"/>
    <w:lvl w:ilvl="0" w:tentative="0">
      <w:start w:val="1"/>
      <w:numFmt w:val="decimal"/>
      <w:suff w:val="nothing"/>
      <w:lvlText w:val="（%1）"/>
      <w:lvlJc w:val="left"/>
    </w:lvl>
  </w:abstractNum>
  <w:abstractNum w:abstractNumId="62">
    <w:nsid w:val="0C6E1A5C"/>
    <w:multiLevelType w:val="multilevel"/>
    <w:tmpl w:val="0C6E1A5C"/>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0CEE3C50"/>
    <w:multiLevelType w:val="multilevel"/>
    <w:tmpl w:val="0CEE3C5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4">
    <w:nsid w:val="0D1814E0"/>
    <w:multiLevelType w:val="multilevel"/>
    <w:tmpl w:val="0D1814E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5">
    <w:nsid w:val="0D56A015"/>
    <w:multiLevelType w:val="multilevel"/>
    <w:tmpl w:val="0D56A015"/>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6">
    <w:nsid w:val="0D5A61F0"/>
    <w:multiLevelType w:val="multilevel"/>
    <w:tmpl w:val="0D5A61F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7">
    <w:nsid w:val="0D5C3770"/>
    <w:multiLevelType w:val="multilevel"/>
    <w:tmpl w:val="0D5C377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8">
    <w:nsid w:val="0DAB034F"/>
    <w:multiLevelType w:val="multilevel"/>
    <w:tmpl w:val="0DAB034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9">
    <w:nsid w:val="0E5A3E65"/>
    <w:multiLevelType w:val="multilevel"/>
    <w:tmpl w:val="0E5A3E6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0">
    <w:nsid w:val="0EB910A2"/>
    <w:multiLevelType w:val="multilevel"/>
    <w:tmpl w:val="0EB910A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1">
    <w:nsid w:val="0EBD2AA1"/>
    <w:multiLevelType w:val="multilevel"/>
    <w:tmpl w:val="0EBD2AA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2">
    <w:nsid w:val="0F735308"/>
    <w:multiLevelType w:val="multilevel"/>
    <w:tmpl w:val="0F735308"/>
    <w:lvl w:ilvl="0" w:tentative="0">
      <w:start w:val="13"/>
      <w:numFmt w:val="decimal"/>
      <w:lvlText w:val="%1"/>
      <w:lvlJc w:val="left"/>
      <w:pPr>
        <w:ind w:left="375" w:hanging="375"/>
      </w:pPr>
      <w:rPr>
        <w:rFonts w:hint="default" w:eastAsia="宋体"/>
      </w:rPr>
    </w:lvl>
    <w:lvl w:ilvl="1" w:tentative="0">
      <w:start w:val="2"/>
      <w:numFmt w:val="decimal"/>
      <w:lvlText w:val="%1.%2"/>
      <w:lvlJc w:val="left"/>
      <w:pPr>
        <w:ind w:left="375" w:hanging="375"/>
      </w:pPr>
      <w:rPr>
        <w:rFonts w:hint="default" w:eastAsia="宋体"/>
      </w:rPr>
    </w:lvl>
    <w:lvl w:ilvl="2" w:tentative="0">
      <w:start w:val="1"/>
      <w:numFmt w:val="decimal"/>
      <w:lvlText w:val="%1.%2.%3"/>
      <w:lvlJc w:val="left"/>
      <w:pPr>
        <w:ind w:left="720" w:hanging="720"/>
      </w:pPr>
      <w:rPr>
        <w:rFonts w:hint="default" w:eastAsia="宋体"/>
      </w:rPr>
    </w:lvl>
    <w:lvl w:ilvl="3" w:tentative="0">
      <w:start w:val="1"/>
      <w:numFmt w:val="decimal"/>
      <w:lvlText w:val="%1.%2.%3.%4"/>
      <w:lvlJc w:val="left"/>
      <w:pPr>
        <w:ind w:left="720" w:hanging="720"/>
      </w:pPr>
      <w:rPr>
        <w:rFonts w:hint="default" w:eastAsia="宋体"/>
      </w:rPr>
    </w:lvl>
    <w:lvl w:ilvl="4" w:tentative="0">
      <w:start w:val="1"/>
      <w:numFmt w:val="decimal"/>
      <w:lvlText w:val="%1.%2.%3.%4.%5"/>
      <w:lvlJc w:val="left"/>
      <w:pPr>
        <w:ind w:left="1080" w:hanging="1080"/>
      </w:pPr>
      <w:rPr>
        <w:rFonts w:hint="default" w:eastAsia="宋体"/>
      </w:rPr>
    </w:lvl>
    <w:lvl w:ilvl="5" w:tentative="0">
      <w:start w:val="1"/>
      <w:numFmt w:val="decimal"/>
      <w:lvlText w:val="%1.%2.%3.%4.%5.%6"/>
      <w:lvlJc w:val="left"/>
      <w:pPr>
        <w:ind w:left="1080" w:hanging="1080"/>
      </w:pPr>
      <w:rPr>
        <w:rFonts w:hint="default" w:eastAsia="宋体"/>
      </w:rPr>
    </w:lvl>
    <w:lvl w:ilvl="6" w:tentative="0">
      <w:start w:val="1"/>
      <w:numFmt w:val="decimal"/>
      <w:lvlText w:val="%1.%2.%3.%4.%5.%6.%7"/>
      <w:lvlJc w:val="left"/>
      <w:pPr>
        <w:ind w:left="1080" w:hanging="1080"/>
      </w:pPr>
      <w:rPr>
        <w:rFonts w:hint="default" w:eastAsia="宋体"/>
      </w:rPr>
    </w:lvl>
    <w:lvl w:ilvl="7" w:tentative="0">
      <w:start w:val="1"/>
      <w:numFmt w:val="decimal"/>
      <w:lvlText w:val="%1.%2.%3.%4.%5.%6.%7.%8"/>
      <w:lvlJc w:val="left"/>
      <w:pPr>
        <w:ind w:left="1440" w:hanging="1440"/>
      </w:pPr>
      <w:rPr>
        <w:rFonts w:hint="default" w:eastAsia="宋体"/>
      </w:rPr>
    </w:lvl>
    <w:lvl w:ilvl="8" w:tentative="0">
      <w:start w:val="1"/>
      <w:numFmt w:val="decimal"/>
      <w:lvlText w:val="%1.%2.%3.%4.%5.%6.%7.%8.%9"/>
      <w:lvlJc w:val="left"/>
      <w:pPr>
        <w:ind w:left="1440" w:hanging="1440"/>
      </w:pPr>
      <w:rPr>
        <w:rFonts w:hint="default" w:eastAsia="宋体"/>
      </w:rPr>
    </w:lvl>
  </w:abstractNum>
  <w:abstractNum w:abstractNumId="73">
    <w:nsid w:val="104028CA"/>
    <w:multiLevelType w:val="multilevel"/>
    <w:tmpl w:val="104028C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4">
    <w:nsid w:val="10BA5406"/>
    <w:multiLevelType w:val="multilevel"/>
    <w:tmpl w:val="10BA5406"/>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5">
    <w:nsid w:val="1117556E"/>
    <w:multiLevelType w:val="multilevel"/>
    <w:tmpl w:val="1117556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6">
    <w:nsid w:val="111D3E15"/>
    <w:multiLevelType w:val="multilevel"/>
    <w:tmpl w:val="111D3E1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7">
    <w:nsid w:val="11300471"/>
    <w:multiLevelType w:val="multilevel"/>
    <w:tmpl w:val="11300471"/>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11AC188B"/>
    <w:multiLevelType w:val="multilevel"/>
    <w:tmpl w:val="11AC188B"/>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9">
    <w:nsid w:val="11BA3AE4"/>
    <w:multiLevelType w:val="multilevel"/>
    <w:tmpl w:val="11BA3AE4"/>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0">
    <w:nsid w:val="11DD01A2"/>
    <w:multiLevelType w:val="multilevel"/>
    <w:tmpl w:val="11DD01A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1">
    <w:nsid w:val="122E2A20"/>
    <w:multiLevelType w:val="multilevel"/>
    <w:tmpl w:val="122E2A2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2">
    <w:nsid w:val="12654EE4"/>
    <w:multiLevelType w:val="multilevel"/>
    <w:tmpl w:val="12654EE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3">
    <w:nsid w:val="1266F76D"/>
    <w:multiLevelType w:val="multilevel"/>
    <w:tmpl w:val="1266F76D"/>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84">
    <w:nsid w:val="12BCA519"/>
    <w:multiLevelType w:val="multilevel"/>
    <w:tmpl w:val="12BCA519"/>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85">
    <w:nsid w:val="12FB5BD3"/>
    <w:multiLevelType w:val="multilevel"/>
    <w:tmpl w:val="12FB5BD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6">
    <w:nsid w:val="147A49E0"/>
    <w:multiLevelType w:val="multilevel"/>
    <w:tmpl w:val="147A49E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7">
    <w:nsid w:val="15297187"/>
    <w:multiLevelType w:val="multilevel"/>
    <w:tmpl w:val="1529718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8">
    <w:nsid w:val="15370C3E"/>
    <w:multiLevelType w:val="multilevel"/>
    <w:tmpl w:val="15370C3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9">
    <w:nsid w:val="155929FB"/>
    <w:multiLevelType w:val="multilevel"/>
    <w:tmpl w:val="155929FB"/>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0">
    <w:nsid w:val="16A72E8C"/>
    <w:multiLevelType w:val="multilevel"/>
    <w:tmpl w:val="16A72E8C"/>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1">
    <w:nsid w:val="186B7F05"/>
    <w:multiLevelType w:val="multilevel"/>
    <w:tmpl w:val="186B7F05"/>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2">
    <w:nsid w:val="18BA41DA"/>
    <w:multiLevelType w:val="multilevel"/>
    <w:tmpl w:val="18BA41D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3">
    <w:nsid w:val="18CD19B4"/>
    <w:multiLevelType w:val="multilevel"/>
    <w:tmpl w:val="18CD19B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4">
    <w:nsid w:val="192F604F"/>
    <w:multiLevelType w:val="multilevel"/>
    <w:tmpl w:val="192F604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5">
    <w:nsid w:val="19330262"/>
    <w:multiLevelType w:val="multilevel"/>
    <w:tmpl w:val="1933026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6">
    <w:nsid w:val="19A8653E"/>
    <w:multiLevelType w:val="multilevel"/>
    <w:tmpl w:val="19A8653E"/>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7">
    <w:nsid w:val="1B622ED3"/>
    <w:multiLevelType w:val="multilevel"/>
    <w:tmpl w:val="1B622ED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8">
    <w:nsid w:val="1B9F58CD"/>
    <w:multiLevelType w:val="multilevel"/>
    <w:tmpl w:val="1B9F58C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9">
    <w:nsid w:val="1C301B13"/>
    <w:multiLevelType w:val="multilevel"/>
    <w:tmpl w:val="1C301B1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0">
    <w:nsid w:val="1C36741C"/>
    <w:multiLevelType w:val="multilevel"/>
    <w:tmpl w:val="1C36741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1">
    <w:nsid w:val="1C7756BF"/>
    <w:multiLevelType w:val="multilevel"/>
    <w:tmpl w:val="1C7756BF"/>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2">
    <w:nsid w:val="1D066DFE"/>
    <w:multiLevelType w:val="multilevel"/>
    <w:tmpl w:val="1D066DFE"/>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03">
    <w:nsid w:val="1D53307D"/>
    <w:multiLevelType w:val="multilevel"/>
    <w:tmpl w:val="1D53307D"/>
    <w:lvl w:ilvl="0" w:tentative="0">
      <w:start w:val="1"/>
      <w:numFmt w:val="decimal"/>
      <w:lvlText w:val="%1"/>
      <w:lvlJc w:val="left"/>
      <w:pPr>
        <w:ind w:left="845"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4">
    <w:nsid w:val="1D753E9E"/>
    <w:multiLevelType w:val="multilevel"/>
    <w:tmpl w:val="1D753E9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5">
    <w:nsid w:val="1D9167E3"/>
    <w:multiLevelType w:val="multilevel"/>
    <w:tmpl w:val="1D9167E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6">
    <w:nsid w:val="1DB60BED"/>
    <w:multiLevelType w:val="multilevel"/>
    <w:tmpl w:val="1DB60BE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7">
    <w:nsid w:val="1DE631DF"/>
    <w:multiLevelType w:val="multilevel"/>
    <w:tmpl w:val="1DE631D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8">
    <w:nsid w:val="1DFE4644"/>
    <w:multiLevelType w:val="multilevel"/>
    <w:tmpl w:val="1DFE464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9">
    <w:nsid w:val="1EDB7A17"/>
    <w:multiLevelType w:val="multilevel"/>
    <w:tmpl w:val="1EDB7A1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0">
    <w:nsid w:val="1EEE39DD"/>
    <w:multiLevelType w:val="multilevel"/>
    <w:tmpl w:val="1EEE39DD"/>
    <w:lvl w:ilvl="0" w:tentative="0">
      <w:start w:val="1"/>
      <w:numFmt w:val="decimal"/>
      <w:lvlText w:val="%1"/>
      <w:lvlJc w:val="left"/>
      <w:pPr>
        <w:ind w:left="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11">
    <w:nsid w:val="2038310B"/>
    <w:multiLevelType w:val="multilevel"/>
    <w:tmpl w:val="2038310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2">
    <w:nsid w:val="204E15B9"/>
    <w:multiLevelType w:val="multilevel"/>
    <w:tmpl w:val="204E15B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3">
    <w:nsid w:val="207D21E7"/>
    <w:multiLevelType w:val="multilevel"/>
    <w:tmpl w:val="207D21E7"/>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4">
    <w:nsid w:val="209F37E4"/>
    <w:multiLevelType w:val="multilevel"/>
    <w:tmpl w:val="209F37E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5">
    <w:nsid w:val="22E734DD"/>
    <w:multiLevelType w:val="multilevel"/>
    <w:tmpl w:val="22E734D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6">
    <w:nsid w:val="23484BD9"/>
    <w:multiLevelType w:val="multilevel"/>
    <w:tmpl w:val="23484BD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7">
    <w:nsid w:val="234F5082"/>
    <w:multiLevelType w:val="multilevel"/>
    <w:tmpl w:val="234F508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8">
    <w:nsid w:val="23787764"/>
    <w:multiLevelType w:val="multilevel"/>
    <w:tmpl w:val="2378776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9">
    <w:nsid w:val="23802BC3"/>
    <w:multiLevelType w:val="multilevel"/>
    <w:tmpl w:val="23802BC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0">
    <w:nsid w:val="24796DDD"/>
    <w:multiLevelType w:val="multilevel"/>
    <w:tmpl w:val="24796DD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1">
    <w:nsid w:val="25265286"/>
    <w:multiLevelType w:val="multilevel"/>
    <w:tmpl w:val="2526528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2">
    <w:nsid w:val="2543324A"/>
    <w:multiLevelType w:val="multilevel"/>
    <w:tmpl w:val="2543324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3">
    <w:nsid w:val="254D437B"/>
    <w:multiLevelType w:val="multilevel"/>
    <w:tmpl w:val="254D437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4">
    <w:nsid w:val="25B07CE1"/>
    <w:multiLevelType w:val="multilevel"/>
    <w:tmpl w:val="25B07CE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5">
    <w:nsid w:val="26071671"/>
    <w:multiLevelType w:val="multilevel"/>
    <w:tmpl w:val="2607167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6">
    <w:nsid w:val="270349EE"/>
    <w:multiLevelType w:val="multilevel"/>
    <w:tmpl w:val="270349E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7">
    <w:nsid w:val="27855082"/>
    <w:multiLevelType w:val="multilevel"/>
    <w:tmpl w:val="2785508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8">
    <w:nsid w:val="27DC582E"/>
    <w:multiLevelType w:val="multilevel"/>
    <w:tmpl w:val="27DC582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9">
    <w:nsid w:val="282C67BA"/>
    <w:multiLevelType w:val="multilevel"/>
    <w:tmpl w:val="282C67B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0">
    <w:nsid w:val="289514C3"/>
    <w:multiLevelType w:val="multilevel"/>
    <w:tmpl w:val="289514C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1">
    <w:nsid w:val="289A4BC3"/>
    <w:multiLevelType w:val="multilevel"/>
    <w:tmpl w:val="289A4BC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2">
    <w:nsid w:val="28F60E41"/>
    <w:multiLevelType w:val="multilevel"/>
    <w:tmpl w:val="28F60E41"/>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33">
    <w:nsid w:val="29FD7935"/>
    <w:multiLevelType w:val="multilevel"/>
    <w:tmpl w:val="29FD793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4">
    <w:nsid w:val="2A0B34C9"/>
    <w:multiLevelType w:val="multilevel"/>
    <w:tmpl w:val="2A0B34C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5">
    <w:nsid w:val="2A442026"/>
    <w:multiLevelType w:val="multilevel"/>
    <w:tmpl w:val="2A44202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6">
    <w:nsid w:val="2AFA63FA"/>
    <w:multiLevelType w:val="multilevel"/>
    <w:tmpl w:val="2AFA63F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7">
    <w:nsid w:val="2B0A5DA5"/>
    <w:multiLevelType w:val="multilevel"/>
    <w:tmpl w:val="2B0A5DA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8">
    <w:nsid w:val="2B714360"/>
    <w:multiLevelType w:val="multilevel"/>
    <w:tmpl w:val="2B71436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9">
    <w:nsid w:val="2B715B7D"/>
    <w:multiLevelType w:val="multilevel"/>
    <w:tmpl w:val="2B715B7D"/>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0">
    <w:nsid w:val="2BD010FA"/>
    <w:multiLevelType w:val="multilevel"/>
    <w:tmpl w:val="2BD010FA"/>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41">
    <w:nsid w:val="2DC05C5B"/>
    <w:multiLevelType w:val="multilevel"/>
    <w:tmpl w:val="2DC05C5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2">
    <w:nsid w:val="2DFC487B"/>
    <w:multiLevelType w:val="multilevel"/>
    <w:tmpl w:val="2DFC487B"/>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3">
    <w:nsid w:val="2E1514CD"/>
    <w:multiLevelType w:val="multilevel"/>
    <w:tmpl w:val="2E1514CD"/>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44">
    <w:nsid w:val="2F103057"/>
    <w:multiLevelType w:val="multilevel"/>
    <w:tmpl w:val="2F10305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5">
    <w:nsid w:val="300E386D"/>
    <w:multiLevelType w:val="multilevel"/>
    <w:tmpl w:val="300E386D"/>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6">
    <w:nsid w:val="302173B1"/>
    <w:multiLevelType w:val="multilevel"/>
    <w:tmpl w:val="302173B1"/>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7">
    <w:nsid w:val="3098798B"/>
    <w:multiLevelType w:val="multilevel"/>
    <w:tmpl w:val="3098798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8">
    <w:nsid w:val="30A30D20"/>
    <w:multiLevelType w:val="multilevel"/>
    <w:tmpl w:val="30A30D2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9">
    <w:nsid w:val="310E2C57"/>
    <w:multiLevelType w:val="multilevel"/>
    <w:tmpl w:val="310E2C5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0">
    <w:nsid w:val="31850356"/>
    <w:multiLevelType w:val="multilevel"/>
    <w:tmpl w:val="31850356"/>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1">
    <w:nsid w:val="31A666F8"/>
    <w:multiLevelType w:val="multilevel"/>
    <w:tmpl w:val="31A666F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2">
    <w:nsid w:val="31C05FE3"/>
    <w:multiLevelType w:val="multilevel"/>
    <w:tmpl w:val="31C05FE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3">
    <w:nsid w:val="31C80D2B"/>
    <w:multiLevelType w:val="multilevel"/>
    <w:tmpl w:val="31C80D2B"/>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54">
    <w:nsid w:val="322C0096"/>
    <w:multiLevelType w:val="multilevel"/>
    <w:tmpl w:val="322C009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5">
    <w:nsid w:val="32854CDF"/>
    <w:multiLevelType w:val="multilevel"/>
    <w:tmpl w:val="32854CD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6">
    <w:nsid w:val="328F5138"/>
    <w:multiLevelType w:val="multilevel"/>
    <w:tmpl w:val="328F513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7">
    <w:nsid w:val="32B15E48"/>
    <w:multiLevelType w:val="multilevel"/>
    <w:tmpl w:val="32B15E4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8">
    <w:nsid w:val="338FC529"/>
    <w:multiLevelType w:val="multilevel"/>
    <w:tmpl w:val="338FC529"/>
    <w:lvl w:ilvl="0" w:tentative="0">
      <w:start w:val="1"/>
      <w:numFmt w:val="decimal"/>
      <w:lvlText w:val="%1"/>
      <w:lvlJc w:val="left"/>
      <w:pPr>
        <w:ind w:left="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59">
    <w:nsid w:val="33D36B22"/>
    <w:multiLevelType w:val="multilevel"/>
    <w:tmpl w:val="33D36B2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0">
    <w:nsid w:val="3586039D"/>
    <w:multiLevelType w:val="multilevel"/>
    <w:tmpl w:val="3586039D"/>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1">
    <w:nsid w:val="359C4E9D"/>
    <w:multiLevelType w:val="multilevel"/>
    <w:tmpl w:val="359C4E9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2">
    <w:nsid w:val="36286163"/>
    <w:multiLevelType w:val="multilevel"/>
    <w:tmpl w:val="3628616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3">
    <w:nsid w:val="36E77781"/>
    <w:multiLevelType w:val="multilevel"/>
    <w:tmpl w:val="36E77781"/>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4">
    <w:nsid w:val="37D77D4A"/>
    <w:multiLevelType w:val="multilevel"/>
    <w:tmpl w:val="37D77D4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5">
    <w:nsid w:val="37E221CF"/>
    <w:multiLevelType w:val="multilevel"/>
    <w:tmpl w:val="37E221CF"/>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6">
    <w:nsid w:val="37F731C5"/>
    <w:multiLevelType w:val="multilevel"/>
    <w:tmpl w:val="37F731C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7">
    <w:nsid w:val="38140D1C"/>
    <w:multiLevelType w:val="multilevel"/>
    <w:tmpl w:val="38140D1C"/>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8">
    <w:nsid w:val="3817794A"/>
    <w:multiLevelType w:val="multilevel"/>
    <w:tmpl w:val="3817794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9">
    <w:nsid w:val="391E7385"/>
    <w:multiLevelType w:val="multilevel"/>
    <w:tmpl w:val="391E7385"/>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0">
    <w:nsid w:val="39936CE9"/>
    <w:multiLevelType w:val="multilevel"/>
    <w:tmpl w:val="39936CE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1">
    <w:nsid w:val="3A26799D"/>
    <w:multiLevelType w:val="multilevel"/>
    <w:tmpl w:val="3A26799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2">
    <w:nsid w:val="3AA623FA"/>
    <w:multiLevelType w:val="multilevel"/>
    <w:tmpl w:val="3AA623F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3">
    <w:nsid w:val="3B091467"/>
    <w:multiLevelType w:val="multilevel"/>
    <w:tmpl w:val="3B09146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4">
    <w:nsid w:val="3B31052E"/>
    <w:multiLevelType w:val="multilevel"/>
    <w:tmpl w:val="3B31052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5">
    <w:nsid w:val="3BED348E"/>
    <w:multiLevelType w:val="multilevel"/>
    <w:tmpl w:val="3BED348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6">
    <w:nsid w:val="3C82056E"/>
    <w:multiLevelType w:val="multilevel"/>
    <w:tmpl w:val="3C82056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7">
    <w:nsid w:val="3CBB1B8C"/>
    <w:multiLevelType w:val="multilevel"/>
    <w:tmpl w:val="3CBB1B8C"/>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78">
    <w:nsid w:val="3CDD2422"/>
    <w:multiLevelType w:val="multilevel"/>
    <w:tmpl w:val="3CDD242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9">
    <w:nsid w:val="3CE86126"/>
    <w:multiLevelType w:val="multilevel"/>
    <w:tmpl w:val="3CE8612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0">
    <w:nsid w:val="3D4D68DF"/>
    <w:multiLevelType w:val="multilevel"/>
    <w:tmpl w:val="3D4D68D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1">
    <w:nsid w:val="3D9E1C19"/>
    <w:multiLevelType w:val="multilevel"/>
    <w:tmpl w:val="3D9E1C1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2">
    <w:nsid w:val="3DAF3073"/>
    <w:multiLevelType w:val="multilevel"/>
    <w:tmpl w:val="3DAF307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3">
    <w:nsid w:val="3DC73DC8"/>
    <w:multiLevelType w:val="multilevel"/>
    <w:tmpl w:val="3DC73DC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4">
    <w:nsid w:val="3F462058"/>
    <w:multiLevelType w:val="multilevel"/>
    <w:tmpl w:val="3F46205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5">
    <w:nsid w:val="3FDA5DFB"/>
    <w:multiLevelType w:val="multilevel"/>
    <w:tmpl w:val="3FDA5DF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6">
    <w:nsid w:val="40DC08D3"/>
    <w:multiLevelType w:val="multilevel"/>
    <w:tmpl w:val="40DC08D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7">
    <w:nsid w:val="40E7155A"/>
    <w:multiLevelType w:val="multilevel"/>
    <w:tmpl w:val="40E7155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8">
    <w:nsid w:val="41592FEE"/>
    <w:multiLevelType w:val="multilevel"/>
    <w:tmpl w:val="41592FE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9">
    <w:nsid w:val="41A23848"/>
    <w:multiLevelType w:val="multilevel"/>
    <w:tmpl w:val="41A2384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0">
    <w:nsid w:val="41FB695B"/>
    <w:multiLevelType w:val="multilevel"/>
    <w:tmpl w:val="41FB695B"/>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1">
    <w:nsid w:val="42173280"/>
    <w:multiLevelType w:val="multilevel"/>
    <w:tmpl w:val="4217328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2">
    <w:nsid w:val="431B141A"/>
    <w:multiLevelType w:val="multilevel"/>
    <w:tmpl w:val="431B141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3">
    <w:nsid w:val="43FB29AA"/>
    <w:multiLevelType w:val="multilevel"/>
    <w:tmpl w:val="43FB29A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4">
    <w:nsid w:val="44426494"/>
    <w:multiLevelType w:val="multilevel"/>
    <w:tmpl w:val="4442649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5">
    <w:nsid w:val="44581DC4"/>
    <w:multiLevelType w:val="multilevel"/>
    <w:tmpl w:val="44581DC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6">
    <w:nsid w:val="44F41545"/>
    <w:multiLevelType w:val="multilevel"/>
    <w:tmpl w:val="44F41545"/>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7">
    <w:nsid w:val="450A46B0"/>
    <w:multiLevelType w:val="multilevel"/>
    <w:tmpl w:val="450A46B0"/>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8">
    <w:nsid w:val="450F17AA"/>
    <w:multiLevelType w:val="multilevel"/>
    <w:tmpl w:val="450F17A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9">
    <w:nsid w:val="455A49B8"/>
    <w:multiLevelType w:val="multilevel"/>
    <w:tmpl w:val="455A49B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0">
    <w:nsid w:val="46376D23"/>
    <w:multiLevelType w:val="multilevel"/>
    <w:tmpl w:val="46376D2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1">
    <w:nsid w:val="46432B5E"/>
    <w:multiLevelType w:val="multilevel"/>
    <w:tmpl w:val="46432B5E"/>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2">
    <w:nsid w:val="46547FFC"/>
    <w:multiLevelType w:val="multilevel"/>
    <w:tmpl w:val="46547FFC"/>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3">
    <w:nsid w:val="467C95E2"/>
    <w:multiLevelType w:val="multilevel"/>
    <w:tmpl w:val="467C95E2"/>
    <w:lvl w:ilvl="0" w:tentative="0">
      <w:start w:val="1"/>
      <w:numFmt w:val="decimal"/>
      <w:suff w:val="space"/>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4">
    <w:nsid w:val="484D03C1"/>
    <w:multiLevelType w:val="multilevel"/>
    <w:tmpl w:val="484D03C1"/>
    <w:lvl w:ilvl="0" w:tentative="0">
      <w:start w:val="1"/>
      <w:numFmt w:val="decimal"/>
      <w:lvlText w:val="%1"/>
      <w:lvlJc w:val="left"/>
      <w:pPr>
        <w:ind w:left="645" w:hanging="645"/>
      </w:pPr>
      <w:rPr>
        <w:rFonts w:hint="default"/>
        <w:b/>
      </w:rPr>
    </w:lvl>
    <w:lvl w:ilvl="1" w:tentative="0">
      <w:start w:val="0"/>
      <w:numFmt w:val="decimal"/>
      <w:lvlText w:val="%1.%2"/>
      <w:lvlJc w:val="left"/>
      <w:pPr>
        <w:ind w:left="645" w:hanging="645"/>
      </w:pPr>
      <w:rPr>
        <w:rFonts w:hint="default"/>
        <w:b/>
      </w:rPr>
    </w:lvl>
    <w:lvl w:ilvl="2" w:tentative="0">
      <w:start w:val="1"/>
      <w:numFmt w:val="decimal"/>
      <w:lvlText w:val="%1.%2.%3"/>
      <w:lvlJc w:val="left"/>
      <w:pPr>
        <w:tabs>
          <w:tab w:val="left" w:pos="624"/>
        </w:tabs>
        <w:ind w:left="720" w:hanging="720"/>
      </w:pPr>
      <w:rPr>
        <w:rFonts w:hint="default" w:ascii="Times New Roman" w:hAnsi="Times New Roman" w:eastAsia="黑体" w:cs="Times New Roman"/>
        <w:b w:val="0"/>
        <w:bCs/>
        <w:sz w:val="21"/>
        <w:szCs w:val="21"/>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080" w:hanging="108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440" w:hanging="1440"/>
      </w:pPr>
      <w:rPr>
        <w:rFonts w:hint="default"/>
        <w:b/>
      </w:rPr>
    </w:lvl>
  </w:abstractNum>
  <w:abstractNum w:abstractNumId="205">
    <w:nsid w:val="48744558"/>
    <w:multiLevelType w:val="multilevel"/>
    <w:tmpl w:val="4874455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6">
    <w:nsid w:val="49A219C8"/>
    <w:multiLevelType w:val="multilevel"/>
    <w:tmpl w:val="49A219C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7">
    <w:nsid w:val="49B32744"/>
    <w:multiLevelType w:val="multilevel"/>
    <w:tmpl w:val="49B32744"/>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8">
    <w:nsid w:val="4A0438C3"/>
    <w:multiLevelType w:val="multilevel"/>
    <w:tmpl w:val="4A0438C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9">
    <w:nsid w:val="4B6F1B4C"/>
    <w:multiLevelType w:val="multilevel"/>
    <w:tmpl w:val="4B6F1B4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0">
    <w:nsid w:val="4BDB1E04"/>
    <w:multiLevelType w:val="multilevel"/>
    <w:tmpl w:val="4BDB1E04"/>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11">
    <w:nsid w:val="4C120850"/>
    <w:multiLevelType w:val="multilevel"/>
    <w:tmpl w:val="4C120850"/>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12">
    <w:nsid w:val="4C4236CE"/>
    <w:multiLevelType w:val="multilevel"/>
    <w:tmpl w:val="4C4236CE"/>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13">
    <w:nsid w:val="4C7F6E1C"/>
    <w:multiLevelType w:val="multilevel"/>
    <w:tmpl w:val="4C7F6E1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4">
    <w:nsid w:val="4D3D5EF4"/>
    <w:multiLevelType w:val="multilevel"/>
    <w:tmpl w:val="4D3D5EF4"/>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5">
    <w:nsid w:val="4E5F4660"/>
    <w:multiLevelType w:val="multilevel"/>
    <w:tmpl w:val="4E5F466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6">
    <w:nsid w:val="4E9447F1"/>
    <w:multiLevelType w:val="multilevel"/>
    <w:tmpl w:val="4E9447F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7">
    <w:nsid w:val="4EAF4EEE"/>
    <w:multiLevelType w:val="multilevel"/>
    <w:tmpl w:val="4EAF4EE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8">
    <w:nsid w:val="5042CA76"/>
    <w:multiLevelType w:val="multilevel"/>
    <w:tmpl w:val="5042CA76"/>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19">
    <w:nsid w:val="508F4B40"/>
    <w:multiLevelType w:val="multilevel"/>
    <w:tmpl w:val="508F4B4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0">
    <w:nsid w:val="52AC4CDD"/>
    <w:multiLevelType w:val="multilevel"/>
    <w:tmpl w:val="52AC4CD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1">
    <w:nsid w:val="52C80EF4"/>
    <w:multiLevelType w:val="multilevel"/>
    <w:tmpl w:val="52C80EF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2">
    <w:nsid w:val="52EB5394"/>
    <w:multiLevelType w:val="multilevel"/>
    <w:tmpl w:val="52EB5394"/>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23">
    <w:nsid w:val="530F400B"/>
    <w:multiLevelType w:val="multilevel"/>
    <w:tmpl w:val="530F400B"/>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4">
    <w:nsid w:val="54017635"/>
    <w:multiLevelType w:val="multilevel"/>
    <w:tmpl w:val="5401763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5">
    <w:nsid w:val="542143DE"/>
    <w:multiLevelType w:val="multilevel"/>
    <w:tmpl w:val="542143D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6">
    <w:nsid w:val="54564097"/>
    <w:multiLevelType w:val="multilevel"/>
    <w:tmpl w:val="5456409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7">
    <w:nsid w:val="54952F57"/>
    <w:multiLevelType w:val="multilevel"/>
    <w:tmpl w:val="54952F57"/>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8">
    <w:nsid w:val="54D66868"/>
    <w:multiLevelType w:val="multilevel"/>
    <w:tmpl w:val="54D6686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9">
    <w:nsid w:val="54E04AD6"/>
    <w:multiLevelType w:val="multilevel"/>
    <w:tmpl w:val="54E04AD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0">
    <w:nsid w:val="54FE6A68"/>
    <w:multiLevelType w:val="multilevel"/>
    <w:tmpl w:val="54FE6A6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1">
    <w:nsid w:val="5553264D"/>
    <w:multiLevelType w:val="multilevel"/>
    <w:tmpl w:val="5553264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2">
    <w:nsid w:val="5596180D"/>
    <w:multiLevelType w:val="multilevel"/>
    <w:tmpl w:val="5596180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3">
    <w:nsid w:val="560B18F5"/>
    <w:multiLevelType w:val="multilevel"/>
    <w:tmpl w:val="560B18F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4">
    <w:nsid w:val="56693FE7"/>
    <w:multiLevelType w:val="multilevel"/>
    <w:tmpl w:val="56693FE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5">
    <w:nsid w:val="56DA344F"/>
    <w:multiLevelType w:val="multilevel"/>
    <w:tmpl w:val="56DA344F"/>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6">
    <w:nsid w:val="57774209"/>
    <w:multiLevelType w:val="multilevel"/>
    <w:tmpl w:val="5777420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7">
    <w:nsid w:val="57DB2719"/>
    <w:multiLevelType w:val="multilevel"/>
    <w:tmpl w:val="57DB271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8">
    <w:nsid w:val="57FE7D67"/>
    <w:multiLevelType w:val="multilevel"/>
    <w:tmpl w:val="57FE7D6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9">
    <w:nsid w:val="580A4987"/>
    <w:multiLevelType w:val="multilevel"/>
    <w:tmpl w:val="580A4987"/>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40">
    <w:nsid w:val="598170FD"/>
    <w:multiLevelType w:val="multilevel"/>
    <w:tmpl w:val="598170F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1">
    <w:nsid w:val="59CCE52F"/>
    <w:multiLevelType w:val="multilevel"/>
    <w:tmpl w:val="59CCE52F"/>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42">
    <w:nsid w:val="5A622B32"/>
    <w:multiLevelType w:val="multilevel"/>
    <w:tmpl w:val="5A622B3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3">
    <w:nsid w:val="5B580326"/>
    <w:multiLevelType w:val="multilevel"/>
    <w:tmpl w:val="5B580326"/>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4">
    <w:nsid w:val="5B66290C"/>
    <w:multiLevelType w:val="multilevel"/>
    <w:tmpl w:val="5B66290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5">
    <w:nsid w:val="5B7F91A9"/>
    <w:multiLevelType w:val="multilevel"/>
    <w:tmpl w:val="5B7F91A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6">
    <w:nsid w:val="5CA90F60"/>
    <w:multiLevelType w:val="multilevel"/>
    <w:tmpl w:val="5CA90F60"/>
    <w:lvl w:ilvl="0" w:tentative="0">
      <w:start w:val="1"/>
      <w:numFmt w:val="decimal"/>
      <w:lvlText w:val="%1)"/>
      <w:lvlJc w:val="left"/>
      <w:pPr>
        <w:ind w:left="1050" w:hanging="420"/>
      </w:pPr>
      <w:rPr>
        <w:rFonts w:hint="eastAsia"/>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abstractNum w:abstractNumId="247">
    <w:nsid w:val="5CFA1D93"/>
    <w:multiLevelType w:val="multilevel"/>
    <w:tmpl w:val="5CFA1D93"/>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8">
    <w:nsid w:val="5CFD19B9"/>
    <w:multiLevelType w:val="multilevel"/>
    <w:tmpl w:val="5CFD19B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9">
    <w:nsid w:val="5D27A7E6"/>
    <w:multiLevelType w:val="multilevel"/>
    <w:tmpl w:val="5D27A7E6"/>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50">
    <w:nsid w:val="5D39145C"/>
    <w:multiLevelType w:val="multilevel"/>
    <w:tmpl w:val="5D39145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1">
    <w:nsid w:val="5D3B5791"/>
    <w:multiLevelType w:val="multilevel"/>
    <w:tmpl w:val="5D3B579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2">
    <w:nsid w:val="5D8B757B"/>
    <w:multiLevelType w:val="multilevel"/>
    <w:tmpl w:val="5D8B757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3">
    <w:nsid w:val="5D915599"/>
    <w:multiLevelType w:val="multilevel"/>
    <w:tmpl w:val="5D9155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4">
    <w:nsid w:val="5DE7362F"/>
    <w:multiLevelType w:val="multilevel"/>
    <w:tmpl w:val="5DE7362F"/>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5">
    <w:nsid w:val="5DF26978"/>
    <w:multiLevelType w:val="multilevel"/>
    <w:tmpl w:val="5DF2697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6">
    <w:nsid w:val="5E411C7A"/>
    <w:multiLevelType w:val="multilevel"/>
    <w:tmpl w:val="5E411C7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7">
    <w:nsid w:val="5E98492A"/>
    <w:multiLevelType w:val="multilevel"/>
    <w:tmpl w:val="5E98492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8">
    <w:nsid w:val="5F0A53D7"/>
    <w:multiLevelType w:val="multilevel"/>
    <w:tmpl w:val="5F0A53D7"/>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9">
    <w:nsid w:val="5FA743EA"/>
    <w:multiLevelType w:val="multilevel"/>
    <w:tmpl w:val="5FA743E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0">
    <w:nsid w:val="600A1D3A"/>
    <w:multiLevelType w:val="multilevel"/>
    <w:tmpl w:val="600A1D3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1">
    <w:nsid w:val="605B60C0"/>
    <w:multiLevelType w:val="multilevel"/>
    <w:tmpl w:val="605B60C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2">
    <w:nsid w:val="60B9066A"/>
    <w:multiLevelType w:val="multilevel"/>
    <w:tmpl w:val="60B9066A"/>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63">
    <w:nsid w:val="60E7467B"/>
    <w:multiLevelType w:val="multilevel"/>
    <w:tmpl w:val="60E7467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4">
    <w:nsid w:val="60EF0C64"/>
    <w:multiLevelType w:val="multilevel"/>
    <w:tmpl w:val="60EF0C6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5">
    <w:nsid w:val="614B406C"/>
    <w:multiLevelType w:val="multilevel"/>
    <w:tmpl w:val="614B406C"/>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66">
    <w:nsid w:val="61677A9D"/>
    <w:multiLevelType w:val="multilevel"/>
    <w:tmpl w:val="61677A9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7">
    <w:nsid w:val="619E2666"/>
    <w:multiLevelType w:val="multilevel"/>
    <w:tmpl w:val="619E266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8">
    <w:nsid w:val="61D04577"/>
    <w:multiLevelType w:val="multilevel"/>
    <w:tmpl w:val="61D0457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9">
    <w:nsid w:val="61E3111D"/>
    <w:multiLevelType w:val="multilevel"/>
    <w:tmpl w:val="61E3111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0">
    <w:nsid w:val="625A5E50"/>
    <w:multiLevelType w:val="multilevel"/>
    <w:tmpl w:val="625A5E5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1">
    <w:nsid w:val="62B340F9"/>
    <w:multiLevelType w:val="multilevel"/>
    <w:tmpl w:val="62B340F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2">
    <w:nsid w:val="62E124D0"/>
    <w:multiLevelType w:val="multilevel"/>
    <w:tmpl w:val="62E124D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3">
    <w:nsid w:val="63341CBC"/>
    <w:multiLevelType w:val="multilevel"/>
    <w:tmpl w:val="63341CBC"/>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4">
    <w:nsid w:val="64445397"/>
    <w:multiLevelType w:val="multilevel"/>
    <w:tmpl w:val="6444539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5">
    <w:nsid w:val="646116E4"/>
    <w:multiLevelType w:val="multilevel"/>
    <w:tmpl w:val="646116E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6">
    <w:nsid w:val="6664697D"/>
    <w:multiLevelType w:val="multilevel"/>
    <w:tmpl w:val="6664697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7">
    <w:nsid w:val="66887192"/>
    <w:multiLevelType w:val="multilevel"/>
    <w:tmpl w:val="66887192"/>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78">
    <w:nsid w:val="672412AE"/>
    <w:multiLevelType w:val="multilevel"/>
    <w:tmpl w:val="672412A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9">
    <w:nsid w:val="67323D73"/>
    <w:multiLevelType w:val="multilevel"/>
    <w:tmpl w:val="67323D7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0">
    <w:nsid w:val="67A3F7E4"/>
    <w:multiLevelType w:val="multilevel"/>
    <w:tmpl w:val="67A3F7E4"/>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81">
    <w:nsid w:val="67A76947"/>
    <w:multiLevelType w:val="multilevel"/>
    <w:tmpl w:val="67A76947"/>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82">
    <w:nsid w:val="67B7147C"/>
    <w:multiLevelType w:val="multilevel"/>
    <w:tmpl w:val="67B7147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3">
    <w:nsid w:val="68106D7A"/>
    <w:multiLevelType w:val="multilevel"/>
    <w:tmpl w:val="68106D7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4">
    <w:nsid w:val="6845FAC7"/>
    <w:multiLevelType w:val="multilevel"/>
    <w:tmpl w:val="6845FAC7"/>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85">
    <w:nsid w:val="687229C2"/>
    <w:multiLevelType w:val="multilevel"/>
    <w:tmpl w:val="687229C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6">
    <w:nsid w:val="69175AB8"/>
    <w:multiLevelType w:val="multilevel"/>
    <w:tmpl w:val="69175AB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7">
    <w:nsid w:val="69216E25"/>
    <w:multiLevelType w:val="multilevel"/>
    <w:tmpl w:val="69216E2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8">
    <w:nsid w:val="695C3079"/>
    <w:multiLevelType w:val="multilevel"/>
    <w:tmpl w:val="695C3079"/>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9">
    <w:nsid w:val="6A307D55"/>
    <w:multiLevelType w:val="multilevel"/>
    <w:tmpl w:val="6A307D5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0">
    <w:nsid w:val="6A546D8B"/>
    <w:multiLevelType w:val="multilevel"/>
    <w:tmpl w:val="6A546D8B"/>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91">
    <w:nsid w:val="6A576A7D"/>
    <w:multiLevelType w:val="multilevel"/>
    <w:tmpl w:val="6A576A7D"/>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2">
    <w:nsid w:val="6B2363A4"/>
    <w:multiLevelType w:val="multilevel"/>
    <w:tmpl w:val="6B2363A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3">
    <w:nsid w:val="6B93791E"/>
    <w:multiLevelType w:val="multilevel"/>
    <w:tmpl w:val="6B93791E"/>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4">
    <w:nsid w:val="6BD929DB"/>
    <w:multiLevelType w:val="multilevel"/>
    <w:tmpl w:val="6BD929D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5">
    <w:nsid w:val="6CAC4D11"/>
    <w:multiLevelType w:val="multilevel"/>
    <w:tmpl w:val="6CAC4D11"/>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6">
    <w:nsid w:val="6DB75CD3"/>
    <w:multiLevelType w:val="multilevel"/>
    <w:tmpl w:val="6DB75CD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7">
    <w:nsid w:val="6DD95F01"/>
    <w:multiLevelType w:val="multilevel"/>
    <w:tmpl w:val="6DD95F0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8">
    <w:nsid w:val="6E562ECA"/>
    <w:multiLevelType w:val="multilevel"/>
    <w:tmpl w:val="6E562EC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9">
    <w:nsid w:val="6E9BCB67"/>
    <w:multiLevelType w:val="multilevel"/>
    <w:tmpl w:val="6E9BCB67"/>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0">
    <w:nsid w:val="6EE527E7"/>
    <w:multiLevelType w:val="multilevel"/>
    <w:tmpl w:val="6EE527E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1">
    <w:nsid w:val="6F765161"/>
    <w:multiLevelType w:val="multilevel"/>
    <w:tmpl w:val="6F76516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2">
    <w:nsid w:val="6FDC141A"/>
    <w:multiLevelType w:val="multilevel"/>
    <w:tmpl w:val="6FDC141A"/>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3">
    <w:nsid w:val="704D171D"/>
    <w:multiLevelType w:val="multilevel"/>
    <w:tmpl w:val="704D171D"/>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4">
    <w:nsid w:val="70E722D7"/>
    <w:multiLevelType w:val="multilevel"/>
    <w:tmpl w:val="70E722D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5">
    <w:nsid w:val="71010F02"/>
    <w:multiLevelType w:val="multilevel"/>
    <w:tmpl w:val="71010F0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6">
    <w:nsid w:val="71687D56"/>
    <w:multiLevelType w:val="multilevel"/>
    <w:tmpl w:val="71687D5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7">
    <w:nsid w:val="725A4495"/>
    <w:multiLevelType w:val="multilevel"/>
    <w:tmpl w:val="725A4495"/>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8">
    <w:nsid w:val="7320CEEE"/>
    <w:multiLevelType w:val="multilevel"/>
    <w:tmpl w:val="7320CEEE"/>
    <w:lvl w:ilvl="0" w:tentative="0">
      <w:start w:val="1"/>
      <w:numFmt w:val="decimal"/>
      <w:suff w:val="nothing"/>
      <w:lvlText w:val="（%1）"/>
      <w:lvlJc w:val="left"/>
      <w:pPr>
        <w:ind w:left="1305" w:hanging="171"/>
      </w:pPr>
      <w:rPr>
        <w:rFonts w:hint="default"/>
        <w:lang w:val="en-US"/>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309">
    <w:nsid w:val="73380E6D"/>
    <w:multiLevelType w:val="multilevel"/>
    <w:tmpl w:val="73380E6D"/>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0">
    <w:nsid w:val="73596808"/>
    <w:multiLevelType w:val="multilevel"/>
    <w:tmpl w:val="7359680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1">
    <w:nsid w:val="73653668"/>
    <w:multiLevelType w:val="multilevel"/>
    <w:tmpl w:val="73653668"/>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2">
    <w:nsid w:val="74E53E0E"/>
    <w:multiLevelType w:val="multilevel"/>
    <w:tmpl w:val="74E53E0E"/>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13">
    <w:nsid w:val="75075E10"/>
    <w:multiLevelType w:val="multilevel"/>
    <w:tmpl w:val="75075E10"/>
    <w:lvl w:ilvl="0" w:tentative="0">
      <w:start w:val="1"/>
      <w:numFmt w:val="decimal"/>
      <w:suff w:val="nothing"/>
      <w:lvlText w:val="（%1）"/>
      <w:lvlJc w:val="left"/>
      <w:pPr>
        <w:ind w:left="851"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14">
    <w:nsid w:val="753E2926"/>
    <w:multiLevelType w:val="multilevel"/>
    <w:tmpl w:val="753E2926"/>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5">
    <w:nsid w:val="75A45CC8"/>
    <w:multiLevelType w:val="multilevel"/>
    <w:tmpl w:val="75A45CC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6">
    <w:nsid w:val="76310EF1"/>
    <w:multiLevelType w:val="multilevel"/>
    <w:tmpl w:val="76310EF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7">
    <w:nsid w:val="767D7C00"/>
    <w:multiLevelType w:val="multilevel"/>
    <w:tmpl w:val="767D7C0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8">
    <w:nsid w:val="771D53EA"/>
    <w:multiLevelType w:val="multilevel"/>
    <w:tmpl w:val="771D53E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9">
    <w:nsid w:val="77913922"/>
    <w:multiLevelType w:val="multilevel"/>
    <w:tmpl w:val="77913922"/>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0">
    <w:nsid w:val="77C04B36"/>
    <w:multiLevelType w:val="multilevel"/>
    <w:tmpl w:val="77C04B3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1">
    <w:nsid w:val="78E779E4"/>
    <w:multiLevelType w:val="multilevel"/>
    <w:tmpl w:val="78E779E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2">
    <w:nsid w:val="792B28D5"/>
    <w:multiLevelType w:val="multilevel"/>
    <w:tmpl w:val="792B28D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3">
    <w:nsid w:val="79D06C2B"/>
    <w:multiLevelType w:val="multilevel"/>
    <w:tmpl w:val="79D06C2B"/>
    <w:lvl w:ilvl="0" w:tentative="0">
      <w:start w:val="1"/>
      <w:numFmt w:val="decimal"/>
      <w:lvlText w:val="%1"/>
      <w:lvlJc w:val="left"/>
      <w:pPr>
        <w:ind w:left="987"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24">
    <w:nsid w:val="7A450082"/>
    <w:multiLevelType w:val="multilevel"/>
    <w:tmpl w:val="7A450082"/>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5">
    <w:nsid w:val="7AD04C08"/>
    <w:multiLevelType w:val="multilevel"/>
    <w:tmpl w:val="7AD04C0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6">
    <w:nsid w:val="7B540DFC"/>
    <w:multiLevelType w:val="multilevel"/>
    <w:tmpl w:val="7B540DFC"/>
    <w:lvl w:ilvl="0" w:tentative="0">
      <w:start w:val="1"/>
      <w:numFmt w:val="lowerLetter"/>
      <w:lvlText w:val="%1."/>
      <w:lvlJc w:val="left"/>
      <w:pPr>
        <w:ind w:left="1410" w:hanging="150"/>
      </w:pPr>
      <w:rPr>
        <w:rFonts w:hint="default"/>
      </w:rPr>
    </w:lvl>
    <w:lvl w:ilvl="1" w:tentative="0">
      <w:start w:val="1"/>
      <w:numFmt w:val="lowerLetter"/>
      <w:lvlText w:val="%2)"/>
      <w:lvlJc w:val="left"/>
      <w:pPr>
        <w:ind w:left="2140" w:hanging="440"/>
      </w:pPr>
    </w:lvl>
    <w:lvl w:ilvl="2" w:tentative="0">
      <w:start w:val="1"/>
      <w:numFmt w:val="lowerRoman"/>
      <w:lvlText w:val="%3."/>
      <w:lvlJc w:val="right"/>
      <w:pPr>
        <w:ind w:left="2580" w:hanging="440"/>
      </w:pPr>
    </w:lvl>
    <w:lvl w:ilvl="3" w:tentative="0">
      <w:start w:val="1"/>
      <w:numFmt w:val="decimal"/>
      <w:lvlText w:val="%4."/>
      <w:lvlJc w:val="left"/>
      <w:pPr>
        <w:ind w:left="3020" w:hanging="440"/>
      </w:pPr>
    </w:lvl>
    <w:lvl w:ilvl="4" w:tentative="0">
      <w:start w:val="1"/>
      <w:numFmt w:val="lowerLetter"/>
      <w:lvlText w:val="%5)"/>
      <w:lvlJc w:val="left"/>
      <w:pPr>
        <w:ind w:left="3460" w:hanging="440"/>
      </w:pPr>
    </w:lvl>
    <w:lvl w:ilvl="5" w:tentative="0">
      <w:start w:val="1"/>
      <w:numFmt w:val="lowerRoman"/>
      <w:lvlText w:val="%6."/>
      <w:lvlJc w:val="right"/>
      <w:pPr>
        <w:ind w:left="3900" w:hanging="440"/>
      </w:pPr>
    </w:lvl>
    <w:lvl w:ilvl="6" w:tentative="0">
      <w:start w:val="1"/>
      <w:numFmt w:val="decimal"/>
      <w:lvlText w:val="%7."/>
      <w:lvlJc w:val="left"/>
      <w:pPr>
        <w:ind w:left="4340" w:hanging="440"/>
      </w:pPr>
    </w:lvl>
    <w:lvl w:ilvl="7" w:tentative="0">
      <w:start w:val="1"/>
      <w:numFmt w:val="lowerLetter"/>
      <w:lvlText w:val="%8)"/>
      <w:lvlJc w:val="left"/>
      <w:pPr>
        <w:ind w:left="4780" w:hanging="440"/>
      </w:pPr>
    </w:lvl>
    <w:lvl w:ilvl="8" w:tentative="0">
      <w:start w:val="1"/>
      <w:numFmt w:val="lowerRoman"/>
      <w:lvlText w:val="%9."/>
      <w:lvlJc w:val="right"/>
      <w:pPr>
        <w:ind w:left="5220" w:hanging="440"/>
      </w:pPr>
    </w:lvl>
  </w:abstractNum>
  <w:abstractNum w:abstractNumId="327">
    <w:nsid w:val="7BFA05AB"/>
    <w:multiLevelType w:val="multilevel"/>
    <w:tmpl w:val="7BFA05AB"/>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8">
    <w:nsid w:val="7CDA7B81"/>
    <w:multiLevelType w:val="multilevel"/>
    <w:tmpl w:val="7CDA7B81"/>
    <w:lvl w:ilvl="0" w:tentative="0">
      <w:start w:val="1"/>
      <w:numFmt w:val="decimal"/>
      <w:lvlText w:val="%1"/>
      <w:lvlJc w:val="left"/>
      <w:pPr>
        <w:ind w:left="840" w:hanging="420"/>
      </w:pPr>
      <w:rPr>
        <w:rFonts w:hint="default" w:ascii="Times New Roman" w:hAnsi="Times New Roman" w:eastAsia="宋体" w:cs="Times New Roman"/>
        <w:b/>
        <w:bCs w:val="0"/>
        <w:i w:val="0"/>
        <w:w w:val="99"/>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9">
    <w:nsid w:val="7E140D95"/>
    <w:multiLevelType w:val="multilevel"/>
    <w:tmpl w:val="7E140D9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0">
    <w:nsid w:val="7E7811A8"/>
    <w:multiLevelType w:val="multilevel"/>
    <w:tmpl w:val="7E7811A8"/>
    <w:lvl w:ilvl="0" w:tentative="0">
      <w:start w:val="1"/>
      <w:numFmt w:val="decimal"/>
      <w:suff w:val="nothing"/>
      <w:lvlText w:val="（%1）"/>
      <w:lvlJc w:val="left"/>
      <w:pPr>
        <w:ind w:left="1447" w:hanging="171"/>
      </w:pPr>
      <w:rPr>
        <w:rFonts w:hint="default"/>
        <w:lang w:val="en-US"/>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331">
    <w:nsid w:val="7F0419A3"/>
    <w:multiLevelType w:val="multilevel"/>
    <w:tmpl w:val="7F0419A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2">
    <w:nsid w:val="7F257658"/>
    <w:multiLevelType w:val="multilevel"/>
    <w:tmpl w:val="7F25765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3">
    <w:nsid w:val="7FCB66A6"/>
    <w:multiLevelType w:val="multilevel"/>
    <w:tmpl w:val="7FCB66A6"/>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04"/>
  </w:num>
  <w:num w:numId="2">
    <w:abstractNumId w:val="41"/>
  </w:num>
  <w:num w:numId="3">
    <w:abstractNumId w:val="33"/>
  </w:num>
  <w:num w:numId="4">
    <w:abstractNumId w:val="6"/>
  </w:num>
  <w:num w:numId="5">
    <w:abstractNumId w:val="203"/>
  </w:num>
  <w:num w:numId="6">
    <w:abstractNumId w:val="156"/>
  </w:num>
  <w:num w:numId="7">
    <w:abstractNumId w:val="307"/>
  </w:num>
  <w:num w:numId="8">
    <w:abstractNumId w:val="220"/>
  </w:num>
  <w:num w:numId="9">
    <w:abstractNumId w:val="53"/>
  </w:num>
  <w:num w:numId="10">
    <w:abstractNumId w:val="205"/>
  </w:num>
  <w:num w:numId="11">
    <w:abstractNumId w:val="145"/>
  </w:num>
  <w:num w:numId="12">
    <w:abstractNumId w:val="302"/>
  </w:num>
  <w:num w:numId="13">
    <w:abstractNumId w:val="197"/>
  </w:num>
  <w:num w:numId="14">
    <w:abstractNumId w:val="125"/>
  </w:num>
  <w:num w:numId="15">
    <w:abstractNumId w:val="301"/>
  </w:num>
  <w:num w:numId="16">
    <w:abstractNumId w:val="223"/>
  </w:num>
  <w:num w:numId="17">
    <w:abstractNumId w:val="129"/>
  </w:num>
  <w:num w:numId="18">
    <w:abstractNumId w:val="248"/>
  </w:num>
  <w:num w:numId="19">
    <w:abstractNumId w:val="122"/>
  </w:num>
  <w:num w:numId="20">
    <w:abstractNumId w:val="133"/>
  </w:num>
  <w:num w:numId="21">
    <w:abstractNumId w:val="110"/>
  </w:num>
  <w:num w:numId="22">
    <w:abstractNumId w:val="159"/>
  </w:num>
  <w:num w:numId="23">
    <w:abstractNumId w:val="107"/>
  </w:num>
  <w:num w:numId="24">
    <w:abstractNumId w:val="158"/>
  </w:num>
  <w:num w:numId="25">
    <w:abstractNumId w:val="45"/>
  </w:num>
  <w:num w:numId="26">
    <w:abstractNumId w:val="30"/>
  </w:num>
  <w:num w:numId="27">
    <w:abstractNumId w:val="1"/>
  </w:num>
  <w:num w:numId="28">
    <w:abstractNumId w:val="254"/>
  </w:num>
  <w:num w:numId="29">
    <w:abstractNumId w:val="55"/>
  </w:num>
  <w:num w:numId="30">
    <w:abstractNumId w:val="289"/>
  </w:num>
  <w:num w:numId="31">
    <w:abstractNumId w:val="0"/>
  </w:num>
  <w:num w:numId="32">
    <w:abstractNumId w:val="293"/>
  </w:num>
  <w:num w:numId="33">
    <w:abstractNumId w:val="5"/>
  </w:num>
  <w:num w:numId="34">
    <w:abstractNumId w:val="23"/>
  </w:num>
  <w:num w:numId="35">
    <w:abstractNumId w:val="47"/>
  </w:num>
  <w:num w:numId="36">
    <w:abstractNumId w:val="143"/>
  </w:num>
  <w:num w:numId="37">
    <w:abstractNumId w:val="135"/>
  </w:num>
  <w:num w:numId="38">
    <w:abstractNumId w:val="42"/>
  </w:num>
  <w:num w:numId="39">
    <w:abstractNumId w:val="212"/>
  </w:num>
  <w:num w:numId="40">
    <w:abstractNumId w:val="24"/>
  </w:num>
  <w:num w:numId="41">
    <w:abstractNumId w:val="108"/>
  </w:num>
  <w:num w:numId="42">
    <w:abstractNumId w:val="168"/>
  </w:num>
  <w:num w:numId="43">
    <w:abstractNumId w:val="278"/>
  </w:num>
  <w:num w:numId="44">
    <w:abstractNumId w:val="21"/>
  </w:num>
  <w:num w:numId="45">
    <w:abstractNumId w:val="127"/>
  </w:num>
  <w:num w:numId="46">
    <w:abstractNumId w:val="149"/>
  </w:num>
  <w:num w:numId="47">
    <w:abstractNumId w:val="82"/>
  </w:num>
  <w:num w:numId="48">
    <w:abstractNumId w:val="245"/>
  </w:num>
  <w:num w:numId="49">
    <w:abstractNumId w:val="96"/>
  </w:num>
  <w:num w:numId="50">
    <w:abstractNumId w:val="309"/>
  </w:num>
  <w:num w:numId="51">
    <w:abstractNumId w:val="273"/>
  </w:num>
  <w:num w:numId="52">
    <w:abstractNumId w:val="64"/>
  </w:num>
  <w:num w:numId="53">
    <w:abstractNumId w:val="79"/>
  </w:num>
  <w:num w:numId="54">
    <w:abstractNumId w:val="146"/>
  </w:num>
  <w:num w:numId="55">
    <w:abstractNumId w:val="323"/>
  </w:num>
  <w:num w:numId="56">
    <w:abstractNumId w:val="227"/>
  </w:num>
  <w:num w:numId="57">
    <w:abstractNumId w:val="233"/>
  </w:num>
  <w:num w:numId="58">
    <w:abstractNumId w:val="93"/>
  </w:num>
  <w:num w:numId="59">
    <w:abstractNumId w:val="246"/>
  </w:num>
  <w:num w:numId="60">
    <w:abstractNumId w:val="144"/>
  </w:num>
  <w:num w:numId="61">
    <w:abstractNumId w:val="140"/>
  </w:num>
  <w:num w:numId="62">
    <w:abstractNumId w:val="65"/>
  </w:num>
  <w:num w:numId="63">
    <w:abstractNumId w:val="244"/>
  </w:num>
  <w:num w:numId="64">
    <w:abstractNumId w:val="232"/>
  </w:num>
  <w:num w:numId="65">
    <w:abstractNumId w:val="253"/>
  </w:num>
  <w:num w:numId="66">
    <w:abstractNumId w:val="26"/>
  </w:num>
  <w:num w:numId="67">
    <w:abstractNumId w:val="243"/>
  </w:num>
  <w:num w:numId="68">
    <w:abstractNumId w:val="288"/>
  </w:num>
  <w:num w:numId="69">
    <w:abstractNumId w:val="295"/>
  </w:num>
  <w:num w:numId="70">
    <w:abstractNumId w:val="321"/>
  </w:num>
  <w:num w:numId="71">
    <w:abstractNumId w:val="126"/>
  </w:num>
  <w:num w:numId="72">
    <w:abstractNumId w:val="120"/>
  </w:num>
  <w:num w:numId="73">
    <w:abstractNumId w:val="282"/>
  </w:num>
  <w:num w:numId="74">
    <w:abstractNumId w:val="207"/>
  </w:num>
  <w:num w:numId="75">
    <w:abstractNumId w:val="316"/>
  </w:num>
  <w:num w:numId="76">
    <w:abstractNumId w:val="201"/>
  </w:num>
  <w:num w:numId="77">
    <w:abstractNumId w:val="123"/>
  </w:num>
  <w:num w:numId="78">
    <w:abstractNumId w:val="252"/>
  </w:num>
  <w:num w:numId="79">
    <w:abstractNumId w:val="88"/>
  </w:num>
  <w:num w:numId="80">
    <w:abstractNumId w:val="91"/>
  </w:num>
  <w:num w:numId="81">
    <w:abstractNumId w:val="188"/>
  </w:num>
  <w:num w:numId="82">
    <w:abstractNumId w:val="208"/>
  </w:num>
  <w:num w:numId="83">
    <w:abstractNumId w:val="136"/>
  </w:num>
  <w:num w:numId="84">
    <w:abstractNumId w:val="181"/>
  </w:num>
  <w:num w:numId="85">
    <w:abstractNumId w:val="194"/>
  </w:num>
  <w:num w:numId="86">
    <w:abstractNumId w:val="264"/>
  </w:num>
  <w:num w:numId="87">
    <w:abstractNumId w:val="255"/>
  </w:num>
  <w:num w:numId="88">
    <w:abstractNumId w:val="160"/>
  </w:num>
  <w:num w:numId="89">
    <w:abstractNumId w:val="31"/>
  </w:num>
  <w:num w:numId="90">
    <w:abstractNumId w:val="182"/>
  </w:num>
  <w:num w:numId="91">
    <w:abstractNumId w:val="209"/>
  </w:num>
  <w:num w:numId="92">
    <w:abstractNumId w:val="274"/>
  </w:num>
  <w:num w:numId="93">
    <w:abstractNumId w:val="95"/>
  </w:num>
  <w:num w:numId="94">
    <w:abstractNumId w:val="314"/>
  </w:num>
  <w:num w:numId="95">
    <w:abstractNumId w:val="283"/>
  </w:num>
  <w:num w:numId="96">
    <w:abstractNumId w:val="228"/>
  </w:num>
  <w:num w:numId="97">
    <w:abstractNumId w:val="89"/>
  </w:num>
  <w:num w:numId="98">
    <w:abstractNumId w:val="199"/>
  </w:num>
  <w:num w:numId="99">
    <w:abstractNumId w:val="67"/>
  </w:num>
  <w:num w:numId="100">
    <w:abstractNumId w:val="200"/>
  </w:num>
  <w:num w:numId="101">
    <w:abstractNumId w:val="164"/>
  </w:num>
  <w:num w:numId="102">
    <w:abstractNumId w:val="268"/>
  </w:num>
  <w:num w:numId="103">
    <w:abstractNumId w:val="66"/>
  </w:num>
  <w:num w:numId="104">
    <w:abstractNumId w:val="214"/>
  </w:num>
  <w:num w:numId="105">
    <w:abstractNumId w:val="58"/>
  </w:num>
  <w:num w:numId="106">
    <w:abstractNumId w:val="296"/>
  </w:num>
  <w:num w:numId="107">
    <w:abstractNumId w:val="275"/>
  </w:num>
  <w:num w:numId="108">
    <w:abstractNumId w:val="167"/>
  </w:num>
  <w:num w:numId="109">
    <w:abstractNumId w:val="63"/>
  </w:num>
  <w:num w:numId="110">
    <w:abstractNumId w:val="90"/>
  </w:num>
  <w:num w:numId="111">
    <w:abstractNumId w:val="174"/>
  </w:num>
  <w:num w:numId="112">
    <w:abstractNumId w:val="319"/>
  </w:num>
  <w:num w:numId="113">
    <w:abstractNumId w:val="134"/>
  </w:num>
  <w:num w:numId="114">
    <w:abstractNumId w:val="184"/>
  </w:num>
  <w:num w:numId="115">
    <w:abstractNumId w:val="77"/>
  </w:num>
  <w:num w:numId="116">
    <w:abstractNumId w:val="101"/>
  </w:num>
  <w:num w:numId="117">
    <w:abstractNumId w:val="172"/>
  </w:num>
  <w:num w:numId="118">
    <w:abstractNumId w:val="242"/>
  </w:num>
  <w:num w:numId="119">
    <w:abstractNumId w:val="72"/>
  </w:num>
  <w:num w:numId="120">
    <w:abstractNumId w:val="103"/>
  </w:num>
  <w:num w:numId="121">
    <w:abstractNumId w:val="139"/>
  </w:num>
  <w:num w:numId="122">
    <w:abstractNumId w:val="151"/>
  </w:num>
  <w:num w:numId="123">
    <w:abstractNumId w:val="62"/>
  </w:num>
  <w:num w:numId="124">
    <w:abstractNumId w:val="328"/>
  </w:num>
  <w:num w:numId="125">
    <w:abstractNumId w:val="213"/>
  </w:num>
  <w:num w:numId="126">
    <w:abstractNumId w:val="185"/>
  </w:num>
  <w:num w:numId="127">
    <w:abstractNumId w:val="173"/>
  </w:num>
  <w:num w:numId="128">
    <w:abstractNumId w:val="142"/>
  </w:num>
  <w:num w:numId="129">
    <w:abstractNumId w:val="57"/>
  </w:num>
  <w:num w:numId="130">
    <w:abstractNumId w:val="44"/>
  </w:num>
  <w:num w:numId="131">
    <w:abstractNumId w:val="247"/>
  </w:num>
  <w:num w:numId="132">
    <w:abstractNumId w:val="78"/>
  </w:num>
  <w:num w:numId="133">
    <w:abstractNumId w:val="48"/>
  </w:num>
  <w:num w:numId="134">
    <w:abstractNumId w:val="104"/>
  </w:num>
  <w:num w:numId="135">
    <w:abstractNumId w:val="238"/>
  </w:num>
  <w:num w:numId="136">
    <w:abstractNumId w:val="311"/>
  </w:num>
  <w:num w:numId="137">
    <w:abstractNumId w:val="43"/>
  </w:num>
  <w:num w:numId="138">
    <w:abstractNumId w:val="215"/>
  </w:num>
  <w:num w:numId="139">
    <w:abstractNumId w:val="69"/>
  </w:num>
  <w:num w:numId="140">
    <w:abstractNumId w:val="187"/>
  </w:num>
  <w:num w:numId="141">
    <w:abstractNumId w:val="198"/>
  </w:num>
  <w:num w:numId="142">
    <w:abstractNumId w:val="195"/>
  </w:num>
  <w:num w:numId="143">
    <w:abstractNumId w:val="163"/>
  </w:num>
  <w:num w:numId="144">
    <w:abstractNumId w:val="303"/>
  </w:num>
  <w:num w:numId="145">
    <w:abstractNumId w:val="80"/>
  </w:num>
  <w:num w:numId="146">
    <w:abstractNumId w:val="176"/>
  </w:num>
  <w:num w:numId="147">
    <w:abstractNumId w:val="269"/>
  </w:num>
  <w:num w:numId="148">
    <w:abstractNumId w:val="313"/>
  </w:num>
  <w:num w:numId="149">
    <w:abstractNumId w:val="157"/>
  </w:num>
  <w:num w:numId="150">
    <w:abstractNumId w:val="259"/>
  </w:num>
  <w:num w:numId="151">
    <w:abstractNumId w:val="92"/>
  </w:num>
  <w:num w:numId="152">
    <w:abstractNumId w:val="260"/>
  </w:num>
  <w:num w:numId="153">
    <w:abstractNumId w:val="117"/>
  </w:num>
  <w:num w:numId="154">
    <w:abstractNumId w:val="312"/>
  </w:num>
  <w:num w:numId="155">
    <w:abstractNumId w:val="177"/>
  </w:num>
  <w:num w:numId="156">
    <w:abstractNumId w:val="189"/>
  </w:num>
  <w:num w:numId="157">
    <w:abstractNumId w:val="292"/>
  </w:num>
  <w:num w:numId="158">
    <w:abstractNumId w:val="52"/>
  </w:num>
  <w:num w:numId="159">
    <w:abstractNumId w:val="105"/>
  </w:num>
  <w:num w:numId="160">
    <w:abstractNumId w:val="178"/>
  </w:num>
  <w:num w:numId="161">
    <w:abstractNumId w:val="300"/>
  </w:num>
  <w:num w:numId="162">
    <w:abstractNumId w:val="162"/>
  </w:num>
  <w:num w:numId="163">
    <w:abstractNumId w:val="138"/>
  </w:num>
  <w:num w:numId="164">
    <w:abstractNumId w:val="230"/>
  </w:num>
  <w:num w:numId="165">
    <w:abstractNumId w:val="56"/>
  </w:num>
  <w:num w:numId="166">
    <w:abstractNumId w:val="46"/>
  </w:num>
  <w:num w:numId="167">
    <w:abstractNumId w:val="236"/>
  </w:num>
  <w:num w:numId="168">
    <w:abstractNumId w:val="267"/>
  </w:num>
  <w:num w:numId="169">
    <w:abstractNumId w:val="234"/>
  </w:num>
  <w:num w:numId="170">
    <w:abstractNumId w:val="128"/>
  </w:num>
  <w:num w:numId="171">
    <w:abstractNumId w:val="75"/>
  </w:num>
  <w:num w:numId="172">
    <w:abstractNumId w:val="250"/>
  </w:num>
  <w:num w:numId="173">
    <w:abstractNumId w:val="256"/>
  </w:num>
  <w:num w:numId="174">
    <w:abstractNumId w:val="186"/>
  </w:num>
  <w:num w:numId="175">
    <w:abstractNumId w:val="50"/>
  </w:num>
  <w:num w:numId="176">
    <w:abstractNumId w:val="118"/>
  </w:num>
  <w:num w:numId="177">
    <w:abstractNumId w:val="298"/>
  </w:num>
  <w:num w:numId="178">
    <w:abstractNumId w:val="271"/>
  </w:num>
  <w:num w:numId="179">
    <w:abstractNumId w:val="191"/>
  </w:num>
  <w:num w:numId="180">
    <w:abstractNumId w:val="87"/>
  </w:num>
  <w:num w:numId="181">
    <w:abstractNumId w:val="272"/>
  </w:num>
  <w:num w:numId="182">
    <w:abstractNumId w:val="112"/>
  </w:num>
  <w:num w:numId="183">
    <w:abstractNumId w:val="237"/>
  </w:num>
  <w:num w:numId="184">
    <w:abstractNumId w:val="109"/>
  </w:num>
  <w:num w:numId="185">
    <w:abstractNumId w:val="49"/>
  </w:num>
  <w:num w:numId="186">
    <w:abstractNumId w:val="180"/>
  </w:num>
  <w:num w:numId="187">
    <w:abstractNumId w:val="229"/>
  </w:num>
  <w:num w:numId="188">
    <w:abstractNumId w:val="318"/>
  </w:num>
  <w:num w:numId="189">
    <w:abstractNumId w:val="266"/>
  </w:num>
  <w:num w:numId="190">
    <w:abstractNumId w:val="179"/>
  </w:num>
  <w:num w:numId="191">
    <w:abstractNumId w:val="106"/>
  </w:num>
  <w:num w:numId="192">
    <w:abstractNumId w:val="315"/>
  </w:num>
  <w:num w:numId="193">
    <w:abstractNumId w:val="231"/>
  </w:num>
  <w:num w:numId="194">
    <w:abstractNumId w:val="18"/>
  </w:num>
  <w:num w:numId="195">
    <w:abstractNumId w:val="32"/>
  </w:num>
  <w:num w:numId="196">
    <w:abstractNumId w:val="148"/>
  </w:num>
  <w:num w:numId="197">
    <w:abstractNumId w:val="324"/>
  </w:num>
  <w:num w:numId="198">
    <w:abstractNumId w:val="206"/>
  </w:num>
  <w:num w:numId="199">
    <w:abstractNumId w:val="111"/>
  </w:num>
  <w:num w:numId="200">
    <w:abstractNumId w:val="310"/>
  </w:num>
  <w:num w:numId="201">
    <w:abstractNumId w:val="124"/>
  </w:num>
  <w:num w:numId="202">
    <w:abstractNumId w:val="169"/>
  </w:num>
  <w:num w:numId="203">
    <w:abstractNumId w:val="81"/>
  </w:num>
  <w:num w:numId="204">
    <w:abstractNumId w:val="190"/>
  </w:num>
  <w:num w:numId="205">
    <w:abstractNumId w:val="240"/>
  </w:num>
  <w:num w:numId="206">
    <w:abstractNumId w:val="74"/>
  </w:num>
  <w:num w:numId="207">
    <w:abstractNumId w:val="258"/>
  </w:num>
  <w:num w:numId="208">
    <w:abstractNumId w:val="11"/>
  </w:num>
  <w:num w:numId="209">
    <w:abstractNumId w:val="165"/>
  </w:num>
  <w:num w:numId="210">
    <w:abstractNumId w:val="113"/>
  </w:num>
  <w:num w:numId="211">
    <w:abstractNumId w:val="131"/>
  </w:num>
  <w:num w:numId="212">
    <w:abstractNumId w:val="257"/>
  </w:num>
  <w:num w:numId="213">
    <w:abstractNumId w:val="85"/>
  </w:num>
  <w:num w:numId="214">
    <w:abstractNumId w:val="132"/>
  </w:num>
  <w:num w:numId="215">
    <w:abstractNumId w:val="17"/>
  </w:num>
  <w:num w:numId="216">
    <w:abstractNumId w:val="97"/>
  </w:num>
  <w:num w:numId="217">
    <w:abstractNumId w:val="332"/>
  </w:num>
  <w:num w:numId="218">
    <w:abstractNumId w:val="12"/>
  </w:num>
  <w:num w:numId="219">
    <w:abstractNumId w:val="218"/>
  </w:num>
  <w:num w:numId="220">
    <w:abstractNumId w:val="38"/>
  </w:num>
  <w:num w:numId="221">
    <w:abstractNumId w:val="19"/>
  </w:num>
  <w:num w:numId="222">
    <w:abstractNumId w:val="155"/>
  </w:num>
  <w:num w:numId="223">
    <w:abstractNumId w:val="294"/>
  </w:num>
  <w:num w:numId="224">
    <w:abstractNumId w:val="217"/>
  </w:num>
  <w:num w:numId="225">
    <w:abstractNumId w:val="251"/>
  </w:num>
  <w:num w:numId="226">
    <w:abstractNumId w:val="76"/>
  </w:num>
  <w:num w:numId="227">
    <w:abstractNumId w:val="192"/>
  </w:num>
  <w:num w:numId="228">
    <w:abstractNumId w:val="224"/>
  </w:num>
  <w:num w:numId="229">
    <w:abstractNumId w:val="99"/>
  </w:num>
  <w:num w:numId="230">
    <w:abstractNumId w:val="325"/>
  </w:num>
  <w:num w:numId="231">
    <w:abstractNumId w:val="161"/>
  </w:num>
  <w:num w:numId="232">
    <w:abstractNumId w:val="100"/>
  </w:num>
  <w:num w:numId="233">
    <w:abstractNumId w:val="291"/>
  </w:num>
  <w:num w:numId="234">
    <w:abstractNumId w:val="329"/>
  </w:num>
  <w:num w:numId="235">
    <w:abstractNumId w:val="59"/>
  </w:num>
  <w:num w:numId="236">
    <w:abstractNumId w:val="10"/>
  </w:num>
  <w:num w:numId="237">
    <w:abstractNumId w:val="54"/>
  </w:num>
  <w:num w:numId="238">
    <w:abstractNumId w:val="68"/>
  </w:num>
  <w:num w:numId="239">
    <w:abstractNumId w:val="22"/>
  </w:num>
  <w:num w:numId="240">
    <w:abstractNumId w:val="326"/>
  </w:num>
  <w:num w:numId="241">
    <w:abstractNumId w:val="39"/>
  </w:num>
  <w:num w:numId="242">
    <w:abstractNumId w:val="290"/>
  </w:num>
  <w:num w:numId="243">
    <w:abstractNumId w:val="16"/>
  </w:num>
  <w:num w:numId="244">
    <w:abstractNumId w:val="239"/>
  </w:num>
  <w:num w:numId="245">
    <w:abstractNumId w:val="98"/>
  </w:num>
  <w:num w:numId="246">
    <w:abstractNumId w:val="333"/>
  </w:num>
  <w:num w:numId="247">
    <w:abstractNumId w:val="137"/>
  </w:num>
  <w:num w:numId="248">
    <w:abstractNumId w:val="114"/>
  </w:num>
  <w:num w:numId="249">
    <w:abstractNumId w:val="14"/>
  </w:num>
  <w:num w:numId="250">
    <w:abstractNumId w:val="7"/>
  </w:num>
  <w:num w:numId="251">
    <w:abstractNumId w:val="331"/>
  </w:num>
  <w:num w:numId="252">
    <w:abstractNumId w:val="166"/>
  </w:num>
  <w:num w:numId="253">
    <w:abstractNumId w:val="36"/>
  </w:num>
  <w:num w:numId="254">
    <w:abstractNumId w:val="211"/>
  </w:num>
  <w:num w:numId="255">
    <w:abstractNumId w:val="262"/>
  </w:num>
  <w:num w:numId="256">
    <w:abstractNumId w:val="219"/>
  </w:num>
  <w:num w:numId="257">
    <w:abstractNumId w:val="29"/>
  </w:num>
  <w:num w:numId="258">
    <w:abstractNumId w:val="35"/>
  </w:num>
  <w:num w:numId="259">
    <w:abstractNumId w:val="225"/>
  </w:num>
  <w:num w:numId="260">
    <w:abstractNumId w:val="83"/>
  </w:num>
  <w:num w:numId="261">
    <w:abstractNumId w:val="20"/>
  </w:num>
  <w:num w:numId="262">
    <w:abstractNumId w:val="2"/>
  </w:num>
  <w:num w:numId="263">
    <w:abstractNumId w:val="216"/>
  </w:num>
  <w:num w:numId="264">
    <w:abstractNumId w:val="170"/>
  </w:num>
  <w:num w:numId="265">
    <w:abstractNumId w:val="40"/>
  </w:num>
  <w:num w:numId="266">
    <w:abstractNumId w:val="60"/>
  </w:num>
  <w:num w:numId="267">
    <w:abstractNumId w:val="116"/>
  </w:num>
  <w:num w:numId="268">
    <w:abstractNumId w:val="281"/>
  </w:num>
  <w:num w:numId="269">
    <w:abstractNumId w:val="102"/>
  </w:num>
  <w:num w:numId="270">
    <w:abstractNumId w:val="320"/>
  </w:num>
  <w:num w:numId="271">
    <w:abstractNumId w:val="287"/>
  </w:num>
  <w:num w:numId="272">
    <w:abstractNumId w:val="249"/>
  </w:num>
  <w:num w:numId="273">
    <w:abstractNumId w:val="306"/>
  </w:num>
  <w:num w:numId="274">
    <w:abstractNumId w:val="28"/>
  </w:num>
  <w:num w:numId="275">
    <w:abstractNumId w:val="297"/>
  </w:num>
  <w:num w:numId="276">
    <w:abstractNumId w:val="210"/>
  </w:num>
  <w:num w:numId="277">
    <w:abstractNumId w:val="13"/>
  </w:num>
  <w:num w:numId="278">
    <w:abstractNumId w:val="9"/>
  </w:num>
  <w:num w:numId="279">
    <w:abstractNumId w:val="15"/>
  </w:num>
  <w:num w:numId="280">
    <w:abstractNumId w:val="71"/>
  </w:num>
  <w:num w:numId="281">
    <w:abstractNumId w:val="305"/>
  </w:num>
  <w:num w:numId="282">
    <w:abstractNumId w:val="222"/>
  </w:num>
  <w:num w:numId="283">
    <w:abstractNumId w:val="25"/>
  </w:num>
  <w:num w:numId="284">
    <w:abstractNumId w:val="193"/>
  </w:num>
  <w:num w:numId="285">
    <w:abstractNumId w:val="3"/>
  </w:num>
  <w:num w:numId="286">
    <w:abstractNumId w:val="308"/>
  </w:num>
  <w:num w:numId="287">
    <w:abstractNumId w:val="171"/>
  </w:num>
  <w:num w:numId="288">
    <w:abstractNumId w:val="279"/>
  </w:num>
  <w:num w:numId="289">
    <w:abstractNumId w:val="284"/>
  </w:num>
  <w:num w:numId="290">
    <w:abstractNumId w:val="241"/>
  </w:num>
  <w:num w:numId="291">
    <w:abstractNumId w:val="86"/>
  </w:num>
  <w:num w:numId="292">
    <w:abstractNumId w:val="226"/>
  </w:num>
  <w:num w:numId="293">
    <w:abstractNumId w:val="141"/>
  </w:num>
  <w:num w:numId="294">
    <w:abstractNumId w:val="276"/>
  </w:num>
  <w:num w:numId="295">
    <w:abstractNumId w:val="154"/>
  </w:num>
  <w:num w:numId="296">
    <w:abstractNumId w:val="285"/>
  </w:num>
  <w:num w:numId="297">
    <w:abstractNumId w:val="277"/>
  </w:num>
  <w:num w:numId="298">
    <w:abstractNumId w:val="265"/>
  </w:num>
  <w:num w:numId="299">
    <w:abstractNumId w:val="84"/>
  </w:num>
  <w:num w:numId="300">
    <w:abstractNumId w:val="4"/>
  </w:num>
  <w:num w:numId="301">
    <w:abstractNumId w:val="183"/>
  </w:num>
  <w:num w:numId="302">
    <w:abstractNumId w:val="280"/>
  </w:num>
  <w:num w:numId="303">
    <w:abstractNumId w:val="34"/>
  </w:num>
  <w:num w:numId="304">
    <w:abstractNumId w:val="27"/>
  </w:num>
  <w:num w:numId="305">
    <w:abstractNumId w:val="94"/>
  </w:num>
  <w:num w:numId="306">
    <w:abstractNumId w:val="147"/>
  </w:num>
  <w:num w:numId="307">
    <w:abstractNumId w:val="61"/>
  </w:num>
  <w:num w:numId="308">
    <w:abstractNumId w:val="286"/>
  </w:num>
  <w:num w:numId="309">
    <w:abstractNumId w:val="317"/>
  </w:num>
  <w:num w:numId="310">
    <w:abstractNumId w:val="37"/>
  </w:num>
  <w:num w:numId="311">
    <w:abstractNumId w:val="73"/>
  </w:num>
  <w:num w:numId="312">
    <w:abstractNumId w:val="119"/>
  </w:num>
  <w:num w:numId="313">
    <w:abstractNumId w:val="327"/>
  </w:num>
  <w:num w:numId="314">
    <w:abstractNumId w:val="51"/>
  </w:num>
  <w:num w:numId="315">
    <w:abstractNumId w:val="121"/>
  </w:num>
  <w:num w:numId="316">
    <w:abstractNumId w:val="130"/>
  </w:num>
  <w:num w:numId="317">
    <w:abstractNumId w:val="8"/>
  </w:num>
  <w:num w:numId="318">
    <w:abstractNumId w:val="261"/>
  </w:num>
  <w:num w:numId="319">
    <w:abstractNumId w:val="150"/>
  </w:num>
  <w:num w:numId="320">
    <w:abstractNumId w:val="299"/>
  </w:num>
  <w:num w:numId="321">
    <w:abstractNumId w:val="235"/>
  </w:num>
  <w:num w:numId="322">
    <w:abstractNumId w:val="304"/>
  </w:num>
  <w:num w:numId="323">
    <w:abstractNumId w:val="115"/>
  </w:num>
  <w:num w:numId="324">
    <w:abstractNumId w:val="263"/>
  </w:num>
  <w:num w:numId="325">
    <w:abstractNumId w:val="221"/>
  </w:num>
  <w:num w:numId="326">
    <w:abstractNumId w:val="153"/>
  </w:num>
  <w:num w:numId="327">
    <w:abstractNumId w:val="175"/>
  </w:num>
  <w:num w:numId="328">
    <w:abstractNumId w:val="270"/>
  </w:num>
  <w:num w:numId="329">
    <w:abstractNumId w:val="330"/>
  </w:num>
  <w:num w:numId="330">
    <w:abstractNumId w:val="322"/>
  </w:num>
  <w:num w:numId="331">
    <w:abstractNumId w:val="196"/>
  </w:num>
  <w:num w:numId="332">
    <w:abstractNumId w:val="70"/>
  </w:num>
  <w:num w:numId="333">
    <w:abstractNumId w:val="202"/>
  </w:num>
  <w:num w:numId="334">
    <w:abstractNumId w:val="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zMjI4YTljYzNiYmYyMGRiMTc5MmQ5OTA0YmRiYzkifQ=="/>
    <w:docVar w:name="KSO_WPS_MARK_KEY" w:val="9021f36e-1b2b-4e89-8311-d204d255247c"/>
  </w:docVars>
  <w:rsids>
    <w:rsidRoot w:val="00637F82"/>
    <w:rsid w:val="000001EA"/>
    <w:rsid w:val="00000355"/>
    <w:rsid w:val="0000039B"/>
    <w:rsid w:val="00000681"/>
    <w:rsid w:val="0000114D"/>
    <w:rsid w:val="000011B9"/>
    <w:rsid w:val="000020FA"/>
    <w:rsid w:val="00002343"/>
    <w:rsid w:val="00002DA8"/>
    <w:rsid w:val="00004C5D"/>
    <w:rsid w:val="00005EB0"/>
    <w:rsid w:val="000060E7"/>
    <w:rsid w:val="00006516"/>
    <w:rsid w:val="000071A3"/>
    <w:rsid w:val="0001037B"/>
    <w:rsid w:val="00010C83"/>
    <w:rsid w:val="0001130D"/>
    <w:rsid w:val="00011B84"/>
    <w:rsid w:val="00013350"/>
    <w:rsid w:val="00013805"/>
    <w:rsid w:val="00013AA4"/>
    <w:rsid w:val="00013D4B"/>
    <w:rsid w:val="000142A0"/>
    <w:rsid w:val="00014639"/>
    <w:rsid w:val="000149C8"/>
    <w:rsid w:val="00015CAB"/>
    <w:rsid w:val="00016AB4"/>
    <w:rsid w:val="00016DCB"/>
    <w:rsid w:val="000200C1"/>
    <w:rsid w:val="000201FF"/>
    <w:rsid w:val="000210E8"/>
    <w:rsid w:val="00021580"/>
    <w:rsid w:val="000232E9"/>
    <w:rsid w:val="000232FA"/>
    <w:rsid w:val="0002416F"/>
    <w:rsid w:val="00024C9D"/>
    <w:rsid w:val="00025192"/>
    <w:rsid w:val="00025A70"/>
    <w:rsid w:val="00026408"/>
    <w:rsid w:val="000265F5"/>
    <w:rsid w:val="0002763B"/>
    <w:rsid w:val="000308F6"/>
    <w:rsid w:val="00030A66"/>
    <w:rsid w:val="00031CAD"/>
    <w:rsid w:val="00031CB5"/>
    <w:rsid w:val="00031F54"/>
    <w:rsid w:val="00032467"/>
    <w:rsid w:val="00032853"/>
    <w:rsid w:val="00034458"/>
    <w:rsid w:val="0003458B"/>
    <w:rsid w:val="00034B27"/>
    <w:rsid w:val="00035513"/>
    <w:rsid w:val="00036187"/>
    <w:rsid w:val="0003694B"/>
    <w:rsid w:val="00036E82"/>
    <w:rsid w:val="00037AC2"/>
    <w:rsid w:val="00037F36"/>
    <w:rsid w:val="00040B77"/>
    <w:rsid w:val="00040DEC"/>
    <w:rsid w:val="00040FBF"/>
    <w:rsid w:val="0004191B"/>
    <w:rsid w:val="00041DED"/>
    <w:rsid w:val="00042799"/>
    <w:rsid w:val="00042ECA"/>
    <w:rsid w:val="00043061"/>
    <w:rsid w:val="000437AA"/>
    <w:rsid w:val="00043C69"/>
    <w:rsid w:val="00044AE7"/>
    <w:rsid w:val="000451F0"/>
    <w:rsid w:val="000453D2"/>
    <w:rsid w:val="00046191"/>
    <w:rsid w:val="000461D0"/>
    <w:rsid w:val="00046347"/>
    <w:rsid w:val="00047294"/>
    <w:rsid w:val="00047B69"/>
    <w:rsid w:val="00047DC2"/>
    <w:rsid w:val="000502FA"/>
    <w:rsid w:val="000507FA"/>
    <w:rsid w:val="00051074"/>
    <w:rsid w:val="000510AC"/>
    <w:rsid w:val="0005144A"/>
    <w:rsid w:val="000519E4"/>
    <w:rsid w:val="00051E40"/>
    <w:rsid w:val="00051ED5"/>
    <w:rsid w:val="00052765"/>
    <w:rsid w:val="00054305"/>
    <w:rsid w:val="00054675"/>
    <w:rsid w:val="00054717"/>
    <w:rsid w:val="00055022"/>
    <w:rsid w:val="0005551D"/>
    <w:rsid w:val="0005661B"/>
    <w:rsid w:val="000566AA"/>
    <w:rsid w:val="00056C0F"/>
    <w:rsid w:val="00057697"/>
    <w:rsid w:val="00057A26"/>
    <w:rsid w:val="00057B76"/>
    <w:rsid w:val="00057D87"/>
    <w:rsid w:val="00060713"/>
    <w:rsid w:val="0006088A"/>
    <w:rsid w:val="00060926"/>
    <w:rsid w:val="00060D53"/>
    <w:rsid w:val="00061432"/>
    <w:rsid w:val="00062321"/>
    <w:rsid w:val="00062A32"/>
    <w:rsid w:val="00062E1D"/>
    <w:rsid w:val="00062F3D"/>
    <w:rsid w:val="0006381E"/>
    <w:rsid w:val="00063C7F"/>
    <w:rsid w:val="00064C04"/>
    <w:rsid w:val="00065992"/>
    <w:rsid w:val="0007065A"/>
    <w:rsid w:val="0007065C"/>
    <w:rsid w:val="00071213"/>
    <w:rsid w:val="000714B9"/>
    <w:rsid w:val="00071F74"/>
    <w:rsid w:val="00072030"/>
    <w:rsid w:val="00072543"/>
    <w:rsid w:val="000729C8"/>
    <w:rsid w:val="00072D30"/>
    <w:rsid w:val="000739EE"/>
    <w:rsid w:val="00073C6D"/>
    <w:rsid w:val="0007550C"/>
    <w:rsid w:val="00075C06"/>
    <w:rsid w:val="000765D5"/>
    <w:rsid w:val="000767B7"/>
    <w:rsid w:val="0007734A"/>
    <w:rsid w:val="000801DE"/>
    <w:rsid w:val="00080408"/>
    <w:rsid w:val="00080DC8"/>
    <w:rsid w:val="00081289"/>
    <w:rsid w:val="000828A1"/>
    <w:rsid w:val="000848D1"/>
    <w:rsid w:val="00084AD4"/>
    <w:rsid w:val="0008539E"/>
    <w:rsid w:val="00085534"/>
    <w:rsid w:val="00086010"/>
    <w:rsid w:val="0008627E"/>
    <w:rsid w:val="000863FF"/>
    <w:rsid w:val="00086DAD"/>
    <w:rsid w:val="000870D9"/>
    <w:rsid w:val="000875DF"/>
    <w:rsid w:val="00087785"/>
    <w:rsid w:val="000901BB"/>
    <w:rsid w:val="00090207"/>
    <w:rsid w:val="00090837"/>
    <w:rsid w:val="00090916"/>
    <w:rsid w:val="00090D39"/>
    <w:rsid w:val="000917DA"/>
    <w:rsid w:val="00091DD3"/>
    <w:rsid w:val="0009280B"/>
    <w:rsid w:val="00092BD7"/>
    <w:rsid w:val="00092FDE"/>
    <w:rsid w:val="00093042"/>
    <w:rsid w:val="000938AC"/>
    <w:rsid w:val="00093F4E"/>
    <w:rsid w:val="00094166"/>
    <w:rsid w:val="0009497C"/>
    <w:rsid w:val="00095463"/>
    <w:rsid w:val="00095957"/>
    <w:rsid w:val="00095CDE"/>
    <w:rsid w:val="00096720"/>
    <w:rsid w:val="000967F1"/>
    <w:rsid w:val="00096A74"/>
    <w:rsid w:val="0009773A"/>
    <w:rsid w:val="00097C9C"/>
    <w:rsid w:val="000A03ED"/>
    <w:rsid w:val="000A0420"/>
    <w:rsid w:val="000A1354"/>
    <w:rsid w:val="000A138E"/>
    <w:rsid w:val="000A1A51"/>
    <w:rsid w:val="000A2B18"/>
    <w:rsid w:val="000A362D"/>
    <w:rsid w:val="000A3D44"/>
    <w:rsid w:val="000A3ECD"/>
    <w:rsid w:val="000A4055"/>
    <w:rsid w:val="000A445F"/>
    <w:rsid w:val="000A44A5"/>
    <w:rsid w:val="000A55AB"/>
    <w:rsid w:val="000A5920"/>
    <w:rsid w:val="000A5C5C"/>
    <w:rsid w:val="000A5D70"/>
    <w:rsid w:val="000A5DB7"/>
    <w:rsid w:val="000A79B3"/>
    <w:rsid w:val="000A7BDC"/>
    <w:rsid w:val="000A7CE6"/>
    <w:rsid w:val="000B001B"/>
    <w:rsid w:val="000B1055"/>
    <w:rsid w:val="000B1DDA"/>
    <w:rsid w:val="000B2061"/>
    <w:rsid w:val="000B21E3"/>
    <w:rsid w:val="000B22DE"/>
    <w:rsid w:val="000B24F2"/>
    <w:rsid w:val="000B32A6"/>
    <w:rsid w:val="000B360D"/>
    <w:rsid w:val="000B3DB9"/>
    <w:rsid w:val="000B45D8"/>
    <w:rsid w:val="000B46E3"/>
    <w:rsid w:val="000B5623"/>
    <w:rsid w:val="000B56D6"/>
    <w:rsid w:val="000B595D"/>
    <w:rsid w:val="000B5B5B"/>
    <w:rsid w:val="000B65D0"/>
    <w:rsid w:val="000B6DF5"/>
    <w:rsid w:val="000B7005"/>
    <w:rsid w:val="000B7656"/>
    <w:rsid w:val="000B79B7"/>
    <w:rsid w:val="000C1D9F"/>
    <w:rsid w:val="000C29C5"/>
    <w:rsid w:val="000C2A48"/>
    <w:rsid w:val="000C2F4B"/>
    <w:rsid w:val="000C3A1F"/>
    <w:rsid w:val="000C437B"/>
    <w:rsid w:val="000C5BC5"/>
    <w:rsid w:val="000C7072"/>
    <w:rsid w:val="000C75F2"/>
    <w:rsid w:val="000C7DCB"/>
    <w:rsid w:val="000D050A"/>
    <w:rsid w:val="000D0E7E"/>
    <w:rsid w:val="000D1027"/>
    <w:rsid w:val="000D10B7"/>
    <w:rsid w:val="000D23B0"/>
    <w:rsid w:val="000D2763"/>
    <w:rsid w:val="000D2AA1"/>
    <w:rsid w:val="000D320F"/>
    <w:rsid w:val="000D35EA"/>
    <w:rsid w:val="000D3D45"/>
    <w:rsid w:val="000D4402"/>
    <w:rsid w:val="000D45C9"/>
    <w:rsid w:val="000D547D"/>
    <w:rsid w:val="000D7489"/>
    <w:rsid w:val="000E042B"/>
    <w:rsid w:val="000E0DEA"/>
    <w:rsid w:val="000E16B2"/>
    <w:rsid w:val="000E20AA"/>
    <w:rsid w:val="000E2263"/>
    <w:rsid w:val="000E28EB"/>
    <w:rsid w:val="000E3120"/>
    <w:rsid w:val="000E342B"/>
    <w:rsid w:val="000E38A1"/>
    <w:rsid w:val="000E46D4"/>
    <w:rsid w:val="000E476A"/>
    <w:rsid w:val="000E49F9"/>
    <w:rsid w:val="000E6168"/>
    <w:rsid w:val="000E6695"/>
    <w:rsid w:val="000E6BB0"/>
    <w:rsid w:val="000F092D"/>
    <w:rsid w:val="000F1A93"/>
    <w:rsid w:val="000F1CFB"/>
    <w:rsid w:val="000F27BA"/>
    <w:rsid w:val="000F3165"/>
    <w:rsid w:val="000F3733"/>
    <w:rsid w:val="000F4085"/>
    <w:rsid w:val="000F4107"/>
    <w:rsid w:val="000F4A9B"/>
    <w:rsid w:val="000F4E87"/>
    <w:rsid w:val="000F538D"/>
    <w:rsid w:val="000F53D6"/>
    <w:rsid w:val="000F5620"/>
    <w:rsid w:val="000F590F"/>
    <w:rsid w:val="000F5C9F"/>
    <w:rsid w:val="000F62BE"/>
    <w:rsid w:val="000F7004"/>
    <w:rsid w:val="000F7456"/>
    <w:rsid w:val="000F757C"/>
    <w:rsid w:val="0010136D"/>
    <w:rsid w:val="0010272D"/>
    <w:rsid w:val="00103D9C"/>
    <w:rsid w:val="00103DE0"/>
    <w:rsid w:val="00104261"/>
    <w:rsid w:val="00104471"/>
    <w:rsid w:val="00104C7C"/>
    <w:rsid w:val="00104CD2"/>
    <w:rsid w:val="0010602A"/>
    <w:rsid w:val="001063C9"/>
    <w:rsid w:val="0010672A"/>
    <w:rsid w:val="00107762"/>
    <w:rsid w:val="00107B63"/>
    <w:rsid w:val="001103A1"/>
    <w:rsid w:val="00110D92"/>
    <w:rsid w:val="00110EB0"/>
    <w:rsid w:val="0011198D"/>
    <w:rsid w:val="0011357A"/>
    <w:rsid w:val="00113966"/>
    <w:rsid w:val="001143F7"/>
    <w:rsid w:val="00114A12"/>
    <w:rsid w:val="00115A6A"/>
    <w:rsid w:val="00115DA1"/>
    <w:rsid w:val="00115EBA"/>
    <w:rsid w:val="0011623E"/>
    <w:rsid w:val="001163B4"/>
    <w:rsid w:val="00116D22"/>
    <w:rsid w:val="00116F42"/>
    <w:rsid w:val="00116F9F"/>
    <w:rsid w:val="00117956"/>
    <w:rsid w:val="00121898"/>
    <w:rsid w:val="001218F2"/>
    <w:rsid w:val="00121D59"/>
    <w:rsid w:val="00121F0B"/>
    <w:rsid w:val="00122F3D"/>
    <w:rsid w:val="00123444"/>
    <w:rsid w:val="00123986"/>
    <w:rsid w:val="00124368"/>
    <w:rsid w:val="00124D93"/>
    <w:rsid w:val="00125AC7"/>
    <w:rsid w:val="00127FED"/>
    <w:rsid w:val="0013080A"/>
    <w:rsid w:val="00131DA8"/>
    <w:rsid w:val="001320E7"/>
    <w:rsid w:val="0013240F"/>
    <w:rsid w:val="00132B40"/>
    <w:rsid w:val="00133177"/>
    <w:rsid w:val="001336EF"/>
    <w:rsid w:val="001348E0"/>
    <w:rsid w:val="00134A49"/>
    <w:rsid w:val="00134AE0"/>
    <w:rsid w:val="001352CF"/>
    <w:rsid w:val="00135340"/>
    <w:rsid w:val="00135CAA"/>
    <w:rsid w:val="001378AD"/>
    <w:rsid w:val="001378FB"/>
    <w:rsid w:val="00137A4F"/>
    <w:rsid w:val="0014024B"/>
    <w:rsid w:val="00140BD9"/>
    <w:rsid w:val="00140C12"/>
    <w:rsid w:val="00140CC6"/>
    <w:rsid w:val="00141284"/>
    <w:rsid w:val="00142AD7"/>
    <w:rsid w:val="00144224"/>
    <w:rsid w:val="0014430E"/>
    <w:rsid w:val="001447D4"/>
    <w:rsid w:val="00145554"/>
    <w:rsid w:val="0014585C"/>
    <w:rsid w:val="00145B6C"/>
    <w:rsid w:val="00145EAF"/>
    <w:rsid w:val="00146517"/>
    <w:rsid w:val="00146B33"/>
    <w:rsid w:val="00150087"/>
    <w:rsid w:val="00151972"/>
    <w:rsid w:val="00152B57"/>
    <w:rsid w:val="001532A0"/>
    <w:rsid w:val="00153383"/>
    <w:rsid w:val="00155D31"/>
    <w:rsid w:val="00155DB0"/>
    <w:rsid w:val="00155E33"/>
    <w:rsid w:val="00156BE8"/>
    <w:rsid w:val="001570C6"/>
    <w:rsid w:val="0015716A"/>
    <w:rsid w:val="00157EB2"/>
    <w:rsid w:val="001613BF"/>
    <w:rsid w:val="00162D42"/>
    <w:rsid w:val="00162EC9"/>
    <w:rsid w:val="00163CC9"/>
    <w:rsid w:val="00164570"/>
    <w:rsid w:val="001677A2"/>
    <w:rsid w:val="00167A27"/>
    <w:rsid w:val="00167F4A"/>
    <w:rsid w:val="001703B9"/>
    <w:rsid w:val="00170A4F"/>
    <w:rsid w:val="00172AE2"/>
    <w:rsid w:val="00172D63"/>
    <w:rsid w:val="001739F1"/>
    <w:rsid w:val="00174AA7"/>
    <w:rsid w:val="001751E6"/>
    <w:rsid w:val="00175C74"/>
    <w:rsid w:val="00176511"/>
    <w:rsid w:val="001766BA"/>
    <w:rsid w:val="0017686C"/>
    <w:rsid w:val="00176BFA"/>
    <w:rsid w:val="00177876"/>
    <w:rsid w:val="0017791B"/>
    <w:rsid w:val="0018045E"/>
    <w:rsid w:val="00180C34"/>
    <w:rsid w:val="00180DE4"/>
    <w:rsid w:val="00180DEE"/>
    <w:rsid w:val="001820F2"/>
    <w:rsid w:val="00182631"/>
    <w:rsid w:val="001826C0"/>
    <w:rsid w:val="00182D1F"/>
    <w:rsid w:val="00183639"/>
    <w:rsid w:val="00183D8F"/>
    <w:rsid w:val="001845AD"/>
    <w:rsid w:val="00185174"/>
    <w:rsid w:val="00185929"/>
    <w:rsid w:val="00185CD2"/>
    <w:rsid w:val="00186949"/>
    <w:rsid w:val="00190712"/>
    <w:rsid w:val="00190ECA"/>
    <w:rsid w:val="001914C9"/>
    <w:rsid w:val="00191E13"/>
    <w:rsid w:val="001927BF"/>
    <w:rsid w:val="00192BD8"/>
    <w:rsid w:val="00192BFF"/>
    <w:rsid w:val="00192D49"/>
    <w:rsid w:val="001939BE"/>
    <w:rsid w:val="001941FA"/>
    <w:rsid w:val="00194202"/>
    <w:rsid w:val="00194B9B"/>
    <w:rsid w:val="00194DD3"/>
    <w:rsid w:val="001957E9"/>
    <w:rsid w:val="001958A8"/>
    <w:rsid w:val="00196298"/>
    <w:rsid w:val="001972A9"/>
    <w:rsid w:val="001A0649"/>
    <w:rsid w:val="001A1615"/>
    <w:rsid w:val="001A30D3"/>
    <w:rsid w:val="001A395D"/>
    <w:rsid w:val="001A420C"/>
    <w:rsid w:val="001A4247"/>
    <w:rsid w:val="001A5652"/>
    <w:rsid w:val="001A5D03"/>
    <w:rsid w:val="001A5DFF"/>
    <w:rsid w:val="001A6294"/>
    <w:rsid w:val="001A64E1"/>
    <w:rsid w:val="001A678F"/>
    <w:rsid w:val="001A6DD7"/>
    <w:rsid w:val="001A6F31"/>
    <w:rsid w:val="001A7345"/>
    <w:rsid w:val="001B0BB4"/>
    <w:rsid w:val="001B0D06"/>
    <w:rsid w:val="001B0D68"/>
    <w:rsid w:val="001B1E0C"/>
    <w:rsid w:val="001B1F7F"/>
    <w:rsid w:val="001B33E1"/>
    <w:rsid w:val="001B346B"/>
    <w:rsid w:val="001B371D"/>
    <w:rsid w:val="001B399D"/>
    <w:rsid w:val="001B39AD"/>
    <w:rsid w:val="001B462E"/>
    <w:rsid w:val="001B4CDA"/>
    <w:rsid w:val="001B587A"/>
    <w:rsid w:val="001B6F45"/>
    <w:rsid w:val="001B7059"/>
    <w:rsid w:val="001C0579"/>
    <w:rsid w:val="001C0BAE"/>
    <w:rsid w:val="001C1009"/>
    <w:rsid w:val="001C130A"/>
    <w:rsid w:val="001C22F2"/>
    <w:rsid w:val="001C28F6"/>
    <w:rsid w:val="001C2F29"/>
    <w:rsid w:val="001C3D98"/>
    <w:rsid w:val="001C4C37"/>
    <w:rsid w:val="001C4E2A"/>
    <w:rsid w:val="001C5296"/>
    <w:rsid w:val="001C5297"/>
    <w:rsid w:val="001C5D97"/>
    <w:rsid w:val="001C62CB"/>
    <w:rsid w:val="001C71FB"/>
    <w:rsid w:val="001C786E"/>
    <w:rsid w:val="001D0C9C"/>
    <w:rsid w:val="001D0EE3"/>
    <w:rsid w:val="001D174B"/>
    <w:rsid w:val="001D1FFF"/>
    <w:rsid w:val="001D29D9"/>
    <w:rsid w:val="001D2A87"/>
    <w:rsid w:val="001D2F8B"/>
    <w:rsid w:val="001D3DCA"/>
    <w:rsid w:val="001D3E68"/>
    <w:rsid w:val="001D502E"/>
    <w:rsid w:val="001D5A62"/>
    <w:rsid w:val="001D5CC0"/>
    <w:rsid w:val="001D699F"/>
    <w:rsid w:val="001D6B4C"/>
    <w:rsid w:val="001D7C77"/>
    <w:rsid w:val="001D7EDA"/>
    <w:rsid w:val="001E06E1"/>
    <w:rsid w:val="001E08F0"/>
    <w:rsid w:val="001E0E18"/>
    <w:rsid w:val="001E1585"/>
    <w:rsid w:val="001E1C6E"/>
    <w:rsid w:val="001E2644"/>
    <w:rsid w:val="001E3DD3"/>
    <w:rsid w:val="001E48EA"/>
    <w:rsid w:val="001E5EDB"/>
    <w:rsid w:val="001E7A35"/>
    <w:rsid w:val="001F1653"/>
    <w:rsid w:val="001F181D"/>
    <w:rsid w:val="001F1B9B"/>
    <w:rsid w:val="001F1FBD"/>
    <w:rsid w:val="001F2E42"/>
    <w:rsid w:val="001F2FDC"/>
    <w:rsid w:val="001F3054"/>
    <w:rsid w:val="001F31A4"/>
    <w:rsid w:val="001F34B5"/>
    <w:rsid w:val="001F391B"/>
    <w:rsid w:val="001F447F"/>
    <w:rsid w:val="001F4B4E"/>
    <w:rsid w:val="001F4CE6"/>
    <w:rsid w:val="001F51A7"/>
    <w:rsid w:val="001F58F1"/>
    <w:rsid w:val="001F5B2D"/>
    <w:rsid w:val="001F626D"/>
    <w:rsid w:val="001F6529"/>
    <w:rsid w:val="001F65FF"/>
    <w:rsid w:val="001F73B6"/>
    <w:rsid w:val="001F7408"/>
    <w:rsid w:val="001F77B7"/>
    <w:rsid w:val="001F78AE"/>
    <w:rsid w:val="001F7929"/>
    <w:rsid w:val="00200C80"/>
    <w:rsid w:val="0020150A"/>
    <w:rsid w:val="00201A59"/>
    <w:rsid w:val="00201CCD"/>
    <w:rsid w:val="002028FE"/>
    <w:rsid w:val="002029CC"/>
    <w:rsid w:val="0020332B"/>
    <w:rsid w:val="00203735"/>
    <w:rsid w:val="00204A38"/>
    <w:rsid w:val="00204D5A"/>
    <w:rsid w:val="00204DCE"/>
    <w:rsid w:val="002059FC"/>
    <w:rsid w:val="00205BB5"/>
    <w:rsid w:val="00205C95"/>
    <w:rsid w:val="00206868"/>
    <w:rsid w:val="00206EAB"/>
    <w:rsid w:val="00207310"/>
    <w:rsid w:val="002076DF"/>
    <w:rsid w:val="0020798F"/>
    <w:rsid w:val="00207ED3"/>
    <w:rsid w:val="002103FD"/>
    <w:rsid w:val="00211049"/>
    <w:rsid w:val="00211638"/>
    <w:rsid w:val="00211BA7"/>
    <w:rsid w:val="0021279D"/>
    <w:rsid w:val="00214012"/>
    <w:rsid w:val="00214D3B"/>
    <w:rsid w:val="00214EA5"/>
    <w:rsid w:val="0021520B"/>
    <w:rsid w:val="0021596A"/>
    <w:rsid w:val="00216B2E"/>
    <w:rsid w:val="002205F9"/>
    <w:rsid w:val="00220764"/>
    <w:rsid w:val="00220B00"/>
    <w:rsid w:val="0022225C"/>
    <w:rsid w:val="002228A0"/>
    <w:rsid w:val="002244E6"/>
    <w:rsid w:val="002244F0"/>
    <w:rsid w:val="00224A07"/>
    <w:rsid w:val="00224ABE"/>
    <w:rsid w:val="00224C0E"/>
    <w:rsid w:val="002253D7"/>
    <w:rsid w:val="00225843"/>
    <w:rsid w:val="00225C46"/>
    <w:rsid w:val="00225FD9"/>
    <w:rsid w:val="00225FEC"/>
    <w:rsid w:val="00227407"/>
    <w:rsid w:val="002279DA"/>
    <w:rsid w:val="00227B0A"/>
    <w:rsid w:val="00227BE9"/>
    <w:rsid w:val="00230675"/>
    <w:rsid w:val="00230C96"/>
    <w:rsid w:val="00231D11"/>
    <w:rsid w:val="00232FB1"/>
    <w:rsid w:val="00233413"/>
    <w:rsid w:val="0023377E"/>
    <w:rsid w:val="00234989"/>
    <w:rsid w:val="00234AA2"/>
    <w:rsid w:val="002355E5"/>
    <w:rsid w:val="00235712"/>
    <w:rsid w:val="002358C4"/>
    <w:rsid w:val="00236AA2"/>
    <w:rsid w:val="0023706D"/>
    <w:rsid w:val="00240CE9"/>
    <w:rsid w:val="00241913"/>
    <w:rsid w:val="00242324"/>
    <w:rsid w:val="00242438"/>
    <w:rsid w:val="0024286E"/>
    <w:rsid w:val="002428AB"/>
    <w:rsid w:val="00242A67"/>
    <w:rsid w:val="00243246"/>
    <w:rsid w:val="0024353B"/>
    <w:rsid w:val="00243F81"/>
    <w:rsid w:val="00244B4D"/>
    <w:rsid w:val="00244ED4"/>
    <w:rsid w:val="0024570F"/>
    <w:rsid w:val="00245FDB"/>
    <w:rsid w:val="0024612A"/>
    <w:rsid w:val="00246170"/>
    <w:rsid w:val="002464BF"/>
    <w:rsid w:val="00246AC7"/>
    <w:rsid w:val="00246B15"/>
    <w:rsid w:val="00247A96"/>
    <w:rsid w:val="00250208"/>
    <w:rsid w:val="00250C98"/>
    <w:rsid w:val="00250E89"/>
    <w:rsid w:val="00251349"/>
    <w:rsid w:val="00251475"/>
    <w:rsid w:val="00251504"/>
    <w:rsid w:val="00252560"/>
    <w:rsid w:val="00252B2C"/>
    <w:rsid w:val="00252DCE"/>
    <w:rsid w:val="0025497E"/>
    <w:rsid w:val="002558BB"/>
    <w:rsid w:val="00255F31"/>
    <w:rsid w:val="00256355"/>
    <w:rsid w:val="00257199"/>
    <w:rsid w:val="00257608"/>
    <w:rsid w:val="00257FA9"/>
    <w:rsid w:val="00257FC9"/>
    <w:rsid w:val="0026013C"/>
    <w:rsid w:val="002609F1"/>
    <w:rsid w:val="00262687"/>
    <w:rsid w:val="002630E5"/>
    <w:rsid w:val="0026322E"/>
    <w:rsid w:val="00263241"/>
    <w:rsid w:val="002638FB"/>
    <w:rsid w:val="002640F8"/>
    <w:rsid w:val="00264328"/>
    <w:rsid w:val="00265273"/>
    <w:rsid w:val="0026554A"/>
    <w:rsid w:val="002656BE"/>
    <w:rsid w:val="00265A2E"/>
    <w:rsid w:val="002672CA"/>
    <w:rsid w:val="00267FD1"/>
    <w:rsid w:val="0027025B"/>
    <w:rsid w:val="00270A32"/>
    <w:rsid w:val="00270F13"/>
    <w:rsid w:val="00271052"/>
    <w:rsid w:val="002714FB"/>
    <w:rsid w:val="00271F3B"/>
    <w:rsid w:val="0027239B"/>
    <w:rsid w:val="0027245E"/>
    <w:rsid w:val="0027297E"/>
    <w:rsid w:val="0027381E"/>
    <w:rsid w:val="00273950"/>
    <w:rsid w:val="00273D45"/>
    <w:rsid w:val="0027541B"/>
    <w:rsid w:val="00276F23"/>
    <w:rsid w:val="0027746D"/>
    <w:rsid w:val="00277BD2"/>
    <w:rsid w:val="00277E5B"/>
    <w:rsid w:val="00280846"/>
    <w:rsid w:val="00280BF4"/>
    <w:rsid w:val="00281E28"/>
    <w:rsid w:val="002824C7"/>
    <w:rsid w:val="00283339"/>
    <w:rsid w:val="00283A48"/>
    <w:rsid w:val="00283C8F"/>
    <w:rsid w:val="00283CEE"/>
    <w:rsid w:val="002841F4"/>
    <w:rsid w:val="002842E2"/>
    <w:rsid w:val="002858A9"/>
    <w:rsid w:val="002859E2"/>
    <w:rsid w:val="0028628A"/>
    <w:rsid w:val="00287842"/>
    <w:rsid w:val="002879DB"/>
    <w:rsid w:val="00287A28"/>
    <w:rsid w:val="00287DD3"/>
    <w:rsid w:val="002901CB"/>
    <w:rsid w:val="00290981"/>
    <w:rsid w:val="00290AE9"/>
    <w:rsid w:val="0029131E"/>
    <w:rsid w:val="0029142A"/>
    <w:rsid w:val="002916F4"/>
    <w:rsid w:val="002924A4"/>
    <w:rsid w:val="00292FFB"/>
    <w:rsid w:val="00293261"/>
    <w:rsid w:val="00293AAE"/>
    <w:rsid w:val="00293B10"/>
    <w:rsid w:val="00293DB1"/>
    <w:rsid w:val="002946A9"/>
    <w:rsid w:val="00294E42"/>
    <w:rsid w:val="00295E86"/>
    <w:rsid w:val="002966F7"/>
    <w:rsid w:val="00297234"/>
    <w:rsid w:val="002975C3"/>
    <w:rsid w:val="002A050E"/>
    <w:rsid w:val="002A1446"/>
    <w:rsid w:val="002A21EF"/>
    <w:rsid w:val="002A2466"/>
    <w:rsid w:val="002A2563"/>
    <w:rsid w:val="002A2E2D"/>
    <w:rsid w:val="002A38C9"/>
    <w:rsid w:val="002A39BB"/>
    <w:rsid w:val="002A3D41"/>
    <w:rsid w:val="002A40A2"/>
    <w:rsid w:val="002A493D"/>
    <w:rsid w:val="002A5148"/>
    <w:rsid w:val="002A65AD"/>
    <w:rsid w:val="002A6ADA"/>
    <w:rsid w:val="002A7EBB"/>
    <w:rsid w:val="002B08E2"/>
    <w:rsid w:val="002B0E57"/>
    <w:rsid w:val="002B101A"/>
    <w:rsid w:val="002B1AB7"/>
    <w:rsid w:val="002B1E9A"/>
    <w:rsid w:val="002B2830"/>
    <w:rsid w:val="002B30FB"/>
    <w:rsid w:val="002B3130"/>
    <w:rsid w:val="002B3211"/>
    <w:rsid w:val="002B323B"/>
    <w:rsid w:val="002B3BC4"/>
    <w:rsid w:val="002B3D8A"/>
    <w:rsid w:val="002B3D91"/>
    <w:rsid w:val="002B40A2"/>
    <w:rsid w:val="002B5007"/>
    <w:rsid w:val="002B5533"/>
    <w:rsid w:val="002B594B"/>
    <w:rsid w:val="002B5E1F"/>
    <w:rsid w:val="002B6378"/>
    <w:rsid w:val="002B645B"/>
    <w:rsid w:val="002B64A7"/>
    <w:rsid w:val="002B668E"/>
    <w:rsid w:val="002B70B2"/>
    <w:rsid w:val="002B72B4"/>
    <w:rsid w:val="002C116F"/>
    <w:rsid w:val="002C1170"/>
    <w:rsid w:val="002C1F7F"/>
    <w:rsid w:val="002C25EF"/>
    <w:rsid w:val="002C2A2C"/>
    <w:rsid w:val="002C307C"/>
    <w:rsid w:val="002C4075"/>
    <w:rsid w:val="002C54F3"/>
    <w:rsid w:val="002C55A8"/>
    <w:rsid w:val="002C704B"/>
    <w:rsid w:val="002C7C63"/>
    <w:rsid w:val="002C7D8E"/>
    <w:rsid w:val="002D027D"/>
    <w:rsid w:val="002D07EB"/>
    <w:rsid w:val="002D09B1"/>
    <w:rsid w:val="002D1007"/>
    <w:rsid w:val="002D14F2"/>
    <w:rsid w:val="002D1951"/>
    <w:rsid w:val="002D203B"/>
    <w:rsid w:val="002D21CF"/>
    <w:rsid w:val="002D3EAF"/>
    <w:rsid w:val="002D41D7"/>
    <w:rsid w:val="002D4B1E"/>
    <w:rsid w:val="002D4FCE"/>
    <w:rsid w:val="002D5653"/>
    <w:rsid w:val="002D6577"/>
    <w:rsid w:val="002D6A9C"/>
    <w:rsid w:val="002D71B6"/>
    <w:rsid w:val="002D7670"/>
    <w:rsid w:val="002E0406"/>
    <w:rsid w:val="002E0C9B"/>
    <w:rsid w:val="002E1017"/>
    <w:rsid w:val="002E2743"/>
    <w:rsid w:val="002E2D6C"/>
    <w:rsid w:val="002E2F93"/>
    <w:rsid w:val="002E300B"/>
    <w:rsid w:val="002E3990"/>
    <w:rsid w:val="002E4EC4"/>
    <w:rsid w:val="002E5D40"/>
    <w:rsid w:val="002E7910"/>
    <w:rsid w:val="002E7F46"/>
    <w:rsid w:val="002F0E22"/>
    <w:rsid w:val="002F0EAA"/>
    <w:rsid w:val="002F1392"/>
    <w:rsid w:val="002F15D6"/>
    <w:rsid w:val="002F1848"/>
    <w:rsid w:val="002F1B3B"/>
    <w:rsid w:val="002F316E"/>
    <w:rsid w:val="002F325A"/>
    <w:rsid w:val="002F3765"/>
    <w:rsid w:val="002F3D1A"/>
    <w:rsid w:val="002F40AB"/>
    <w:rsid w:val="002F41B6"/>
    <w:rsid w:val="002F5F16"/>
    <w:rsid w:val="002F6081"/>
    <w:rsid w:val="002F6C0D"/>
    <w:rsid w:val="002F76C4"/>
    <w:rsid w:val="00300797"/>
    <w:rsid w:val="00300912"/>
    <w:rsid w:val="00300F08"/>
    <w:rsid w:val="003015A0"/>
    <w:rsid w:val="00302701"/>
    <w:rsid w:val="00302E81"/>
    <w:rsid w:val="00303FA7"/>
    <w:rsid w:val="00304042"/>
    <w:rsid w:val="00304B3F"/>
    <w:rsid w:val="0030541E"/>
    <w:rsid w:val="00305C2C"/>
    <w:rsid w:val="0030657D"/>
    <w:rsid w:val="00306D75"/>
    <w:rsid w:val="00307B26"/>
    <w:rsid w:val="003108EC"/>
    <w:rsid w:val="00310F45"/>
    <w:rsid w:val="003115D9"/>
    <w:rsid w:val="00311628"/>
    <w:rsid w:val="00311723"/>
    <w:rsid w:val="00312E14"/>
    <w:rsid w:val="003133F9"/>
    <w:rsid w:val="00315AE2"/>
    <w:rsid w:val="0031622B"/>
    <w:rsid w:val="00316418"/>
    <w:rsid w:val="003168D1"/>
    <w:rsid w:val="00316E8C"/>
    <w:rsid w:val="00317852"/>
    <w:rsid w:val="00320527"/>
    <w:rsid w:val="003205D2"/>
    <w:rsid w:val="00320CC2"/>
    <w:rsid w:val="003229DE"/>
    <w:rsid w:val="00322FB1"/>
    <w:rsid w:val="00323277"/>
    <w:rsid w:val="00323B52"/>
    <w:rsid w:val="00324AAD"/>
    <w:rsid w:val="00324ADC"/>
    <w:rsid w:val="00324D18"/>
    <w:rsid w:val="0032572E"/>
    <w:rsid w:val="0032619C"/>
    <w:rsid w:val="0032759E"/>
    <w:rsid w:val="00327794"/>
    <w:rsid w:val="0033022D"/>
    <w:rsid w:val="003303BF"/>
    <w:rsid w:val="00330632"/>
    <w:rsid w:val="00330814"/>
    <w:rsid w:val="00331719"/>
    <w:rsid w:val="00331E48"/>
    <w:rsid w:val="003320FF"/>
    <w:rsid w:val="003324C9"/>
    <w:rsid w:val="00332C1D"/>
    <w:rsid w:val="0033306A"/>
    <w:rsid w:val="003338F1"/>
    <w:rsid w:val="00333D67"/>
    <w:rsid w:val="00334086"/>
    <w:rsid w:val="00335AD2"/>
    <w:rsid w:val="00335E7B"/>
    <w:rsid w:val="00337622"/>
    <w:rsid w:val="00337BE5"/>
    <w:rsid w:val="00337D24"/>
    <w:rsid w:val="00340BBD"/>
    <w:rsid w:val="00341262"/>
    <w:rsid w:val="00341EF6"/>
    <w:rsid w:val="00342585"/>
    <w:rsid w:val="003440D9"/>
    <w:rsid w:val="00344201"/>
    <w:rsid w:val="00344F23"/>
    <w:rsid w:val="0034660D"/>
    <w:rsid w:val="00346749"/>
    <w:rsid w:val="00347089"/>
    <w:rsid w:val="003502A4"/>
    <w:rsid w:val="003503BE"/>
    <w:rsid w:val="0035050F"/>
    <w:rsid w:val="0035096F"/>
    <w:rsid w:val="00350B8D"/>
    <w:rsid w:val="003510C0"/>
    <w:rsid w:val="00351448"/>
    <w:rsid w:val="00352CB0"/>
    <w:rsid w:val="0035369E"/>
    <w:rsid w:val="003536C2"/>
    <w:rsid w:val="00353843"/>
    <w:rsid w:val="00353AA7"/>
    <w:rsid w:val="00354DC0"/>
    <w:rsid w:val="003552BC"/>
    <w:rsid w:val="003553C5"/>
    <w:rsid w:val="00357342"/>
    <w:rsid w:val="00357403"/>
    <w:rsid w:val="00357466"/>
    <w:rsid w:val="003579C8"/>
    <w:rsid w:val="00360B77"/>
    <w:rsid w:val="00361653"/>
    <w:rsid w:val="00361AF1"/>
    <w:rsid w:val="00361F7F"/>
    <w:rsid w:val="00362438"/>
    <w:rsid w:val="00362D80"/>
    <w:rsid w:val="0036322B"/>
    <w:rsid w:val="00363822"/>
    <w:rsid w:val="00364945"/>
    <w:rsid w:val="00365260"/>
    <w:rsid w:val="00365802"/>
    <w:rsid w:val="00365A06"/>
    <w:rsid w:val="00365A49"/>
    <w:rsid w:val="00365A4C"/>
    <w:rsid w:val="00365A61"/>
    <w:rsid w:val="00365A79"/>
    <w:rsid w:val="003667F1"/>
    <w:rsid w:val="0036687E"/>
    <w:rsid w:val="00366E30"/>
    <w:rsid w:val="00367A59"/>
    <w:rsid w:val="00367A8F"/>
    <w:rsid w:val="00367F38"/>
    <w:rsid w:val="00370ADB"/>
    <w:rsid w:val="00370E4C"/>
    <w:rsid w:val="003717C5"/>
    <w:rsid w:val="00372227"/>
    <w:rsid w:val="0037249A"/>
    <w:rsid w:val="00372BA9"/>
    <w:rsid w:val="00373825"/>
    <w:rsid w:val="00373B83"/>
    <w:rsid w:val="003766D7"/>
    <w:rsid w:val="00376EBE"/>
    <w:rsid w:val="00377125"/>
    <w:rsid w:val="0037715C"/>
    <w:rsid w:val="0037720E"/>
    <w:rsid w:val="0037721F"/>
    <w:rsid w:val="00380265"/>
    <w:rsid w:val="003818FC"/>
    <w:rsid w:val="0038354D"/>
    <w:rsid w:val="00383605"/>
    <w:rsid w:val="00383B74"/>
    <w:rsid w:val="00383BA4"/>
    <w:rsid w:val="00383CF1"/>
    <w:rsid w:val="003842A8"/>
    <w:rsid w:val="00384D61"/>
    <w:rsid w:val="003851FD"/>
    <w:rsid w:val="00385E20"/>
    <w:rsid w:val="00385E27"/>
    <w:rsid w:val="003864E9"/>
    <w:rsid w:val="0038687E"/>
    <w:rsid w:val="00387100"/>
    <w:rsid w:val="00387AE9"/>
    <w:rsid w:val="003913F8"/>
    <w:rsid w:val="00393D9F"/>
    <w:rsid w:val="00394985"/>
    <w:rsid w:val="00394D8F"/>
    <w:rsid w:val="00395F47"/>
    <w:rsid w:val="0039663E"/>
    <w:rsid w:val="00397149"/>
    <w:rsid w:val="003A0718"/>
    <w:rsid w:val="003A0902"/>
    <w:rsid w:val="003A1449"/>
    <w:rsid w:val="003A18F4"/>
    <w:rsid w:val="003A2A08"/>
    <w:rsid w:val="003A2ED9"/>
    <w:rsid w:val="003A3220"/>
    <w:rsid w:val="003A3557"/>
    <w:rsid w:val="003A4575"/>
    <w:rsid w:val="003A50B9"/>
    <w:rsid w:val="003A58F6"/>
    <w:rsid w:val="003A5C47"/>
    <w:rsid w:val="003A5CE8"/>
    <w:rsid w:val="003A64FE"/>
    <w:rsid w:val="003A6772"/>
    <w:rsid w:val="003A69C0"/>
    <w:rsid w:val="003A70E8"/>
    <w:rsid w:val="003A71C4"/>
    <w:rsid w:val="003A749D"/>
    <w:rsid w:val="003A768A"/>
    <w:rsid w:val="003B02F4"/>
    <w:rsid w:val="003B0C8E"/>
    <w:rsid w:val="003B2554"/>
    <w:rsid w:val="003B2A75"/>
    <w:rsid w:val="003B3589"/>
    <w:rsid w:val="003B3A8A"/>
    <w:rsid w:val="003B45B5"/>
    <w:rsid w:val="003B5145"/>
    <w:rsid w:val="003B5571"/>
    <w:rsid w:val="003B56EB"/>
    <w:rsid w:val="003B76C2"/>
    <w:rsid w:val="003B77BC"/>
    <w:rsid w:val="003B7A6D"/>
    <w:rsid w:val="003B7C5A"/>
    <w:rsid w:val="003C0703"/>
    <w:rsid w:val="003C0880"/>
    <w:rsid w:val="003C0B8A"/>
    <w:rsid w:val="003C1315"/>
    <w:rsid w:val="003C262B"/>
    <w:rsid w:val="003C28A2"/>
    <w:rsid w:val="003C33CC"/>
    <w:rsid w:val="003C39F0"/>
    <w:rsid w:val="003C4799"/>
    <w:rsid w:val="003C4B1C"/>
    <w:rsid w:val="003C4EDE"/>
    <w:rsid w:val="003C504C"/>
    <w:rsid w:val="003C515F"/>
    <w:rsid w:val="003C5927"/>
    <w:rsid w:val="003C5F94"/>
    <w:rsid w:val="003C6BD4"/>
    <w:rsid w:val="003C6E0E"/>
    <w:rsid w:val="003C70E0"/>
    <w:rsid w:val="003C735A"/>
    <w:rsid w:val="003C7824"/>
    <w:rsid w:val="003D0585"/>
    <w:rsid w:val="003D061B"/>
    <w:rsid w:val="003D1B62"/>
    <w:rsid w:val="003D1E49"/>
    <w:rsid w:val="003D23D6"/>
    <w:rsid w:val="003D2649"/>
    <w:rsid w:val="003D27D2"/>
    <w:rsid w:val="003D2A53"/>
    <w:rsid w:val="003D31A8"/>
    <w:rsid w:val="003D3F09"/>
    <w:rsid w:val="003D4441"/>
    <w:rsid w:val="003D4D46"/>
    <w:rsid w:val="003D532D"/>
    <w:rsid w:val="003D6D2F"/>
    <w:rsid w:val="003D7F57"/>
    <w:rsid w:val="003E0473"/>
    <w:rsid w:val="003E3066"/>
    <w:rsid w:val="003E4CA6"/>
    <w:rsid w:val="003E6FC5"/>
    <w:rsid w:val="003E72A8"/>
    <w:rsid w:val="003E7EE8"/>
    <w:rsid w:val="003E7FF1"/>
    <w:rsid w:val="003F115B"/>
    <w:rsid w:val="003F2AF3"/>
    <w:rsid w:val="003F2B6C"/>
    <w:rsid w:val="003F2BB5"/>
    <w:rsid w:val="003F2EA0"/>
    <w:rsid w:val="003F44A9"/>
    <w:rsid w:val="003F46EC"/>
    <w:rsid w:val="003F4A65"/>
    <w:rsid w:val="003F4F44"/>
    <w:rsid w:val="003F53DA"/>
    <w:rsid w:val="003F5B9F"/>
    <w:rsid w:val="003F5F2C"/>
    <w:rsid w:val="003F639F"/>
    <w:rsid w:val="003F6A21"/>
    <w:rsid w:val="00400D0C"/>
    <w:rsid w:val="00401219"/>
    <w:rsid w:val="004035E5"/>
    <w:rsid w:val="00404239"/>
    <w:rsid w:val="00404855"/>
    <w:rsid w:val="0040641D"/>
    <w:rsid w:val="004077A1"/>
    <w:rsid w:val="004077D9"/>
    <w:rsid w:val="00407BE3"/>
    <w:rsid w:val="00407FEB"/>
    <w:rsid w:val="00411C9A"/>
    <w:rsid w:val="0041223B"/>
    <w:rsid w:val="00413BB3"/>
    <w:rsid w:val="00413BD0"/>
    <w:rsid w:val="00413C22"/>
    <w:rsid w:val="00413C25"/>
    <w:rsid w:val="00413D8C"/>
    <w:rsid w:val="00413E15"/>
    <w:rsid w:val="00413E2B"/>
    <w:rsid w:val="00413E30"/>
    <w:rsid w:val="004173D7"/>
    <w:rsid w:val="004175D1"/>
    <w:rsid w:val="0041788C"/>
    <w:rsid w:val="00417E7E"/>
    <w:rsid w:val="00420140"/>
    <w:rsid w:val="00420A34"/>
    <w:rsid w:val="00420C03"/>
    <w:rsid w:val="004217DD"/>
    <w:rsid w:val="00421A9B"/>
    <w:rsid w:val="00421F4C"/>
    <w:rsid w:val="00423651"/>
    <w:rsid w:val="004236C8"/>
    <w:rsid w:val="004253D3"/>
    <w:rsid w:val="00426545"/>
    <w:rsid w:val="0042710A"/>
    <w:rsid w:val="004272E8"/>
    <w:rsid w:val="00427527"/>
    <w:rsid w:val="004275E6"/>
    <w:rsid w:val="00430888"/>
    <w:rsid w:val="00430A4F"/>
    <w:rsid w:val="004313B4"/>
    <w:rsid w:val="00432522"/>
    <w:rsid w:val="0043277A"/>
    <w:rsid w:val="00432839"/>
    <w:rsid w:val="00433671"/>
    <w:rsid w:val="00434B34"/>
    <w:rsid w:val="00434FE7"/>
    <w:rsid w:val="0043500B"/>
    <w:rsid w:val="004356A6"/>
    <w:rsid w:val="004377CD"/>
    <w:rsid w:val="0043780B"/>
    <w:rsid w:val="00441A06"/>
    <w:rsid w:val="00441EC2"/>
    <w:rsid w:val="0044208A"/>
    <w:rsid w:val="004422C8"/>
    <w:rsid w:val="00443BC6"/>
    <w:rsid w:val="00444025"/>
    <w:rsid w:val="004441A0"/>
    <w:rsid w:val="004444AB"/>
    <w:rsid w:val="00444E2E"/>
    <w:rsid w:val="00446114"/>
    <w:rsid w:val="00446308"/>
    <w:rsid w:val="00446CAF"/>
    <w:rsid w:val="00446E0A"/>
    <w:rsid w:val="00447247"/>
    <w:rsid w:val="00450664"/>
    <w:rsid w:val="00450CA1"/>
    <w:rsid w:val="00450EBC"/>
    <w:rsid w:val="004520A9"/>
    <w:rsid w:val="00452618"/>
    <w:rsid w:val="0045266B"/>
    <w:rsid w:val="00452E79"/>
    <w:rsid w:val="00453E9E"/>
    <w:rsid w:val="00454062"/>
    <w:rsid w:val="004552CC"/>
    <w:rsid w:val="0045618B"/>
    <w:rsid w:val="0045688F"/>
    <w:rsid w:val="00456CDD"/>
    <w:rsid w:val="004575F2"/>
    <w:rsid w:val="004576AC"/>
    <w:rsid w:val="00457DA5"/>
    <w:rsid w:val="00460278"/>
    <w:rsid w:val="004602F1"/>
    <w:rsid w:val="0046079A"/>
    <w:rsid w:val="004608D1"/>
    <w:rsid w:val="00460B04"/>
    <w:rsid w:val="00460BC6"/>
    <w:rsid w:val="004613F0"/>
    <w:rsid w:val="00461D11"/>
    <w:rsid w:val="004625B2"/>
    <w:rsid w:val="00462676"/>
    <w:rsid w:val="00462B46"/>
    <w:rsid w:val="00462C80"/>
    <w:rsid w:val="00462D0B"/>
    <w:rsid w:val="00462FBA"/>
    <w:rsid w:val="004638EE"/>
    <w:rsid w:val="00463AE6"/>
    <w:rsid w:val="00463F07"/>
    <w:rsid w:val="004643A2"/>
    <w:rsid w:val="00464EA7"/>
    <w:rsid w:val="00464F0D"/>
    <w:rsid w:val="00465331"/>
    <w:rsid w:val="00465381"/>
    <w:rsid w:val="004654A3"/>
    <w:rsid w:val="00465A2F"/>
    <w:rsid w:val="00465C4A"/>
    <w:rsid w:val="00466C66"/>
    <w:rsid w:val="004678E4"/>
    <w:rsid w:val="00467F1C"/>
    <w:rsid w:val="0047014F"/>
    <w:rsid w:val="00470914"/>
    <w:rsid w:val="00470E19"/>
    <w:rsid w:val="0047192B"/>
    <w:rsid w:val="00471955"/>
    <w:rsid w:val="00471ED4"/>
    <w:rsid w:val="00472786"/>
    <w:rsid w:val="00472A1D"/>
    <w:rsid w:val="00472E72"/>
    <w:rsid w:val="00473B2B"/>
    <w:rsid w:val="00473DCE"/>
    <w:rsid w:val="00474176"/>
    <w:rsid w:val="0047421E"/>
    <w:rsid w:val="00474B37"/>
    <w:rsid w:val="00474FFF"/>
    <w:rsid w:val="00475036"/>
    <w:rsid w:val="0047547D"/>
    <w:rsid w:val="00475EA4"/>
    <w:rsid w:val="00476635"/>
    <w:rsid w:val="00476C7B"/>
    <w:rsid w:val="00476D4B"/>
    <w:rsid w:val="00477628"/>
    <w:rsid w:val="00477943"/>
    <w:rsid w:val="00480DF0"/>
    <w:rsid w:val="004820B3"/>
    <w:rsid w:val="004820D3"/>
    <w:rsid w:val="004825C4"/>
    <w:rsid w:val="00482AF1"/>
    <w:rsid w:val="00483772"/>
    <w:rsid w:val="00483E97"/>
    <w:rsid w:val="00484126"/>
    <w:rsid w:val="004844FD"/>
    <w:rsid w:val="00484696"/>
    <w:rsid w:val="00484A99"/>
    <w:rsid w:val="00484D75"/>
    <w:rsid w:val="00484E6B"/>
    <w:rsid w:val="0048501B"/>
    <w:rsid w:val="0048594C"/>
    <w:rsid w:val="00485E6A"/>
    <w:rsid w:val="00487050"/>
    <w:rsid w:val="00490B6D"/>
    <w:rsid w:val="00491074"/>
    <w:rsid w:val="004914DE"/>
    <w:rsid w:val="004932CA"/>
    <w:rsid w:val="00493EE0"/>
    <w:rsid w:val="0049419E"/>
    <w:rsid w:val="0049479F"/>
    <w:rsid w:val="00494D4F"/>
    <w:rsid w:val="00495045"/>
    <w:rsid w:val="00495088"/>
    <w:rsid w:val="0049548A"/>
    <w:rsid w:val="00495A64"/>
    <w:rsid w:val="0049691F"/>
    <w:rsid w:val="004969EB"/>
    <w:rsid w:val="0049737D"/>
    <w:rsid w:val="004979A7"/>
    <w:rsid w:val="004A01F1"/>
    <w:rsid w:val="004A04DB"/>
    <w:rsid w:val="004A05CA"/>
    <w:rsid w:val="004A1631"/>
    <w:rsid w:val="004A1D68"/>
    <w:rsid w:val="004A2AFA"/>
    <w:rsid w:val="004A3045"/>
    <w:rsid w:val="004A335A"/>
    <w:rsid w:val="004A3A37"/>
    <w:rsid w:val="004A4001"/>
    <w:rsid w:val="004A439B"/>
    <w:rsid w:val="004A64C1"/>
    <w:rsid w:val="004A6DC0"/>
    <w:rsid w:val="004B0052"/>
    <w:rsid w:val="004B0CB4"/>
    <w:rsid w:val="004B1F75"/>
    <w:rsid w:val="004B23E2"/>
    <w:rsid w:val="004B365D"/>
    <w:rsid w:val="004B39D7"/>
    <w:rsid w:val="004B3E7E"/>
    <w:rsid w:val="004B4A68"/>
    <w:rsid w:val="004B4C7B"/>
    <w:rsid w:val="004B4CC2"/>
    <w:rsid w:val="004B5034"/>
    <w:rsid w:val="004B790C"/>
    <w:rsid w:val="004B79A1"/>
    <w:rsid w:val="004C007A"/>
    <w:rsid w:val="004C0849"/>
    <w:rsid w:val="004C088D"/>
    <w:rsid w:val="004C0F38"/>
    <w:rsid w:val="004C1AFD"/>
    <w:rsid w:val="004C1EAE"/>
    <w:rsid w:val="004C24B7"/>
    <w:rsid w:val="004C310E"/>
    <w:rsid w:val="004C361F"/>
    <w:rsid w:val="004C3700"/>
    <w:rsid w:val="004C3980"/>
    <w:rsid w:val="004C3FE6"/>
    <w:rsid w:val="004C474E"/>
    <w:rsid w:val="004C5ED7"/>
    <w:rsid w:val="004C63D3"/>
    <w:rsid w:val="004C6DA0"/>
    <w:rsid w:val="004C72B7"/>
    <w:rsid w:val="004C7902"/>
    <w:rsid w:val="004C7A81"/>
    <w:rsid w:val="004C7D3C"/>
    <w:rsid w:val="004D0102"/>
    <w:rsid w:val="004D0522"/>
    <w:rsid w:val="004D0E8D"/>
    <w:rsid w:val="004D1004"/>
    <w:rsid w:val="004D31E7"/>
    <w:rsid w:val="004D3535"/>
    <w:rsid w:val="004D3A61"/>
    <w:rsid w:val="004D3D28"/>
    <w:rsid w:val="004D4528"/>
    <w:rsid w:val="004D4D3C"/>
    <w:rsid w:val="004D56EA"/>
    <w:rsid w:val="004D6C54"/>
    <w:rsid w:val="004D6F01"/>
    <w:rsid w:val="004D7657"/>
    <w:rsid w:val="004E01F5"/>
    <w:rsid w:val="004E1E68"/>
    <w:rsid w:val="004E23D7"/>
    <w:rsid w:val="004E2881"/>
    <w:rsid w:val="004E2F31"/>
    <w:rsid w:val="004E312A"/>
    <w:rsid w:val="004E3597"/>
    <w:rsid w:val="004E3773"/>
    <w:rsid w:val="004E3E8D"/>
    <w:rsid w:val="004E4678"/>
    <w:rsid w:val="004E4D1A"/>
    <w:rsid w:val="004E5AA2"/>
    <w:rsid w:val="004E5F91"/>
    <w:rsid w:val="004E6AAD"/>
    <w:rsid w:val="004E7182"/>
    <w:rsid w:val="004E7869"/>
    <w:rsid w:val="004E7963"/>
    <w:rsid w:val="004E7F2E"/>
    <w:rsid w:val="004F0405"/>
    <w:rsid w:val="004F053A"/>
    <w:rsid w:val="004F0971"/>
    <w:rsid w:val="004F0AB9"/>
    <w:rsid w:val="004F0B9C"/>
    <w:rsid w:val="004F1341"/>
    <w:rsid w:val="004F18E3"/>
    <w:rsid w:val="004F2452"/>
    <w:rsid w:val="004F390C"/>
    <w:rsid w:val="004F39F4"/>
    <w:rsid w:val="004F4660"/>
    <w:rsid w:val="004F4926"/>
    <w:rsid w:val="004F5C25"/>
    <w:rsid w:val="004F6107"/>
    <w:rsid w:val="004F636E"/>
    <w:rsid w:val="004F6722"/>
    <w:rsid w:val="004F69DA"/>
    <w:rsid w:val="004F6E12"/>
    <w:rsid w:val="004F6E5D"/>
    <w:rsid w:val="004F7AEE"/>
    <w:rsid w:val="0050057B"/>
    <w:rsid w:val="005010C2"/>
    <w:rsid w:val="005019D9"/>
    <w:rsid w:val="0050247F"/>
    <w:rsid w:val="00502FF7"/>
    <w:rsid w:val="00503378"/>
    <w:rsid w:val="00503889"/>
    <w:rsid w:val="005041EC"/>
    <w:rsid w:val="00504A66"/>
    <w:rsid w:val="00504F7A"/>
    <w:rsid w:val="00505117"/>
    <w:rsid w:val="005059A5"/>
    <w:rsid w:val="00505E0F"/>
    <w:rsid w:val="00506AED"/>
    <w:rsid w:val="00506E68"/>
    <w:rsid w:val="00507219"/>
    <w:rsid w:val="00510377"/>
    <w:rsid w:val="005110ED"/>
    <w:rsid w:val="0051279E"/>
    <w:rsid w:val="00512FFF"/>
    <w:rsid w:val="00513CD7"/>
    <w:rsid w:val="00514AC9"/>
    <w:rsid w:val="00514CEF"/>
    <w:rsid w:val="005150AD"/>
    <w:rsid w:val="0051557F"/>
    <w:rsid w:val="00515832"/>
    <w:rsid w:val="0051659C"/>
    <w:rsid w:val="005173B5"/>
    <w:rsid w:val="005176EC"/>
    <w:rsid w:val="0051788A"/>
    <w:rsid w:val="0052235B"/>
    <w:rsid w:val="00522D42"/>
    <w:rsid w:val="005243AD"/>
    <w:rsid w:val="005246D6"/>
    <w:rsid w:val="00524F82"/>
    <w:rsid w:val="005262E3"/>
    <w:rsid w:val="00526306"/>
    <w:rsid w:val="00526A8D"/>
    <w:rsid w:val="00526AF0"/>
    <w:rsid w:val="0052711B"/>
    <w:rsid w:val="0052717A"/>
    <w:rsid w:val="00527CA2"/>
    <w:rsid w:val="00530652"/>
    <w:rsid w:val="005309B5"/>
    <w:rsid w:val="005310CB"/>
    <w:rsid w:val="0053140B"/>
    <w:rsid w:val="00531C86"/>
    <w:rsid w:val="005326DC"/>
    <w:rsid w:val="00533362"/>
    <w:rsid w:val="00533AED"/>
    <w:rsid w:val="0053412F"/>
    <w:rsid w:val="0053437D"/>
    <w:rsid w:val="005343A9"/>
    <w:rsid w:val="00534480"/>
    <w:rsid w:val="00534C2B"/>
    <w:rsid w:val="00534C7F"/>
    <w:rsid w:val="00534D4A"/>
    <w:rsid w:val="0053546C"/>
    <w:rsid w:val="0053577C"/>
    <w:rsid w:val="00535C95"/>
    <w:rsid w:val="0053605E"/>
    <w:rsid w:val="00536C10"/>
    <w:rsid w:val="00536EF7"/>
    <w:rsid w:val="00537687"/>
    <w:rsid w:val="005378DA"/>
    <w:rsid w:val="0053798A"/>
    <w:rsid w:val="00537B45"/>
    <w:rsid w:val="005403D4"/>
    <w:rsid w:val="00540656"/>
    <w:rsid w:val="005412F7"/>
    <w:rsid w:val="005412FC"/>
    <w:rsid w:val="0054334A"/>
    <w:rsid w:val="00543CE2"/>
    <w:rsid w:val="005441B7"/>
    <w:rsid w:val="00544F60"/>
    <w:rsid w:val="00546412"/>
    <w:rsid w:val="00546B28"/>
    <w:rsid w:val="00547524"/>
    <w:rsid w:val="00550F9D"/>
    <w:rsid w:val="005515A6"/>
    <w:rsid w:val="00551951"/>
    <w:rsid w:val="00551A01"/>
    <w:rsid w:val="00551A35"/>
    <w:rsid w:val="005526F3"/>
    <w:rsid w:val="00552887"/>
    <w:rsid w:val="00553216"/>
    <w:rsid w:val="005534E1"/>
    <w:rsid w:val="00553945"/>
    <w:rsid w:val="0055488B"/>
    <w:rsid w:val="005548E0"/>
    <w:rsid w:val="00554C7A"/>
    <w:rsid w:val="00555D45"/>
    <w:rsid w:val="00556B6C"/>
    <w:rsid w:val="0055704A"/>
    <w:rsid w:val="00557157"/>
    <w:rsid w:val="005600EA"/>
    <w:rsid w:val="005601A5"/>
    <w:rsid w:val="0056114D"/>
    <w:rsid w:val="005616F6"/>
    <w:rsid w:val="0056239B"/>
    <w:rsid w:val="0056268C"/>
    <w:rsid w:val="00563112"/>
    <w:rsid w:val="0056432A"/>
    <w:rsid w:val="00564F32"/>
    <w:rsid w:val="0056530F"/>
    <w:rsid w:val="00565CB3"/>
    <w:rsid w:val="005661B9"/>
    <w:rsid w:val="0056688A"/>
    <w:rsid w:val="00566E98"/>
    <w:rsid w:val="0056706A"/>
    <w:rsid w:val="00567F36"/>
    <w:rsid w:val="00570088"/>
    <w:rsid w:val="00570446"/>
    <w:rsid w:val="00570A58"/>
    <w:rsid w:val="00570DAD"/>
    <w:rsid w:val="0057208D"/>
    <w:rsid w:val="005720C2"/>
    <w:rsid w:val="00572921"/>
    <w:rsid w:val="00572B54"/>
    <w:rsid w:val="00572CE0"/>
    <w:rsid w:val="00573C7C"/>
    <w:rsid w:val="00573EC2"/>
    <w:rsid w:val="005744C9"/>
    <w:rsid w:val="00574AAA"/>
    <w:rsid w:val="00575646"/>
    <w:rsid w:val="0057572C"/>
    <w:rsid w:val="005761F7"/>
    <w:rsid w:val="00576E1F"/>
    <w:rsid w:val="00577AAE"/>
    <w:rsid w:val="00577B86"/>
    <w:rsid w:val="0058009B"/>
    <w:rsid w:val="0058062D"/>
    <w:rsid w:val="00580A50"/>
    <w:rsid w:val="005813F9"/>
    <w:rsid w:val="005816F6"/>
    <w:rsid w:val="005819E1"/>
    <w:rsid w:val="005821B3"/>
    <w:rsid w:val="0058220D"/>
    <w:rsid w:val="00582C80"/>
    <w:rsid w:val="00582CAD"/>
    <w:rsid w:val="00582E12"/>
    <w:rsid w:val="00583431"/>
    <w:rsid w:val="005836FF"/>
    <w:rsid w:val="00583885"/>
    <w:rsid w:val="00583A5C"/>
    <w:rsid w:val="00584132"/>
    <w:rsid w:val="005846CD"/>
    <w:rsid w:val="00584CA5"/>
    <w:rsid w:val="005861FD"/>
    <w:rsid w:val="00586462"/>
    <w:rsid w:val="00587664"/>
    <w:rsid w:val="00587EEE"/>
    <w:rsid w:val="00587F39"/>
    <w:rsid w:val="0059000E"/>
    <w:rsid w:val="005903A8"/>
    <w:rsid w:val="00590524"/>
    <w:rsid w:val="00591CD3"/>
    <w:rsid w:val="00592D3A"/>
    <w:rsid w:val="00593710"/>
    <w:rsid w:val="00593AA4"/>
    <w:rsid w:val="00593DDF"/>
    <w:rsid w:val="00593E36"/>
    <w:rsid w:val="00594BB0"/>
    <w:rsid w:val="00596045"/>
    <w:rsid w:val="00596EF7"/>
    <w:rsid w:val="00597243"/>
    <w:rsid w:val="00597C74"/>
    <w:rsid w:val="005A058D"/>
    <w:rsid w:val="005A0A19"/>
    <w:rsid w:val="005A0A2D"/>
    <w:rsid w:val="005A0D0C"/>
    <w:rsid w:val="005A18DE"/>
    <w:rsid w:val="005A1DC0"/>
    <w:rsid w:val="005A36D3"/>
    <w:rsid w:val="005A4F5A"/>
    <w:rsid w:val="005A605B"/>
    <w:rsid w:val="005A74DF"/>
    <w:rsid w:val="005A7B5D"/>
    <w:rsid w:val="005B0751"/>
    <w:rsid w:val="005B17B9"/>
    <w:rsid w:val="005B1BDA"/>
    <w:rsid w:val="005B1DDE"/>
    <w:rsid w:val="005B1E9C"/>
    <w:rsid w:val="005B2023"/>
    <w:rsid w:val="005B2E76"/>
    <w:rsid w:val="005B2FA0"/>
    <w:rsid w:val="005B4034"/>
    <w:rsid w:val="005B4336"/>
    <w:rsid w:val="005B511D"/>
    <w:rsid w:val="005B5B4E"/>
    <w:rsid w:val="005B5D89"/>
    <w:rsid w:val="005B5E07"/>
    <w:rsid w:val="005B5EE8"/>
    <w:rsid w:val="005B5EED"/>
    <w:rsid w:val="005B655F"/>
    <w:rsid w:val="005B74F4"/>
    <w:rsid w:val="005B7981"/>
    <w:rsid w:val="005C0475"/>
    <w:rsid w:val="005C0912"/>
    <w:rsid w:val="005C1339"/>
    <w:rsid w:val="005C1629"/>
    <w:rsid w:val="005C16C5"/>
    <w:rsid w:val="005C1F47"/>
    <w:rsid w:val="005C2037"/>
    <w:rsid w:val="005C248C"/>
    <w:rsid w:val="005C2554"/>
    <w:rsid w:val="005C328C"/>
    <w:rsid w:val="005C338C"/>
    <w:rsid w:val="005C3D90"/>
    <w:rsid w:val="005C4862"/>
    <w:rsid w:val="005C4A73"/>
    <w:rsid w:val="005C4AD2"/>
    <w:rsid w:val="005C5AB8"/>
    <w:rsid w:val="005C6338"/>
    <w:rsid w:val="005C667E"/>
    <w:rsid w:val="005C694E"/>
    <w:rsid w:val="005C6A07"/>
    <w:rsid w:val="005C6B17"/>
    <w:rsid w:val="005C704A"/>
    <w:rsid w:val="005C74AB"/>
    <w:rsid w:val="005C7BDB"/>
    <w:rsid w:val="005D01E9"/>
    <w:rsid w:val="005D03F0"/>
    <w:rsid w:val="005D154E"/>
    <w:rsid w:val="005D1C15"/>
    <w:rsid w:val="005D2195"/>
    <w:rsid w:val="005D2849"/>
    <w:rsid w:val="005D2AE9"/>
    <w:rsid w:val="005D3676"/>
    <w:rsid w:val="005D52AC"/>
    <w:rsid w:val="005D5556"/>
    <w:rsid w:val="005D5927"/>
    <w:rsid w:val="005D613B"/>
    <w:rsid w:val="005D70F9"/>
    <w:rsid w:val="005E337E"/>
    <w:rsid w:val="005E3794"/>
    <w:rsid w:val="005E3C15"/>
    <w:rsid w:val="005E41FB"/>
    <w:rsid w:val="005E4479"/>
    <w:rsid w:val="005E4BD7"/>
    <w:rsid w:val="005E50CF"/>
    <w:rsid w:val="005E513E"/>
    <w:rsid w:val="005E5473"/>
    <w:rsid w:val="005E54F4"/>
    <w:rsid w:val="005E5A75"/>
    <w:rsid w:val="005E5C0A"/>
    <w:rsid w:val="005E6376"/>
    <w:rsid w:val="005E67BF"/>
    <w:rsid w:val="005E6E92"/>
    <w:rsid w:val="005E7283"/>
    <w:rsid w:val="005E7C59"/>
    <w:rsid w:val="005E7DB2"/>
    <w:rsid w:val="005E7F46"/>
    <w:rsid w:val="005F00B4"/>
    <w:rsid w:val="005F0B6C"/>
    <w:rsid w:val="005F0C44"/>
    <w:rsid w:val="005F1754"/>
    <w:rsid w:val="005F1DE9"/>
    <w:rsid w:val="005F2CA2"/>
    <w:rsid w:val="005F3731"/>
    <w:rsid w:val="005F3BB7"/>
    <w:rsid w:val="005F42C2"/>
    <w:rsid w:val="005F4784"/>
    <w:rsid w:val="005F47EC"/>
    <w:rsid w:val="005F4C56"/>
    <w:rsid w:val="005F548D"/>
    <w:rsid w:val="005F64EF"/>
    <w:rsid w:val="005F773C"/>
    <w:rsid w:val="005F793F"/>
    <w:rsid w:val="005F7C4F"/>
    <w:rsid w:val="005F7C60"/>
    <w:rsid w:val="0060017A"/>
    <w:rsid w:val="0060028D"/>
    <w:rsid w:val="006007CF"/>
    <w:rsid w:val="006007FD"/>
    <w:rsid w:val="00601083"/>
    <w:rsid w:val="00601924"/>
    <w:rsid w:val="006025D4"/>
    <w:rsid w:val="00602647"/>
    <w:rsid w:val="00602F49"/>
    <w:rsid w:val="006043B8"/>
    <w:rsid w:val="00604E9A"/>
    <w:rsid w:val="00606036"/>
    <w:rsid w:val="006064AF"/>
    <w:rsid w:val="00606949"/>
    <w:rsid w:val="00606B6A"/>
    <w:rsid w:val="006075D2"/>
    <w:rsid w:val="00610D3B"/>
    <w:rsid w:val="00611B87"/>
    <w:rsid w:val="00611DB8"/>
    <w:rsid w:val="00611E8D"/>
    <w:rsid w:val="006136BE"/>
    <w:rsid w:val="00615B68"/>
    <w:rsid w:val="00615B99"/>
    <w:rsid w:val="006167E4"/>
    <w:rsid w:val="00616C94"/>
    <w:rsid w:val="00617319"/>
    <w:rsid w:val="00617819"/>
    <w:rsid w:val="00617A44"/>
    <w:rsid w:val="00617F4C"/>
    <w:rsid w:val="0062000F"/>
    <w:rsid w:val="0062066F"/>
    <w:rsid w:val="00620829"/>
    <w:rsid w:val="006215F7"/>
    <w:rsid w:val="00621601"/>
    <w:rsid w:val="0062181C"/>
    <w:rsid w:val="00621A86"/>
    <w:rsid w:val="00621BC9"/>
    <w:rsid w:val="00622340"/>
    <w:rsid w:val="00622D59"/>
    <w:rsid w:val="00622E29"/>
    <w:rsid w:val="006237D1"/>
    <w:rsid w:val="00624613"/>
    <w:rsid w:val="00625821"/>
    <w:rsid w:val="0062589E"/>
    <w:rsid w:val="00625D4B"/>
    <w:rsid w:val="00625E3D"/>
    <w:rsid w:val="00625FD4"/>
    <w:rsid w:val="0062676C"/>
    <w:rsid w:val="00626C02"/>
    <w:rsid w:val="00626C05"/>
    <w:rsid w:val="006274EB"/>
    <w:rsid w:val="0063039C"/>
    <w:rsid w:val="00631D97"/>
    <w:rsid w:val="0063233E"/>
    <w:rsid w:val="00632B38"/>
    <w:rsid w:val="00632F7B"/>
    <w:rsid w:val="00633500"/>
    <w:rsid w:val="00633C4E"/>
    <w:rsid w:val="006352F7"/>
    <w:rsid w:val="00635782"/>
    <w:rsid w:val="00636864"/>
    <w:rsid w:val="00636D02"/>
    <w:rsid w:val="00636D80"/>
    <w:rsid w:val="00637157"/>
    <w:rsid w:val="00637813"/>
    <w:rsid w:val="00637F82"/>
    <w:rsid w:val="00640626"/>
    <w:rsid w:val="006409F5"/>
    <w:rsid w:val="00640D8B"/>
    <w:rsid w:val="00640FA5"/>
    <w:rsid w:val="006414FA"/>
    <w:rsid w:val="006416B9"/>
    <w:rsid w:val="00641A79"/>
    <w:rsid w:val="00641BE2"/>
    <w:rsid w:val="00641F67"/>
    <w:rsid w:val="00641FB5"/>
    <w:rsid w:val="00642347"/>
    <w:rsid w:val="00642CB2"/>
    <w:rsid w:val="00643077"/>
    <w:rsid w:val="00644FA6"/>
    <w:rsid w:val="006457C8"/>
    <w:rsid w:val="00645D3D"/>
    <w:rsid w:val="00646DAB"/>
    <w:rsid w:val="006473F3"/>
    <w:rsid w:val="00647716"/>
    <w:rsid w:val="00647BA5"/>
    <w:rsid w:val="0065008C"/>
    <w:rsid w:val="00650188"/>
    <w:rsid w:val="00650A18"/>
    <w:rsid w:val="00650EE7"/>
    <w:rsid w:val="0065137D"/>
    <w:rsid w:val="006516AF"/>
    <w:rsid w:val="00651EDC"/>
    <w:rsid w:val="00651FC6"/>
    <w:rsid w:val="0065275A"/>
    <w:rsid w:val="00652F43"/>
    <w:rsid w:val="00653028"/>
    <w:rsid w:val="006535F9"/>
    <w:rsid w:val="00653B41"/>
    <w:rsid w:val="00653E5B"/>
    <w:rsid w:val="00654FA5"/>
    <w:rsid w:val="00655365"/>
    <w:rsid w:val="0065634D"/>
    <w:rsid w:val="00656718"/>
    <w:rsid w:val="006567B0"/>
    <w:rsid w:val="00657503"/>
    <w:rsid w:val="006576E6"/>
    <w:rsid w:val="00660073"/>
    <w:rsid w:val="00661017"/>
    <w:rsid w:val="006612EF"/>
    <w:rsid w:val="0066241E"/>
    <w:rsid w:val="0066251D"/>
    <w:rsid w:val="00662766"/>
    <w:rsid w:val="00662955"/>
    <w:rsid w:val="00662F2F"/>
    <w:rsid w:val="00664B74"/>
    <w:rsid w:val="00666616"/>
    <w:rsid w:val="006669EB"/>
    <w:rsid w:val="006669EC"/>
    <w:rsid w:val="00666A54"/>
    <w:rsid w:val="006671D4"/>
    <w:rsid w:val="0066751C"/>
    <w:rsid w:val="00670E01"/>
    <w:rsid w:val="006711AF"/>
    <w:rsid w:val="00671A53"/>
    <w:rsid w:val="006726F0"/>
    <w:rsid w:val="00672BF1"/>
    <w:rsid w:val="006734B4"/>
    <w:rsid w:val="0067385C"/>
    <w:rsid w:val="00674B25"/>
    <w:rsid w:val="00674D1C"/>
    <w:rsid w:val="0067539B"/>
    <w:rsid w:val="006758D1"/>
    <w:rsid w:val="00675933"/>
    <w:rsid w:val="00675A3A"/>
    <w:rsid w:val="00675AAC"/>
    <w:rsid w:val="00675E7E"/>
    <w:rsid w:val="0067603A"/>
    <w:rsid w:val="00676112"/>
    <w:rsid w:val="00676A99"/>
    <w:rsid w:val="00676CF4"/>
    <w:rsid w:val="00676EF5"/>
    <w:rsid w:val="00677440"/>
    <w:rsid w:val="00677457"/>
    <w:rsid w:val="006805A0"/>
    <w:rsid w:val="006807AF"/>
    <w:rsid w:val="0068122F"/>
    <w:rsid w:val="006826D6"/>
    <w:rsid w:val="00683367"/>
    <w:rsid w:val="006841D8"/>
    <w:rsid w:val="006850B5"/>
    <w:rsid w:val="00685227"/>
    <w:rsid w:val="00685480"/>
    <w:rsid w:val="00686AA1"/>
    <w:rsid w:val="00686B7A"/>
    <w:rsid w:val="0068739D"/>
    <w:rsid w:val="0068750E"/>
    <w:rsid w:val="0068763F"/>
    <w:rsid w:val="006879FF"/>
    <w:rsid w:val="00690698"/>
    <w:rsid w:val="00690900"/>
    <w:rsid w:val="00691301"/>
    <w:rsid w:val="006931D8"/>
    <w:rsid w:val="00693857"/>
    <w:rsid w:val="006938DB"/>
    <w:rsid w:val="00693941"/>
    <w:rsid w:val="006939F4"/>
    <w:rsid w:val="00693D8D"/>
    <w:rsid w:val="00694161"/>
    <w:rsid w:val="00695A46"/>
    <w:rsid w:val="00697956"/>
    <w:rsid w:val="00697DF7"/>
    <w:rsid w:val="00697DFC"/>
    <w:rsid w:val="006A05DB"/>
    <w:rsid w:val="006A0C33"/>
    <w:rsid w:val="006A1A10"/>
    <w:rsid w:val="006A1C6D"/>
    <w:rsid w:val="006A1FFA"/>
    <w:rsid w:val="006A2416"/>
    <w:rsid w:val="006A3770"/>
    <w:rsid w:val="006A3CDC"/>
    <w:rsid w:val="006A4E31"/>
    <w:rsid w:val="006A5B29"/>
    <w:rsid w:val="006A6E42"/>
    <w:rsid w:val="006A754B"/>
    <w:rsid w:val="006B0EFD"/>
    <w:rsid w:val="006B119C"/>
    <w:rsid w:val="006B214C"/>
    <w:rsid w:val="006B2F31"/>
    <w:rsid w:val="006B394C"/>
    <w:rsid w:val="006B399F"/>
    <w:rsid w:val="006B4A92"/>
    <w:rsid w:val="006B4D88"/>
    <w:rsid w:val="006B646D"/>
    <w:rsid w:val="006C16A1"/>
    <w:rsid w:val="006C1842"/>
    <w:rsid w:val="006C18DA"/>
    <w:rsid w:val="006C2706"/>
    <w:rsid w:val="006C27AB"/>
    <w:rsid w:val="006C29AD"/>
    <w:rsid w:val="006C2ACF"/>
    <w:rsid w:val="006C2E3B"/>
    <w:rsid w:val="006C4685"/>
    <w:rsid w:val="006C46DD"/>
    <w:rsid w:val="006C5E48"/>
    <w:rsid w:val="006C5EB6"/>
    <w:rsid w:val="006C64E5"/>
    <w:rsid w:val="006C715A"/>
    <w:rsid w:val="006C7B85"/>
    <w:rsid w:val="006C7F99"/>
    <w:rsid w:val="006D01FD"/>
    <w:rsid w:val="006D021C"/>
    <w:rsid w:val="006D12C8"/>
    <w:rsid w:val="006D1495"/>
    <w:rsid w:val="006D1E58"/>
    <w:rsid w:val="006D1EEB"/>
    <w:rsid w:val="006D247E"/>
    <w:rsid w:val="006D4701"/>
    <w:rsid w:val="006D5B17"/>
    <w:rsid w:val="006D7083"/>
    <w:rsid w:val="006D7096"/>
    <w:rsid w:val="006D711A"/>
    <w:rsid w:val="006D73EE"/>
    <w:rsid w:val="006E0603"/>
    <w:rsid w:val="006E0AEC"/>
    <w:rsid w:val="006E0B71"/>
    <w:rsid w:val="006E12BB"/>
    <w:rsid w:val="006E15E9"/>
    <w:rsid w:val="006E174E"/>
    <w:rsid w:val="006E28BA"/>
    <w:rsid w:val="006E36DF"/>
    <w:rsid w:val="006E38A9"/>
    <w:rsid w:val="006E4911"/>
    <w:rsid w:val="006E4C7E"/>
    <w:rsid w:val="006E5156"/>
    <w:rsid w:val="006E60F4"/>
    <w:rsid w:val="006E6DA7"/>
    <w:rsid w:val="006E6F9E"/>
    <w:rsid w:val="006E7002"/>
    <w:rsid w:val="006E70B2"/>
    <w:rsid w:val="006E739C"/>
    <w:rsid w:val="006E7740"/>
    <w:rsid w:val="006E7922"/>
    <w:rsid w:val="006E7EA5"/>
    <w:rsid w:val="006F0366"/>
    <w:rsid w:val="006F03F0"/>
    <w:rsid w:val="006F0DF5"/>
    <w:rsid w:val="006F1594"/>
    <w:rsid w:val="006F1AF6"/>
    <w:rsid w:val="006F247F"/>
    <w:rsid w:val="006F589E"/>
    <w:rsid w:val="006F58A7"/>
    <w:rsid w:val="006F7102"/>
    <w:rsid w:val="007001EB"/>
    <w:rsid w:val="00700813"/>
    <w:rsid w:val="0070108F"/>
    <w:rsid w:val="00701542"/>
    <w:rsid w:val="00701806"/>
    <w:rsid w:val="00701E11"/>
    <w:rsid w:val="00703949"/>
    <w:rsid w:val="00704615"/>
    <w:rsid w:val="00705114"/>
    <w:rsid w:val="007060C8"/>
    <w:rsid w:val="0070698C"/>
    <w:rsid w:val="007072E2"/>
    <w:rsid w:val="00710052"/>
    <w:rsid w:val="007107DD"/>
    <w:rsid w:val="007108C8"/>
    <w:rsid w:val="0071195C"/>
    <w:rsid w:val="007119B4"/>
    <w:rsid w:val="00712501"/>
    <w:rsid w:val="007129CE"/>
    <w:rsid w:val="00713B9E"/>
    <w:rsid w:val="00714342"/>
    <w:rsid w:val="007152B2"/>
    <w:rsid w:val="0071542B"/>
    <w:rsid w:val="00715B16"/>
    <w:rsid w:val="00715D2D"/>
    <w:rsid w:val="007161BF"/>
    <w:rsid w:val="007168BF"/>
    <w:rsid w:val="0071696A"/>
    <w:rsid w:val="00716B63"/>
    <w:rsid w:val="00717954"/>
    <w:rsid w:val="0072046F"/>
    <w:rsid w:val="0072088C"/>
    <w:rsid w:val="0072097D"/>
    <w:rsid w:val="00721245"/>
    <w:rsid w:val="00721279"/>
    <w:rsid w:val="00721688"/>
    <w:rsid w:val="007218B2"/>
    <w:rsid w:val="00721F63"/>
    <w:rsid w:val="00722D0A"/>
    <w:rsid w:val="0072390B"/>
    <w:rsid w:val="00724CBA"/>
    <w:rsid w:val="0072563B"/>
    <w:rsid w:val="007259B1"/>
    <w:rsid w:val="007260C3"/>
    <w:rsid w:val="00726750"/>
    <w:rsid w:val="00727A3A"/>
    <w:rsid w:val="00730F72"/>
    <w:rsid w:val="007326F9"/>
    <w:rsid w:val="007342F3"/>
    <w:rsid w:val="00734F6C"/>
    <w:rsid w:val="007356AF"/>
    <w:rsid w:val="00735A10"/>
    <w:rsid w:val="0073674D"/>
    <w:rsid w:val="00737142"/>
    <w:rsid w:val="007378E9"/>
    <w:rsid w:val="00737BE5"/>
    <w:rsid w:val="007401C5"/>
    <w:rsid w:val="007406E2"/>
    <w:rsid w:val="00740AB5"/>
    <w:rsid w:val="00740EEE"/>
    <w:rsid w:val="007410FF"/>
    <w:rsid w:val="00741252"/>
    <w:rsid w:val="007413EA"/>
    <w:rsid w:val="00741AE7"/>
    <w:rsid w:val="00741CFF"/>
    <w:rsid w:val="00742A34"/>
    <w:rsid w:val="00742C4C"/>
    <w:rsid w:val="00743595"/>
    <w:rsid w:val="00743ED8"/>
    <w:rsid w:val="00745649"/>
    <w:rsid w:val="00745C84"/>
    <w:rsid w:val="00746D8A"/>
    <w:rsid w:val="00746E62"/>
    <w:rsid w:val="00746FED"/>
    <w:rsid w:val="00747C87"/>
    <w:rsid w:val="007500EE"/>
    <w:rsid w:val="00751A4F"/>
    <w:rsid w:val="00752050"/>
    <w:rsid w:val="00752137"/>
    <w:rsid w:val="00753A65"/>
    <w:rsid w:val="0075410A"/>
    <w:rsid w:val="007557AD"/>
    <w:rsid w:val="007558B0"/>
    <w:rsid w:val="0075605A"/>
    <w:rsid w:val="0075679E"/>
    <w:rsid w:val="00756C72"/>
    <w:rsid w:val="007604D8"/>
    <w:rsid w:val="007604EE"/>
    <w:rsid w:val="007608EC"/>
    <w:rsid w:val="0076184D"/>
    <w:rsid w:val="0076190F"/>
    <w:rsid w:val="0076212B"/>
    <w:rsid w:val="007627D1"/>
    <w:rsid w:val="007628B8"/>
    <w:rsid w:val="00762918"/>
    <w:rsid w:val="00762AB6"/>
    <w:rsid w:val="00764224"/>
    <w:rsid w:val="00764524"/>
    <w:rsid w:val="00764D01"/>
    <w:rsid w:val="00765095"/>
    <w:rsid w:val="0076532D"/>
    <w:rsid w:val="00766278"/>
    <w:rsid w:val="0076636A"/>
    <w:rsid w:val="007665C6"/>
    <w:rsid w:val="00766BA7"/>
    <w:rsid w:val="00767782"/>
    <w:rsid w:val="00767C40"/>
    <w:rsid w:val="00770250"/>
    <w:rsid w:val="0077025F"/>
    <w:rsid w:val="007703F1"/>
    <w:rsid w:val="007705FE"/>
    <w:rsid w:val="00770801"/>
    <w:rsid w:val="00771245"/>
    <w:rsid w:val="0077125D"/>
    <w:rsid w:val="007717D7"/>
    <w:rsid w:val="00772913"/>
    <w:rsid w:val="007738D9"/>
    <w:rsid w:val="00773E8A"/>
    <w:rsid w:val="00774392"/>
    <w:rsid w:val="00774F89"/>
    <w:rsid w:val="00775610"/>
    <w:rsid w:val="00775D82"/>
    <w:rsid w:val="007764A7"/>
    <w:rsid w:val="00777195"/>
    <w:rsid w:val="00777248"/>
    <w:rsid w:val="00777262"/>
    <w:rsid w:val="00777C50"/>
    <w:rsid w:val="0078107B"/>
    <w:rsid w:val="00782CF2"/>
    <w:rsid w:val="00783B94"/>
    <w:rsid w:val="007841E4"/>
    <w:rsid w:val="0078779C"/>
    <w:rsid w:val="0079002A"/>
    <w:rsid w:val="00790316"/>
    <w:rsid w:val="007913C7"/>
    <w:rsid w:val="00791B7D"/>
    <w:rsid w:val="0079207F"/>
    <w:rsid w:val="00793954"/>
    <w:rsid w:val="00793C86"/>
    <w:rsid w:val="00794DE9"/>
    <w:rsid w:val="007959C4"/>
    <w:rsid w:val="00796241"/>
    <w:rsid w:val="00796996"/>
    <w:rsid w:val="00797CE2"/>
    <w:rsid w:val="00797D6D"/>
    <w:rsid w:val="00797DD8"/>
    <w:rsid w:val="007A05D0"/>
    <w:rsid w:val="007A060A"/>
    <w:rsid w:val="007A103A"/>
    <w:rsid w:val="007A1147"/>
    <w:rsid w:val="007A2960"/>
    <w:rsid w:val="007A2A8E"/>
    <w:rsid w:val="007A31F0"/>
    <w:rsid w:val="007A3C23"/>
    <w:rsid w:val="007A443B"/>
    <w:rsid w:val="007A4EB9"/>
    <w:rsid w:val="007A4EFC"/>
    <w:rsid w:val="007A57E5"/>
    <w:rsid w:val="007A5B42"/>
    <w:rsid w:val="007A5FBE"/>
    <w:rsid w:val="007A619F"/>
    <w:rsid w:val="007A626B"/>
    <w:rsid w:val="007A672B"/>
    <w:rsid w:val="007A694A"/>
    <w:rsid w:val="007A6B0C"/>
    <w:rsid w:val="007A6F29"/>
    <w:rsid w:val="007A7C54"/>
    <w:rsid w:val="007A7F32"/>
    <w:rsid w:val="007B005A"/>
    <w:rsid w:val="007B0A46"/>
    <w:rsid w:val="007B0C01"/>
    <w:rsid w:val="007B13D3"/>
    <w:rsid w:val="007B14D0"/>
    <w:rsid w:val="007B1E89"/>
    <w:rsid w:val="007B1F8A"/>
    <w:rsid w:val="007B2439"/>
    <w:rsid w:val="007B26E5"/>
    <w:rsid w:val="007B2DF0"/>
    <w:rsid w:val="007B361A"/>
    <w:rsid w:val="007B3621"/>
    <w:rsid w:val="007B362C"/>
    <w:rsid w:val="007B36F4"/>
    <w:rsid w:val="007B38AE"/>
    <w:rsid w:val="007B3ACB"/>
    <w:rsid w:val="007B4F42"/>
    <w:rsid w:val="007B5065"/>
    <w:rsid w:val="007B6F08"/>
    <w:rsid w:val="007B6F4F"/>
    <w:rsid w:val="007B6F69"/>
    <w:rsid w:val="007B78E3"/>
    <w:rsid w:val="007B79A4"/>
    <w:rsid w:val="007B7E1B"/>
    <w:rsid w:val="007C1EFC"/>
    <w:rsid w:val="007C2579"/>
    <w:rsid w:val="007C258A"/>
    <w:rsid w:val="007C2686"/>
    <w:rsid w:val="007C26B2"/>
    <w:rsid w:val="007C280D"/>
    <w:rsid w:val="007C2B8B"/>
    <w:rsid w:val="007C3042"/>
    <w:rsid w:val="007C36FD"/>
    <w:rsid w:val="007C3A13"/>
    <w:rsid w:val="007C3C2D"/>
    <w:rsid w:val="007C40BD"/>
    <w:rsid w:val="007C431F"/>
    <w:rsid w:val="007C43F0"/>
    <w:rsid w:val="007C50F9"/>
    <w:rsid w:val="007C72E2"/>
    <w:rsid w:val="007C793D"/>
    <w:rsid w:val="007C79BB"/>
    <w:rsid w:val="007C7F3D"/>
    <w:rsid w:val="007D071F"/>
    <w:rsid w:val="007D0A4D"/>
    <w:rsid w:val="007D1F15"/>
    <w:rsid w:val="007D23B4"/>
    <w:rsid w:val="007D262C"/>
    <w:rsid w:val="007D28B5"/>
    <w:rsid w:val="007D2A0C"/>
    <w:rsid w:val="007D312B"/>
    <w:rsid w:val="007D4352"/>
    <w:rsid w:val="007D483C"/>
    <w:rsid w:val="007D4E14"/>
    <w:rsid w:val="007D5187"/>
    <w:rsid w:val="007D5AB3"/>
    <w:rsid w:val="007D631C"/>
    <w:rsid w:val="007D6709"/>
    <w:rsid w:val="007D6D07"/>
    <w:rsid w:val="007D747F"/>
    <w:rsid w:val="007E07D6"/>
    <w:rsid w:val="007E1706"/>
    <w:rsid w:val="007E1D80"/>
    <w:rsid w:val="007E37CE"/>
    <w:rsid w:val="007E3967"/>
    <w:rsid w:val="007E559F"/>
    <w:rsid w:val="007E5A9A"/>
    <w:rsid w:val="007E5C13"/>
    <w:rsid w:val="007E5F19"/>
    <w:rsid w:val="007E617B"/>
    <w:rsid w:val="007E66F9"/>
    <w:rsid w:val="007E6A68"/>
    <w:rsid w:val="007E6FBA"/>
    <w:rsid w:val="007F115D"/>
    <w:rsid w:val="007F1310"/>
    <w:rsid w:val="007F18E6"/>
    <w:rsid w:val="007F24DC"/>
    <w:rsid w:val="007F2C3C"/>
    <w:rsid w:val="007F2E07"/>
    <w:rsid w:val="007F3092"/>
    <w:rsid w:val="007F32D2"/>
    <w:rsid w:val="007F3421"/>
    <w:rsid w:val="007F3D23"/>
    <w:rsid w:val="007F42A9"/>
    <w:rsid w:val="007F430B"/>
    <w:rsid w:val="007F47E3"/>
    <w:rsid w:val="007F4A39"/>
    <w:rsid w:val="007F4F1E"/>
    <w:rsid w:val="007F564A"/>
    <w:rsid w:val="007F585E"/>
    <w:rsid w:val="007F589B"/>
    <w:rsid w:val="007F5A22"/>
    <w:rsid w:val="007F5C05"/>
    <w:rsid w:val="007F5FEF"/>
    <w:rsid w:val="007F6097"/>
    <w:rsid w:val="007F645B"/>
    <w:rsid w:val="007F6AAB"/>
    <w:rsid w:val="00800839"/>
    <w:rsid w:val="00801F9D"/>
    <w:rsid w:val="008025F6"/>
    <w:rsid w:val="008032F4"/>
    <w:rsid w:val="00803B50"/>
    <w:rsid w:val="00803CCA"/>
    <w:rsid w:val="00803F14"/>
    <w:rsid w:val="008040DD"/>
    <w:rsid w:val="0080462C"/>
    <w:rsid w:val="008046C1"/>
    <w:rsid w:val="0080490F"/>
    <w:rsid w:val="008056BC"/>
    <w:rsid w:val="00805C9B"/>
    <w:rsid w:val="00805ED5"/>
    <w:rsid w:val="008066F8"/>
    <w:rsid w:val="008107C7"/>
    <w:rsid w:val="00810C72"/>
    <w:rsid w:val="00811040"/>
    <w:rsid w:val="00812645"/>
    <w:rsid w:val="00813185"/>
    <w:rsid w:val="008131FE"/>
    <w:rsid w:val="008132B1"/>
    <w:rsid w:val="00813483"/>
    <w:rsid w:val="00814E62"/>
    <w:rsid w:val="00814F37"/>
    <w:rsid w:val="00815474"/>
    <w:rsid w:val="00816614"/>
    <w:rsid w:val="00816B90"/>
    <w:rsid w:val="00816F82"/>
    <w:rsid w:val="00817011"/>
    <w:rsid w:val="00817116"/>
    <w:rsid w:val="00820002"/>
    <w:rsid w:val="0082004D"/>
    <w:rsid w:val="00820077"/>
    <w:rsid w:val="008213D3"/>
    <w:rsid w:val="008223C7"/>
    <w:rsid w:val="00822951"/>
    <w:rsid w:val="008233E6"/>
    <w:rsid w:val="00823D7C"/>
    <w:rsid w:val="0082417E"/>
    <w:rsid w:val="008241E1"/>
    <w:rsid w:val="0082433F"/>
    <w:rsid w:val="00824F20"/>
    <w:rsid w:val="00825574"/>
    <w:rsid w:val="00825BCB"/>
    <w:rsid w:val="00825CAA"/>
    <w:rsid w:val="00825DA0"/>
    <w:rsid w:val="008262E8"/>
    <w:rsid w:val="008264CD"/>
    <w:rsid w:val="008269D5"/>
    <w:rsid w:val="0083013A"/>
    <w:rsid w:val="008302B8"/>
    <w:rsid w:val="008303DD"/>
    <w:rsid w:val="008308FC"/>
    <w:rsid w:val="008311FD"/>
    <w:rsid w:val="008314AE"/>
    <w:rsid w:val="00832987"/>
    <w:rsid w:val="00832CEC"/>
    <w:rsid w:val="00833391"/>
    <w:rsid w:val="0083395C"/>
    <w:rsid w:val="00833ADB"/>
    <w:rsid w:val="00833D1C"/>
    <w:rsid w:val="00834802"/>
    <w:rsid w:val="00834BC3"/>
    <w:rsid w:val="00834FF3"/>
    <w:rsid w:val="008362A3"/>
    <w:rsid w:val="008365AB"/>
    <w:rsid w:val="0083675E"/>
    <w:rsid w:val="008369AF"/>
    <w:rsid w:val="00836F6C"/>
    <w:rsid w:val="00837AC5"/>
    <w:rsid w:val="00841098"/>
    <w:rsid w:val="00841D9B"/>
    <w:rsid w:val="00843059"/>
    <w:rsid w:val="0084435C"/>
    <w:rsid w:val="00844E19"/>
    <w:rsid w:val="00845401"/>
    <w:rsid w:val="0084565E"/>
    <w:rsid w:val="0084713E"/>
    <w:rsid w:val="00847D3A"/>
    <w:rsid w:val="0085015A"/>
    <w:rsid w:val="00851426"/>
    <w:rsid w:val="008518D8"/>
    <w:rsid w:val="008519ED"/>
    <w:rsid w:val="00851DCF"/>
    <w:rsid w:val="00852110"/>
    <w:rsid w:val="0085221B"/>
    <w:rsid w:val="0085293D"/>
    <w:rsid w:val="00852C38"/>
    <w:rsid w:val="00853BF7"/>
    <w:rsid w:val="00854292"/>
    <w:rsid w:val="00854789"/>
    <w:rsid w:val="008551F6"/>
    <w:rsid w:val="008563CE"/>
    <w:rsid w:val="008568FC"/>
    <w:rsid w:val="00856DD8"/>
    <w:rsid w:val="00857588"/>
    <w:rsid w:val="00857FD8"/>
    <w:rsid w:val="008605D9"/>
    <w:rsid w:val="008613A7"/>
    <w:rsid w:val="00861691"/>
    <w:rsid w:val="00861EA8"/>
    <w:rsid w:val="00862091"/>
    <w:rsid w:val="008622D7"/>
    <w:rsid w:val="00862648"/>
    <w:rsid w:val="008640FB"/>
    <w:rsid w:val="00864811"/>
    <w:rsid w:val="00864F22"/>
    <w:rsid w:val="00865B0C"/>
    <w:rsid w:val="008662C1"/>
    <w:rsid w:val="008665C5"/>
    <w:rsid w:val="00866B40"/>
    <w:rsid w:val="008671C5"/>
    <w:rsid w:val="00867F10"/>
    <w:rsid w:val="00867F73"/>
    <w:rsid w:val="00870149"/>
    <w:rsid w:val="00870630"/>
    <w:rsid w:val="00870D13"/>
    <w:rsid w:val="00870D1F"/>
    <w:rsid w:val="00871063"/>
    <w:rsid w:val="0087186E"/>
    <w:rsid w:val="00871AFC"/>
    <w:rsid w:val="00871FF5"/>
    <w:rsid w:val="00873C27"/>
    <w:rsid w:val="00873DF5"/>
    <w:rsid w:val="00873FCD"/>
    <w:rsid w:val="008751F2"/>
    <w:rsid w:val="0087531D"/>
    <w:rsid w:val="0087767B"/>
    <w:rsid w:val="0088027B"/>
    <w:rsid w:val="0088070A"/>
    <w:rsid w:val="00882855"/>
    <w:rsid w:val="008832AF"/>
    <w:rsid w:val="008834C4"/>
    <w:rsid w:val="00883A03"/>
    <w:rsid w:val="00883CEF"/>
    <w:rsid w:val="008853C4"/>
    <w:rsid w:val="00885FBF"/>
    <w:rsid w:val="00886223"/>
    <w:rsid w:val="00886BC8"/>
    <w:rsid w:val="00887694"/>
    <w:rsid w:val="00887900"/>
    <w:rsid w:val="00890050"/>
    <w:rsid w:val="00890888"/>
    <w:rsid w:val="00890C09"/>
    <w:rsid w:val="00890CAE"/>
    <w:rsid w:val="00890DD4"/>
    <w:rsid w:val="00890E7B"/>
    <w:rsid w:val="00890EC6"/>
    <w:rsid w:val="00892FA4"/>
    <w:rsid w:val="0089359E"/>
    <w:rsid w:val="00893878"/>
    <w:rsid w:val="00893B42"/>
    <w:rsid w:val="008942C0"/>
    <w:rsid w:val="0089599C"/>
    <w:rsid w:val="00896385"/>
    <w:rsid w:val="00897002"/>
    <w:rsid w:val="0089790B"/>
    <w:rsid w:val="00897A34"/>
    <w:rsid w:val="008A04ED"/>
    <w:rsid w:val="008A0C37"/>
    <w:rsid w:val="008A0C9B"/>
    <w:rsid w:val="008A1151"/>
    <w:rsid w:val="008A1E5F"/>
    <w:rsid w:val="008A4700"/>
    <w:rsid w:val="008A4A1A"/>
    <w:rsid w:val="008A4C85"/>
    <w:rsid w:val="008A4FC2"/>
    <w:rsid w:val="008A5598"/>
    <w:rsid w:val="008A566A"/>
    <w:rsid w:val="008A6077"/>
    <w:rsid w:val="008A6A07"/>
    <w:rsid w:val="008A6E19"/>
    <w:rsid w:val="008A6EFC"/>
    <w:rsid w:val="008A72A9"/>
    <w:rsid w:val="008B0441"/>
    <w:rsid w:val="008B0E36"/>
    <w:rsid w:val="008B140A"/>
    <w:rsid w:val="008B185E"/>
    <w:rsid w:val="008B1E04"/>
    <w:rsid w:val="008B25C6"/>
    <w:rsid w:val="008B268D"/>
    <w:rsid w:val="008B2A3B"/>
    <w:rsid w:val="008B2B53"/>
    <w:rsid w:val="008B449D"/>
    <w:rsid w:val="008B5246"/>
    <w:rsid w:val="008B5429"/>
    <w:rsid w:val="008B5AC7"/>
    <w:rsid w:val="008B5F20"/>
    <w:rsid w:val="008B649B"/>
    <w:rsid w:val="008B66A8"/>
    <w:rsid w:val="008B69D6"/>
    <w:rsid w:val="008B6B8F"/>
    <w:rsid w:val="008C15B6"/>
    <w:rsid w:val="008C253F"/>
    <w:rsid w:val="008C26C6"/>
    <w:rsid w:val="008C309D"/>
    <w:rsid w:val="008C319B"/>
    <w:rsid w:val="008C35E5"/>
    <w:rsid w:val="008C39E9"/>
    <w:rsid w:val="008C3FEF"/>
    <w:rsid w:val="008C4306"/>
    <w:rsid w:val="008C4355"/>
    <w:rsid w:val="008C4C7B"/>
    <w:rsid w:val="008C5740"/>
    <w:rsid w:val="008C5DB5"/>
    <w:rsid w:val="008C696A"/>
    <w:rsid w:val="008C6D2D"/>
    <w:rsid w:val="008C76C0"/>
    <w:rsid w:val="008C7EF3"/>
    <w:rsid w:val="008D01B2"/>
    <w:rsid w:val="008D0FC8"/>
    <w:rsid w:val="008D176F"/>
    <w:rsid w:val="008D3DA4"/>
    <w:rsid w:val="008D4B2C"/>
    <w:rsid w:val="008D56FA"/>
    <w:rsid w:val="008D57D8"/>
    <w:rsid w:val="008D618B"/>
    <w:rsid w:val="008D6E5F"/>
    <w:rsid w:val="008D6FAB"/>
    <w:rsid w:val="008D7741"/>
    <w:rsid w:val="008D78E1"/>
    <w:rsid w:val="008E0F9B"/>
    <w:rsid w:val="008E1E4A"/>
    <w:rsid w:val="008E1FD5"/>
    <w:rsid w:val="008E3ECD"/>
    <w:rsid w:val="008E3F2C"/>
    <w:rsid w:val="008E444D"/>
    <w:rsid w:val="008E4AAB"/>
    <w:rsid w:val="008E5857"/>
    <w:rsid w:val="008E6927"/>
    <w:rsid w:val="008E6A8E"/>
    <w:rsid w:val="008F052A"/>
    <w:rsid w:val="008F0740"/>
    <w:rsid w:val="008F18F7"/>
    <w:rsid w:val="008F1BA3"/>
    <w:rsid w:val="008F232A"/>
    <w:rsid w:val="008F3E7D"/>
    <w:rsid w:val="008F40BF"/>
    <w:rsid w:val="008F447B"/>
    <w:rsid w:val="008F4BD6"/>
    <w:rsid w:val="008F4F5D"/>
    <w:rsid w:val="008F550E"/>
    <w:rsid w:val="008F5B2E"/>
    <w:rsid w:val="008F6ABB"/>
    <w:rsid w:val="0090021F"/>
    <w:rsid w:val="0090106B"/>
    <w:rsid w:val="0090114A"/>
    <w:rsid w:val="00901ADA"/>
    <w:rsid w:val="00902312"/>
    <w:rsid w:val="009040AC"/>
    <w:rsid w:val="0090647D"/>
    <w:rsid w:val="00906C2B"/>
    <w:rsid w:val="0091134E"/>
    <w:rsid w:val="00911E19"/>
    <w:rsid w:val="009125FD"/>
    <w:rsid w:val="00912831"/>
    <w:rsid w:val="009135A8"/>
    <w:rsid w:val="009142F0"/>
    <w:rsid w:val="0091451A"/>
    <w:rsid w:val="00915553"/>
    <w:rsid w:val="0091569D"/>
    <w:rsid w:val="00915813"/>
    <w:rsid w:val="00916BEC"/>
    <w:rsid w:val="00917610"/>
    <w:rsid w:val="00917BDA"/>
    <w:rsid w:val="00917EDE"/>
    <w:rsid w:val="00921041"/>
    <w:rsid w:val="009212E6"/>
    <w:rsid w:val="0092171B"/>
    <w:rsid w:val="00921CFD"/>
    <w:rsid w:val="0092214D"/>
    <w:rsid w:val="009225FF"/>
    <w:rsid w:val="00922A95"/>
    <w:rsid w:val="00922C60"/>
    <w:rsid w:val="0092337C"/>
    <w:rsid w:val="009237FF"/>
    <w:rsid w:val="00923AE9"/>
    <w:rsid w:val="009248D0"/>
    <w:rsid w:val="0092504B"/>
    <w:rsid w:val="00925095"/>
    <w:rsid w:val="0092539E"/>
    <w:rsid w:val="00925ED4"/>
    <w:rsid w:val="00926306"/>
    <w:rsid w:val="009263D4"/>
    <w:rsid w:val="00926602"/>
    <w:rsid w:val="00927075"/>
    <w:rsid w:val="00927655"/>
    <w:rsid w:val="009276D5"/>
    <w:rsid w:val="009278C2"/>
    <w:rsid w:val="009279A1"/>
    <w:rsid w:val="009300C6"/>
    <w:rsid w:val="0093014A"/>
    <w:rsid w:val="00930A69"/>
    <w:rsid w:val="00930BA5"/>
    <w:rsid w:val="00931559"/>
    <w:rsid w:val="00931D44"/>
    <w:rsid w:val="0093256B"/>
    <w:rsid w:val="0093276C"/>
    <w:rsid w:val="00932C3B"/>
    <w:rsid w:val="009335A9"/>
    <w:rsid w:val="009346C2"/>
    <w:rsid w:val="00934959"/>
    <w:rsid w:val="0093550A"/>
    <w:rsid w:val="00936F83"/>
    <w:rsid w:val="0093727D"/>
    <w:rsid w:val="0093783C"/>
    <w:rsid w:val="009406AB"/>
    <w:rsid w:val="00940D2F"/>
    <w:rsid w:val="00940DB8"/>
    <w:rsid w:val="0094126C"/>
    <w:rsid w:val="00941823"/>
    <w:rsid w:val="00942518"/>
    <w:rsid w:val="009425A5"/>
    <w:rsid w:val="0094470C"/>
    <w:rsid w:val="00944ED1"/>
    <w:rsid w:val="00945E4C"/>
    <w:rsid w:val="009467FE"/>
    <w:rsid w:val="00946DD7"/>
    <w:rsid w:val="00947334"/>
    <w:rsid w:val="009474D2"/>
    <w:rsid w:val="00947A71"/>
    <w:rsid w:val="009505DA"/>
    <w:rsid w:val="00950B46"/>
    <w:rsid w:val="00951743"/>
    <w:rsid w:val="00952227"/>
    <w:rsid w:val="00952B81"/>
    <w:rsid w:val="00952FA0"/>
    <w:rsid w:val="0095340D"/>
    <w:rsid w:val="00953C2D"/>
    <w:rsid w:val="00954AE3"/>
    <w:rsid w:val="00955632"/>
    <w:rsid w:val="009557DD"/>
    <w:rsid w:val="00956287"/>
    <w:rsid w:val="0095646D"/>
    <w:rsid w:val="00956AC2"/>
    <w:rsid w:val="00956B1E"/>
    <w:rsid w:val="00957AD5"/>
    <w:rsid w:val="00957CA7"/>
    <w:rsid w:val="00957EB9"/>
    <w:rsid w:val="00960019"/>
    <w:rsid w:val="009600C4"/>
    <w:rsid w:val="00960390"/>
    <w:rsid w:val="009607C8"/>
    <w:rsid w:val="009608A8"/>
    <w:rsid w:val="009608BE"/>
    <w:rsid w:val="00960C35"/>
    <w:rsid w:val="00960F1F"/>
    <w:rsid w:val="00961489"/>
    <w:rsid w:val="00961CA5"/>
    <w:rsid w:val="00962427"/>
    <w:rsid w:val="00962566"/>
    <w:rsid w:val="00962895"/>
    <w:rsid w:val="00962B05"/>
    <w:rsid w:val="00962E80"/>
    <w:rsid w:val="00965405"/>
    <w:rsid w:val="00965709"/>
    <w:rsid w:val="00965834"/>
    <w:rsid w:val="00965835"/>
    <w:rsid w:val="009660DF"/>
    <w:rsid w:val="00966347"/>
    <w:rsid w:val="0096645C"/>
    <w:rsid w:val="00967123"/>
    <w:rsid w:val="0096762D"/>
    <w:rsid w:val="00967AE9"/>
    <w:rsid w:val="00967DB2"/>
    <w:rsid w:val="0097101C"/>
    <w:rsid w:val="00971064"/>
    <w:rsid w:val="0097132D"/>
    <w:rsid w:val="00971F88"/>
    <w:rsid w:val="00972940"/>
    <w:rsid w:val="00972F81"/>
    <w:rsid w:val="0097348D"/>
    <w:rsid w:val="00973646"/>
    <w:rsid w:val="009740F2"/>
    <w:rsid w:val="00974353"/>
    <w:rsid w:val="009757B6"/>
    <w:rsid w:val="00976123"/>
    <w:rsid w:val="00976245"/>
    <w:rsid w:val="00977760"/>
    <w:rsid w:val="009800D3"/>
    <w:rsid w:val="00980227"/>
    <w:rsid w:val="009810C9"/>
    <w:rsid w:val="0098167A"/>
    <w:rsid w:val="00981751"/>
    <w:rsid w:val="0098204F"/>
    <w:rsid w:val="00982754"/>
    <w:rsid w:val="00982BFF"/>
    <w:rsid w:val="00982E5B"/>
    <w:rsid w:val="00983A9A"/>
    <w:rsid w:val="00983C98"/>
    <w:rsid w:val="00983C9B"/>
    <w:rsid w:val="00983DA8"/>
    <w:rsid w:val="009854D5"/>
    <w:rsid w:val="00986A50"/>
    <w:rsid w:val="00987515"/>
    <w:rsid w:val="00987C54"/>
    <w:rsid w:val="00990CFA"/>
    <w:rsid w:val="00992170"/>
    <w:rsid w:val="009931C7"/>
    <w:rsid w:val="009938F5"/>
    <w:rsid w:val="009943C7"/>
    <w:rsid w:val="00994D12"/>
    <w:rsid w:val="009956BF"/>
    <w:rsid w:val="0099621C"/>
    <w:rsid w:val="00996645"/>
    <w:rsid w:val="00996702"/>
    <w:rsid w:val="00997301"/>
    <w:rsid w:val="009973EB"/>
    <w:rsid w:val="00997961"/>
    <w:rsid w:val="009A0076"/>
    <w:rsid w:val="009A023A"/>
    <w:rsid w:val="009A066A"/>
    <w:rsid w:val="009A0732"/>
    <w:rsid w:val="009A0BE7"/>
    <w:rsid w:val="009A0EBE"/>
    <w:rsid w:val="009A38FC"/>
    <w:rsid w:val="009A59D9"/>
    <w:rsid w:val="009A6873"/>
    <w:rsid w:val="009A6B4E"/>
    <w:rsid w:val="009A6C98"/>
    <w:rsid w:val="009A7DED"/>
    <w:rsid w:val="009A7F96"/>
    <w:rsid w:val="009B02E8"/>
    <w:rsid w:val="009B091E"/>
    <w:rsid w:val="009B09A0"/>
    <w:rsid w:val="009B0BDF"/>
    <w:rsid w:val="009B21E5"/>
    <w:rsid w:val="009B24EF"/>
    <w:rsid w:val="009B33FD"/>
    <w:rsid w:val="009B390A"/>
    <w:rsid w:val="009B455A"/>
    <w:rsid w:val="009B5254"/>
    <w:rsid w:val="009B6403"/>
    <w:rsid w:val="009B6C59"/>
    <w:rsid w:val="009B74E8"/>
    <w:rsid w:val="009B77FD"/>
    <w:rsid w:val="009C00C1"/>
    <w:rsid w:val="009C073A"/>
    <w:rsid w:val="009C0883"/>
    <w:rsid w:val="009C0FA8"/>
    <w:rsid w:val="009C15DA"/>
    <w:rsid w:val="009C1F1E"/>
    <w:rsid w:val="009C26EE"/>
    <w:rsid w:val="009C27DF"/>
    <w:rsid w:val="009C2979"/>
    <w:rsid w:val="009C3A41"/>
    <w:rsid w:val="009C447E"/>
    <w:rsid w:val="009C4DE5"/>
    <w:rsid w:val="009C4F6F"/>
    <w:rsid w:val="009C52B7"/>
    <w:rsid w:val="009C572B"/>
    <w:rsid w:val="009C579A"/>
    <w:rsid w:val="009D0354"/>
    <w:rsid w:val="009D073B"/>
    <w:rsid w:val="009D21B9"/>
    <w:rsid w:val="009D233B"/>
    <w:rsid w:val="009D2CFB"/>
    <w:rsid w:val="009D2DD6"/>
    <w:rsid w:val="009D32FB"/>
    <w:rsid w:val="009D39A6"/>
    <w:rsid w:val="009D43E0"/>
    <w:rsid w:val="009D48B5"/>
    <w:rsid w:val="009D4BFE"/>
    <w:rsid w:val="009D4E2C"/>
    <w:rsid w:val="009D57F7"/>
    <w:rsid w:val="009D6960"/>
    <w:rsid w:val="009D7535"/>
    <w:rsid w:val="009D7C52"/>
    <w:rsid w:val="009E060A"/>
    <w:rsid w:val="009E2568"/>
    <w:rsid w:val="009E3C98"/>
    <w:rsid w:val="009E3DE2"/>
    <w:rsid w:val="009E3E36"/>
    <w:rsid w:val="009E4E49"/>
    <w:rsid w:val="009E6AAD"/>
    <w:rsid w:val="009E767B"/>
    <w:rsid w:val="009E7B41"/>
    <w:rsid w:val="009E7E1D"/>
    <w:rsid w:val="009F0323"/>
    <w:rsid w:val="009F0C68"/>
    <w:rsid w:val="009F1050"/>
    <w:rsid w:val="009F1315"/>
    <w:rsid w:val="009F1331"/>
    <w:rsid w:val="009F17ED"/>
    <w:rsid w:val="009F1B96"/>
    <w:rsid w:val="009F23D3"/>
    <w:rsid w:val="009F2AB8"/>
    <w:rsid w:val="009F2B33"/>
    <w:rsid w:val="009F2F7E"/>
    <w:rsid w:val="009F3016"/>
    <w:rsid w:val="009F3565"/>
    <w:rsid w:val="009F3925"/>
    <w:rsid w:val="009F3FAB"/>
    <w:rsid w:val="009F44D8"/>
    <w:rsid w:val="009F5736"/>
    <w:rsid w:val="009F5AFE"/>
    <w:rsid w:val="009F5DBA"/>
    <w:rsid w:val="009F6792"/>
    <w:rsid w:val="00A01A42"/>
    <w:rsid w:val="00A01AAA"/>
    <w:rsid w:val="00A02482"/>
    <w:rsid w:val="00A025B0"/>
    <w:rsid w:val="00A027D7"/>
    <w:rsid w:val="00A03DB6"/>
    <w:rsid w:val="00A04F0A"/>
    <w:rsid w:val="00A05030"/>
    <w:rsid w:val="00A0585D"/>
    <w:rsid w:val="00A067C7"/>
    <w:rsid w:val="00A06DF7"/>
    <w:rsid w:val="00A06F2B"/>
    <w:rsid w:val="00A070B8"/>
    <w:rsid w:val="00A074D4"/>
    <w:rsid w:val="00A0763D"/>
    <w:rsid w:val="00A076FB"/>
    <w:rsid w:val="00A07B99"/>
    <w:rsid w:val="00A10804"/>
    <w:rsid w:val="00A10DDD"/>
    <w:rsid w:val="00A10EF7"/>
    <w:rsid w:val="00A119A2"/>
    <w:rsid w:val="00A11A43"/>
    <w:rsid w:val="00A11DAE"/>
    <w:rsid w:val="00A120C2"/>
    <w:rsid w:val="00A12F9C"/>
    <w:rsid w:val="00A13093"/>
    <w:rsid w:val="00A140A2"/>
    <w:rsid w:val="00A144D9"/>
    <w:rsid w:val="00A1482E"/>
    <w:rsid w:val="00A14A61"/>
    <w:rsid w:val="00A14D0E"/>
    <w:rsid w:val="00A1504E"/>
    <w:rsid w:val="00A150D0"/>
    <w:rsid w:val="00A15D80"/>
    <w:rsid w:val="00A15FBA"/>
    <w:rsid w:val="00A165A6"/>
    <w:rsid w:val="00A16B18"/>
    <w:rsid w:val="00A16FE9"/>
    <w:rsid w:val="00A172B2"/>
    <w:rsid w:val="00A1734D"/>
    <w:rsid w:val="00A17616"/>
    <w:rsid w:val="00A17898"/>
    <w:rsid w:val="00A17EE3"/>
    <w:rsid w:val="00A20285"/>
    <w:rsid w:val="00A205E3"/>
    <w:rsid w:val="00A20B63"/>
    <w:rsid w:val="00A21E62"/>
    <w:rsid w:val="00A229C1"/>
    <w:rsid w:val="00A22C09"/>
    <w:rsid w:val="00A24305"/>
    <w:rsid w:val="00A24444"/>
    <w:rsid w:val="00A245A2"/>
    <w:rsid w:val="00A2532A"/>
    <w:rsid w:val="00A255AC"/>
    <w:rsid w:val="00A257DC"/>
    <w:rsid w:val="00A25D5C"/>
    <w:rsid w:val="00A26BF6"/>
    <w:rsid w:val="00A26CD9"/>
    <w:rsid w:val="00A271B1"/>
    <w:rsid w:val="00A27A46"/>
    <w:rsid w:val="00A307C8"/>
    <w:rsid w:val="00A30D6D"/>
    <w:rsid w:val="00A31772"/>
    <w:rsid w:val="00A319FE"/>
    <w:rsid w:val="00A32392"/>
    <w:rsid w:val="00A32EF7"/>
    <w:rsid w:val="00A33A93"/>
    <w:rsid w:val="00A34571"/>
    <w:rsid w:val="00A34DF9"/>
    <w:rsid w:val="00A35611"/>
    <w:rsid w:val="00A3582E"/>
    <w:rsid w:val="00A360A5"/>
    <w:rsid w:val="00A36194"/>
    <w:rsid w:val="00A3645F"/>
    <w:rsid w:val="00A36A78"/>
    <w:rsid w:val="00A36C01"/>
    <w:rsid w:val="00A37861"/>
    <w:rsid w:val="00A37F21"/>
    <w:rsid w:val="00A37FD9"/>
    <w:rsid w:val="00A4056A"/>
    <w:rsid w:val="00A40704"/>
    <w:rsid w:val="00A4157F"/>
    <w:rsid w:val="00A41980"/>
    <w:rsid w:val="00A42413"/>
    <w:rsid w:val="00A430AA"/>
    <w:rsid w:val="00A43F8B"/>
    <w:rsid w:val="00A44427"/>
    <w:rsid w:val="00A45799"/>
    <w:rsid w:val="00A459A8"/>
    <w:rsid w:val="00A45C96"/>
    <w:rsid w:val="00A45CC3"/>
    <w:rsid w:val="00A4635C"/>
    <w:rsid w:val="00A467E7"/>
    <w:rsid w:val="00A4708E"/>
    <w:rsid w:val="00A47279"/>
    <w:rsid w:val="00A505B9"/>
    <w:rsid w:val="00A507F7"/>
    <w:rsid w:val="00A50953"/>
    <w:rsid w:val="00A50A67"/>
    <w:rsid w:val="00A50B61"/>
    <w:rsid w:val="00A51757"/>
    <w:rsid w:val="00A51C86"/>
    <w:rsid w:val="00A52091"/>
    <w:rsid w:val="00A5387C"/>
    <w:rsid w:val="00A5387F"/>
    <w:rsid w:val="00A548A0"/>
    <w:rsid w:val="00A55882"/>
    <w:rsid w:val="00A56A38"/>
    <w:rsid w:val="00A5703F"/>
    <w:rsid w:val="00A602D2"/>
    <w:rsid w:val="00A602D9"/>
    <w:rsid w:val="00A602E6"/>
    <w:rsid w:val="00A60930"/>
    <w:rsid w:val="00A60973"/>
    <w:rsid w:val="00A60C47"/>
    <w:rsid w:val="00A60D3F"/>
    <w:rsid w:val="00A615C6"/>
    <w:rsid w:val="00A61621"/>
    <w:rsid w:val="00A62A12"/>
    <w:rsid w:val="00A63014"/>
    <w:rsid w:val="00A63C11"/>
    <w:rsid w:val="00A63D46"/>
    <w:rsid w:val="00A63DA5"/>
    <w:rsid w:val="00A657BA"/>
    <w:rsid w:val="00A65D48"/>
    <w:rsid w:val="00A65D97"/>
    <w:rsid w:val="00A668FF"/>
    <w:rsid w:val="00A66C35"/>
    <w:rsid w:val="00A66F9A"/>
    <w:rsid w:val="00A67553"/>
    <w:rsid w:val="00A67B4F"/>
    <w:rsid w:val="00A67FDF"/>
    <w:rsid w:val="00A7037E"/>
    <w:rsid w:val="00A7074B"/>
    <w:rsid w:val="00A7076E"/>
    <w:rsid w:val="00A708E7"/>
    <w:rsid w:val="00A71177"/>
    <w:rsid w:val="00A71F72"/>
    <w:rsid w:val="00A724F2"/>
    <w:rsid w:val="00A72CBE"/>
    <w:rsid w:val="00A73D7C"/>
    <w:rsid w:val="00A73EEA"/>
    <w:rsid w:val="00A7411A"/>
    <w:rsid w:val="00A74D94"/>
    <w:rsid w:val="00A74F8B"/>
    <w:rsid w:val="00A74FA9"/>
    <w:rsid w:val="00A754C9"/>
    <w:rsid w:val="00A7578B"/>
    <w:rsid w:val="00A75976"/>
    <w:rsid w:val="00A7610D"/>
    <w:rsid w:val="00A76180"/>
    <w:rsid w:val="00A765E9"/>
    <w:rsid w:val="00A76710"/>
    <w:rsid w:val="00A76AD0"/>
    <w:rsid w:val="00A770B4"/>
    <w:rsid w:val="00A77CF8"/>
    <w:rsid w:val="00A77E51"/>
    <w:rsid w:val="00A802C9"/>
    <w:rsid w:val="00A80A85"/>
    <w:rsid w:val="00A80B44"/>
    <w:rsid w:val="00A80ED0"/>
    <w:rsid w:val="00A8109A"/>
    <w:rsid w:val="00A818B7"/>
    <w:rsid w:val="00A82BB5"/>
    <w:rsid w:val="00A82BB6"/>
    <w:rsid w:val="00A8376C"/>
    <w:rsid w:val="00A8410C"/>
    <w:rsid w:val="00A8424E"/>
    <w:rsid w:val="00A84C8E"/>
    <w:rsid w:val="00A851F9"/>
    <w:rsid w:val="00A85675"/>
    <w:rsid w:val="00A85BB4"/>
    <w:rsid w:val="00A86001"/>
    <w:rsid w:val="00A86FC2"/>
    <w:rsid w:val="00A87490"/>
    <w:rsid w:val="00A876DA"/>
    <w:rsid w:val="00A87788"/>
    <w:rsid w:val="00A91436"/>
    <w:rsid w:val="00A91EC5"/>
    <w:rsid w:val="00A92143"/>
    <w:rsid w:val="00A92961"/>
    <w:rsid w:val="00A92C63"/>
    <w:rsid w:val="00A933AF"/>
    <w:rsid w:val="00A934AD"/>
    <w:rsid w:val="00A93E0B"/>
    <w:rsid w:val="00A94AC6"/>
    <w:rsid w:val="00A94BF2"/>
    <w:rsid w:val="00A94E29"/>
    <w:rsid w:val="00A95C40"/>
    <w:rsid w:val="00A96546"/>
    <w:rsid w:val="00A96949"/>
    <w:rsid w:val="00A97406"/>
    <w:rsid w:val="00AA1F30"/>
    <w:rsid w:val="00AA20DF"/>
    <w:rsid w:val="00AA301D"/>
    <w:rsid w:val="00AA3316"/>
    <w:rsid w:val="00AA3BBA"/>
    <w:rsid w:val="00AA3D1B"/>
    <w:rsid w:val="00AA476D"/>
    <w:rsid w:val="00AA48FD"/>
    <w:rsid w:val="00AA4F68"/>
    <w:rsid w:val="00AA5073"/>
    <w:rsid w:val="00AA531E"/>
    <w:rsid w:val="00AA6829"/>
    <w:rsid w:val="00AA7AD2"/>
    <w:rsid w:val="00AA7D26"/>
    <w:rsid w:val="00AA7E75"/>
    <w:rsid w:val="00AB00A5"/>
    <w:rsid w:val="00AB0BA0"/>
    <w:rsid w:val="00AB1742"/>
    <w:rsid w:val="00AB1BC9"/>
    <w:rsid w:val="00AB1CF9"/>
    <w:rsid w:val="00AB1D58"/>
    <w:rsid w:val="00AB3B6B"/>
    <w:rsid w:val="00AB46E5"/>
    <w:rsid w:val="00AB490A"/>
    <w:rsid w:val="00AB4A08"/>
    <w:rsid w:val="00AB506B"/>
    <w:rsid w:val="00AB50AE"/>
    <w:rsid w:val="00AB51BC"/>
    <w:rsid w:val="00AB5F93"/>
    <w:rsid w:val="00AB615F"/>
    <w:rsid w:val="00AB6368"/>
    <w:rsid w:val="00AB6559"/>
    <w:rsid w:val="00AB69A0"/>
    <w:rsid w:val="00AB6B52"/>
    <w:rsid w:val="00AB77F5"/>
    <w:rsid w:val="00AC0B0B"/>
    <w:rsid w:val="00AC1096"/>
    <w:rsid w:val="00AC223A"/>
    <w:rsid w:val="00AC2986"/>
    <w:rsid w:val="00AC2BEA"/>
    <w:rsid w:val="00AC38C6"/>
    <w:rsid w:val="00AC38F5"/>
    <w:rsid w:val="00AC4C54"/>
    <w:rsid w:val="00AC5273"/>
    <w:rsid w:val="00AC5790"/>
    <w:rsid w:val="00AC5B75"/>
    <w:rsid w:val="00AC5C13"/>
    <w:rsid w:val="00AC6533"/>
    <w:rsid w:val="00AC706B"/>
    <w:rsid w:val="00AC7985"/>
    <w:rsid w:val="00AD1C87"/>
    <w:rsid w:val="00AD21C5"/>
    <w:rsid w:val="00AD2C08"/>
    <w:rsid w:val="00AD2DB0"/>
    <w:rsid w:val="00AD3912"/>
    <w:rsid w:val="00AD4B16"/>
    <w:rsid w:val="00AD4B94"/>
    <w:rsid w:val="00AD523A"/>
    <w:rsid w:val="00AD533D"/>
    <w:rsid w:val="00AD59E3"/>
    <w:rsid w:val="00AD5BCD"/>
    <w:rsid w:val="00AD6A45"/>
    <w:rsid w:val="00AD6A53"/>
    <w:rsid w:val="00AD6F6C"/>
    <w:rsid w:val="00AD6FC1"/>
    <w:rsid w:val="00AD71B7"/>
    <w:rsid w:val="00AE0D69"/>
    <w:rsid w:val="00AE0DEF"/>
    <w:rsid w:val="00AE1929"/>
    <w:rsid w:val="00AE1BC7"/>
    <w:rsid w:val="00AE1FAA"/>
    <w:rsid w:val="00AE2515"/>
    <w:rsid w:val="00AE298E"/>
    <w:rsid w:val="00AE2BCE"/>
    <w:rsid w:val="00AE34C0"/>
    <w:rsid w:val="00AE36C9"/>
    <w:rsid w:val="00AE38A4"/>
    <w:rsid w:val="00AE39E7"/>
    <w:rsid w:val="00AE3BA4"/>
    <w:rsid w:val="00AE3CE7"/>
    <w:rsid w:val="00AE3E8B"/>
    <w:rsid w:val="00AE46F9"/>
    <w:rsid w:val="00AE52FF"/>
    <w:rsid w:val="00AE5FF0"/>
    <w:rsid w:val="00AE6148"/>
    <w:rsid w:val="00AE62C3"/>
    <w:rsid w:val="00AE6842"/>
    <w:rsid w:val="00AE7321"/>
    <w:rsid w:val="00AE7B6E"/>
    <w:rsid w:val="00AE7E34"/>
    <w:rsid w:val="00AF2E99"/>
    <w:rsid w:val="00AF4528"/>
    <w:rsid w:val="00AF4630"/>
    <w:rsid w:val="00AF49FF"/>
    <w:rsid w:val="00AF4F82"/>
    <w:rsid w:val="00AF54B4"/>
    <w:rsid w:val="00AF584B"/>
    <w:rsid w:val="00AF5CEA"/>
    <w:rsid w:val="00AF5CFE"/>
    <w:rsid w:val="00AF6A59"/>
    <w:rsid w:val="00AF6C70"/>
    <w:rsid w:val="00AF707A"/>
    <w:rsid w:val="00AF72F3"/>
    <w:rsid w:val="00B009E5"/>
    <w:rsid w:val="00B00BB8"/>
    <w:rsid w:val="00B01423"/>
    <w:rsid w:val="00B01A58"/>
    <w:rsid w:val="00B02A50"/>
    <w:rsid w:val="00B03685"/>
    <w:rsid w:val="00B03B26"/>
    <w:rsid w:val="00B04164"/>
    <w:rsid w:val="00B04593"/>
    <w:rsid w:val="00B0547F"/>
    <w:rsid w:val="00B054C6"/>
    <w:rsid w:val="00B060FE"/>
    <w:rsid w:val="00B063F3"/>
    <w:rsid w:val="00B07124"/>
    <w:rsid w:val="00B07127"/>
    <w:rsid w:val="00B077F4"/>
    <w:rsid w:val="00B10033"/>
    <w:rsid w:val="00B10550"/>
    <w:rsid w:val="00B106D6"/>
    <w:rsid w:val="00B10777"/>
    <w:rsid w:val="00B108C6"/>
    <w:rsid w:val="00B118E2"/>
    <w:rsid w:val="00B12252"/>
    <w:rsid w:val="00B12509"/>
    <w:rsid w:val="00B12DA4"/>
    <w:rsid w:val="00B12F86"/>
    <w:rsid w:val="00B135CD"/>
    <w:rsid w:val="00B136E9"/>
    <w:rsid w:val="00B1417E"/>
    <w:rsid w:val="00B14E54"/>
    <w:rsid w:val="00B14ED1"/>
    <w:rsid w:val="00B15D66"/>
    <w:rsid w:val="00B1610F"/>
    <w:rsid w:val="00B16D15"/>
    <w:rsid w:val="00B16EBA"/>
    <w:rsid w:val="00B20108"/>
    <w:rsid w:val="00B214B3"/>
    <w:rsid w:val="00B21DA6"/>
    <w:rsid w:val="00B22AA4"/>
    <w:rsid w:val="00B22B6C"/>
    <w:rsid w:val="00B24998"/>
    <w:rsid w:val="00B24C26"/>
    <w:rsid w:val="00B24F74"/>
    <w:rsid w:val="00B251B4"/>
    <w:rsid w:val="00B258D2"/>
    <w:rsid w:val="00B25EFB"/>
    <w:rsid w:val="00B260AE"/>
    <w:rsid w:val="00B2640D"/>
    <w:rsid w:val="00B2664E"/>
    <w:rsid w:val="00B2665C"/>
    <w:rsid w:val="00B26D1C"/>
    <w:rsid w:val="00B27D3D"/>
    <w:rsid w:val="00B30555"/>
    <w:rsid w:val="00B3063B"/>
    <w:rsid w:val="00B30E22"/>
    <w:rsid w:val="00B34085"/>
    <w:rsid w:val="00B34365"/>
    <w:rsid w:val="00B3589B"/>
    <w:rsid w:val="00B36955"/>
    <w:rsid w:val="00B36ABF"/>
    <w:rsid w:val="00B37068"/>
    <w:rsid w:val="00B379AD"/>
    <w:rsid w:val="00B37FD2"/>
    <w:rsid w:val="00B4090C"/>
    <w:rsid w:val="00B40CCB"/>
    <w:rsid w:val="00B40CFA"/>
    <w:rsid w:val="00B40E41"/>
    <w:rsid w:val="00B41E8D"/>
    <w:rsid w:val="00B41FCE"/>
    <w:rsid w:val="00B4216A"/>
    <w:rsid w:val="00B42A9B"/>
    <w:rsid w:val="00B42EE8"/>
    <w:rsid w:val="00B43B49"/>
    <w:rsid w:val="00B44288"/>
    <w:rsid w:val="00B44566"/>
    <w:rsid w:val="00B44853"/>
    <w:rsid w:val="00B44BCD"/>
    <w:rsid w:val="00B44EBB"/>
    <w:rsid w:val="00B45187"/>
    <w:rsid w:val="00B452C9"/>
    <w:rsid w:val="00B453D2"/>
    <w:rsid w:val="00B45746"/>
    <w:rsid w:val="00B45A70"/>
    <w:rsid w:val="00B4680F"/>
    <w:rsid w:val="00B4702B"/>
    <w:rsid w:val="00B472D5"/>
    <w:rsid w:val="00B47526"/>
    <w:rsid w:val="00B47BF4"/>
    <w:rsid w:val="00B5031C"/>
    <w:rsid w:val="00B50D79"/>
    <w:rsid w:val="00B50F1E"/>
    <w:rsid w:val="00B5100D"/>
    <w:rsid w:val="00B5122C"/>
    <w:rsid w:val="00B520C4"/>
    <w:rsid w:val="00B5233C"/>
    <w:rsid w:val="00B52C08"/>
    <w:rsid w:val="00B53198"/>
    <w:rsid w:val="00B5328D"/>
    <w:rsid w:val="00B539DC"/>
    <w:rsid w:val="00B541DB"/>
    <w:rsid w:val="00B547AF"/>
    <w:rsid w:val="00B5497A"/>
    <w:rsid w:val="00B556CA"/>
    <w:rsid w:val="00B556D4"/>
    <w:rsid w:val="00B55BB1"/>
    <w:rsid w:val="00B56205"/>
    <w:rsid w:val="00B566BF"/>
    <w:rsid w:val="00B56DB9"/>
    <w:rsid w:val="00B60E16"/>
    <w:rsid w:val="00B6108C"/>
    <w:rsid w:val="00B617EC"/>
    <w:rsid w:val="00B61811"/>
    <w:rsid w:val="00B61ADC"/>
    <w:rsid w:val="00B61AEE"/>
    <w:rsid w:val="00B61EA4"/>
    <w:rsid w:val="00B62049"/>
    <w:rsid w:val="00B6248B"/>
    <w:rsid w:val="00B625EE"/>
    <w:rsid w:val="00B625FF"/>
    <w:rsid w:val="00B62956"/>
    <w:rsid w:val="00B630FC"/>
    <w:rsid w:val="00B63179"/>
    <w:rsid w:val="00B639C0"/>
    <w:rsid w:val="00B63A7E"/>
    <w:rsid w:val="00B6504C"/>
    <w:rsid w:val="00B65AF5"/>
    <w:rsid w:val="00B66FAA"/>
    <w:rsid w:val="00B671E8"/>
    <w:rsid w:val="00B67B2C"/>
    <w:rsid w:val="00B7031A"/>
    <w:rsid w:val="00B7089D"/>
    <w:rsid w:val="00B71D2C"/>
    <w:rsid w:val="00B7270B"/>
    <w:rsid w:val="00B72974"/>
    <w:rsid w:val="00B733D6"/>
    <w:rsid w:val="00B73A81"/>
    <w:rsid w:val="00B73BE6"/>
    <w:rsid w:val="00B7402C"/>
    <w:rsid w:val="00B74991"/>
    <w:rsid w:val="00B75BC1"/>
    <w:rsid w:val="00B77731"/>
    <w:rsid w:val="00B7782F"/>
    <w:rsid w:val="00B808E9"/>
    <w:rsid w:val="00B80D82"/>
    <w:rsid w:val="00B814F7"/>
    <w:rsid w:val="00B82053"/>
    <w:rsid w:val="00B824B4"/>
    <w:rsid w:val="00B83878"/>
    <w:rsid w:val="00B83DB3"/>
    <w:rsid w:val="00B83DC4"/>
    <w:rsid w:val="00B84543"/>
    <w:rsid w:val="00B853D7"/>
    <w:rsid w:val="00B86234"/>
    <w:rsid w:val="00B87AEB"/>
    <w:rsid w:val="00B87E43"/>
    <w:rsid w:val="00B87F57"/>
    <w:rsid w:val="00B90CB8"/>
    <w:rsid w:val="00B91852"/>
    <w:rsid w:val="00B928C5"/>
    <w:rsid w:val="00B92F54"/>
    <w:rsid w:val="00B93609"/>
    <w:rsid w:val="00B939CF"/>
    <w:rsid w:val="00B93FAB"/>
    <w:rsid w:val="00B94463"/>
    <w:rsid w:val="00B94665"/>
    <w:rsid w:val="00B946AC"/>
    <w:rsid w:val="00B956E5"/>
    <w:rsid w:val="00B958D6"/>
    <w:rsid w:val="00B95ACA"/>
    <w:rsid w:val="00B96293"/>
    <w:rsid w:val="00B96A18"/>
    <w:rsid w:val="00B975EC"/>
    <w:rsid w:val="00B976A3"/>
    <w:rsid w:val="00BA0515"/>
    <w:rsid w:val="00BA0F49"/>
    <w:rsid w:val="00BA0FF9"/>
    <w:rsid w:val="00BA19C3"/>
    <w:rsid w:val="00BA2DE2"/>
    <w:rsid w:val="00BA3101"/>
    <w:rsid w:val="00BA36C3"/>
    <w:rsid w:val="00BA3B09"/>
    <w:rsid w:val="00BA4125"/>
    <w:rsid w:val="00BA4586"/>
    <w:rsid w:val="00BA46A6"/>
    <w:rsid w:val="00BA490D"/>
    <w:rsid w:val="00BA52F3"/>
    <w:rsid w:val="00BA5597"/>
    <w:rsid w:val="00BA6425"/>
    <w:rsid w:val="00BA6DF4"/>
    <w:rsid w:val="00BA721F"/>
    <w:rsid w:val="00BA747D"/>
    <w:rsid w:val="00BA7542"/>
    <w:rsid w:val="00BA7FD3"/>
    <w:rsid w:val="00BB031A"/>
    <w:rsid w:val="00BB0532"/>
    <w:rsid w:val="00BB0DA0"/>
    <w:rsid w:val="00BB1124"/>
    <w:rsid w:val="00BB181B"/>
    <w:rsid w:val="00BB1E1C"/>
    <w:rsid w:val="00BB1F21"/>
    <w:rsid w:val="00BB3E0A"/>
    <w:rsid w:val="00BB3E91"/>
    <w:rsid w:val="00BB4834"/>
    <w:rsid w:val="00BB4BB9"/>
    <w:rsid w:val="00BB5158"/>
    <w:rsid w:val="00BB5596"/>
    <w:rsid w:val="00BB5D98"/>
    <w:rsid w:val="00BB5DD3"/>
    <w:rsid w:val="00BB6DD9"/>
    <w:rsid w:val="00BC0508"/>
    <w:rsid w:val="00BC0584"/>
    <w:rsid w:val="00BC0688"/>
    <w:rsid w:val="00BC083F"/>
    <w:rsid w:val="00BC0E2F"/>
    <w:rsid w:val="00BC11A4"/>
    <w:rsid w:val="00BC16DB"/>
    <w:rsid w:val="00BC18CC"/>
    <w:rsid w:val="00BC275D"/>
    <w:rsid w:val="00BC2CF7"/>
    <w:rsid w:val="00BC2EBB"/>
    <w:rsid w:val="00BC3396"/>
    <w:rsid w:val="00BC466C"/>
    <w:rsid w:val="00BC4A9C"/>
    <w:rsid w:val="00BC4D2F"/>
    <w:rsid w:val="00BC4E18"/>
    <w:rsid w:val="00BC6E64"/>
    <w:rsid w:val="00BC705B"/>
    <w:rsid w:val="00BC7F6D"/>
    <w:rsid w:val="00BD03F0"/>
    <w:rsid w:val="00BD08BE"/>
    <w:rsid w:val="00BD0E16"/>
    <w:rsid w:val="00BD1BF1"/>
    <w:rsid w:val="00BD1E70"/>
    <w:rsid w:val="00BD245A"/>
    <w:rsid w:val="00BD39B2"/>
    <w:rsid w:val="00BD42CE"/>
    <w:rsid w:val="00BD510A"/>
    <w:rsid w:val="00BD5C0A"/>
    <w:rsid w:val="00BD7F71"/>
    <w:rsid w:val="00BE059F"/>
    <w:rsid w:val="00BE05C2"/>
    <w:rsid w:val="00BE0E05"/>
    <w:rsid w:val="00BE1269"/>
    <w:rsid w:val="00BE21AF"/>
    <w:rsid w:val="00BE296D"/>
    <w:rsid w:val="00BE2D83"/>
    <w:rsid w:val="00BE31E5"/>
    <w:rsid w:val="00BE3981"/>
    <w:rsid w:val="00BE40B4"/>
    <w:rsid w:val="00BE43CA"/>
    <w:rsid w:val="00BE4984"/>
    <w:rsid w:val="00BE5430"/>
    <w:rsid w:val="00BE629E"/>
    <w:rsid w:val="00BE6E16"/>
    <w:rsid w:val="00BE7138"/>
    <w:rsid w:val="00BE71E3"/>
    <w:rsid w:val="00BE7926"/>
    <w:rsid w:val="00BF099E"/>
    <w:rsid w:val="00BF09B5"/>
    <w:rsid w:val="00BF0A99"/>
    <w:rsid w:val="00BF0EE4"/>
    <w:rsid w:val="00BF20B1"/>
    <w:rsid w:val="00BF25CF"/>
    <w:rsid w:val="00BF2C22"/>
    <w:rsid w:val="00BF3635"/>
    <w:rsid w:val="00BF387F"/>
    <w:rsid w:val="00BF3A46"/>
    <w:rsid w:val="00BF3E66"/>
    <w:rsid w:val="00BF41B9"/>
    <w:rsid w:val="00BF437C"/>
    <w:rsid w:val="00BF4590"/>
    <w:rsid w:val="00BF4FA8"/>
    <w:rsid w:val="00BF5C49"/>
    <w:rsid w:val="00BF5D19"/>
    <w:rsid w:val="00BF640D"/>
    <w:rsid w:val="00BF67DA"/>
    <w:rsid w:val="00BF6AD4"/>
    <w:rsid w:val="00BF6BB1"/>
    <w:rsid w:val="00BF7096"/>
    <w:rsid w:val="00C000BD"/>
    <w:rsid w:val="00C0065B"/>
    <w:rsid w:val="00C0253C"/>
    <w:rsid w:val="00C038A6"/>
    <w:rsid w:val="00C046F6"/>
    <w:rsid w:val="00C04F5B"/>
    <w:rsid w:val="00C04FE3"/>
    <w:rsid w:val="00C053EF"/>
    <w:rsid w:val="00C05570"/>
    <w:rsid w:val="00C0579F"/>
    <w:rsid w:val="00C063B7"/>
    <w:rsid w:val="00C072F3"/>
    <w:rsid w:val="00C07FC8"/>
    <w:rsid w:val="00C1009B"/>
    <w:rsid w:val="00C10AA1"/>
    <w:rsid w:val="00C11008"/>
    <w:rsid w:val="00C117E7"/>
    <w:rsid w:val="00C11DF2"/>
    <w:rsid w:val="00C12518"/>
    <w:rsid w:val="00C1275F"/>
    <w:rsid w:val="00C128CC"/>
    <w:rsid w:val="00C135AB"/>
    <w:rsid w:val="00C14AD6"/>
    <w:rsid w:val="00C157A6"/>
    <w:rsid w:val="00C15B5B"/>
    <w:rsid w:val="00C15BC9"/>
    <w:rsid w:val="00C162F6"/>
    <w:rsid w:val="00C1657E"/>
    <w:rsid w:val="00C1670D"/>
    <w:rsid w:val="00C1696C"/>
    <w:rsid w:val="00C16EA2"/>
    <w:rsid w:val="00C17E69"/>
    <w:rsid w:val="00C20577"/>
    <w:rsid w:val="00C20903"/>
    <w:rsid w:val="00C210BD"/>
    <w:rsid w:val="00C2119B"/>
    <w:rsid w:val="00C223C4"/>
    <w:rsid w:val="00C226D0"/>
    <w:rsid w:val="00C227AC"/>
    <w:rsid w:val="00C22DFB"/>
    <w:rsid w:val="00C2351B"/>
    <w:rsid w:val="00C23B4E"/>
    <w:rsid w:val="00C23E55"/>
    <w:rsid w:val="00C2413E"/>
    <w:rsid w:val="00C245E0"/>
    <w:rsid w:val="00C25478"/>
    <w:rsid w:val="00C25BFA"/>
    <w:rsid w:val="00C260B8"/>
    <w:rsid w:val="00C27C45"/>
    <w:rsid w:val="00C27EFF"/>
    <w:rsid w:val="00C3115C"/>
    <w:rsid w:val="00C33099"/>
    <w:rsid w:val="00C336AB"/>
    <w:rsid w:val="00C33F53"/>
    <w:rsid w:val="00C341E8"/>
    <w:rsid w:val="00C3495D"/>
    <w:rsid w:val="00C34C98"/>
    <w:rsid w:val="00C350B1"/>
    <w:rsid w:val="00C351B7"/>
    <w:rsid w:val="00C353B8"/>
    <w:rsid w:val="00C353D8"/>
    <w:rsid w:val="00C36C6B"/>
    <w:rsid w:val="00C37EB2"/>
    <w:rsid w:val="00C37F7D"/>
    <w:rsid w:val="00C41664"/>
    <w:rsid w:val="00C41722"/>
    <w:rsid w:val="00C428FA"/>
    <w:rsid w:val="00C42F4D"/>
    <w:rsid w:val="00C4406F"/>
    <w:rsid w:val="00C44534"/>
    <w:rsid w:val="00C44A02"/>
    <w:rsid w:val="00C4540F"/>
    <w:rsid w:val="00C45569"/>
    <w:rsid w:val="00C4559F"/>
    <w:rsid w:val="00C461AA"/>
    <w:rsid w:val="00C46818"/>
    <w:rsid w:val="00C4764D"/>
    <w:rsid w:val="00C506F9"/>
    <w:rsid w:val="00C50A3D"/>
    <w:rsid w:val="00C50AD4"/>
    <w:rsid w:val="00C5306F"/>
    <w:rsid w:val="00C5392E"/>
    <w:rsid w:val="00C539ED"/>
    <w:rsid w:val="00C546AB"/>
    <w:rsid w:val="00C55C40"/>
    <w:rsid w:val="00C561DA"/>
    <w:rsid w:val="00C56DAE"/>
    <w:rsid w:val="00C56F96"/>
    <w:rsid w:val="00C57398"/>
    <w:rsid w:val="00C57932"/>
    <w:rsid w:val="00C57AC4"/>
    <w:rsid w:val="00C57D49"/>
    <w:rsid w:val="00C57E33"/>
    <w:rsid w:val="00C6006D"/>
    <w:rsid w:val="00C60153"/>
    <w:rsid w:val="00C60272"/>
    <w:rsid w:val="00C60368"/>
    <w:rsid w:val="00C613BE"/>
    <w:rsid w:val="00C61501"/>
    <w:rsid w:val="00C61CE7"/>
    <w:rsid w:val="00C62043"/>
    <w:rsid w:val="00C629D5"/>
    <w:rsid w:val="00C6336F"/>
    <w:rsid w:val="00C637EC"/>
    <w:rsid w:val="00C63C9F"/>
    <w:rsid w:val="00C643D7"/>
    <w:rsid w:val="00C645C0"/>
    <w:rsid w:val="00C6531C"/>
    <w:rsid w:val="00C65A43"/>
    <w:rsid w:val="00C65F3F"/>
    <w:rsid w:val="00C6694B"/>
    <w:rsid w:val="00C66C82"/>
    <w:rsid w:val="00C66DF0"/>
    <w:rsid w:val="00C6718E"/>
    <w:rsid w:val="00C676A5"/>
    <w:rsid w:val="00C677FB"/>
    <w:rsid w:val="00C67934"/>
    <w:rsid w:val="00C67E06"/>
    <w:rsid w:val="00C67F53"/>
    <w:rsid w:val="00C71256"/>
    <w:rsid w:val="00C71C27"/>
    <w:rsid w:val="00C71DA8"/>
    <w:rsid w:val="00C72AC3"/>
    <w:rsid w:val="00C733B0"/>
    <w:rsid w:val="00C73424"/>
    <w:rsid w:val="00C7503B"/>
    <w:rsid w:val="00C7538B"/>
    <w:rsid w:val="00C75D41"/>
    <w:rsid w:val="00C767C4"/>
    <w:rsid w:val="00C76BC5"/>
    <w:rsid w:val="00C77334"/>
    <w:rsid w:val="00C77815"/>
    <w:rsid w:val="00C8015D"/>
    <w:rsid w:val="00C801DC"/>
    <w:rsid w:val="00C82425"/>
    <w:rsid w:val="00C83007"/>
    <w:rsid w:val="00C83926"/>
    <w:rsid w:val="00C844B6"/>
    <w:rsid w:val="00C84694"/>
    <w:rsid w:val="00C84CC9"/>
    <w:rsid w:val="00C853C7"/>
    <w:rsid w:val="00C858A8"/>
    <w:rsid w:val="00C85C83"/>
    <w:rsid w:val="00C85F3B"/>
    <w:rsid w:val="00C8674C"/>
    <w:rsid w:val="00C86CDF"/>
    <w:rsid w:val="00C87216"/>
    <w:rsid w:val="00C87507"/>
    <w:rsid w:val="00C87DFE"/>
    <w:rsid w:val="00C911A7"/>
    <w:rsid w:val="00C91219"/>
    <w:rsid w:val="00C9125F"/>
    <w:rsid w:val="00C9142C"/>
    <w:rsid w:val="00C914A4"/>
    <w:rsid w:val="00C919BE"/>
    <w:rsid w:val="00C92291"/>
    <w:rsid w:val="00C92A88"/>
    <w:rsid w:val="00C942BD"/>
    <w:rsid w:val="00C945EC"/>
    <w:rsid w:val="00C95461"/>
    <w:rsid w:val="00C96381"/>
    <w:rsid w:val="00C963B1"/>
    <w:rsid w:val="00CA138A"/>
    <w:rsid w:val="00CA1941"/>
    <w:rsid w:val="00CA2607"/>
    <w:rsid w:val="00CA2681"/>
    <w:rsid w:val="00CA2A5E"/>
    <w:rsid w:val="00CA3812"/>
    <w:rsid w:val="00CA3B3B"/>
    <w:rsid w:val="00CA3E1E"/>
    <w:rsid w:val="00CA40A6"/>
    <w:rsid w:val="00CA5285"/>
    <w:rsid w:val="00CA546F"/>
    <w:rsid w:val="00CA5C22"/>
    <w:rsid w:val="00CA738F"/>
    <w:rsid w:val="00CB0079"/>
    <w:rsid w:val="00CB0155"/>
    <w:rsid w:val="00CB02D1"/>
    <w:rsid w:val="00CB0EC6"/>
    <w:rsid w:val="00CB164C"/>
    <w:rsid w:val="00CB1B9D"/>
    <w:rsid w:val="00CB26B6"/>
    <w:rsid w:val="00CB2C83"/>
    <w:rsid w:val="00CB44A1"/>
    <w:rsid w:val="00CB481F"/>
    <w:rsid w:val="00CB51C7"/>
    <w:rsid w:val="00CB528E"/>
    <w:rsid w:val="00CB52A4"/>
    <w:rsid w:val="00CB60DF"/>
    <w:rsid w:val="00CB70C2"/>
    <w:rsid w:val="00CB733C"/>
    <w:rsid w:val="00CB7376"/>
    <w:rsid w:val="00CB7ACB"/>
    <w:rsid w:val="00CC022C"/>
    <w:rsid w:val="00CC0C93"/>
    <w:rsid w:val="00CC0FAB"/>
    <w:rsid w:val="00CC1A3B"/>
    <w:rsid w:val="00CC224E"/>
    <w:rsid w:val="00CC264C"/>
    <w:rsid w:val="00CC2CE1"/>
    <w:rsid w:val="00CC2E7E"/>
    <w:rsid w:val="00CC326C"/>
    <w:rsid w:val="00CC364E"/>
    <w:rsid w:val="00CC3F0B"/>
    <w:rsid w:val="00CC44D6"/>
    <w:rsid w:val="00CC498D"/>
    <w:rsid w:val="00CC4B08"/>
    <w:rsid w:val="00CC4C1A"/>
    <w:rsid w:val="00CC531F"/>
    <w:rsid w:val="00CC548F"/>
    <w:rsid w:val="00CC73DD"/>
    <w:rsid w:val="00CC77C0"/>
    <w:rsid w:val="00CC7E03"/>
    <w:rsid w:val="00CD073A"/>
    <w:rsid w:val="00CD156F"/>
    <w:rsid w:val="00CD1583"/>
    <w:rsid w:val="00CD2DE6"/>
    <w:rsid w:val="00CD31D8"/>
    <w:rsid w:val="00CD35E1"/>
    <w:rsid w:val="00CD3D39"/>
    <w:rsid w:val="00CD5CF2"/>
    <w:rsid w:val="00CD5DC6"/>
    <w:rsid w:val="00CD6F29"/>
    <w:rsid w:val="00CD7FB6"/>
    <w:rsid w:val="00CE0104"/>
    <w:rsid w:val="00CE03D7"/>
    <w:rsid w:val="00CE0C34"/>
    <w:rsid w:val="00CE1792"/>
    <w:rsid w:val="00CE2247"/>
    <w:rsid w:val="00CE237F"/>
    <w:rsid w:val="00CE2C06"/>
    <w:rsid w:val="00CE425D"/>
    <w:rsid w:val="00CE599D"/>
    <w:rsid w:val="00CE5B15"/>
    <w:rsid w:val="00CE5B79"/>
    <w:rsid w:val="00CE65C7"/>
    <w:rsid w:val="00CE7007"/>
    <w:rsid w:val="00CE708D"/>
    <w:rsid w:val="00CE7381"/>
    <w:rsid w:val="00CF00FE"/>
    <w:rsid w:val="00CF012E"/>
    <w:rsid w:val="00CF0390"/>
    <w:rsid w:val="00CF0924"/>
    <w:rsid w:val="00CF1185"/>
    <w:rsid w:val="00CF11D4"/>
    <w:rsid w:val="00CF13EC"/>
    <w:rsid w:val="00CF266B"/>
    <w:rsid w:val="00CF2EAE"/>
    <w:rsid w:val="00CF3026"/>
    <w:rsid w:val="00CF394E"/>
    <w:rsid w:val="00CF434C"/>
    <w:rsid w:val="00CF4949"/>
    <w:rsid w:val="00CF4BEA"/>
    <w:rsid w:val="00CF609A"/>
    <w:rsid w:val="00CF646A"/>
    <w:rsid w:val="00CF6AD3"/>
    <w:rsid w:val="00CF70F4"/>
    <w:rsid w:val="00CF72B9"/>
    <w:rsid w:val="00CF7AA8"/>
    <w:rsid w:val="00CF7FB0"/>
    <w:rsid w:val="00D00741"/>
    <w:rsid w:val="00D01137"/>
    <w:rsid w:val="00D018F0"/>
    <w:rsid w:val="00D02099"/>
    <w:rsid w:val="00D031EE"/>
    <w:rsid w:val="00D035EB"/>
    <w:rsid w:val="00D03C4C"/>
    <w:rsid w:val="00D04FF6"/>
    <w:rsid w:val="00D0533F"/>
    <w:rsid w:val="00D0572E"/>
    <w:rsid w:val="00D0634F"/>
    <w:rsid w:val="00D068D5"/>
    <w:rsid w:val="00D07508"/>
    <w:rsid w:val="00D07860"/>
    <w:rsid w:val="00D07D86"/>
    <w:rsid w:val="00D11329"/>
    <w:rsid w:val="00D122DE"/>
    <w:rsid w:val="00D133C2"/>
    <w:rsid w:val="00D141F9"/>
    <w:rsid w:val="00D1464C"/>
    <w:rsid w:val="00D1475B"/>
    <w:rsid w:val="00D14A99"/>
    <w:rsid w:val="00D14CB9"/>
    <w:rsid w:val="00D1618E"/>
    <w:rsid w:val="00D16330"/>
    <w:rsid w:val="00D16BBA"/>
    <w:rsid w:val="00D17D6D"/>
    <w:rsid w:val="00D17DEF"/>
    <w:rsid w:val="00D20664"/>
    <w:rsid w:val="00D20FDC"/>
    <w:rsid w:val="00D2124A"/>
    <w:rsid w:val="00D2452F"/>
    <w:rsid w:val="00D2453C"/>
    <w:rsid w:val="00D250F4"/>
    <w:rsid w:val="00D25C0A"/>
    <w:rsid w:val="00D25D52"/>
    <w:rsid w:val="00D272B7"/>
    <w:rsid w:val="00D27529"/>
    <w:rsid w:val="00D2776B"/>
    <w:rsid w:val="00D27823"/>
    <w:rsid w:val="00D306DD"/>
    <w:rsid w:val="00D30756"/>
    <w:rsid w:val="00D3087C"/>
    <w:rsid w:val="00D30E82"/>
    <w:rsid w:val="00D3105A"/>
    <w:rsid w:val="00D31888"/>
    <w:rsid w:val="00D32ECC"/>
    <w:rsid w:val="00D3307C"/>
    <w:rsid w:val="00D331D9"/>
    <w:rsid w:val="00D334B7"/>
    <w:rsid w:val="00D33B1F"/>
    <w:rsid w:val="00D33C06"/>
    <w:rsid w:val="00D341BA"/>
    <w:rsid w:val="00D34B0E"/>
    <w:rsid w:val="00D35047"/>
    <w:rsid w:val="00D350B7"/>
    <w:rsid w:val="00D352C5"/>
    <w:rsid w:val="00D36F36"/>
    <w:rsid w:val="00D411EF"/>
    <w:rsid w:val="00D41B0E"/>
    <w:rsid w:val="00D41D4C"/>
    <w:rsid w:val="00D41E62"/>
    <w:rsid w:val="00D42FB4"/>
    <w:rsid w:val="00D43B82"/>
    <w:rsid w:val="00D444C5"/>
    <w:rsid w:val="00D44831"/>
    <w:rsid w:val="00D44A6A"/>
    <w:rsid w:val="00D45352"/>
    <w:rsid w:val="00D4572B"/>
    <w:rsid w:val="00D45A18"/>
    <w:rsid w:val="00D45F0F"/>
    <w:rsid w:val="00D45F81"/>
    <w:rsid w:val="00D462A0"/>
    <w:rsid w:val="00D47C3C"/>
    <w:rsid w:val="00D50168"/>
    <w:rsid w:val="00D505C2"/>
    <w:rsid w:val="00D50E61"/>
    <w:rsid w:val="00D51029"/>
    <w:rsid w:val="00D5130A"/>
    <w:rsid w:val="00D51B3B"/>
    <w:rsid w:val="00D51EBF"/>
    <w:rsid w:val="00D52E39"/>
    <w:rsid w:val="00D52F94"/>
    <w:rsid w:val="00D52FF0"/>
    <w:rsid w:val="00D53467"/>
    <w:rsid w:val="00D538AF"/>
    <w:rsid w:val="00D54392"/>
    <w:rsid w:val="00D54DBC"/>
    <w:rsid w:val="00D5597C"/>
    <w:rsid w:val="00D55D69"/>
    <w:rsid w:val="00D5607E"/>
    <w:rsid w:val="00D56518"/>
    <w:rsid w:val="00D566E3"/>
    <w:rsid w:val="00D56920"/>
    <w:rsid w:val="00D57662"/>
    <w:rsid w:val="00D57A77"/>
    <w:rsid w:val="00D601A2"/>
    <w:rsid w:val="00D60823"/>
    <w:rsid w:val="00D60847"/>
    <w:rsid w:val="00D60ABA"/>
    <w:rsid w:val="00D60BD3"/>
    <w:rsid w:val="00D60C1F"/>
    <w:rsid w:val="00D60D58"/>
    <w:rsid w:val="00D61486"/>
    <w:rsid w:val="00D616D2"/>
    <w:rsid w:val="00D636C5"/>
    <w:rsid w:val="00D63762"/>
    <w:rsid w:val="00D64C39"/>
    <w:rsid w:val="00D6504F"/>
    <w:rsid w:val="00D65138"/>
    <w:rsid w:val="00D6620D"/>
    <w:rsid w:val="00D6621D"/>
    <w:rsid w:val="00D66267"/>
    <w:rsid w:val="00D66F12"/>
    <w:rsid w:val="00D67689"/>
    <w:rsid w:val="00D67CB5"/>
    <w:rsid w:val="00D70342"/>
    <w:rsid w:val="00D703DF"/>
    <w:rsid w:val="00D704AC"/>
    <w:rsid w:val="00D70584"/>
    <w:rsid w:val="00D70C36"/>
    <w:rsid w:val="00D71790"/>
    <w:rsid w:val="00D71CD4"/>
    <w:rsid w:val="00D724C3"/>
    <w:rsid w:val="00D73378"/>
    <w:rsid w:val="00D73C43"/>
    <w:rsid w:val="00D75EC0"/>
    <w:rsid w:val="00D761BC"/>
    <w:rsid w:val="00D762F5"/>
    <w:rsid w:val="00D77476"/>
    <w:rsid w:val="00D77492"/>
    <w:rsid w:val="00D775BB"/>
    <w:rsid w:val="00D77992"/>
    <w:rsid w:val="00D77BA2"/>
    <w:rsid w:val="00D80810"/>
    <w:rsid w:val="00D81322"/>
    <w:rsid w:val="00D81C50"/>
    <w:rsid w:val="00D81DBC"/>
    <w:rsid w:val="00D821EF"/>
    <w:rsid w:val="00D824D0"/>
    <w:rsid w:val="00D8259C"/>
    <w:rsid w:val="00D826AF"/>
    <w:rsid w:val="00D82899"/>
    <w:rsid w:val="00D83948"/>
    <w:rsid w:val="00D83953"/>
    <w:rsid w:val="00D84AB2"/>
    <w:rsid w:val="00D84F8E"/>
    <w:rsid w:val="00D8538C"/>
    <w:rsid w:val="00D858EF"/>
    <w:rsid w:val="00D85E50"/>
    <w:rsid w:val="00D85EC4"/>
    <w:rsid w:val="00D869FF"/>
    <w:rsid w:val="00D909DB"/>
    <w:rsid w:val="00D91219"/>
    <w:rsid w:val="00D926A2"/>
    <w:rsid w:val="00D92C2A"/>
    <w:rsid w:val="00D93075"/>
    <w:rsid w:val="00D93A01"/>
    <w:rsid w:val="00D94062"/>
    <w:rsid w:val="00D94111"/>
    <w:rsid w:val="00D94B00"/>
    <w:rsid w:val="00D95B2F"/>
    <w:rsid w:val="00D960BA"/>
    <w:rsid w:val="00D9744B"/>
    <w:rsid w:val="00D974F3"/>
    <w:rsid w:val="00DA13AE"/>
    <w:rsid w:val="00DA1FBA"/>
    <w:rsid w:val="00DA2018"/>
    <w:rsid w:val="00DA23E4"/>
    <w:rsid w:val="00DA3075"/>
    <w:rsid w:val="00DA355D"/>
    <w:rsid w:val="00DA3844"/>
    <w:rsid w:val="00DA42B1"/>
    <w:rsid w:val="00DA4746"/>
    <w:rsid w:val="00DA58BE"/>
    <w:rsid w:val="00DA58EE"/>
    <w:rsid w:val="00DA593C"/>
    <w:rsid w:val="00DA5C35"/>
    <w:rsid w:val="00DA63C2"/>
    <w:rsid w:val="00DA6E23"/>
    <w:rsid w:val="00DA71A4"/>
    <w:rsid w:val="00DA7CC4"/>
    <w:rsid w:val="00DB0063"/>
    <w:rsid w:val="00DB11D3"/>
    <w:rsid w:val="00DB1237"/>
    <w:rsid w:val="00DB1390"/>
    <w:rsid w:val="00DB1539"/>
    <w:rsid w:val="00DB15EA"/>
    <w:rsid w:val="00DB1957"/>
    <w:rsid w:val="00DB2B58"/>
    <w:rsid w:val="00DB388B"/>
    <w:rsid w:val="00DB3D33"/>
    <w:rsid w:val="00DB4E25"/>
    <w:rsid w:val="00DB50AD"/>
    <w:rsid w:val="00DB554F"/>
    <w:rsid w:val="00DB6F1C"/>
    <w:rsid w:val="00DB6F6B"/>
    <w:rsid w:val="00DC060F"/>
    <w:rsid w:val="00DC09B1"/>
    <w:rsid w:val="00DC161E"/>
    <w:rsid w:val="00DC1641"/>
    <w:rsid w:val="00DC2245"/>
    <w:rsid w:val="00DC264A"/>
    <w:rsid w:val="00DC26CE"/>
    <w:rsid w:val="00DC3433"/>
    <w:rsid w:val="00DC393F"/>
    <w:rsid w:val="00DC40C8"/>
    <w:rsid w:val="00DC4C93"/>
    <w:rsid w:val="00DC547B"/>
    <w:rsid w:val="00DC5F9F"/>
    <w:rsid w:val="00DC6452"/>
    <w:rsid w:val="00DC6540"/>
    <w:rsid w:val="00DC6A07"/>
    <w:rsid w:val="00DC7B77"/>
    <w:rsid w:val="00DC7E1C"/>
    <w:rsid w:val="00DD002E"/>
    <w:rsid w:val="00DD0F70"/>
    <w:rsid w:val="00DD106D"/>
    <w:rsid w:val="00DD132C"/>
    <w:rsid w:val="00DD20F5"/>
    <w:rsid w:val="00DD3901"/>
    <w:rsid w:val="00DD3E27"/>
    <w:rsid w:val="00DD46F5"/>
    <w:rsid w:val="00DD4FB1"/>
    <w:rsid w:val="00DD5E93"/>
    <w:rsid w:val="00DD61BF"/>
    <w:rsid w:val="00DD6557"/>
    <w:rsid w:val="00DD661C"/>
    <w:rsid w:val="00DD669B"/>
    <w:rsid w:val="00DD67B9"/>
    <w:rsid w:val="00DD6BA4"/>
    <w:rsid w:val="00DD72B1"/>
    <w:rsid w:val="00DD752C"/>
    <w:rsid w:val="00DE0D0E"/>
    <w:rsid w:val="00DE22A2"/>
    <w:rsid w:val="00DE22B0"/>
    <w:rsid w:val="00DE34AB"/>
    <w:rsid w:val="00DE3998"/>
    <w:rsid w:val="00DE39C1"/>
    <w:rsid w:val="00DE3ED9"/>
    <w:rsid w:val="00DE4012"/>
    <w:rsid w:val="00DE426B"/>
    <w:rsid w:val="00DE4541"/>
    <w:rsid w:val="00DE47D4"/>
    <w:rsid w:val="00DE50E2"/>
    <w:rsid w:val="00DE5AE3"/>
    <w:rsid w:val="00DE5B8A"/>
    <w:rsid w:val="00DF0354"/>
    <w:rsid w:val="00DF0715"/>
    <w:rsid w:val="00DF0912"/>
    <w:rsid w:val="00DF0AF9"/>
    <w:rsid w:val="00DF10D9"/>
    <w:rsid w:val="00DF21B2"/>
    <w:rsid w:val="00DF2566"/>
    <w:rsid w:val="00DF2760"/>
    <w:rsid w:val="00DF3B04"/>
    <w:rsid w:val="00DF4AEB"/>
    <w:rsid w:val="00DF517B"/>
    <w:rsid w:val="00DF550B"/>
    <w:rsid w:val="00DF559E"/>
    <w:rsid w:val="00DF5E73"/>
    <w:rsid w:val="00DF6701"/>
    <w:rsid w:val="00DF7DE5"/>
    <w:rsid w:val="00E000D0"/>
    <w:rsid w:val="00E016BA"/>
    <w:rsid w:val="00E017AD"/>
    <w:rsid w:val="00E025C0"/>
    <w:rsid w:val="00E0312B"/>
    <w:rsid w:val="00E031F0"/>
    <w:rsid w:val="00E03328"/>
    <w:rsid w:val="00E03727"/>
    <w:rsid w:val="00E03CF3"/>
    <w:rsid w:val="00E04AE9"/>
    <w:rsid w:val="00E04C63"/>
    <w:rsid w:val="00E054F0"/>
    <w:rsid w:val="00E056EF"/>
    <w:rsid w:val="00E0596F"/>
    <w:rsid w:val="00E05D15"/>
    <w:rsid w:val="00E06C41"/>
    <w:rsid w:val="00E078CD"/>
    <w:rsid w:val="00E07C41"/>
    <w:rsid w:val="00E10500"/>
    <w:rsid w:val="00E1135D"/>
    <w:rsid w:val="00E113A1"/>
    <w:rsid w:val="00E11DB7"/>
    <w:rsid w:val="00E12A91"/>
    <w:rsid w:val="00E1363B"/>
    <w:rsid w:val="00E13C6F"/>
    <w:rsid w:val="00E14B4C"/>
    <w:rsid w:val="00E15913"/>
    <w:rsid w:val="00E160CA"/>
    <w:rsid w:val="00E16494"/>
    <w:rsid w:val="00E166C3"/>
    <w:rsid w:val="00E208B4"/>
    <w:rsid w:val="00E2097E"/>
    <w:rsid w:val="00E20CFC"/>
    <w:rsid w:val="00E2175E"/>
    <w:rsid w:val="00E22A6F"/>
    <w:rsid w:val="00E22ED3"/>
    <w:rsid w:val="00E23FF4"/>
    <w:rsid w:val="00E24640"/>
    <w:rsid w:val="00E25DA1"/>
    <w:rsid w:val="00E2620E"/>
    <w:rsid w:val="00E2623B"/>
    <w:rsid w:val="00E26BA7"/>
    <w:rsid w:val="00E27279"/>
    <w:rsid w:val="00E27351"/>
    <w:rsid w:val="00E2736D"/>
    <w:rsid w:val="00E27B0C"/>
    <w:rsid w:val="00E307B7"/>
    <w:rsid w:val="00E30A24"/>
    <w:rsid w:val="00E3352D"/>
    <w:rsid w:val="00E336D7"/>
    <w:rsid w:val="00E33D2A"/>
    <w:rsid w:val="00E33DD0"/>
    <w:rsid w:val="00E34B95"/>
    <w:rsid w:val="00E3592A"/>
    <w:rsid w:val="00E3699E"/>
    <w:rsid w:val="00E36AF9"/>
    <w:rsid w:val="00E36DBE"/>
    <w:rsid w:val="00E3734F"/>
    <w:rsid w:val="00E377D9"/>
    <w:rsid w:val="00E37864"/>
    <w:rsid w:val="00E40695"/>
    <w:rsid w:val="00E4369D"/>
    <w:rsid w:val="00E43A30"/>
    <w:rsid w:val="00E43FB2"/>
    <w:rsid w:val="00E44AE2"/>
    <w:rsid w:val="00E45B30"/>
    <w:rsid w:val="00E466B0"/>
    <w:rsid w:val="00E477FD"/>
    <w:rsid w:val="00E4794A"/>
    <w:rsid w:val="00E515F0"/>
    <w:rsid w:val="00E51B1A"/>
    <w:rsid w:val="00E51BAC"/>
    <w:rsid w:val="00E52F60"/>
    <w:rsid w:val="00E53795"/>
    <w:rsid w:val="00E5428B"/>
    <w:rsid w:val="00E54F4F"/>
    <w:rsid w:val="00E57782"/>
    <w:rsid w:val="00E57E3D"/>
    <w:rsid w:val="00E60779"/>
    <w:rsid w:val="00E6198E"/>
    <w:rsid w:val="00E61E87"/>
    <w:rsid w:val="00E61F3A"/>
    <w:rsid w:val="00E62049"/>
    <w:rsid w:val="00E62268"/>
    <w:rsid w:val="00E627C5"/>
    <w:rsid w:val="00E6295E"/>
    <w:rsid w:val="00E62E26"/>
    <w:rsid w:val="00E633EE"/>
    <w:rsid w:val="00E63A60"/>
    <w:rsid w:val="00E64708"/>
    <w:rsid w:val="00E64C72"/>
    <w:rsid w:val="00E65D14"/>
    <w:rsid w:val="00E6610D"/>
    <w:rsid w:val="00E66608"/>
    <w:rsid w:val="00E679F7"/>
    <w:rsid w:val="00E67D4A"/>
    <w:rsid w:val="00E70055"/>
    <w:rsid w:val="00E72705"/>
    <w:rsid w:val="00E746F0"/>
    <w:rsid w:val="00E74FF0"/>
    <w:rsid w:val="00E75DEC"/>
    <w:rsid w:val="00E75E3D"/>
    <w:rsid w:val="00E76544"/>
    <w:rsid w:val="00E765CD"/>
    <w:rsid w:val="00E77204"/>
    <w:rsid w:val="00E774EC"/>
    <w:rsid w:val="00E77E04"/>
    <w:rsid w:val="00E802D7"/>
    <w:rsid w:val="00E817E7"/>
    <w:rsid w:val="00E81C6F"/>
    <w:rsid w:val="00E824CD"/>
    <w:rsid w:val="00E82979"/>
    <w:rsid w:val="00E8482E"/>
    <w:rsid w:val="00E848B3"/>
    <w:rsid w:val="00E85124"/>
    <w:rsid w:val="00E859B6"/>
    <w:rsid w:val="00E860EE"/>
    <w:rsid w:val="00E86359"/>
    <w:rsid w:val="00E86F25"/>
    <w:rsid w:val="00E87ED1"/>
    <w:rsid w:val="00E90E0E"/>
    <w:rsid w:val="00E90EC5"/>
    <w:rsid w:val="00E90F3D"/>
    <w:rsid w:val="00E91436"/>
    <w:rsid w:val="00E91819"/>
    <w:rsid w:val="00E91A29"/>
    <w:rsid w:val="00E91CEA"/>
    <w:rsid w:val="00E923B0"/>
    <w:rsid w:val="00E92A8A"/>
    <w:rsid w:val="00E931F3"/>
    <w:rsid w:val="00E93E03"/>
    <w:rsid w:val="00E93E60"/>
    <w:rsid w:val="00E93F93"/>
    <w:rsid w:val="00E94120"/>
    <w:rsid w:val="00E94824"/>
    <w:rsid w:val="00E949DA"/>
    <w:rsid w:val="00E95CB1"/>
    <w:rsid w:val="00E9654A"/>
    <w:rsid w:val="00E96812"/>
    <w:rsid w:val="00E972E1"/>
    <w:rsid w:val="00E97C2E"/>
    <w:rsid w:val="00EA039D"/>
    <w:rsid w:val="00EA0AE8"/>
    <w:rsid w:val="00EA1E33"/>
    <w:rsid w:val="00EA24E8"/>
    <w:rsid w:val="00EA2C80"/>
    <w:rsid w:val="00EA3D99"/>
    <w:rsid w:val="00EA5218"/>
    <w:rsid w:val="00EA5587"/>
    <w:rsid w:val="00EA5C1E"/>
    <w:rsid w:val="00EA6C34"/>
    <w:rsid w:val="00EA7447"/>
    <w:rsid w:val="00EA75FF"/>
    <w:rsid w:val="00EA7D9A"/>
    <w:rsid w:val="00EB0601"/>
    <w:rsid w:val="00EB0772"/>
    <w:rsid w:val="00EB0830"/>
    <w:rsid w:val="00EB08C2"/>
    <w:rsid w:val="00EB0A52"/>
    <w:rsid w:val="00EB1200"/>
    <w:rsid w:val="00EB1A3A"/>
    <w:rsid w:val="00EB2C26"/>
    <w:rsid w:val="00EB3333"/>
    <w:rsid w:val="00EB371B"/>
    <w:rsid w:val="00EB3BE8"/>
    <w:rsid w:val="00EB41AF"/>
    <w:rsid w:val="00EB4522"/>
    <w:rsid w:val="00EB45E9"/>
    <w:rsid w:val="00EB4979"/>
    <w:rsid w:val="00EB4B97"/>
    <w:rsid w:val="00EB5F59"/>
    <w:rsid w:val="00EB638F"/>
    <w:rsid w:val="00EB780C"/>
    <w:rsid w:val="00EB786E"/>
    <w:rsid w:val="00EC11AD"/>
    <w:rsid w:val="00EC1D44"/>
    <w:rsid w:val="00EC2301"/>
    <w:rsid w:val="00EC2379"/>
    <w:rsid w:val="00EC2586"/>
    <w:rsid w:val="00EC2EE8"/>
    <w:rsid w:val="00EC4D19"/>
    <w:rsid w:val="00EC6449"/>
    <w:rsid w:val="00EC68AA"/>
    <w:rsid w:val="00ED001A"/>
    <w:rsid w:val="00ED0323"/>
    <w:rsid w:val="00ED03B0"/>
    <w:rsid w:val="00ED07E0"/>
    <w:rsid w:val="00ED0D1D"/>
    <w:rsid w:val="00ED12E6"/>
    <w:rsid w:val="00ED13ED"/>
    <w:rsid w:val="00ED164F"/>
    <w:rsid w:val="00ED1F33"/>
    <w:rsid w:val="00ED2C85"/>
    <w:rsid w:val="00ED4079"/>
    <w:rsid w:val="00ED4992"/>
    <w:rsid w:val="00ED4A91"/>
    <w:rsid w:val="00ED4FD2"/>
    <w:rsid w:val="00ED5692"/>
    <w:rsid w:val="00ED608F"/>
    <w:rsid w:val="00ED60DF"/>
    <w:rsid w:val="00ED6368"/>
    <w:rsid w:val="00ED778A"/>
    <w:rsid w:val="00ED7B2C"/>
    <w:rsid w:val="00EE0803"/>
    <w:rsid w:val="00EE0A21"/>
    <w:rsid w:val="00EE19C0"/>
    <w:rsid w:val="00EE19D7"/>
    <w:rsid w:val="00EE29A0"/>
    <w:rsid w:val="00EE33AC"/>
    <w:rsid w:val="00EE35F8"/>
    <w:rsid w:val="00EE3766"/>
    <w:rsid w:val="00EE4EEF"/>
    <w:rsid w:val="00EE5600"/>
    <w:rsid w:val="00EE63D0"/>
    <w:rsid w:val="00EE6FA7"/>
    <w:rsid w:val="00EF0629"/>
    <w:rsid w:val="00EF0704"/>
    <w:rsid w:val="00EF0733"/>
    <w:rsid w:val="00EF0E5C"/>
    <w:rsid w:val="00EF0F7C"/>
    <w:rsid w:val="00EF11F0"/>
    <w:rsid w:val="00EF1624"/>
    <w:rsid w:val="00EF174D"/>
    <w:rsid w:val="00EF1903"/>
    <w:rsid w:val="00EF213A"/>
    <w:rsid w:val="00EF285F"/>
    <w:rsid w:val="00EF2EE2"/>
    <w:rsid w:val="00EF3185"/>
    <w:rsid w:val="00EF4260"/>
    <w:rsid w:val="00EF4F56"/>
    <w:rsid w:val="00EF72DA"/>
    <w:rsid w:val="00EF74C2"/>
    <w:rsid w:val="00F01029"/>
    <w:rsid w:val="00F016F9"/>
    <w:rsid w:val="00F021CA"/>
    <w:rsid w:val="00F024D5"/>
    <w:rsid w:val="00F02AB1"/>
    <w:rsid w:val="00F02CE8"/>
    <w:rsid w:val="00F03335"/>
    <w:rsid w:val="00F03B50"/>
    <w:rsid w:val="00F04774"/>
    <w:rsid w:val="00F04994"/>
    <w:rsid w:val="00F0576E"/>
    <w:rsid w:val="00F069B5"/>
    <w:rsid w:val="00F06AFA"/>
    <w:rsid w:val="00F06C88"/>
    <w:rsid w:val="00F07887"/>
    <w:rsid w:val="00F07E8E"/>
    <w:rsid w:val="00F07F8F"/>
    <w:rsid w:val="00F10E31"/>
    <w:rsid w:val="00F10E48"/>
    <w:rsid w:val="00F10EF4"/>
    <w:rsid w:val="00F11B76"/>
    <w:rsid w:val="00F11DF7"/>
    <w:rsid w:val="00F11F0A"/>
    <w:rsid w:val="00F1227A"/>
    <w:rsid w:val="00F12A52"/>
    <w:rsid w:val="00F137CB"/>
    <w:rsid w:val="00F13A4D"/>
    <w:rsid w:val="00F14C48"/>
    <w:rsid w:val="00F153F8"/>
    <w:rsid w:val="00F1540D"/>
    <w:rsid w:val="00F159A4"/>
    <w:rsid w:val="00F15D49"/>
    <w:rsid w:val="00F16CF0"/>
    <w:rsid w:val="00F16EFA"/>
    <w:rsid w:val="00F17BE7"/>
    <w:rsid w:val="00F20337"/>
    <w:rsid w:val="00F206BE"/>
    <w:rsid w:val="00F20B6F"/>
    <w:rsid w:val="00F211A7"/>
    <w:rsid w:val="00F211F1"/>
    <w:rsid w:val="00F2242D"/>
    <w:rsid w:val="00F23128"/>
    <w:rsid w:val="00F23137"/>
    <w:rsid w:val="00F23264"/>
    <w:rsid w:val="00F2335E"/>
    <w:rsid w:val="00F2393E"/>
    <w:rsid w:val="00F23F71"/>
    <w:rsid w:val="00F2402D"/>
    <w:rsid w:val="00F24D3A"/>
    <w:rsid w:val="00F25885"/>
    <w:rsid w:val="00F25BD3"/>
    <w:rsid w:val="00F26201"/>
    <w:rsid w:val="00F26794"/>
    <w:rsid w:val="00F26D26"/>
    <w:rsid w:val="00F26F6F"/>
    <w:rsid w:val="00F2707B"/>
    <w:rsid w:val="00F2709C"/>
    <w:rsid w:val="00F274C0"/>
    <w:rsid w:val="00F2777E"/>
    <w:rsid w:val="00F27AF0"/>
    <w:rsid w:val="00F3004F"/>
    <w:rsid w:val="00F30867"/>
    <w:rsid w:val="00F31C29"/>
    <w:rsid w:val="00F31DE1"/>
    <w:rsid w:val="00F321B2"/>
    <w:rsid w:val="00F324D8"/>
    <w:rsid w:val="00F32F23"/>
    <w:rsid w:val="00F3364B"/>
    <w:rsid w:val="00F3389F"/>
    <w:rsid w:val="00F33DE6"/>
    <w:rsid w:val="00F341A0"/>
    <w:rsid w:val="00F35816"/>
    <w:rsid w:val="00F36995"/>
    <w:rsid w:val="00F36A32"/>
    <w:rsid w:val="00F36D07"/>
    <w:rsid w:val="00F37889"/>
    <w:rsid w:val="00F379D7"/>
    <w:rsid w:val="00F401E0"/>
    <w:rsid w:val="00F40EA3"/>
    <w:rsid w:val="00F41F54"/>
    <w:rsid w:val="00F42E5A"/>
    <w:rsid w:val="00F43033"/>
    <w:rsid w:val="00F4359E"/>
    <w:rsid w:val="00F43AFD"/>
    <w:rsid w:val="00F447FD"/>
    <w:rsid w:val="00F448B3"/>
    <w:rsid w:val="00F44C95"/>
    <w:rsid w:val="00F45715"/>
    <w:rsid w:val="00F45829"/>
    <w:rsid w:val="00F4627D"/>
    <w:rsid w:val="00F466DD"/>
    <w:rsid w:val="00F46B6E"/>
    <w:rsid w:val="00F475D8"/>
    <w:rsid w:val="00F478ED"/>
    <w:rsid w:val="00F47B67"/>
    <w:rsid w:val="00F52402"/>
    <w:rsid w:val="00F52F08"/>
    <w:rsid w:val="00F5383B"/>
    <w:rsid w:val="00F53AF0"/>
    <w:rsid w:val="00F5503D"/>
    <w:rsid w:val="00F56098"/>
    <w:rsid w:val="00F561A9"/>
    <w:rsid w:val="00F5636D"/>
    <w:rsid w:val="00F568FA"/>
    <w:rsid w:val="00F57174"/>
    <w:rsid w:val="00F5753F"/>
    <w:rsid w:val="00F60148"/>
    <w:rsid w:val="00F60236"/>
    <w:rsid w:val="00F604DA"/>
    <w:rsid w:val="00F6154B"/>
    <w:rsid w:val="00F6195D"/>
    <w:rsid w:val="00F61DC2"/>
    <w:rsid w:val="00F6229C"/>
    <w:rsid w:val="00F62496"/>
    <w:rsid w:val="00F625C1"/>
    <w:rsid w:val="00F6275F"/>
    <w:rsid w:val="00F62E29"/>
    <w:rsid w:val="00F63140"/>
    <w:rsid w:val="00F63C3E"/>
    <w:rsid w:val="00F64102"/>
    <w:rsid w:val="00F658E2"/>
    <w:rsid w:val="00F65BA4"/>
    <w:rsid w:val="00F6649C"/>
    <w:rsid w:val="00F66675"/>
    <w:rsid w:val="00F66844"/>
    <w:rsid w:val="00F669A3"/>
    <w:rsid w:val="00F66E2D"/>
    <w:rsid w:val="00F675CF"/>
    <w:rsid w:val="00F677E8"/>
    <w:rsid w:val="00F67847"/>
    <w:rsid w:val="00F67D86"/>
    <w:rsid w:val="00F70109"/>
    <w:rsid w:val="00F70EE4"/>
    <w:rsid w:val="00F7152E"/>
    <w:rsid w:val="00F71698"/>
    <w:rsid w:val="00F72205"/>
    <w:rsid w:val="00F72236"/>
    <w:rsid w:val="00F72A55"/>
    <w:rsid w:val="00F73178"/>
    <w:rsid w:val="00F7449F"/>
    <w:rsid w:val="00F76F55"/>
    <w:rsid w:val="00F80A84"/>
    <w:rsid w:val="00F80A98"/>
    <w:rsid w:val="00F80C8C"/>
    <w:rsid w:val="00F81718"/>
    <w:rsid w:val="00F81F8A"/>
    <w:rsid w:val="00F81FF3"/>
    <w:rsid w:val="00F82360"/>
    <w:rsid w:val="00F824B8"/>
    <w:rsid w:val="00F8273E"/>
    <w:rsid w:val="00F8276D"/>
    <w:rsid w:val="00F82A66"/>
    <w:rsid w:val="00F83E16"/>
    <w:rsid w:val="00F843F2"/>
    <w:rsid w:val="00F848B0"/>
    <w:rsid w:val="00F84A07"/>
    <w:rsid w:val="00F84B56"/>
    <w:rsid w:val="00F8519D"/>
    <w:rsid w:val="00F851D2"/>
    <w:rsid w:val="00F8548F"/>
    <w:rsid w:val="00F861BB"/>
    <w:rsid w:val="00F86A5A"/>
    <w:rsid w:val="00F87702"/>
    <w:rsid w:val="00F87BD4"/>
    <w:rsid w:val="00F9078A"/>
    <w:rsid w:val="00F90E65"/>
    <w:rsid w:val="00F912E7"/>
    <w:rsid w:val="00F913D0"/>
    <w:rsid w:val="00F91E8A"/>
    <w:rsid w:val="00F92E01"/>
    <w:rsid w:val="00F9345A"/>
    <w:rsid w:val="00F938FF"/>
    <w:rsid w:val="00F93B92"/>
    <w:rsid w:val="00F94044"/>
    <w:rsid w:val="00F9459F"/>
    <w:rsid w:val="00F9478F"/>
    <w:rsid w:val="00F9548E"/>
    <w:rsid w:val="00F95B25"/>
    <w:rsid w:val="00F95B26"/>
    <w:rsid w:val="00F95C7D"/>
    <w:rsid w:val="00F9611B"/>
    <w:rsid w:val="00F96CFD"/>
    <w:rsid w:val="00F97203"/>
    <w:rsid w:val="00F97252"/>
    <w:rsid w:val="00FA178C"/>
    <w:rsid w:val="00FA18E6"/>
    <w:rsid w:val="00FA2A3B"/>
    <w:rsid w:val="00FA2E71"/>
    <w:rsid w:val="00FA3056"/>
    <w:rsid w:val="00FA3DF8"/>
    <w:rsid w:val="00FA5411"/>
    <w:rsid w:val="00FA5699"/>
    <w:rsid w:val="00FA622E"/>
    <w:rsid w:val="00FA6C17"/>
    <w:rsid w:val="00FA75A0"/>
    <w:rsid w:val="00FB0295"/>
    <w:rsid w:val="00FB08DE"/>
    <w:rsid w:val="00FB0A76"/>
    <w:rsid w:val="00FB1839"/>
    <w:rsid w:val="00FB20CB"/>
    <w:rsid w:val="00FB28AA"/>
    <w:rsid w:val="00FB2A14"/>
    <w:rsid w:val="00FB2A9B"/>
    <w:rsid w:val="00FB38F2"/>
    <w:rsid w:val="00FB4358"/>
    <w:rsid w:val="00FB449D"/>
    <w:rsid w:val="00FB4847"/>
    <w:rsid w:val="00FB540A"/>
    <w:rsid w:val="00FB5F35"/>
    <w:rsid w:val="00FB6A5D"/>
    <w:rsid w:val="00FB6DBE"/>
    <w:rsid w:val="00FC0551"/>
    <w:rsid w:val="00FC07AF"/>
    <w:rsid w:val="00FC0C01"/>
    <w:rsid w:val="00FC0CCB"/>
    <w:rsid w:val="00FC10ED"/>
    <w:rsid w:val="00FC114B"/>
    <w:rsid w:val="00FC171B"/>
    <w:rsid w:val="00FC1A86"/>
    <w:rsid w:val="00FC1DD9"/>
    <w:rsid w:val="00FC2894"/>
    <w:rsid w:val="00FC2F15"/>
    <w:rsid w:val="00FC2F83"/>
    <w:rsid w:val="00FC2FC9"/>
    <w:rsid w:val="00FC3512"/>
    <w:rsid w:val="00FC3B38"/>
    <w:rsid w:val="00FC412B"/>
    <w:rsid w:val="00FC4D7D"/>
    <w:rsid w:val="00FC519E"/>
    <w:rsid w:val="00FC5F22"/>
    <w:rsid w:val="00FC627B"/>
    <w:rsid w:val="00FC644B"/>
    <w:rsid w:val="00FC6795"/>
    <w:rsid w:val="00FC68A8"/>
    <w:rsid w:val="00FC6A91"/>
    <w:rsid w:val="00FC72F8"/>
    <w:rsid w:val="00FC76AE"/>
    <w:rsid w:val="00FC77ED"/>
    <w:rsid w:val="00FC7E9B"/>
    <w:rsid w:val="00FD19D5"/>
    <w:rsid w:val="00FD2E8F"/>
    <w:rsid w:val="00FD33FF"/>
    <w:rsid w:val="00FD355C"/>
    <w:rsid w:val="00FD36CB"/>
    <w:rsid w:val="00FD55D8"/>
    <w:rsid w:val="00FD65DE"/>
    <w:rsid w:val="00FD675B"/>
    <w:rsid w:val="00FD6AD7"/>
    <w:rsid w:val="00FD6D78"/>
    <w:rsid w:val="00FD7B21"/>
    <w:rsid w:val="00FE05C4"/>
    <w:rsid w:val="00FE05FF"/>
    <w:rsid w:val="00FE128D"/>
    <w:rsid w:val="00FE2F87"/>
    <w:rsid w:val="00FE3899"/>
    <w:rsid w:val="00FE4C4A"/>
    <w:rsid w:val="00FE4C60"/>
    <w:rsid w:val="00FE4FDA"/>
    <w:rsid w:val="00FE50AC"/>
    <w:rsid w:val="00FE578C"/>
    <w:rsid w:val="00FE5A21"/>
    <w:rsid w:val="00FE5D21"/>
    <w:rsid w:val="00FE5EFC"/>
    <w:rsid w:val="00FE6034"/>
    <w:rsid w:val="00FE61A2"/>
    <w:rsid w:val="00FE7479"/>
    <w:rsid w:val="00FE7CD0"/>
    <w:rsid w:val="00FF002D"/>
    <w:rsid w:val="00FF17C4"/>
    <w:rsid w:val="00FF27BF"/>
    <w:rsid w:val="00FF2D0B"/>
    <w:rsid w:val="00FF3678"/>
    <w:rsid w:val="00FF3682"/>
    <w:rsid w:val="00FF382A"/>
    <w:rsid w:val="00FF3948"/>
    <w:rsid w:val="00FF3D1D"/>
    <w:rsid w:val="00FF48FE"/>
    <w:rsid w:val="00FF4C7C"/>
    <w:rsid w:val="00FF605B"/>
    <w:rsid w:val="00FF6FD5"/>
    <w:rsid w:val="00FF703A"/>
    <w:rsid w:val="015836AE"/>
    <w:rsid w:val="01AD0892"/>
    <w:rsid w:val="01D07F24"/>
    <w:rsid w:val="021C7856"/>
    <w:rsid w:val="02414F37"/>
    <w:rsid w:val="030633CB"/>
    <w:rsid w:val="031046B1"/>
    <w:rsid w:val="03581CA7"/>
    <w:rsid w:val="03876C19"/>
    <w:rsid w:val="03A401C4"/>
    <w:rsid w:val="03A9642F"/>
    <w:rsid w:val="04335A7E"/>
    <w:rsid w:val="0490564D"/>
    <w:rsid w:val="04DF1024"/>
    <w:rsid w:val="054C66D1"/>
    <w:rsid w:val="054F6600"/>
    <w:rsid w:val="059B6E82"/>
    <w:rsid w:val="06404744"/>
    <w:rsid w:val="066B64A8"/>
    <w:rsid w:val="06FB7108"/>
    <w:rsid w:val="071A651C"/>
    <w:rsid w:val="073B5108"/>
    <w:rsid w:val="085A597C"/>
    <w:rsid w:val="08CA4D40"/>
    <w:rsid w:val="08CE712C"/>
    <w:rsid w:val="092E5A1F"/>
    <w:rsid w:val="096263F3"/>
    <w:rsid w:val="09C734BC"/>
    <w:rsid w:val="09F11877"/>
    <w:rsid w:val="0A3D77B6"/>
    <w:rsid w:val="0A410B71"/>
    <w:rsid w:val="0AD55BDB"/>
    <w:rsid w:val="0AF9065C"/>
    <w:rsid w:val="0B0B20EE"/>
    <w:rsid w:val="0B0D5977"/>
    <w:rsid w:val="0B2B61F0"/>
    <w:rsid w:val="0BB66E60"/>
    <w:rsid w:val="0BD05785"/>
    <w:rsid w:val="0BD72A1B"/>
    <w:rsid w:val="0CC44A76"/>
    <w:rsid w:val="0CDF05FB"/>
    <w:rsid w:val="0CF32131"/>
    <w:rsid w:val="0D246716"/>
    <w:rsid w:val="0D695F2D"/>
    <w:rsid w:val="0D866770"/>
    <w:rsid w:val="0DF42A46"/>
    <w:rsid w:val="0EFE3962"/>
    <w:rsid w:val="0F780BDE"/>
    <w:rsid w:val="10D35274"/>
    <w:rsid w:val="10FB2A30"/>
    <w:rsid w:val="12323B34"/>
    <w:rsid w:val="12C04EF7"/>
    <w:rsid w:val="12DE1955"/>
    <w:rsid w:val="137F2A75"/>
    <w:rsid w:val="13EA1397"/>
    <w:rsid w:val="14325255"/>
    <w:rsid w:val="14416787"/>
    <w:rsid w:val="14A07DEB"/>
    <w:rsid w:val="14CC152C"/>
    <w:rsid w:val="14D20D58"/>
    <w:rsid w:val="15007F26"/>
    <w:rsid w:val="157C4A38"/>
    <w:rsid w:val="15AA3426"/>
    <w:rsid w:val="16CF64DF"/>
    <w:rsid w:val="16DD6613"/>
    <w:rsid w:val="177B10D7"/>
    <w:rsid w:val="17965003"/>
    <w:rsid w:val="179B14EA"/>
    <w:rsid w:val="17E87224"/>
    <w:rsid w:val="186F1BB1"/>
    <w:rsid w:val="19181CE0"/>
    <w:rsid w:val="19561D0A"/>
    <w:rsid w:val="19A8432B"/>
    <w:rsid w:val="19C3339C"/>
    <w:rsid w:val="1ADF40EF"/>
    <w:rsid w:val="1B285C16"/>
    <w:rsid w:val="1B5570CD"/>
    <w:rsid w:val="1BFF5641"/>
    <w:rsid w:val="1C2F41BD"/>
    <w:rsid w:val="1C2F44AC"/>
    <w:rsid w:val="1C450915"/>
    <w:rsid w:val="1C496B3E"/>
    <w:rsid w:val="1C920967"/>
    <w:rsid w:val="1CB16EA7"/>
    <w:rsid w:val="1CB41808"/>
    <w:rsid w:val="1CF7252D"/>
    <w:rsid w:val="1D152095"/>
    <w:rsid w:val="1D83680E"/>
    <w:rsid w:val="1DAA1912"/>
    <w:rsid w:val="1DAD1E1A"/>
    <w:rsid w:val="1DB032A7"/>
    <w:rsid w:val="1DD063F4"/>
    <w:rsid w:val="1ECA59DA"/>
    <w:rsid w:val="1ED10E45"/>
    <w:rsid w:val="1EFB774E"/>
    <w:rsid w:val="1EFF5BA5"/>
    <w:rsid w:val="1F9E73EF"/>
    <w:rsid w:val="1FDF2F0B"/>
    <w:rsid w:val="200073C8"/>
    <w:rsid w:val="205F4F19"/>
    <w:rsid w:val="210863E4"/>
    <w:rsid w:val="2159274F"/>
    <w:rsid w:val="21733A90"/>
    <w:rsid w:val="21990DE4"/>
    <w:rsid w:val="220463C4"/>
    <w:rsid w:val="22BB759A"/>
    <w:rsid w:val="22ED08FE"/>
    <w:rsid w:val="230E0FBD"/>
    <w:rsid w:val="232D5EDD"/>
    <w:rsid w:val="233F6600"/>
    <w:rsid w:val="24652D43"/>
    <w:rsid w:val="24A83395"/>
    <w:rsid w:val="25781670"/>
    <w:rsid w:val="25B763DF"/>
    <w:rsid w:val="25D8044F"/>
    <w:rsid w:val="2644273B"/>
    <w:rsid w:val="266F51E9"/>
    <w:rsid w:val="268A266E"/>
    <w:rsid w:val="2697540D"/>
    <w:rsid w:val="269C0547"/>
    <w:rsid w:val="26B4195C"/>
    <w:rsid w:val="26CD097A"/>
    <w:rsid w:val="270341D8"/>
    <w:rsid w:val="278B7F0D"/>
    <w:rsid w:val="27A70533"/>
    <w:rsid w:val="2849041A"/>
    <w:rsid w:val="287C47B6"/>
    <w:rsid w:val="28EB5BE6"/>
    <w:rsid w:val="29131CF4"/>
    <w:rsid w:val="29471D53"/>
    <w:rsid w:val="29653251"/>
    <w:rsid w:val="29FF65A7"/>
    <w:rsid w:val="2A113937"/>
    <w:rsid w:val="2A3145CE"/>
    <w:rsid w:val="2A764CA7"/>
    <w:rsid w:val="2A7900B7"/>
    <w:rsid w:val="2A9C3C23"/>
    <w:rsid w:val="2AA66A22"/>
    <w:rsid w:val="2ABC141D"/>
    <w:rsid w:val="2AFB31FD"/>
    <w:rsid w:val="2B9D5BD9"/>
    <w:rsid w:val="2BBB5710"/>
    <w:rsid w:val="2BDA4275"/>
    <w:rsid w:val="2C104C95"/>
    <w:rsid w:val="2C18460B"/>
    <w:rsid w:val="2C5E4728"/>
    <w:rsid w:val="2C6B0331"/>
    <w:rsid w:val="2C7E2067"/>
    <w:rsid w:val="2C880A98"/>
    <w:rsid w:val="2CA35285"/>
    <w:rsid w:val="2D066B2F"/>
    <w:rsid w:val="2D5145F4"/>
    <w:rsid w:val="2DB12C14"/>
    <w:rsid w:val="2DF97940"/>
    <w:rsid w:val="2E3808FE"/>
    <w:rsid w:val="2EA319BE"/>
    <w:rsid w:val="2EE5001B"/>
    <w:rsid w:val="2EF34CEF"/>
    <w:rsid w:val="2FCC6F2B"/>
    <w:rsid w:val="2FF818BA"/>
    <w:rsid w:val="30831EDB"/>
    <w:rsid w:val="31AF5EBD"/>
    <w:rsid w:val="31C82275"/>
    <w:rsid w:val="31C954BE"/>
    <w:rsid w:val="31DE7AF7"/>
    <w:rsid w:val="31F61EC7"/>
    <w:rsid w:val="32582F18"/>
    <w:rsid w:val="327D5603"/>
    <w:rsid w:val="330B1315"/>
    <w:rsid w:val="33772098"/>
    <w:rsid w:val="343A3597"/>
    <w:rsid w:val="344279F8"/>
    <w:rsid w:val="347D1130"/>
    <w:rsid w:val="349F4C36"/>
    <w:rsid w:val="34D268AA"/>
    <w:rsid w:val="35093AD2"/>
    <w:rsid w:val="35757FEA"/>
    <w:rsid w:val="357746C8"/>
    <w:rsid w:val="35EE7582"/>
    <w:rsid w:val="3630014C"/>
    <w:rsid w:val="36421C5E"/>
    <w:rsid w:val="365D472D"/>
    <w:rsid w:val="374747FF"/>
    <w:rsid w:val="38252804"/>
    <w:rsid w:val="383031A3"/>
    <w:rsid w:val="387A67F0"/>
    <w:rsid w:val="389A367F"/>
    <w:rsid w:val="38A71527"/>
    <w:rsid w:val="38B56CF1"/>
    <w:rsid w:val="391A6974"/>
    <w:rsid w:val="39216F0B"/>
    <w:rsid w:val="39432CC6"/>
    <w:rsid w:val="399E1B22"/>
    <w:rsid w:val="39E2094F"/>
    <w:rsid w:val="3A5647C5"/>
    <w:rsid w:val="3AE77111"/>
    <w:rsid w:val="3B0357CB"/>
    <w:rsid w:val="3B741DEC"/>
    <w:rsid w:val="3CE92C86"/>
    <w:rsid w:val="3CEB3829"/>
    <w:rsid w:val="3D537AB5"/>
    <w:rsid w:val="3DA15955"/>
    <w:rsid w:val="3DB84D61"/>
    <w:rsid w:val="3DC24049"/>
    <w:rsid w:val="3E1C0EA1"/>
    <w:rsid w:val="3E353CB1"/>
    <w:rsid w:val="3E58387A"/>
    <w:rsid w:val="3EF60DB9"/>
    <w:rsid w:val="3EFC67F1"/>
    <w:rsid w:val="3F24327A"/>
    <w:rsid w:val="3F3157C4"/>
    <w:rsid w:val="3F84412F"/>
    <w:rsid w:val="3FA04B4F"/>
    <w:rsid w:val="3FCC1CA9"/>
    <w:rsid w:val="403D034F"/>
    <w:rsid w:val="407758D9"/>
    <w:rsid w:val="40842452"/>
    <w:rsid w:val="417E3DFD"/>
    <w:rsid w:val="41AE2CC6"/>
    <w:rsid w:val="41D4245A"/>
    <w:rsid w:val="41DF7EED"/>
    <w:rsid w:val="42752395"/>
    <w:rsid w:val="42816D16"/>
    <w:rsid w:val="428D67FA"/>
    <w:rsid w:val="42B515A0"/>
    <w:rsid w:val="4375453A"/>
    <w:rsid w:val="43CD1C9B"/>
    <w:rsid w:val="4498100E"/>
    <w:rsid w:val="44AD1377"/>
    <w:rsid w:val="44C44C78"/>
    <w:rsid w:val="44CB7097"/>
    <w:rsid w:val="45505353"/>
    <w:rsid w:val="45C02C0F"/>
    <w:rsid w:val="45C2075D"/>
    <w:rsid w:val="45C6310B"/>
    <w:rsid w:val="469D26E0"/>
    <w:rsid w:val="46B53FC7"/>
    <w:rsid w:val="46DD309E"/>
    <w:rsid w:val="47211FD6"/>
    <w:rsid w:val="47E55455"/>
    <w:rsid w:val="486F3FC5"/>
    <w:rsid w:val="487B6BB2"/>
    <w:rsid w:val="48B54145"/>
    <w:rsid w:val="49142DB5"/>
    <w:rsid w:val="4A0C4CA2"/>
    <w:rsid w:val="4A50697F"/>
    <w:rsid w:val="4B563E5E"/>
    <w:rsid w:val="4B652DD0"/>
    <w:rsid w:val="4B936E0B"/>
    <w:rsid w:val="4CA613E5"/>
    <w:rsid w:val="4DA4401B"/>
    <w:rsid w:val="4E167B21"/>
    <w:rsid w:val="4E80479B"/>
    <w:rsid w:val="4E863B75"/>
    <w:rsid w:val="4EDF79FD"/>
    <w:rsid w:val="4F310589"/>
    <w:rsid w:val="4F650B39"/>
    <w:rsid w:val="4F68369C"/>
    <w:rsid w:val="4FA46F8C"/>
    <w:rsid w:val="4FCA1FE9"/>
    <w:rsid w:val="50362888"/>
    <w:rsid w:val="50CC5944"/>
    <w:rsid w:val="512104E1"/>
    <w:rsid w:val="51933951"/>
    <w:rsid w:val="51BF0C58"/>
    <w:rsid w:val="51F07DF3"/>
    <w:rsid w:val="520F2847"/>
    <w:rsid w:val="522966CC"/>
    <w:rsid w:val="52DF7CFC"/>
    <w:rsid w:val="53613E1E"/>
    <w:rsid w:val="53997DAD"/>
    <w:rsid w:val="53E24D6A"/>
    <w:rsid w:val="542D501A"/>
    <w:rsid w:val="54C00D8C"/>
    <w:rsid w:val="54C9363D"/>
    <w:rsid w:val="550903FE"/>
    <w:rsid w:val="553969A8"/>
    <w:rsid w:val="55806450"/>
    <w:rsid w:val="55896EA3"/>
    <w:rsid w:val="56E00C03"/>
    <w:rsid w:val="5710442E"/>
    <w:rsid w:val="57B301E6"/>
    <w:rsid w:val="57D24D6C"/>
    <w:rsid w:val="580C3AB9"/>
    <w:rsid w:val="58D57F26"/>
    <w:rsid w:val="58D966D5"/>
    <w:rsid w:val="592E6E01"/>
    <w:rsid w:val="59643CE3"/>
    <w:rsid w:val="59A76217"/>
    <w:rsid w:val="5A0C3D15"/>
    <w:rsid w:val="5A1755EB"/>
    <w:rsid w:val="5A2C5ACA"/>
    <w:rsid w:val="5A404EEA"/>
    <w:rsid w:val="5A866225"/>
    <w:rsid w:val="5AA55E48"/>
    <w:rsid w:val="5AD26767"/>
    <w:rsid w:val="5B1A3A34"/>
    <w:rsid w:val="5B3A46BA"/>
    <w:rsid w:val="5B707152"/>
    <w:rsid w:val="5B86536A"/>
    <w:rsid w:val="5B865931"/>
    <w:rsid w:val="5BBF346E"/>
    <w:rsid w:val="5C9E4A71"/>
    <w:rsid w:val="5CB62B78"/>
    <w:rsid w:val="5CBC19E6"/>
    <w:rsid w:val="5CE171DB"/>
    <w:rsid w:val="5D314F08"/>
    <w:rsid w:val="5DC75CE9"/>
    <w:rsid w:val="5DCB5A24"/>
    <w:rsid w:val="5EC56F4A"/>
    <w:rsid w:val="5F0B3181"/>
    <w:rsid w:val="5FB17E75"/>
    <w:rsid w:val="600E7D7F"/>
    <w:rsid w:val="602A7A00"/>
    <w:rsid w:val="60562CB4"/>
    <w:rsid w:val="609A1100"/>
    <w:rsid w:val="609D40DC"/>
    <w:rsid w:val="60E31C43"/>
    <w:rsid w:val="61451518"/>
    <w:rsid w:val="615C40FE"/>
    <w:rsid w:val="61694402"/>
    <w:rsid w:val="61867AEA"/>
    <w:rsid w:val="6245357D"/>
    <w:rsid w:val="627D4476"/>
    <w:rsid w:val="638A41D8"/>
    <w:rsid w:val="642E7D69"/>
    <w:rsid w:val="64717B12"/>
    <w:rsid w:val="650D71B4"/>
    <w:rsid w:val="651E3012"/>
    <w:rsid w:val="65222F25"/>
    <w:rsid w:val="654C690B"/>
    <w:rsid w:val="6593460D"/>
    <w:rsid w:val="65B07CAB"/>
    <w:rsid w:val="662049BF"/>
    <w:rsid w:val="66552F56"/>
    <w:rsid w:val="66772135"/>
    <w:rsid w:val="678E68F1"/>
    <w:rsid w:val="67DA610B"/>
    <w:rsid w:val="67F35B96"/>
    <w:rsid w:val="67F412A5"/>
    <w:rsid w:val="68727B58"/>
    <w:rsid w:val="68E002FA"/>
    <w:rsid w:val="690506BB"/>
    <w:rsid w:val="6939745B"/>
    <w:rsid w:val="69507554"/>
    <w:rsid w:val="69B6432B"/>
    <w:rsid w:val="69D75C18"/>
    <w:rsid w:val="6A211646"/>
    <w:rsid w:val="6AE729C9"/>
    <w:rsid w:val="6B421303"/>
    <w:rsid w:val="6B8D241A"/>
    <w:rsid w:val="6BA94883"/>
    <w:rsid w:val="6BAA36D2"/>
    <w:rsid w:val="6CA1139C"/>
    <w:rsid w:val="6D715C60"/>
    <w:rsid w:val="6D9F1B3D"/>
    <w:rsid w:val="6DAF10C5"/>
    <w:rsid w:val="6DFE58CC"/>
    <w:rsid w:val="6E1178AE"/>
    <w:rsid w:val="6E532830"/>
    <w:rsid w:val="6E77696A"/>
    <w:rsid w:val="6E8C532A"/>
    <w:rsid w:val="6EF2047E"/>
    <w:rsid w:val="70004E54"/>
    <w:rsid w:val="70744712"/>
    <w:rsid w:val="708D10CB"/>
    <w:rsid w:val="70B929A6"/>
    <w:rsid w:val="70DA4DB3"/>
    <w:rsid w:val="71044A65"/>
    <w:rsid w:val="713F25B3"/>
    <w:rsid w:val="717156A2"/>
    <w:rsid w:val="71AD5EB4"/>
    <w:rsid w:val="71D165FE"/>
    <w:rsid w:val="72286D24"/>
    <w:rsid w:val="72B22AC8"/>
    <w:rsid w:val="73AD4DF1"/>
    <w:rsid w:val="741A38B2"/>
    <w:rsid w:val="741A79C5"/>
    <w:rsid w:val="742D0BE7"/>
    <w:rsid w:val="74875418"/>
    <w:rsid w:val="74D1006B"/>
    <w:rsid w:val="75C622B9"/>
    <w:rsid w:val="763268A3"/>
    <w:rsid w:val="768A0F97"/>
    <w:rsid w:val="77D04F4E"/>
    <w:rsid w:val="77DB3BB7"/>
    <w:rsid w:val="77FD4383"/>
    <w:rsid w:val="780037E6"/>
    <w:rsid w:val="786E1DA7"/>
    <w:rsid w:val="78A25A5A"/>
    <w:rsid w:val="78B54634"/>
    <w:rsid w:val="78C27B3D"/>
    <w:rsid w:val="78F84909"/>
    <w:rsid w:val="792F31E4"/>
    <w:rsid w:val="794E73A1"/>
    <w:rsid w:val="79545ECE"/>
    <w:rsid w:val="796C70F9"/>
    <w:rsid w:val="7A0B48EB"/>
    <w:rsid w:val="7A2465E9"/>
    <w:rsid w:val="7A2776A8"/>
    <w:rsid w:val="7A753EE5"/>
    <w:rsid w:val="7A8814E0"/>
    <w:rsid w:val="7AB42E1C"/>
    <w:rsid w:val="7AD36E80"/>
    <w:rsid w:val="7B1651CC"/>
    <w:rsid w:val="7BBD29F6"/>
    <w:rsid w:val="7C845933"/>
    <w:rsid w:val="7C9C6BAC"/>
    <w:rsid w:val="7CC90593"/>
    <w:rsid w:val="7D350F3E"/>
    <w:rsid w:val="7DBD62AE"/>
    <w:rsid w:val="7E372686"/>
    <w:rsid w:val="7EF229F2"/>
    <w:rsid w:val="7FC5148D"/>
    <w:rsid w:val="7FD93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50" w:hanging="50" w:hangingChars="5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0"/>
    <w:pPr>
      <w:keepNext/>
      <w:keepLines/>
      <w:spacing w:before="100" w:beforeLines="100" w:after="100" w:afterLines="100" w:line="360" w:lineRule="auto"/>
      <w:ind w:left="0" w:firstLine="0" w:firstLineChars="0"/>
      <w:jc w:val="center"/>
      <w:outlineLvl w:val="0"/>
    </w:pPr>
    <w:rPr>
      <w:rFonts w:ascii="Times New Roman" w:hAnsi="Times New Roman"/>
      <w:b/>
      <w:bCs/>
      <w:kern w:val="44"/>
      <w:sz w:val="36"/>
      <w:szCs w:val="44"/>
      <w:lang w:val="zh-CN"/>
    </w:rPr>
  </w:style>
  <w:style w:type="paragraph" w:styleId="3">
    <w:name w:val="heading 2"/>
    <w:basedOn w:val="1"/>
    <w:next w:val="1"/>
    <w:link w:val="51"/>
    <w:qFormat/>
    <w:uiPriority w:val="0"/>
    <w:pPr>
      <w:keepNext/>
      <w:keepLines/>
      <w:spacing w:before="100" w:beforeLines="100" w:after="100" w:afterLines="100"/>
      <w:ind w:left="0" w:firstLine="0" w:firstLineChars="0"/>
      <w:jc w:val="center"/>
      <w:outlineLvl w:val="1"/>
    </w:pPr>
    <w:rPr>
      <w:rFonts w:ascii="Times New Roman" w:hAnsi="Times New Roman"/>
      <w:b/>
      <w:bCs/>
      <w:sz w:val="32"/>
      <w:szCs w:val="32"/>
      <w:lang w:val="zh-CN"/>
    </w:rPr>
  </w:style>
  <w:style w:type="paragraph" w:styleId="4">
    <w:name w:val="heading 3"/>
    <w:basedOn w:val="1"/>
    <w:next w:val="1"/>
    <w:link w:val="52"/>
    <w:qFormat/>
    <w:uiPriority w:val="0"/>
    <w:pPr>
      <w:keepNext/>
      <w:keepLines/>
      <w:spacing w:before="260" w:after="260" w:line="416" w:lineRule="auto"/>
      <w:outlineLvl w:val="2"/>
    </w:pPr>
    <w:rPr>
      <w:b/>
      <w:bCs/>
      <w:kern w:val="0"/>
      <w:sz w:val="32"/>
      <w:szCs w:val="32"/>
      <w:lang w:val="zh-CN"/>
    </w:rPr>
  </w:style>
  <w:style w:type="paragraph" w:styleId="5">
    <w:name w:val="heading 4"/>
    <w:basedOn w:val="1"/>
    <w:next w:val="1"/>
    <w:link w:val="53"/>
    <w:qFormat/>
    <w:uiPriority w:val="1"/>
    <w:pPr>
      <w:autoSpaceDE w:val="0"/>
      <w:autoSpaceDN w:val="0"/>
      <w:ind w:left="2296" w:firstLine="0" w:firstLineChars="0"/>
      <w:jc w:val="left"/>
      <w:outlineLvl w:val="3"/>
    </w:pPr>
    <w:rPr>
      <w:rFonts w:ascii="PMingLiU" w:hAnsi="PMingLiU" w:eastAsia="PMingLiU" w:cs="PMingLiU"/>
      <w:kern w:val="0"/>
      <w:sz w:val="28"/>
      <w:szCs w:val="28"/>
      <w:lang w:eastAsia="en-US"/>
    </w:rPr>
  </w:style>
  <w:style w:type="paragraph" w:styleId="6">
    <w:name w:val="heading 5"/>
    <w:basedOn w:val="1"/>
    <w:next w:val="1"/>
    <w:link w:val="54"/>
    <w:qFormat/>
    <w:uiPriority w:val="0"/>
    <w:pPr>
      <w:autoSpaceDE w:val="0"/>
      <w:autoSpaceDN w:val="0"/>
      <w:ind w:left="215" w:firstLine="0" w:firstLineChars="0"/>
      <w:jc w:val="left"/>
      <w:outlineLvl w:val="4"/>
    </w:pPr>
    <w:rPr>
      <w:rFonts w:ascii="宋体" w:hAnsi="宋体" w:cs="宋体"/>
      <w:kern w:val="0"/>
      <w:sz w:val="24"/>
      <w:szCs w:val="24"/>
      <w:lang w:eastAsia="en-US"/>
    </w:rPr>
  </w:style>
  <w:style w:type="paragraph" w:styleId="7">
    <w:name w:val="heading 6"/>
    <w:basedOn w:val="1"/>
    <w:next w:val="1"/>
    <w:link w:val="55"/>
    <w:qFormat/>
    <w:uiPriority w:val="0"/>
    <w:pPr>
      <w:autoSpaceDE w:val="0"/>
      <w:autoSpaceDN w:val="0"/>
      <w:spacing w:line="269" w:lineRule="exact"/>
      <w:ind w:left="847" w:hanging="631" w:firstLineChars="0"/>
      <w:jc w:val="left"/>
      <w:outlineLvl w:val="5"/>
    </w:pPr>
    <w:rPr>
      <w:rFonts w:ascii="Times New Roman" w:hAnsi="Times New Roman" w:eastAsia="Times New Roman"/>
      <w:b/>
      <w:bCs/>
      <w:kern w:val="0"/>
      <w:szCs w:val="21"/>
      <w:lang w:eastAsia="en-US"/>
    </w:rPr>
  </w:style>
  <w:style w:type="paragraph" w:styleId="8">
    <w:name w:val="heading 7"/>
    <w:basedOn w:val="1"/>
    <w:next w:val="9"/>
    <w:link w:val="56"/>
    <w:qFormat/>
    <w:uiPriority w:val="0"/>
    <w:pPr>
      <w:keepNext/>
      <w:keepLines/>
      <w:spacing w:before="240" w:after="64" w:line="320" w:lineRule="auto"/>
      <w:ind w:left="0" w:firstLine="0" w:firstLineChars="0"/>
      <w:outlineLvl w:val="6"/>
    </w:pPr>
    <w:rPr>
      <w:rFonts w:ascii="楷体_GB2312" w:hAnsi="Plotter" w:eastAsia="楷体_GB2312"/>
      <w:b/>
      <w:kern w:val="0"/>
      <w:sz w:val="24"/>
      <w:szCs w:val="20"/>
    </w:rPr>
  </w:style>
  <w:style w:type="paragraph" w:styleId="10">
    <w:name w:val="heading 8"/>
    <w:basedOn w:val="1"/>
    <w:next w:val="9"/>
    <w:link w:val="57"/>
    <w:qFormat/>
    <w:uiPriority w:val="0"/>
    <w:pPr>
      <w:keepNext/>
      <w:keepLines/>
      <w:spacing w:before="240" w:after="64" w:line="320" w:lineRule="auto"/>
      <w:ind w:left="0" w:firstLine="0" w:firstLineChars="0"/>
      <w:outlineLvl w:val="7"/>
    </w:pPr>
    <w:rPr>
      <w:rFonts w:ascii="Arial" w:hAnsi="Arial" w:eastAsia="黑体"/>
      <w:kern w:val="0"/>
      <w:sz w:val="24"/>
      <w:szCs w:val="20"/>
    </w:rPr>
  </w:style>
  <w:style w:type="paragraph" w:styleId="11">
    <w:name w:val="heading 9"/>
    <w:basedOn w:val="1"/>
    <w:next w:val="9"/>
    <w:link w:val="58"/>
    <w:qFormat/>
    <w:uiPriority w:val="0"/>
    <w:pPr>
      <w:keepNext/>
      <w:keepLines/>
      <w:spacing w:before="240" w:after="64" w:line="320" w:lineRule="auto"/>
      <w:ind w:left="0" w:firstLine="0" w:firstLineChars="0"/>
      <w:outlineLvl w:val="8"/>
    </w:pPr>
    <w:rPr>
      <w:rFonts w:ascii="Arial" w:hAnsi="Arial" w:eastAsia="黑体"/>
      <w:kern w:val="0"/>
      <w:szCs w:val="20"/>
    </w:rPr>
  </w:style>
  <w:style w:type="character" w:default="1" w:styleId="43">
    <w:name w:val="Default Paragraph Font"/>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spacing w:line="360" w:lineRule="auto"/>
      <w:ind w:left="0" w:firstLine="360" w:firstLineChars="150"/>
      <w:jc w:val="center"/>
    </w:pPr>
    <w:rPr>
      <w:rFonts w:ascii="宋体" w:hAnsi="宋体"/>
      <w:sz w:val="24"/>
      <w:szCs w:val="24"/>
    </w:rPr>
  </w:style>
  <w:style w:type="paragraph" w:styleId="12">
    <w:name w:val="toc 7"/>
    <w:basedOn w:val="1"/>
    <w:next w:val="1"/>
    <w:qFormat/>
    <w:uiPriority w:val="39"/>
    <w:pPr>
      <w:spacing w:line="360" w:lineRule="auto"/>
      <w:ind w:left="2520" w:leftChars="1200" w:firstLine="0" w:firstLineChars="0"/>
    </w:pPr>
    <w:rPr>
      <w:rFonts w:ascii="Times New Roman" w:hAnsi="Times New Roman"/>
      <w:szCs w:val="24"/>
    </w:rPr>
  </w:style>
  <w:style w:type="paragraph" w:styleId="13">
    <w:name w:val="Document Map"/>
    <w:basedOn w:val="1"/>
    <w:link w:val="59"/>
    <w:unhideWhenUsed/>
    <w:qFormat/>
    <w:uiPriority w:val="0"/>
    <w:rPr>
      <w:rFonts w:ascii="宋体"/>
      <w:kern w:val="0"/>
      <w:sz w:val="18"/>
      <w:szCs w:val="18"/>
      <w:lang w:val="zh-CN"/>
    </w:rPr>
  </w:style>
  <w:style w:type="paragraph" w:styleId="14">
    <w:name w:val="annotation text"/>
    <w:basedOn w:val="1"/>
    <w:link w:val="60"/>
    <w:unhideWhenUsed/>
    <w:qFormat/>
    <w:uiPriority w:val="99"/>
    <w:pPr>
      <w:jc w:val="left"/>
    </w:pPr>
  </w:style>
  <w:style w:type="paragraph" w:styleId="15">
    <w:name w:val="Body Text 3"/>
    <w:basedOn w:val="1"/>
    <w:link w:val="61"/>
    <w:qFormat/>
    <w:uiPriority w:val="0"/>
    <w:pPr>
      <w:ind w:left="0" w:firstLine="0" w:firstLineChars="0"/>
    </w:pPr>
    <w:rPr>
      <w:rFonts w:ascii="Times New Roman" w:hAnsi="Times New Roman"/>
      <w:color w:val="FF0000"/>
      <w:sz w:val="15"/>
      <w:szCs w:val="24"/>
    </w:rPr>
  </w:style>
  <w:style w:type="paragraph" w:styleId="16">
    <w:name w:val="Body Text"/>
    <w:basedOn w:val="1"/>
    <w:link w:val="62"/>
    <w:qFormat/>
    <w:uiPriority w:val="0"/>
    <w:pPr>
      <w:spacing w:after="120" w:line="360" w:lineRule="auto"/>
      <w:ind w:left="0" w:firstLine="0" w:firstLineChars="0"/>
    </w:pPr>
  </w:style>
  <w:style w:type="paragraph" w:styleId="17">
    <w:name w:val="Body Text Indent"/>
    <w:basedOn w:val="1"/>
    <w:link w:val="63"/>
    <w:qFormat/>
    <w:uiPriority w:val="0"/>
    <w:pPr>
      <w:spacing w:line="360" w:lineRule="auto"/>
      <w:ind w:left="0" w:firstLine="420" w:firstLineChars="200"/>
    </w:pPr>
    <w:rPr>
      <w:rFonts w:eastAsia="楷体_GB2312"/>
      <w:kern w:val="0"/>
      <w:sz w:val="20"/>
      <w:szCs w:val="20"/>
    </w:rPr>
  </w:style>
  <w:style w:type="paragraph" w:styleId="18">
    <w:name w:val="Block Text"/>
    <w:basedOn w:val="1"/>
    <w:qFormat/>
    <w:uiPriority w:val="0"/>
    <w:pPr>
      <w:ind w:left="-42" w:right="-42" w:firstLine="0" w:firstLineChars="0"/>
    </w:pPr>
    <w:rPr>
      <w:rFonts w:ascii="Times New Roman" w:hAnsi="Times New Roman"/>
      <w:sz w:val="18"/>
      <w:szCs w:val="24"/>
    </w:rPr>
  </w:style>
  <w:style w:type="paragraph" w:styleId="19">
    <w:name w:val="toc 5"/>
    <w:basedOn w:val="1"/>
    <w:next w:val="1"/>
    <w:qFormat/>
    <w:uiPriority w:val="39"/>
    <w:pPr>
      <w:spacing w:line="360" w:lineRule="auto"/>
      <w:ind w:left="1680" w:leftChars="800" w:firstLine="0" w:firstLineChars="0"/>
    </w:pPr>
    <w:rPr>
      <w:rFonts w:ascii="Times New Roman" w:hAnsi="Times New Roman"/>
      <w:szCs w:val="24"/>
    </w:rPr>
  </w:style>
  <w:style w:type="paragraph" w:styleId="20">
    <w:name w:val="toc 3"/>
    <w:basedOn w:val="1"/>
    <w:next w:val="1"/>
    <w:qFormat/>
    <w:uiPriority w:val="39"/>
    <w:pPr>
      <w:spacing w:line="360" w:lineRule="auto"/>
      <w:ind w:left="840" w:leftChars="400" w:firstLine="0" w:firstLineChars="0"/>
    </w:pPr>
    <w:rPr>
      <w:rFonts w:ascii="Times New Roman" w:hAnsi="Times New Roman"/>
      <w:szCs w:val="24"/>
    </w:rPr>
  </w:style>
  <w:style w:type="paragraph" w:styleId="21">
    <w:name w:val="Plain Text"/>
    <w:basedOn w:val="1"/>
    <w:link w:val="64"/>
    <w:qFormat/>
    <w:uiPriority w:val="99"/>
    <w:pPr>
      <w:spacing w:line="360" w:lineRule="auto"/>
    </w:pPr>
    <w:rPr>
      <w:rFonts w:ascii="宋体" w:hAnsi="Courier New"/>
      <w:kern w:val="0"/>
      <w:sz w:val="20"/>
      <w:szCs w:val="21"/>
      <w:lang w:val="zh-CN"/>
    </w:rPr>
  </w:style>
  <w:style w:type="paragraph" w:styleId="22">
    <w:name w:val="toc 8"/>
    <w:basedOn w:val="1"/>
    <w:next w:val="1"/>
    <w:qFormat/>
    <w:uiPriority w:val="39"/>
    <w:pPr>
      <w:spacing w:line="360" w:lineRule="auto"/>
      <w:ind w:left="2940" w:leftChars="1400" w:firstLine="0" w:firstLineChars="0"/>
    </w:pPr>
    <w:rPr>
      <w:rFonts w:ascii="Times New Roman" w:hAnsi="Times New Roman"/>
      <w:szCs w:val="24"/>
    </w:rPr>
  </w:style>
  <w:style w:type="paragraph" w:styleId="23">
    <w:name w:val="Date"/>
    <w:basedOn w:val="1"/>
    <w:next w:val="1"/>
    <w:link w:val="65"/>
    <w:unhideWhenUsed/>
    <w:qFormat/>
    <w:uiPriority w:val="0"/>
    <w:pPr>
      <w:ind w:left="100" w:leftChars="2500"/>
    </w:pPr>
  </w:style>
  <w:style w:type="paragraph" w:styleId="24">
    <w:name w:val="Body Text Indent 2"/>
    <w:basedOn w:val="1"/>
    <w:link w:val="66"/>
    <w:qFormat/>
    <w:uiPriority w:val="0"/>
    <w:pPr>
      <w:spacing w:after="120" w:line="480" w:lineRule="auto"/>
      <w:ind w:left="420" w:leftChars="200" w:firstLine="0" w:firstLineChars="0"/>
    </w:pPr>
  </w:style>
  <w:style w:type="paragraph" w:styleId="25">
    <w:name w:val="Balloon Text"/>
    <w:basedOn w:val="1"/>
    <w:link w:val="67"/>
    <w:unhideWhenUsed/>
    <w:qFormat/>
    <w:uiPriority w:val="99"/>
    <w:rPr>
      <w:kern w:val="0"/>
      <w:sz w:val="18"/>
      <w:szCs w:val="18"/>
      <w:lang w:val="zh-CN"/>
    </w:rPr>
  </w:style>
  <w:style w:type="paragraph" w:styleId="26">
    <w:name w:val="footer"/>
    <w:basedOn w:val="1"/>
    <w:link w:val="68"/>
    <w:unhideWhenUsed/>
    <w:qFormat/>
    <w:uiPriority w:val="99"/>
    <w:pPr>
      <w:tabs>
        <w:tab w:val="center" w:pos="4153"/>
        <w:tab w:val="right" w:pos="8306"/>
      </w:tabs>
      <w:snapToGrid w:val="0"/>
      <w:jc w:val="left"/>
    </w:pPr>
    <w:rPr>
      <w:kern w:val="0"/>
      <w:sz w:val="18"/>
      <w:szCs w:val="18"/>
      <w:lang w:val="zh-CN"/>
    </w:rPr>
  </w:style>
  <w:style w:type="paragraph" w:styleId="27">
    <w:name w:val="header"/>
    <w:basedOn w:val="1"/>
    <w:link w:val="69"/>
    <w:unhideWhenUsed/>
    <w:qFormat/>
    <w:uiPriority w:val="0"/>
    <w:pPr>
      <w:pBdr>
        <w:bottom w:val="single" w:color="auto" w:sz="6" w:space="1"/>
      </w:pBdr>
      <w:tabs>
        <w:tab w:val="center" w:pos="4153"/>
        <w:tab w:val="right" w:pos="8306"/>
      </w:tabs>
      <w:snapToGrid w:val="0"/>
      <w:jc w:val="center"/>
    </w:pPr>
    <w:rPr>
      <w:kern w:val="0"/>
      <w:sz w:val="18"/>
      <w:szCs w:val="18"/>
      <w:lang w:val="zh-CN"/>
    </w:rPr>
  </w:style>
  <w:style w:type="paragraph" w:styleId="28">
    <w:name w:val="toc 1"/>
    <w:basedOn w:val="1"/>
    <w:next w:val="1"/>
    <w:qFormat/>
    <w:uiPriority w:val="39"/>
    <w:pPr>
      <w:tabs>
        <w:tab w:val="right" w:leader="dot" w:pos="8296"/>
      </w:tabs>
      <w:snapToGrid w:val="0"/>
      <w:spacing w:line="400" w:lineRule="exact"/>
      <w:ind w:left="0" w:hanging="51" w:firstLineChars="0"/>
    </w:pPr>
    <w:rPr>
      <w:rFonts w:ascii="黑体" w:hAnsi="黑体"/>
      <w:sz w:val="24"/>
      <w:szCs w:val="24"/>
    </w:rPr>
  </w:style>
  <w:style w:type="paragraph" w:styleId="29">
    <w:name w:val="toc 4"/>
    <w:basedOn w:val="1"/>
    <w:next w:val="1"/>
    <w:qFormat/>
    <w:uiPriority w:val="39"/>
    <w:pPr>
      <w:spacing w:line="360" w:lineRule="auto"/>
      <w:ind w:left="1260" w:leftChars="600" w:firstLine="0" w:firstLineChars="0"/>
    </w:pPr>
    <w:rPr>
      <w:rFonts w:ascii="Times New Roman" w:hAnsi="Times New Roman"/>
      <w:szCs w:val="24"/>
    </w:rPr>
  </w:style>
  <w:style w:type="paragraph" w:styleId="30">
    <w:name w:val="Subtitle"/>
    <w:basedOn w:val="1"/>
    <w:next w:val="1"/>
    <w:link w:val="70"/>
    <w:qFormat/>
    <w:uiPriority w:val="11"/>
    <w:pPr>
      <w:spacing w:before="240" w:after="60" w:line="312" w:lineRule="auto"/>
      <w:jc w:val="center"/>
      <w:outlineLvl w:val="1"/>
    </w:pPr>
    <w:rPr>
      <w:rFonts w:ascii="Cambria" w:hAnsi="Cambria"/>
      <w:b/>
      <w:bCs/>
      <w:kern w:val="28"/>
      <w:sz w:val="32"/>
      <w:szCs w:val="32"/>
      <w:lang w:val="zh-CN"/>
    </w:rPr>
  </w:style>
  <w:style w:type="paragraph" w:styleId="31">
    <w:name w:val="toc 6"/>
    <w:basedOn w:val="1"/>
    <w:next w:val="1"/>
    <w:qFormat/>
    <w:uiPriority w:val="39"/>
    <w:pPr>
      <w:spacing w:line="360" w:lineRule="auto"/>
      <w:ind w:left="2100" w:leftChars="1000" w:firstLine="0" w:firstLineChars="0"/>
    </w:pPr>
    <w:rPr>
      <w:rFonts w:ascii="Times New Roman" w:hAnsi="Times New Roman"/>
      <w:szCs w:val="24"/>
    </w:rPr>
  </w:style>
  <w:style w:type="paragraph" w:styleId="32">
    <w:name w:val="Body Text Indent 3"/>
    <w:basedOn w:val="1"/>
    <w:link w:val="71"/>
    <w:qFormat/>
    <w:uiPriority w:val="0"/>
    <w:pPr>
      <w:spacing w:line="300" w:lineRule="auto"/>
      <w:ind w:left="0" w:firstLine="435" w:firstLineChars="0"/>
    </w:pPr>
    <w:rPr>
      <w:kern w:val="0"/>
      <w:sz w:val="16"/>
      <w:szCs w:val="16"/>
      <w:lang w:val="zh-CN"/>
    </w:rPr>
  </w:style>
  <w:style w:type="paragraph" w:styleId="33">
    <w:name w:val="toc 2"/>
    <w:basedOn w:val="1"/>
    <w:next w:val="1"/>
    <w:qFormat/>
    <w:uiPriority w:val="39"/>
    <w:pPr>
      <w:spacing w:line="360" w:lineRule="auto"/>
      <w:ind w:left="210"/>
    </w:pPr>
    <w:rPr>
      <w:rFonts w:ascii="Times New Roman" w:hAnsi="Times New Roman"/>
      <w:smallCaps/>
      <w:sz w:val="24"/>
      <w:szCs w:val="20"/>
    </w:rPr>
  </w:style>
  <w:style w:type="paragraph" w:styleId="34">
    <w:name w:val="toc 9"/>
    <w:basedOn w:val="1"/>
    <w:next w:val="1"/>
    <w:qFormat/>
    <w:uiPriority w:val="39"/>
    <w:pPr>
      <w:spacing w:line="360" w:lineRule="auto"/>
      <w:ind w:left="3360" w:leftChars="1600" w:firstLine="0" w:firstLineChars="0"/>
    </w:pPr>
    <w:rPr>
      <w:rFonts w:ascii="Times New Roman" w:hAnsi="Times New Roman"/>
      <w:szCs w:val="20"/>
    </w:rPr>
  </w:style>
  <w:style w:type="paragraph" w:styleId="35">
    <w:name w:val="Body Text 2"/>
    <w:basedOn w:val="1"/>
    <w:link w:val="72"/>
    <w:qFormat/>
    <w:uiPriority w:val="0"/>
    <w:pPr>
      <w:ind w:left="0" w:firstLine="0" w:firstLineChars="0"/>
    </w:pPr>
    <w:rPr>
      <w:rFonts w:ascii="Times New Roman" w:hAnsi="Times New Roman"/>
      <w:sz w:val="15"/>
      <w:szCs w:val="24"/>
    </w:rPr>
  </w:style>
  <w:style w:type="paragraph" w:styleId="36">
    <w:name w:val="HTML Preformatted"/>
    <w:basedOn w:val="1"/>
    <w:link w:val="7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firstLineChars="0"/>
      <w:jc w:val="left"/>
    </w:pPr>
    <w:rPr>
      <w:rFonts w:ascii="Courier New" w:hAnsi="Courier New"/>
      <w:kern w:val="0"/>
      <w:sz w:val="20"/>
      <w:szCs w:val="20"/>
      <w:lang w:val="zh-CN"/>
    </w:rPr>
  </w:style>
  <w:style w:type="paragraph" w:styleId="37">
    <w:name w:val="Normal (Web)"/>
    <w:basedOn w:val="1"/>
    <w:qFormat/>
    <w:uiPriority w:val="0"/>
    <w:pPr>
      <w:widowControl/>
      <w:spacing w:before="100" w:beforeAutospacing="1" w:after="100" w:afterAutospacing="1" w:line="314" w:lineRule="atLeast"/>
      <w:ind w:left="0" w:firstLine="0" w:firstLineChars="0"/>
      <w:jc w:val="left"/>
    </w:pPr>
    <w:rPr>
      <w:rFonts w:ascii="宋体" w:hAnsi="宋体" w:cs="宋体"/>
      <w:kern w:val="0"/>
      <w:sz w:val="22"/>
    </w:rPr>
  </w:style>
  <w:style w:type="paragraph" w:styleId="38">
    <w:name w:val="Title"/>
    <w:basedOn w:val="1"/>
    <w:next w:val="1"/>
    <w:link w:val="74"/>
    <w:qFormat/>
    <w:uiPriority w:val="0"/>
    <w:pPr>
      <w:spacing w:before="240" w:after="60"/>
      <w:jc w:val="center"/>
      <w:outlineLvl w:val="0"/>
    </w:pPr>
    <w:rPr>
      <w:rFonts w:ascii="黑体" w:hAnsi="黑体"/>
      <w:b/>
      <w:bCs/>
      <w:sz w:val="36"/>
      <w:szCs w:val="32"/>
      <w:lang w:val="zh-CN"/>
    </w:rPr>
  </w:style>
  <w:style w:type="paragraph" w:styleId="39">
    <w:name w:val="annotation subject"/>
    <w:basedOn w:val="14"/>
    <w:next w:val="14"/>
    <w:link w:val="75"/>
    <w:unhideWhenUsed/>
    <w:qFormat/>
    <w:uiPriority w:val="99"/>
    <w:rPr>
      <w:b/>
      <w:bCs/>
      <w:kern w:val="0"/>
      <w:sz w:val="20"/>
      <w:szCs w:val="20"/>
      <w:lang w:val="zh-CN"/>
    </w:rPr>
  </w:style>
  <w:style w:type="paragraph" w:styleId="40">
    <w:name w:val="Body Text First Indent"/>
    <w:basedOn w:val="16"/>
    <w:link w:val="76"/>
    <w:qFormat/>
    <w:uiPriority w:val="0"/>
    <w:pPr>
      <w:ind w:firstLine="420" w:firstLineChars="100"/>
    </w:pPr>
  </w:style>
  <w:style w:type="table" w:styleId="42">
    <w:name w:val="Table Grid"/>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rPr>
  </w:style>
  <w:style w:type="character" w:styleId="45">
    <w:name w:val="page number"/>
    <w:basedOn w:val="43"/>
    <w:qFormat/>
    <w:uiPriority w:val="0"/>
  </w:style>
  <w:style w:type="character" w:styleId="46">
    <w:name w:val="FollowedHyperlink"/>
    <w:basedOn w:val="43"/>
    <w:semiHidden/>
    <w:unhideWhenUsed/>
    <w:qFormat/>
    <w:uiPriority w:val="99"/>
    <w:rPr>
      <w:color w:val="800080"/>
      <w:u w:val="single"/>
    </w:rPr>
  </w:style>
  <w:style w:type="character" w:styleId="47">
    <w:name w:val="Emphasis"/>
    <w:qFormat/>
    <w:uiPriority w:val="20"/>
    <w:rPr>
      <w:i/>
      <w:iCs/>
    </w:rPr>
  </w:style>
  <w:style w:type="character" w:styleId="48">
    <w:name w:val="Hyperlink"/>
    <w:qFormat/>
    <w:uiPriority w:val="99"/>
    <w:rPr>
      <w:color w:val="0000FF"/>
      <w:u w:val="single"/>
    </w:rPr>
  </w:style>
  <w:style w:type="character" w:styleId="49">
    <w:name w:val="annotation reference"/>
    <w:unhideWhenUsed/>
    <w:qFormat/>
    <w:uiPriority w:val="99"/>
    <w:rPr>
      <w:sz w:val="21"/>
      <w:szCs w:val="21"/>
    </w:rPr>
  </w:style>
  <w:style w:type="character" w:customStyle="1" w:styleId="50">
    <w:name w:val="标题 1 字符"/>
    <w:link w:val="2"/>
    <w:qFormat/>
    <w:uiPriority w:val="1"/>
    <w:rPr>
      <w:rFonts w:ascii="Times New Roman" w:hAnsi="Times New Roman"/>
      <w:b/>
      <w:bCs/>
      <w:kern w:val="44"/>
      <w:sz w:val="36"/>
      <w:szCs w:val="44"/>
    </w:rPr>
  </w:style>
  <w:style w:type="character" w:customStyle="1" w:styleId="51">
    <w:name w:val="标题 2 字符"/>
    <w:link w:val="3"/>
    <w:qFormat/>
    <w:uiPriority w:val="1"/>
    <w:rPr>
      <w:rFonts w:ascii="Times New Roman" w:hAnsi="Times New Roman"/>
      <w:b/>
      <w:bCs/>
      <w:kern w:val="2"/>
      <w:sz w:val="32"/>
      <w:szCs w:val="32"/>
    </w:rPr>
  </w:style>
  <w:style w:type="character" w:customStyle="1" w:styleId="52">
    <w:name w:val="标题 3 字符"/>
    <w:link w:val="4"/>
    <w:qFormat/>
    <w:uiPriority w:val="1"/>
    <w:rPr>
      <w:b/>
      <w:bCs/>
      <w:sz w:val="32"/>
      <w:szCs w:val="32"/>
    </w:rPr>
  </w:style>
  <w:style w:type="character" w:customStyle="1" w:styleId="53">
    <w:name w:val="标题 4 字符"/>
    <w:basedOn w:val="43"/>
    <w:link w:val="5"/>
    <w:qFormat/>
    <w:uiPriority w:val="1"/>
    <w:rPr>
      <w:rFonts w:ascii="PMingLiU" w:hAnsi="PMingLiU" w:eastAsia="PMingLiU" w:cs="PMingLiU"/>
      <w:sz w:val="28"/>
      <w:szCs w:val="28"/>
      <w:lang w:eastAsia="en-US"/>
    </w:rPr>
  </w:style>
  <w:style w:type="character" w:customStyle="1" w:styleId="54">
    <w:name w:val="标题 5 字符"/>
    <w:basedOn w:val="43"/>
    <w:link w:val="6"/>
    <w:qFormat/>
    <w:uiPriority w:val="1"/>
    <w:rPr>
      <w:rFonts w:ascii="宋体" w:hAnsi="宋体" w:cs="宋体"/>
      <w:sz w:val="24"/>
      <w:szCs w:val="24"/>
      <w:lang w:eastAsia="en-US"/>
    </w:rPr>
  </w:style>
  <w:style w:type="character" w:customStyle="1" w:styleId="55">
    <w:name w:val="标题 6 字符"/>
    <w:basedOn w:val="43"/>
    <w:link w:val="7"/>
    <w:qFormat/>
    <w:uiPriority w:val="1"/>
    <w:rPr>
      <w:rFonts w:ascii="Times New Roman" w:hAnsi="Times New Roman" w:eastAsia="Times New Roman"/>
      <w:b/>
      <w:bCs/>
      <w:sz w:val="21"/>
      <w:szCs w:val="21"/>
      <w:lang w:eastAsia="en-US"/>
    </w:rPr>
  </w:style>
  <w:style w:type="character" w:customStyle="1" w:styleId="56">
    <w:name w:val="标题 7 字符"/>
    <w:basedOn w:val="43"/>
    <w:link w:val="8"/>
    <w:qFormat/>
    <w:uiPriority w:val="0"/>
    <w:rPr>
      <w:rFonts w:ascii="楷体_GB2312" w:hAnsi="Plotter" w:eastAsia="楷体_GB2312"/>
      <w:b/>
      <w:sz w:val="24"/>
    </w:rPr>
  </w:style>
  <w:style w:type="character" w:customStyle="1" w:styleId="57">
    <w:name w:val="标题 8 字符"/>
    <w:basedOn w:val="43"/>
    <w:link w:val="10"/>
    <w:qFormat/>
    <w:uiPriority w:val="0"/>
    <w:rPr>
      <w:rFonts w:ascii="Arial" w:hAnsi="Arial" w:eastAsia="黑体"/>
      <w:sz w:val="24"/>
    </w:rPr>
  </w:style>
  <w:style w:type="character" w:customStyle="1" w:styleId="58">
    <w:name w:val="标题 9 字符"/>
    <w:basedOn w:val="43"/>
    <w:link w:val="11"/>
    <w:qFormat/>
    <w:uiPriority w:val="0"/>
    <w:rPr>
      <w:rFonts w:ascii="Arial" w:hAnsi="Arial" w:eastAsia="黑体"/>
      <w:sz w:val="21"/>
    </w:rPr>
  </w:style>
  <w:style w:type="character" w:customStyle="1" w:styleId="59">
    <w:name w:val="文档结构图 字符"/>
    <w:link w:val="13"/>
    <w:qFormat/>
    <w:uiPriority w:val="99"/>
    <w:rPr>
      <w:rFonts w:ascii="宋体" w:eastAsia="宋体"/>
      <w:sz w:val="18"/>
      <w:szCs w:val="18"/>
    </w:rPr>
  </w:style>
  <w:style w:type="character" w:customStyle="1" w:styleId="60">
    <w:name w:val="批注文字 字符"/>
    <w:basedOn w:val="43"/>
    <w:link w:val="14"/>
    <w:qFormat/>
    <w:uiPriority w:val="99"/>
  </w:style>
  <w:style w:type="character" w:customStyle="1" w:styleId="61">
    <w:name w:val="正文文本 3 字符"/>
    <w:basedOn w:val="43"/>
    <w:link w:val="15"/>
    <w:qFormat/>
    <w:uiPriority w:val="0"/>
    <w:rPr>
      <w:rFonts w:ascii="Times New Roman" w:hAnsi="Times New Roman"/>
      <w:color w:val="FF0000"/>
      <w:kern w:val="2"/>
      <w:sz w:val="15"/>
      <w:szCs w:val="24"/>
    </w:rPr>
  </w:style>
  <w:style w:type="character" w:customStyle="1" w:styleId="62">
    <w:name w:val="正文文本 字符"/>
    <w:basedOn w:val="43"/>
    <w:link w:val="16"/>
    <w:qFormat/>
    <w:uiPriority w:val="99"/>
  </w:style>
  <w:style w:type="character" w:customStyle="1" w:styleId="63">
    <w:name w:val="正文文本缩进 字符"/>
    <w:basedOn w:val="43"/>
    <w:link w:val="17"/>
    <w:semiHidden/>
    <w:qFormat/>
    <w:uiPriority w:val="99"/>
  </w:style>
  <w:style w:type="character" w:customStyle="1" w:styleId="64">
    <w:name w:val="纯文本 字符"/>
    <w:link w:val="21"/>
    <w:semiHidden/>
    <w:qFormat/>
    <w:uiPriority w:val="99"/>
    <w:rPr>
      <w:rFonts w:ascii="宋体" w:hAnsi="Courier New" w:eastAsia="宋体" w:cs="Courier New"/>
      <w:szCs w:val="21"/>
    </w:rPr>
  </w:style>
  <w:style w:type="character" w:customStyle="1" w:styleId="65">
    <w:name w:val="日期 字符"/>
    <w:basedOn w:val="43"/>
    <w:link w:val="23"/>
    <w:qFormat/>
    <w:uiPriority w:val="99"/>
  </w:style>
  <w:style w:type="character" w:customStyle="1" w:styleId="66">
    <w:name w:val="正文文本缩进 2 字符"/>
    <w:basedOn w:val="43"/>
    <w:link w:val="24"/>
    <w:qFormat/>
    <w:uiPriority w:val="0"/>
  </w:style>
  <w:style w:type="character" w:customStyle="1" w:styleId="67">
    <w:name w:val="批注框文本 字符"/>
    <w:link w:val="25"/>
    <w:qFormat/>
    <w:uiPriority w:val="99"/>
    <w:rPr>
      <w:sz w:val="18"/>
      <w:szCs w:val="18"/>
    </w:rPr>
  </w:style>
  <w:style w:type="character" w:customStyle="1" w:styleId="68">
    <w:name w:val="页脚 字符"/>
    <w:link w:val="26"/>
    <w:qFormat/>
    <w:uiPriority w:val="99"/>
    <w:rPr>
      <w:sz w:val="18"/>
      <w:szCs w:val="18"/>
    </w:rPr>
  </w:style>
  <w:style w:type="character" w:customStyle="1" w:styleId="69">
    <w:name w:val="页眉 字符"/>
    <w:link w:val="27"/>
    <w:qFormat/>
    <w:uiPriority w:val="99"/>
    <w:rPr>
      <w:sz w:val="18"/>
      <w:szCs w:val="18"/>
    </w:rPr>
  </w:style>
  <w:style w:type="character" w:customStyle="1" w:styleId="70">
    <w:name w:val="副标题 字符"/>
    <w:link w:val="30"/>
    <w:qFormat/>
    <w:uiPriority w:val="11"/>
    <w:rPr>
      <w:rFonts w:ascii="Cambria" w:hAnsi="Cambria" w:eastAsia="宋体" w:cs="Times New Roman"/>
      <w:b/>
      <w:bCs/>
      <w:kern w:val="28"/>
      <w:sz w:val="32"/>
      <w:szCs w:val="32"/>
    </w:rPr>
  </w:style>
  <w:style w:type="character" w:customStyle="1" w:styleId="71">
    <w:name w:val="正文文本缩进 3 字符"/>
    <w:link w:val="32"/>
    <w:semiHidden/>
    <w:qFormat/>
    <w:uiPriority w:val="99"/>
    <w:rPr>
      <w:sz w:val="16"/>
      <w:szCs w:val="16"/>
    </w:rPr>
  </w:style>
  <w:style w:type="character" w:customStyle="1" w:styleId="72">
    <w:name w:val="正文文本 2 字符"/>
    <w:basedOn w:val="43"/>
    <w:link w:val="35"/>
    <w:qFormat/>
    <w:uiPriority w:val="0"/>
    <w:rPr>
      <w:rFonts w:ascii="Times New Roman" w:hAnsi="Times New Roman"/>
      <w:kern w:val="2"/>
      <w:sz w:val="15"/>
      <w:szCs w:val="24"/>
    </w:rPr>
  </w:style>
  <w:style w:type="character" w:customStyle="1" w:styleId="73">
    <w:name w:val="HTML 预设格式 字符"/>
    <w:link w:val="36"/>
    <w:semiHidden/>
    <w:qFormat/>
    <w:uiPriority w:val="99"/>
    <w:rPr>
      <w:rFonts w:ascii="Courier New" w:hAnsi="Courier New" w:cs="Courier New"/>
      <w:sz w:val="20"/>
      <w:szCs w:val="20"/>
    </w:rPr>
  </w:style>
  <w:style w:type="character" w:customStyle="1" w:styleId="74">
    <w:name w:val="标题 字符"/>
    <w:link w:val="38"/>
    <w:qFormat/>
    <w:uiPriority w:val="0"/>
    <w:rPr>
      <w:rFonts w:ascii="黑体" w:hAnsi="黑体" w:eastAsia="宋体"/>
      <w:b/>
      <w:bCs/>
      <w:kern w:val="2"/>
      <w:sz w:val="36"/>
      <w:szCs w:val="32"/>
    </w:rPr>
  </w:style>
  <w:style w:type="character" w:customStyle="1" w:styleId="75">
    <w:name w:val="批注主题 字符"/>
    <w:link w:val="39"/>
    <w:qFormat/>
    <w:uiPriority w:val="99"/>
    <w:rPr>
      <w:b/>
      <w:bCs/>
    </w:rPr>
  </w:style>
  <w:style w:type="character" w:customStyle="1" w:styleId="76">
    <w:name w:val="正文文本首行缩进 字符"/>
    <w:basedOn w:val="77"/>
    <w:link w:val="40"/>
    <w:qFormat/>
    <w:uiPriority w:val="0"/>
  </w:style>
  <w:style w:type="character" w:customStyle="1" w:styleId="77">
    <w:name w:val="正文文本 Char"/>
    <w:basedOn w:val="43"/>
    <w:qFormat/>
    <w:uiPriority w:val="0"/>
  </w:style>
  <w:style w:type="character" w:customStyle="1" w:styleId="78">
    <w:name w:val="规范正文 Char Char"/>
    <w:link w:val="79"/>
    <w:qFormat/>
    <w:uiPriority w:val="0"/>
    <w:rPr>
      <w:sz w:val="28"/>
      <w:szCs w:val="21"/>
    </w:rPr>
  </w:style>
  <w:style w:type="paragraph" w:customStyle="1" w:styleId="79">
    <w:name w:val="规范正文"/>
    <w:basedOn w:val="80"/>
    <w:link w:val="78"/>
    <w:qFormat/>
    <w:uiPriority w:val="0"/>
    <w:rPr>
      <w:rFonts w:ascii="Calibri" w:hAnsi="Calibri"/>
      <w:kern w:val="0"/>
      <w:sz w:val="28"/>
      <w:szCs w:val="21"/>
      <w:lang w:val="zh-CN"/>
    </w:rPr>
  </w:style>
  <w:style w:type="paragraph" w:customStyle="1" w:styleId="80">
    <w:name w:val="样式 正文首行缩进:  2 字符 + 宋体 首行缩进:  2 字符"/>
    <w:basedOn w:val="1"/>
    <w:qFormat/>
    <w:uiPriority w:val="0"/>
    <w:pPr>
      <w:spacing w:line="400" w:lineRule="exact"/>
      <w:ind w:left="0" w:firstLine="200" w:firstLineChars="200"/>
    </w:pPr>
    <w:rPr>
      <w:rFonts w:ascii="Times New Roman" w:hAnsi="Times New Roman"/>
      <w:sz w:val="24"/>
      <w:szCs w:val="24"/>
    </w:rPr>
  </w:style>
  <w:style w:type="character" w:customStyle="1" w:styleId="81">
    <w:name w:val="不明显参考1"/>
    <w:qFormat/>
    <w:uiPriority w:val="31"/>
    <w:rPr>
      <w:smallCaps/>
      <w:color w:val="C0504D"/>
      <w:u w:val="single"/>
    </w:rPr>
  </w:style>
  <w:style w:type="character" w:customStyle="1" w:styleId="82">
    <w:name w:val="段落样式 Char Char"/>
    <w:link w:val="83"/>
    <w:qFormat/>
    <w:uiPriority w:val="0"/>
    <w:rPr>
      <w:sz w:val="24"/>
    </w:rPr>
  </w:style>
  <w:style w:type="paragraph" w:customStyle="1" w:styleId="83">
    <w:name w:val="段落样式"/>
    <w:basedOn w:val="1"/>
    <w:link w:val="82"/>
    <w:qFormat/>
    <w:uiPriority w:val="0"/>
    <w:pPr>
      <w:spacing w:line="400" w:lineRule="exact"/>
      <w:ind w:left="0" w:firstLine="480" w:firstLineChars="200"/>
    </w:pPr>
    <w:rPr>
      <w:kern w:val="0"/>
      <w:sz w:val="24"/>
      <w:szCs w:val="20"/>
      <w:lang w:val="zh-CN"/>
    </w:rPr>
  </w:style>
  <w:style w:type="character" w:customStyle="1" w:styleId="84">
    <w:name w:val="正文文本缩进 2 Char1"/>
    <w:basedOn w:val="43"/>
    <w:semiHidden/>
    <w:qFormat/>
    <w:uiPriority w:val="99"/>
  </w:style>
  <w:style w:type="character" w:customStyle="1" w:styleId="85">
    <w:name w:val="正文数字 Char Char"/>
    <w:link w:val="86"/>
    <w:qFormat/>
    <w:uiPriority w:val="0"/>
    <w:rPr>
      <w:b/>
      <w:sz w:val="28"/>
      <w:szCs w:val="24"/>
    </w:rPr>
  </w:style>
  <w:style w:type="paragraph" w:customStyle="1" w:styleId="86">
    <w:name w:val="正文数字"/>
    <w:basedOn w:val="87"/>
    <w:link w:val="85"/>
    <w:qFormat/>
    <w:uiPriority w:val="0"/>
    <w:rPr>
      <w:b/>
    </w:rPr>
  </w:style>
  <w:style w:type="paragraph" w:customStyle="1" w:styleId="87">
    <w:name w:val="三级标题标题无缩进"/>
    <w:basedOn w:val="1"/>
    <w:link w:val="88"/>
    <w:qFormat/>
    <w:uiPriority w:val="0"/>
    <w:pPr>
      <w:snapToGrid w:val="0"/>
      <w:spacing w:line="400" w:lineRule="exact"/>
      <w:ind w:left="0" w:firstLine="0" w:firstLineChars="0"/>
    </w:pPr>
    <w:rPr>
      <w:kern w:val="0"/>
      <w:sz w:val="28"/>
      <w:szCs w:val="24"/>
      <w:lang w:val="zh-CN"/>
    </w:rPr>
  </w:style>
  <w:style w:type="character" w:customStyle="1" w:styleId="88">
    <w:name w:val="三级标题标题无缩进 Char Char"/>
    <w:link w:val="87"/>
    <w:qFormat/>
    <w:uiPriority w:val="0"/>
    <w:rPr>
      <w:sz w:val="28"/>
      <w:szCs w:val="24"/>
    </w:rPr>
  </w:style>
  <w:style w:type="character" w:customStyle="1" w:styleId="89">
    <w:name w:val="单独标题3 Char Char"/>
    <w:link w:val="90"/>
    <w:qFormat/>
    <w:uiPriority w:val="0"/>
    <w:rPr>
      <w:rFonts w:ascii="Arial" w:hAnsi="Arial" w:eastAsia="黑体" w:cs="宋体"/>
      <w:b/>
      <w:bCs/>
      <w:kern w:val="2"/>
      <w:sz w:val="28"/>
      <w:szCs w:val="32"/>
    </w:rPr>
  </w:style>
  <w:style w:type="paragraph" w:customStyle="1" w:styleId="90">
    <w:name w:val="单独标题3"/>
    <w:basedOn w:val="1"/>
    <w:link w:val="89"/>
    <w:qFormat/>
    <w:uiPriority w:val="0"/>
    <w:pPr>
      <w:keepNext/>
      <w:keepLines/>
      <w:spacing w:before="200" w:after="200" w:line="360" w:lineRule="auto"/>
      <w:ind w:left="0" w:firstLine="0" w:firstLineChars="0"/>
      <w:jc w:val="center"/>
      <w:outlineLvl w:val="1"/>
    </w:pPr>
    <w:rPr>
      <w:rFonts w:ascii="Arial" w:hAnsi="Arial" w:eastAsia="黑体"/>
      <w:b/>
      <w:bCs/>
      <w:sz w:val="28"/>
      <w:szCs w:val="32"/>
      <w:lang w:val="zh-CN"/>
    </w:rPr>
  </w:style>
  <w:style w:type="character" w:customStyle="1" w:styleId="91">
    <w:name w:val="新条文 Char Char"/>
    <w:link w:val="92"/>
    <w:qFormat/>
    <w:uiPriority w:val="0"/>
    <w:rPr>
      <w:kern w:val="2"/>
      <w:sz w:val="24"/>
      <w:szCs w:val="22"/>
      <w:lang w:val="en-US" w:eastAsia="zh-CN" w:bidi="ar-SA"/>
    </w:rPr>
  </w:style>
  <w:style w:type="paragraph" w:customStyle="1" w:styleId="92">
    <w:name w:val="新条文"/>
    <w:link w:val="91"/>
    <w:qFormat/>
    <w:uiPriority w:val="0"/>
    <w:pPr>
      <w:tabs>
        <w:tab w:val="left" w:pos="432"/>
        <w:tab w:val="left" w:pos="735"/>
      </w:tabs>
      <w:spacing w:line="400" w:lineRule="atLeast"/>
      <w:ind w:left="735" w:hanging="735"/>
      <w:jc w:val="both"/>
    </w:pPr>
    <w:rPr>
      <w:rFonts w:ascii="Calibri" w:hAnsi="Calibri" w:eastAsia="宋体" w:cs="Times New Roman"/>
      <w:kern w:val="2"/>
      <w:sz w:val="24"/>
      <w:szCs w:val="22"/>
      <w:lang w:val="en-US" w:eastAsia="zh-CN" w:bidi="ar-SA"/>
    </w:rPr>
  </w:style>
  <w:style w:type="character" w:customStyle="1" w:styleId="93">
    <w:name w:val="正文文本缩进 3 Char"/>
    <w:qFormat/>
    <w:uiPriority w:val="0"/>
    <w:rPr>
      <w:rFonts w:ascii="楷体_GB2312" w:eastAsia="仿宋_GB2312"/>
      <w:sz w:val="24"/>
    </w:rPr>
  </w:style>
  <w:style w:type="character" w:customStyle="1" w:styleId="94">
    <w:name w:val="分条 Char Char"/>
    <w:link w:val="95"/>
    <w:qFormat/>
    <w:uiPriority w:val="0"/>
    <w:rPr>
      <w:sz w:val="24"/>
    </w:rPr>
  </w:style>
  <w:style w:type="paragraph" w:customStyle="1" w:styleId="95">
    <w:name w:val="分条"/>
    <w:basedOn w:val="1"/>
    <w:link w:val="94"/>
    <w:qFormat/>
    <w:uiPriority w:val="0"/>
    <w:pPr>
      <w:spacing w:line="360" w:lineRule="auto"/>
      <w:ind w:left="0" w:firstLine="200" w:firstLineChars="200"/>
    </w:pPr>
    <w:rPr>
      <w:kern w:val="0"/>
      <w:sz w:val="24"/>
      <w:szCs w:val="20"/>
      <w:lang w:val="zh-CN"/>
    </w:rPr>
  </w:style>
  <w:style w:type="character" w:customStyle="1" w:styleId="96">
    <w:name w:val="正文文本缩进 Char"/>
    <w:qFormat/>
    <w:uiPriority w:val="99"/>
    <w:rPr>
      <w:rFonts w:eastAsia="楷体_GB2312"/>
    </w:rPr>
  </w:style>
  <w:style w:type="character" w:customStyle="1" w:styleId="97">
    <w:name w:val="HTML 预设格式 Char"/>
    <w:qFormat/>
    <w:uiPriority w:val="99"/>
    <w:rPr>
      <w:rFonts w:ascii="Lucida Console" w:hAnsi="Lucida Console" w:cs="宋体"/>
      <w:sz w:val="24"/>
      <w:szCs w:val="24"/>
    </w:rPr>
  </w:style>
  <w:style w:type="character" w:customStyle="1" w:styleId="98">
    <w:name w:val="注 Char Char"/>
    <w:basedOn w:val="43"/>
    <w:link w:val="99"/>
    <w:qFormat/>
    <w:uiPriority w:val="0"/>
  </w:style>
  <w:style w:type="paragraph" w:customStyle="1" w:styleId="99">
    <w:name w:val="注"/>
    <w:basedOn w:val="1"/>
    <w:link w:val="98"/>
    <w:qFormat/>
    <w:uiPriority w:val="0"/>
    <w:pPr>
      <w:spacing w:line="360" w:lineRule="auto"/>
      <w:ind w:left="788" w:leftChars="200" w:hanging="368" w:hangingChars="175"/>
    </w:pPr>
  </w:style>
  <w:style w:type="character" w:customStyle="1" w:styleId="100">
    <w:name w:val="样式 标题 2 + 居中 Char Char"/>
    <w:link w:val="101"/>
    <w:qFormat/>
    <w:uiPriority w:val="0"/>
    <w:rPr>
      <w:rFonts w:ascii="Arial" w:hAnsi="Arial" w:eastAsia="黑体" w:cs="宋体"/>
      <w:b/>
      <w:bCs/>
      <w:sz w:val="28"/>
      <w:szCs w:val="32"/>
    </w:rPr>
  </w:style>
  <w:style w:type="paragraph" w:customStyle="1" w:styleId="101">
    <w:name w:val="样式 标题 2 + 居中"/>
    <w:basedOn w:val="3"/>
    <w:link w:val="100"/>
    <w:qFormat/>
    <w:uiPriority w:val="0"/>
    <w:pPr>
      <w:keepNext w:val="0"/>
      <w:keepLines w:val="0"/>
      <w:spacing w:line="413" w:lineRule="auto"/>
    </w:pPr>
    <w:rPr>
      <w:rFonts w:ascii="Arial" w:hAnsi="Arial" w:eastAsia="黑体"/>
      <w:kern w:val="0"/>
      <w:sz w:val="28"/>
    </w:rPr>
  </w:style>
  <w:style w:type="character" w:customStyle="1" w:styleId="102">
    <w:name w:val="纯文本 Char"/>
    <w:qFormat/>
    <w:uiPriority w:val="0"/>
    <w:rPr>
      <w:rFonts w:ascii="宋体" w:hAnsi="Courier New"/>
    </w:rPr>
  </w:style>
  <w:style w:type="character" w:customStyle="1" w:styleId="103">
    <w:name w:val="表头 Char Char"/>
    <w:link w:val="104"/>
    <w:qFormat/>
    <w:uiPriority w:val="0"/>
    <w:rPr>
      <w:b/>
    </w:rPr>
  </w:style>
  <w:style w:type="paragraph" w:customStyle="1" w:styleId="104">
    <w:name w:val="表头"/>
    <w:basedOn w:val="1"/>
    <w:link w:val="103"/>
    <w:qFormat/>
    <w:uiPriority w:val="0"/>
    <w:pPr>
      <w:spacing w:beforeLines="50" w:afterLines="50" w:line="300" w:lineRule="auto"/>
      <w:ind w:left="0" w:firstLine="0" w:firstLineChars="0"/>
      <w:jc w:val="center"/>
    </w:pPr>
    <w:rPr>
      <w:b/>
      <w:kern w:val="0"/>
      <w:sz w:val="20"/>
      <w:szCs w:val="20"/>
      <w:lang w:val="zh-CN"/>
    </w:rPr>
  </w:style>
  <w:style w:type="character" w:customStyle="1" w:styleId="105">
    <w:name w:val="样式3 Char Char"/>
    <w:link w:val="106"/>
    <w:qFormat/>
    <w:uiPriority w:val="0"/>
    <w:rPr>
      <w:rFonts w:ascii="宋体" w:hAnsi="宋体"/>
    </w:rPr>
  </w:style>
  <w:style w:type="paragraph" w:customStyle="1" w:styleId="106">
    <w:name w:val="样式3"/>
    <w:basedOn w:val="1"/>
    <w:link w:val="105"/>
    <w:qFormat/>
    <w:uiPriority w:val="0"/>
    <w:pPr>
      <w:spacing w:line="360" w:lineRule="auto"/>
      <w:ind w:left="0" w:firstLine="420" w:firstLineChars="0"/>
      <w:jc w:val="left"/>
    </w:pPr>
    <w:rPr>
      <w:rFonts w:ascii="宋体" w:hAnsi="宋体"/>
      <w:kern w:val="0"/>
      <w:sz w:val="20"/>
      <w:szCs w:val="20"/>
      <w:lang w:val="zh-CN"/>
    </w:rPr>
  </w:style>
  <w:style w:type="character" w:customStyle="1" w:styleId="107">
    <w:name w:val="说明 Char1"/>
    <w:link w:val="108"/>
    <w:qFormat/>
    <w:uiPriority w:val="0"/>
    <w:rPr>
      <w:rFonts w:ascii="楷体_GB2312" w:eastAsia="楷体_GB2312"/>
      <w:sz w:val="24"/>
    </w:rPr>
  </w:style>
  <w:style w:type="paragraph" w:customStyle="1" w:styleId="108">
    <w:name w:val="说明"/>
    <w:basedOn w:val="1"/>
    <w:link w:val="107"/>
    <w:qFormat/>
    <w:uiPriority w:val="0"/>
    <w:pPr>
      <w:spacing w:line="400" w:lineRule="atLeast"/>
      <w:ind w:left="0" w:firstLine="0" w:firstLineChars="0"/>
    </w:pPr>
    <w:rPr>
      <w:rFonts w:ascii="楷体_GB2312" w:eastAsia="楷体_GB2312"/>
      <w:kern w:val="0"/>
      <w:sz w:val="24"/>
      <w:szCs w:val="20"/>
      <w:lang w:val="zh-CN"/>
    </w:rPr>
  </w:style>
  <w:style w:type="character" w:customStyle="1" w:styleId="109">
    <w:name w:val="正文首行缩进 Char1"/>
    <w:basedOn w:val="62"/>
    <w:semiHidden/>
    <w:qFormat/>
    <w:uiPriority w:val="99"/>
  </w:style>
  <w:style w:type="character" w:customStyle="1" w:styleId="110">
    <w:name w:val="logtext1"/>
    <w:qFormat/>
    <w:uiPriority w:val="0"/>
    <w:rPr>
      <w:color w:val="000000"/>
      <w:spacing w:val="432"/>
      <w:sz w:val="22"/>
      <w:szCs w:val="22"/>
    </w:rPr>
  </w:style>
  <w:style w:type="character" w:customStyle="1" w:styleId="111">
    <w:name w:val="明显参考1"/>
    <w:qFormat/>
    <w:uiPriority w:val="32"/>
    <w:rPr>
      <w:b/>
      <w:bCs/>
      <w:smallCaps/>
      <w:color w:val="C0504D"/>
      <w:spacing w:val="5"/>
      <w:u w:val="single"/>
    </w:rPr>
  </w:style>
  <w:style w:type="character" w:customStyle="1" w:styleId="112">
    <w:name w:val="正文1 Char Char"/>
    <w:link w:val="113"/>
    <w:qFormat/>
    <w:uiPriority w:val="0"/>
    <w:rPr>
      <w:rFonts w:ascii="宋体" w:eastAsia="宋体"/>
      <w:sz w:val="24"/>
      <w:szCs w:val="24"/>
    </w:rPr>
  </w:style>
  <w:style w:type="paragraph" w:customStyle="1" w:styleId="113">
    <w:name w:val="正文1"/>
    <w:basedOn w:val="1"/>
    <w:link w:val="112"/>
    <w:qFormat/>
    <w:uiPriority w:val="0"/>
    <w:pPr>
      <w:spacing w:line="360" w:lineRule="auto"/>
      <w:ind w:left="0" w:firstLine="200" w:firstLineChars="200"/>
    </w:pPr>
    <w:rPr>
      <w:rFonts w:ascii="宋体"/>
      <w:kern w:val="0"/>
      <w:sz w:val="24"/>
      <w:szCs w:val="24"/>
      <w:lang w:val="zh-CN"/>
    </w:rPr>
  </w:style>
  <w:style w:type="character" w:customStyle="1" w:styleId="114">
    <w:name w:val="公式 Char Char"/>
    <w:link w:val="115"/>
    <w:qFormat/>
    <w:uiPriority w:val="0"/>
    <w:rPr>
      <w:sz w:val="24"/>
    </w:rPr>
  </w:style>
  <w:style w:type="paragraph" w:customStyle="1" w:styleId="115">
    <w:name w:val="公式"/>
    <w:basedOn w:val="1"/>
    <w:link w:val="114"/>
    <w:qFormat/>
    <w:uiPriority w:val="0"/>
    <w:pPr>
      <w:spacing w:line="360" w:lineRule="auto"/>
      <w:ind w:left="0" w:firstLine="0" w:firstLineChars="0"/>
      <w:jc w:val="right"/>
    </w:pPr>
    <w:rPr>
      <w:kern w:val="0"/>
      <w:sz w:val="24"/>
      <w:szCs w:val="20"/>
      <w:lang w:val="zh-CN"/>
    </w:rPr>
  </w:style>
  <w:style w:type="character" w:customStyle="1" w:styleId="116">
    <w:name w:val="章 Char Char"/>
    <w:link w:val="117"/>
    <w:qFormat/>
    <w:uiPriority w:val="0"/>
    <w:rPr>
      <w:b/>
      <w:sz w:val="28"/>
    </w:rPr>
  </w:style>
  <w:style w:type="paragraph" w:customStyle="1" w:styleId="117">
    <w:name w:val="章"/>
    <w:basedOn w:val="1"/>
    <w:link w:val="116"/>
    <w:qFormat/>
    <w:uiPriority w:val="0"/>
    <w:pPr>
      <w:spacing w:beforeLines="100" w:afterLines="100" w:line="300" w:lineRule="auto"/>
      <w:ind w:left="0" w:firstLine="0" w:firstLineChars="0"/>
      <w:jc w:val="center"/>
      <w:outlineLvl w:val="0"/>
    </w:pPr>
    <w:rPr>
      <w:b/>
      <w:kern w:val="0"/>
      <w:sz w:val="28"/>
      <w:szCs w:val="20"/>
      <w:lang w:val="zh-CN"/>
    </w:rPr>
  </w:style>
  <w:style w:type="character" w:customStyle="1" w:styleId="118">
    <w:name w:val="引用 Char"/>
    <w:link w:val="119"/>
    <w:qFormat/>
    <w:uiPriority w:val="29"/>
    <w:rPr>
      <w:i/>
      <w:iCs/>
      <w:color w:val="000000"/>
    </w:rPr>
  </w:style>
  <w:style w:type="paragraph" w:customStyle="1" w:styleId="119">
    <w:name w:val="引用1"/>
    <w:basedOn w:val="1"/>
    <w:next w:val="1"/>
    <w:link w:val="118"/>
    <w:qFormat/>
    <w:uiPriority w:val="29"/>
    <w:rPr>
      <w:i/>
      <w:iCs/>
      <w:color w:val="000000"/>
      <w:kern w:val="0"/>
      <w:sz w:val="20"/>
      <w:szCs w:val="20"/>
      <w:lang w:val="zh-CN"/>
    </w:rPr>
  </w:style>
  <w:style w:type="paragraph" w:customStyle="1" w:styleId="120">
    <w:name w:val="条文1"/>
    <w:basedOn w:val="1"/>
    <w:qFormat/>
    <w:uiPriority w:val="0"/>
    <w:pPr>
      <w:spacing w:line="240" w:lineRule="atLeast"/>
      <w:ind w:left="0" w:firstLine="454" w:firstLineChars="0"/>
    </w:pPr>
    <w:rPr>
      <w:rFonts w:ascii="Times New Roman" w:hAnsi="Times New Roman"/>
      <w:sz w:val="24"/>
      <w:szCs w:val="20"/>
    </w:rPr>
  </w:style>
  <w:style w:type="paragraph" w:customStyle="1" w:styleId="121">
    <w:name w:val="Char Char Char Char Char Char Char Char Char Char Char Char Char Char Char"/>
    <w:basedOn w:val="1"/>
    <w:qFormat/>
    <w:uiPriority w:val="0"/>
    <w:pPr>
      <w:widowControl/>
      <w:spacing w:after="160" w:line="240" w:lineRule="exact"/>
      <w:ind w:left="0" w:firstLine="200" w:firstLineChars="200"/>
      <w:jc w:val="left"/>
    </w:pPr>
    <w:rPr>
      <w:rFonts w:ascii="Times New Roman" w:hAnsi="Times New Roman"/>
      <w:szCs w:val="20"/>
    </w:rPr>
  </w:style>
  <w:style w:type="paragraph" w:customStyle="1" w:styleId="122">
    <w:name w:val="Char Char Char Char Char Char Char"/>
    <w:basedOn w:val="1"/>
    <w:qFormat/>
    <w:uiPriority w:val="0"/>
    <w:pPr>
      <w:widowControl/>
      <w:spacing w:after="160" w:line="240" w:lineRule="exact"/>
      <w:ind w:left="0" w:firstLine="0" w:firstLineChars="0"/>
      <w:jc w:val="left"/>
    </w:pPr>
    <w:rPr>
      <w:rFonts w:ascii="Arial" w:hAnsi="Arial" w:eastAsia="Times New Roman" w:cs="Verdana"/>
      <w:b/>
      <w:kern w:val="0"/>
      <w:sz w:val="24"/>
      <w:szCs w:val="21"/>
      <w:lang w:eastAsia="en-US"/>
    </w:rPr>
  </w:style>
  <w:style w:type="paragraph" w:customStyle="1" w:styleId="123">
    <w:name w:val="样式 标题 1 + 二号 居中"/>
    <w:basedOn w:val="2"/>
    <w:qFormat/>
    <w:uiPriority w:val="0"/>
    <w:pPr>
      <w:keepNext w:val="0"/>
      <w:keepLines w:val="0"/>
      <w:spacing w:before="0" w:after="0"/>
    </w:pPr>
    <w:rPr>
      <w:rFonts w:cs="宋体"/>
      <w:kern w:val="2"/>
      <w:sz w:val="32"/>
      <w:szCs w:val="32"/>
    </w:rPr>
  </w:style>
  <w:style w:type="paragraph" w:customStyle="1" w:styleId="124">
    <w:name w:val="一太郎"/>
    <w:qFormat/>
    <w:uiPriority w:val="0"/>
    <w:pPr>
      <w:widowControl w:val="0"/>
      <w:wordWrap w:val="0"/>
      <w:autoSpaceDE w:val="0"/>
      <w:autoSpaceDN w:val="0"/>
      <w:adjustRightInd w:val="0"/>
      <w:spacing w:line="309" w:lineRule="exact"/>
      <w:jc w:val="both"/>
    </w:pPr>
    <w:rPr>
      <w:rFonts w:ascii="Times New Roman" w:hAnsi="Times New Roman" w:eastAsia="MS Mincho" w:cs="MS Mincho"/>
      <w:sz w:val="21"/>
      <w:szCs w:val="21"/>
      <w:lang w:val="en-US" w:eastAsia="ja-JP" w:bidi="ar-SA"/>
    </w:rPr>
  </w:style>
  <w:style w:type="paragraph" w:customStyle="1" w:styleId="125">
    <w:name w:val="条文说明"/>
    <w:basedOn w:val="95"/>
    <w:qFormat/>
    <w:uiPriority w:val="0"/>
    <w:pPr>
      <w:ind w:firstLine="480"/>
    </w:pPr>
    <w:rPr>
      <w:rFonts w:eastAsia="仿宋_GB2312"/>
    </w:rPr>
  </w:style>
  <w:style w:type="paragraph" w:customStyle="1" w:styleId="126">
    <w:name w:val="Char Char Char Char Char Char Char Char Char Char Char Char Char Char Char Char Char Char Char Char Char Char Char Char Char"/>
    <w:basedOn w:val="1"/>
    <w:qFormat/>
    <w:uiPriority w:val="0"/>
    <w:pPr>
      <w:widowControl/>
      <w:spacing w:after="160" w:line="240" w:lineRule="exact"/>
      <w:ind w:left="0" w:firstLine="200" w:firstLineChars="200"/>
      <w:jc w:val="left"/>
    </w:pPr>
    <w:rPr>
      <w:rFonts w:ascii="Times New Roman" w:hAnsi="Times New Roman"/>
      <w:szCs w:val="20"/>
    </w:rPr>
  </w:style>
  <w:style w:type="paragraph" w:customStyle="1" w:styleId="127">
    <w:name w:val="封面"/>
    <w:qFormat/>
    <w:uiPriority w:val="0"/>
    <w:pPr>
      <w:spacing w:line="360" w:lineRule="auto"/>
      <w:jc w:val="both"/>
    </w:pPr>
    <w:rPr>
      <w:rFonts w:ascii="Times New Roman" w:hAnsi="Times New Roman" w:eastAsia="宋体" w:cs="Times New Roman"/>
      <w:kern w:val="2"/>
      <w:sz w:val="28"/>
      <w:szCs w:val="24"/>
      <w:lang w:val="en-US" w:eastAsia="zh-CN" w:bidi="ar-SA"/>
    </w:rPr>
  </w:style>
  <w:style w:type="paragraph" w:customStyle="1" w:styleId="128">
    <w:name w:val="Char4 Char Char Char"/>
    <w:basedOn w:val="1"/>
    <w:qFormat/>
    <w:uiPriority w:val="0"/>
    <w:pPr>
      <w:spacing w:line="360" w:lineRule="auto"/>
      <w:ind w:left="0" w:firstLine="0" w:firstLineChars="0"/>
    </w:pPr>
    <w:rPr>
      <w:rFonts w:ascii="Tahoma" w:hAnsi="Tahoma"/>
      <w:sz w:val="24"/>
      <w:szCs w:val="20"/>
    </w:rPr>
  </w:style>
  <w:style w:type="paragraph" w:customStyle="1" w:styleId="129">
    <w:name w:val="条文"/>
    <w:basedOn w:val="1"/>
    <w:qFormat/>
    <w:uiPriority w:val="0"/>
    <w:pPr>
      <w:spacing w:line="240" w:lineRule="atLeast"/>
      <w:ind w:left="0" w:firstLine="0" w:firstLineChars="0"/>
    </w:pPr>
    <w:rPr>
      <w:rFonts w:ascii="Times New Roman" w:hAnsi="Times New Roman"/>
      <w:sz w:val="24"/>
      <w:szCs w:val="20"/>
    </w:rPr>
  </w:style>
  <w:style w:type="paragraph" w:customStyle="1" w:styleId="130">
    <w:name w:val="Char"/>
    <w:basedOn w:val="1"/>
    <w:qFormat/>
    <w:uiPriority w:val="0"/>
    <w:pPr>
      <w:spacing w:line="360" w:lineRule="auto"/>
      <w:ind w:left="0" w:firstLine="0" w:firstLineChars="0"/>
    </w:pPr>
    <w:rPr>
      <w:rFonts w:ascii="Times New Roman" w:hAnsi="Times New Roman"/>
      <w:szCs w:val="24"/>
    </w:rPr>
  </w:style>
  <w:style w:type="paragraph" w:customStyle="1" w:styleId="131">
    <w:name w:val="正文首行缩进:  2 字符"/>
    <w:basedOn w:val="16"/>
    <w:qFormat/>
    <w:uiPriority w:val="0"/>
    <w:pPr>
      <w:spacing w:line="398" w:lineRule="auto"/>
      <w:ind w:firstLine="200" w:firstLineChars="200"/>
    </w:pPr>
    <w:rPr>
      <w:sz w:val="24"/>
    </w:rPr>
  </w:style>
  <w:style w:type="paragraph" w:customStyle="1" w:styleId="132">
    <w:name w:val="Char Char Char Char Char Char"/>
    <w:basedOn w:val="1"/>
    <w:qFormat/>
    <w:uiPriority w:val="0"/>
    <w:pPr>
      <w:widowControl/>
      <w:spacing w:after="160" w:line="240" w:lineRule="exact"/>
      <w:ind w:left="0" w:firstLine="200" w:firstLineChars="200"/>
      <w:jc w:val="left"/>
    </w:pPr>
    <w:rPr>
      <w:rFonts w:ascii="Times New Roman" w:hAnsi="Times New Roman"/>
      <w:szCs w:val="20"/>
    </w:rPr>
  </w:style>
  <w:style w:type="paragraph" w:customStyle="1" w:styleId="133">
    <w:name w:val="表"/>
    <w:basedOn w:val="1"/>
    <w:qFormat/>
    <w:uiPriority w:val="0"/>
    <w:pPr>
      <w:spacing w:line="300" w:lineRule="auto"/>
      <w:ind w:left="0" w:firstLine="0" w:firstLineChars="0"/>
      <w:jc w:val="center"/>
    </w:pPr>
    <w:rPr>
      <w:rFonts w:ascii="Times New Roman" w:hAnsi="Times New Roman"/>
      <w:szCs w:val="20"/>
    </w:rPr>
  </w:style>
  <w:style w:type="paragraph" w:customStyle="1" w:styleId="134">
    <w:name w:val="修订1"/>
    <w:qFormat/>
    <w:uiPriority w:val="99"/>
    <w:pPr>
      <w:spacing w:line="360" w:lineRule="auto"/>
      <w:jc w:val="both"/>
    </w:pPr>
    <w:rPr>
      <w:rFonts w:ascii="Times New Roman" w:hAnsi="Times New Roman" w:eastAsia="宋体" w:cs="Times New Roman"/>
      <w:kern w:val="2"/>
      <w:sz w:val="21"/>
      <w:lang w:val="en-US" w:eastAsia="zh-CN" w:bidi="ar-SA"/>
    </w:rPr>
  </w:style>
  <w:style w:type="paragraph" w:customStyle="1" w:styleId="135">
    <w:name w:val="样式7"/>
    <w:basedOn w:val="1"/>
    <w:qFormat/>
    <w:uiPriority w:val="0"/>
    <w:pPr>
      <w:spacing w:line="360" w:lineRule="auto"/>
      <w:ind w:left="0" w:firstLine="420" w:firstLineChars="0"/>
    </w:pPr>
    <w:rPr>
      <w:rFonts w:ascii="Times New Roman" w:hAnsi="Times New Roman"/>
      <w:szCs w:val="20"/>
    </w:rPr>
  </w:style>
  <w:style w:type="paragraph" w:customStyle="1" w:styleId="136">
    <w:name w:val="Char Char Char Char Char Char Char Char Char Char Char"/>
    <w:basedOn w:val="1"/>
    <w:qFormat/>
    <w:uiPriority w:val="0"/>
    <w:pPr>
      <w:spacing w:line="360" w:lineRule="auto"/>
      <w:ind w:left="0" w:firstLine="0" w:firstLineChars="0"/>
    </w:pPr>
    <w:rPr>
      <w:rFonts w:ascii="Times New Roman" w:hAnsi="Times New Roman"/>
      <w:szCs w:val="24"/>
    </w:rPr>
  </w:style>
  <w:style w:type="paragraph" w:customStyle="1" w:styleId="137">
    <w:name w:val="样式 小四 首行缩进:  0.85 厘米 行距: 固定值 20 磅"/>
    <w:basedOn w:val="1"/>
    <w:qFormat/>
    <w:uiPriority w:val="0"/>
    <w:pPr>
      <w:adjustRightInd w:val="0"/>
      <w:spacing w:line="360" w:lineRule="auto"/>
      <w:ind w:left="0" w:firstLine="482" w:firstLineChars="0"/>
    </w:pPr>
    <w:rPr>
      <w:rFonts w:ascii="Times New Roman" w:hAnsi="Times New Roman"/>
      <w:sz w:val="24"/>
      <w:szCs w:val="20"/>
    </w:rPr>
  </w:style>
  <w:style w:type="paragraph" w:customStyle="1" w:styleId="138">
    <w:name w:val="Default"/>
    <w:qFormat/>
    <w:uiPriority w:val="0"/>
    <w:pPr>
      <w:widowControl w:val="0"/>
      <w:autoSpaceDE w:val="0"/>
      <w:autoSpaceDN w:val="0"/>
      <w:adjustRightInd w:val="0"/>
      <w:ind w:left="50" w:hanging="50" w:hangingChars="50"/>
    </w:pPr>
    <w:rPr>
      <w:rFonts w:ascii="Times New Roman" w:hAnsi="Times New Roman" w:eastAsia="宋体" w:cs="Times New Roman"/>
      <w:color w:val="000000"/>
      <w:sz w:val="24"/>
      <w:szCs w:val="24"/>
      <w:lang w:val="en-US" w:eastAsia="zh-CN" w:bidi="ar-SA"/>
    </w:rPr>
  </w:style>
  <w:style w:type="paragraph" w:customStyle="1" w:styleId="13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0">
    <w:name w:val="报告正文"/>
    <w:basedOn w:val="1"/>
    <w:qFormat/>
    <w:uiPriority w:val="0"/>
    <w:pPr>
      <w:snapToGrid w:val="0"/>
      <w:spacing w:line="400" w:lineRule="exact"/>
      <w:ind w:firstLine="482"/>
    </w:pPr>
    <w:rPr>
      <w:rFonts w:ascii="Times New Roman" w:hAnsi="Times New Roman"/>
      <w:sz w:val="24"/>
      <w:szCs w:val="20"/>
    </w:rPr>
  </w:style>
  <w:style w:type="paragraph" w:customStyle="1" w:styleId="141">
    <w:name w:val="Char Char Char Char"/>
    <w:basedOn w:val="1"/>
    <w:qFormat/>
    <w:uiPriority w:val="0"/>
    <w:pPr>
      <w:spacing w:line="360" w:lineRule="auto"/>
      <w:ind w:left="0" w:firstLine="0" w:firstLineChars="0"/>
    </w:pPr>
    <w:rPr>
      <w:rFonts w:ascii="Tahoma" w:hAnsi="Tahoma"/>
      <w:sz w:val="24"/>
      <w:szCs w:val="20"/>
    </w:rPr>
  </w:style>
  <w:style w:type="paragraph" w:customStyle="1" w:styleId="142">
    <w:name w:val="列出段落1"/>
    <w:basedOn w:val="1"/>
    <w:qFormat/>
    <w:uiPriority w:val="99"/>
    <w:pPr>
      <w:spacing w:line="300" w:lineRule="auto"/>
      <w:ind w:left="0" w:firstLine="420" w:firstLineChars="200"/>
    </w:pPr>
  </w:style>
  <w:style w:type="paragraph" w:customStyle="1" w:styleId="143">
    <w:name w:val="默认段落字体 Para Char Char Char Char Char Char Char"/>
    <w:basedOn w:val="13"/>
    <w:qFormat/>
    <w:uiPriority w:val="0"/>
    <w:pPr>
      <w:shd w:val="clear" w:color="auto" w:fill="000080"/>
      <w:adjustRightInd w:val="0"/>
      <w:spacing w:line="436" w:lineRule="exact"/>
      <w:ind w:left="357" w:firstLine="0" w:firstLineChars="0"/>
      <w:jc w:val="left"/>
      <w:outlineLvl w:val="3"/>
    </w:pPr>
    <w:rPr>
      <w:rFonts w:ascii="Tahoma" w:hAnsi="Tahoma"/>
      <w:b/>
      <w:sz w:val="24"/>
      <w:szCs w:val="24"/>
      <w:shd w:val="clear" w:color="auto" w:fill="000080"/>
    </w:rPr>
  </w:style>
  <w:style w:type="paragraph" w:customStyle="1" w:styleId="144">
    <w:name w:val="Char Char Char Char Char Char Char Char Char Char Char Char Char"/>
    <w:basedOn w:val="1"/>
    <w:qFormat/>
    <w:uiPriority w:val="0"/>
    <w:pPr>
      <w:widowControl/>
      <w:spacing w:after="160" w:line="240" w:lineRule="exact"/>
      <w:ind w:left="0" w:firstLine="0" w:firstLineChars="0"/>
      <w:jc w:val="left"/>
    </w:pPr>
    <w:rPr>
      <w:rFonts w:ascii="Arial" w:hAnsi="Arial" w:eastAsia="Times New Roman" w:cs="Verdana"/>
      <w:b/>
      <w:kern w:val="0"/>
      <w:sz w:val="24"/>
      <w:szCs w:val="21"/>
      <w:lang w:eastAsia="en-US"/>
    </w:rPr>
  </w:style>
  <w:style w:type="paragraph" w:customStyle="1" w:styleId="145">
    <w:name w:val="样式 正文首行缩进:  2 字符 + 首行缩进:  2 字符"/>
    <w:basedOn w:val="1"/>
    <w:qFormat/>
    <w:uiPriority w:val="0"/>
    <w:pPr>
      <w:spacing w:line="400" w:lineRule="exact"/>
      <w:ind w:left="0" w:firstLine="200" w:firstLineChars="200"/>
    </w:pPr>
    <w:rPr>
      <w:rFonts w:ascii="Times New Roman" w:hAnsi="Times New Roman"/>
      <w:sz w:val="24"/>
      <w:szCs w:val="20"/>
    </w:rPr>
  </w:style>
  <w:style w:type="paragraph" w:customStyle="1" w:styleId="146">
    <w:name w:val="节"/>
    <w:basedOn w:val="1"/>
    <w:qFormat/>
    <w:uiPriority w:val="0"/>
    <w:pPr>
      <w:spacing w:beforeLines="100" w:afterLines="100" w:line="300" w:lineRule="auto"/>
      <w:ind w:left="0" w:firstLine="0" w:firstLineChars="0"/>
      <w:jc w:val="center"/>
      <w:outlineLvl w:val="1"/>
    </w:pPr>
    <w:rPr>
      <w:rFonts w:ascii="Times New Roman" w:hAnsi="Times New Roman"/>
      <w:b/>
      <w:sz w:val="24"/>
      <w:szCs w:val="20"/>
    </w:rPr>
  </w:style>
  <w:style w:type="paragraph" w:customStyle="1" w:styleId="147">
    <w:name w:val="标题3"/>
    <w:basedOn w:val="1"/>
    <w:qFormat/>
    <w:uiPriority w:val="0"/>
    <w:pPr>
      <w:adjustRightInd w:val="0"/>
      <w:spacing w:before="120" w:after="120" w:line="360" w:lineRule="auto"/>
      <w:ind w:left="0" w:firstLine="0" w:firstLineChars="0"/>
      <w:jc w:val="center"/>
      <w:textAlignment w:val="baseline"/>
    </w:pPr>
    <w:rPr>
      <w:rFonts w:ascii="Times New Roman" w:hAnsi="Times New Roman"/>
      <w:b/>
      <w:kern w:val="0"/>
      <w:sz w:val="18"/>
      <w:szCs w:val="20"/>
    </w:rPr>
  </w:style>
  <w:style w:type="paragraph" w:customStyle="1" w:styleId="148">
    <w:name w:val="Char4"/>
    <w:basedOn w:val="1"/>
    <w:qFormat/>
    <w:uiPriority w:val="99"/>
    <w:pPr>
      <w:spacing w:line="360" w:lineRule="auto"/>
      <w:ind w:left="0" w:firstLine="0" w:firstLineChars="0"/>
    </w:pPr>
    <w:rPr>
      <w:rFonts w:ascii="Tahoma" w:hAnsi="Tahoma"/>
      <w:sz w:val="24"/>
      <w:szCs w:val="20"/>
    </w:rPr>
  </w:style>
  <w:style w:type="paragraph" w:customStyle="1" w:styleId="149">
    <w:name w:val="Char1 Char Char Char"/>
    <w:basedOn w:val="1"/>
    <w:qFormat/>
    <w:uiPriority w:val="0"/>
    <w:pPr>
      <w:widowControl/>
      <w:spacing w:after="160" w:line="240" w:lineRule="exact"/>
      <w:ind w:left="0" w:firstLine="200" w:firstLineChars="200"/>
      <w:jc w:val="left"/>
    </w:pPr>
    <w:rPr>
      <w:rFonts w:ascii="Times New Roman" w:hAnsi="Times New Roman"/>
      <w:szCs w:val="20"/>
    </w:rPr>
  </w:style>
  <w:style w:type="paragraph" w:customStyle="1" w:styleId="150">
    <w:name w:val="样式 首行缩进:  2 字符"/>
    <w:basedOn w:val="1"/>
    <w:qFormat/>
    <w:uiPriority w:val="99"/>
    <w:pPr>
      <w:spacing w:line="360" w:lineRule="auto"/>
      <w:ind w:left="0" w:firstLine="200" w:firstLineChars="200"/>
    </w:pPr>
    <w:rPr>
      <w:rFonts w:ascii="Times New Roman" w:hAnsi="Times New Roman" w:cs="宋体"/>
      <w:sz w:val="24"/>
      <w:szCs w:val="20"/>
    </w:rPr>
  </w:style>
  <w:style w:type="paragraph" w:customStyle="1" w:styleId="151">
    <w:name w:val="Char3"/>
    <w:basedOn w:val="1"/>
    <w:qFormat/>
    <w:uiPriority w:val="99"/>
    <w:pPr>
      <w:spacing w:line="480" w:lineRule="exact"/>
      <w:ind w:left="0" w:firstLine="0" w:firstLineChars="0"/>
    </w:pPr>
    <w:rPr>
      <w:rFonts w:ascii="Times New Roman" w:hAnsi="Times New Roman"/>
      <w:sz w:val="24"/>
      <w:szCs w:val="24"/>
    </w:rPr>
  </w:style>
  <w:style w:type="paragraph" w:customStyle="1" w:styleId="152">
    <w:name w:val="Char3 Char Char Char Char Char Char"/>
    <w:basedOn w:val="1"/>
    <w:qFormat/>
    <w:uiPriority w:val="99"/>
    <w:pPr>
      <w:spacing w:line="480" w:lineRule="exact"/>
      <w:ind w:left="0" w:firstLine="0" w:firstLineChars="0"/>
    </w:pPr>
    <w:rPr>
      <w:rFonts w:ascii="Times New Roman" w:hAnsi="Times New Roman"/>
      <w:sz w:val="24"/>
      <w:szCs w:val="24"/>
    </w:rPr>
  </w:style>
  <w:style w:type="paragraph" w:customStyle="1" w:styleId="153">
    <w:name w:val="Char31"/>
    <w:basedOn w:val="1"/>
    <w:qFormat/>
    <w:uiPriority w:val="99"/>
    <w:pPr>
      <w:spacing w:line="480" w:lineRule="exact"/>
      <w:ind w:left="0" w:firstLine="0" w:firstLineChars="0"/>
    </w:pPr>
    <w:rPr>
      <w:rFonts w:ascii="Times New Roman" w:hAnsi="Times New Roman"/>
      <w:sz w:val="24"/>
      <w:szCs w:val="24"/>
    </w:rPr>
  </w:style>
  <w:style w:type="paragraph" w:customStyle="1" w:styleId="154">
    <w:name w:val="Char1"/>
    <w:basedOn w:val="1"/>
    <w:qFormat/>
    <w:uiPriority w:val="99"/>
    <w:pPr>
      <w:spacing w:line="480" w:lineRule="exact"/>
      <w:ind w:left="0" w:firstLine="0" w:firstLineChars="0"/>
    </w:pPr>
    <w:rPr>
      <w:rFonts w:ascii="Times New Roman" w:hAnsi="Times New Roman"/>
      <w:sz w:val="24"/>
      <w:szCs w:val="24"/>
    </w:rPr>
  </w:style>
  <w:style w:type="paragraph" w:customStyle="1" w:styleId="155">
    <w:name w:val="_Style 28"/>
    <w:basedOn w:val="1"/>
    <w:qFormat/>
    <w:uiPriority w:val="99"/>
    <w:pPr>
      <w:ind w:left="0" w:firstLine="420" w:firstLineChars="200"/>
    </w:pPr>
    <w:rPr>
      <w:rFonts w:ascii="Times New Roman" w:hAnsi="Times New Roman"/>
      <w:szCs w:val="24"/>
    </w:rPr>
  </w:style>
  <w:style w:type="paragraph" w:customStyle="1" w:styleId="156">
    <w:name w:val="Style2"/>
    <w:basedOn w:val="1"/>
    <w:qFormat/>
    <w:uiPriority w:val="99"/>
    <w:pPr>
      <w:adjustRightInd w:val="0"/>
      <w:ind w:left="0" w:firstLine="0" w:firstLineChars="0"/>
      <w:jc w:val="center"/>
    </w:pPr>
    <w:rPr>
      <w:rFonts w:ascii="宋体" w:hAnsi="Times New Roman"/>
      <w:kern w:val="0"/>
      <w:sz w:val="24"/>
      <w:szCs w:val="24"/>
    </w:rPr>
  </w:style>
  <w:style w:type="paragraph" w:customStyle="1" w:styleId="157">
    <w:name w:val="Style23"/>
    <w:basedOn w:val="1"/>
    <w:qFormat/>
    <w:uiPriority w:val="0"/>
    <w:pPr>
      <w:adjustRightInd w:val="0"/>
      <w:spacing w:line="292" w:lineRule="exact"/>
      <w:ind w:left="0" w:firstLine="0" w:firstLineChars="0"/>
    </w:pPr>
    <w:rPr>
      <w:rFonts w:ascii="宋体" w:hAnsi="Times New Roman"/>
      <w:kern w:val="0"/>
      <w:sz w:val="24"/>
      <w:szCs w:val="24"/>
    </w:rPr>
  </w:style>
  <w:style w:type="paragraph" w:customStyle="1" w:styleId="158">
    <w:name w:val="_Style 31"/>
    <w:hidden/>
    <w:semiHidden/>
    <w:qFormat/>
    <w:uiPriority w:val="99"/>
    <w:rPr>
      <w:rFonts w:ascii="Times New Roman" w:hAnsi="Times New Roman" w:eastAsia="宋体" w:cs="Times New Roman"/>
      <w:kern w:val="2"/>
      <w:sz w:val="21"/>
      <w:szCs w:val="24"/>
      <w:lang w:val="en-US" w:eastAsia="zh-CN" w:bidi="ar-SA"/>
    </w:rPr>
  </w:style>
  <w:style w:type="character" w:customStyle="1" w:styleId="159">
    <w:name w:val="dash6b63_6587__char1"/>
    <w:qFormat/>
    <w:uiPriority w:val="99"/>
    <w:rPr>
      <w:rFonts w:ascii="Times New Roman" w:hAnsi="Times New Roman"/>
      <w:sz w:val="20"/>
      <w:u w:val="none"/>
    </w:rPr>
  </w:style>
  <w:style w:type="character" w:customStyle="1" w:styleId="160">
    <w:name w:val="dash6b63_005f6587_005f_005fchar1__char1"/>
    <w:qFormat/>
    <w:uiPriority w:val="99"/>
    <w:rPr>
      <w:rFonts w:ascii="Times New Roman" w:hAnsi="Times New Roman"/>
      <w:sz w:val="20"/>
      <w:u w:val="none"/>
    </w:rPr>
  </w:style>
  <w:style w:type="character" w:customStyle="1" w:styleId="161">
    <w:name w:val="Comment Text Char"/>
    <w:semiHidden/>
    <w:qFormat/>
    <w:locked/>
    <w:uiPriority w:val="99"/>
    <w:rPr>
      <w:rFonts w:eastAsia="宋体"/>
      <w:kern w:val="2"/>
      <w:sz w:val="24"/>
      <w:lang w:val="en-US" w:eastAsia="zh-CN"/>
    </w:rPr>
  </w:style>
  <w:style w:type="character" w:customStyle="1" w:styleId="162">
    <w:name w:val="Font Style68"/>
    <w:qFormat/>
    <w:uiPriority w:val="0"/>
    <w:rPr>
      <w:rFonts w:ascii="宋体" w:eastAsia="宋体" w:cs="宋体"/>
      <w:sz w:val="20"/>
      <w:szCs w:val="20"/>
    </w:rPr>
  </w:style>
  <w:style w:type="character" w:customStyle="1" w:styleId="163">
    <w:name w:val="Font Style96"/>
    <w:qFormat/>
    <w:uiPriority w:val="0"/>
    <w:rPr>
      <w:rFonts w:ascii="MingLiU" w:eastAsia="MingLiU" w:cs="MingLiU"/>
      <w:b/>
      <w:bCs/>
      <w:spacing w:val="-10"/>
      <w:w w:val="300"/>
      <w:sz w:val="8"/>
      <w:szCs w:val="8"/>
    </w:rPr>
  </w:style>
  <w:style w:type="paragraph" w:customStyle="1" w:styleId="164">
    <w:name w:val="列出段落2"/>
    <w:basedOn w:val="1"/>
    <w:unhideWhenUsed/>
    <w:qFormat/>
    <w:uiPriority w:val="99"/>
    <w:pPr>
      <w:ind w:left="0" w:firstLine="420" w:firstLineChars="200"/>
    </w:pPr>
    <w:rPr>
      <w:rFonts w:ascii="Times New Roman" w:hAnsi="Times New Roman"/>
      <w:szCs w:val="24"/>
    </w:rPr>
  </w:style>
  <w:style w:type="paragraph" w:customStyle="1" w:styleId="165">
    <w:name w:val="Style38"/>
    <w:basedOn w:val="1"/>
    <w:qFormat/>
    <w:uiPriority w:val="0"/>
    <w:pPr>
      <w:adjustRightInd w:val="0"/>
      <w:spacing w:line="305" w:lineRule="exact"/>
      <w:ind w:left="0" w:firstLine="422" w:firstLineChars="0"/>
      <w:jc w:val="left"/>
    </w:pPr>
    <w:rPr>
      <w:rFonts w:ascii="宋体" w:hAnsi="Times New Roman"/>
      <w:kern w:val="0"/>
      <w:sz w:val="24"/>
      <w:szCs w:val="24"/>
    </w:rPr>
  </w:style>
  <w:style w:type="paragraph" w:customStyle="1" w:styleId="166">
    <w:name w:val="TOC 标题1"/>
    <w:basedOn w:val="2"/>
    <w:next w:val="1"/>
    <w:unhideWhenUsed/>
    <w:qFormat/>
    <w:uiPriority w:val="39"/>
    <w:pPr>
      <w:spacing w:before="340" w:beforeLines="0" w:after="330" w:afterLines="0" w:line="578" w:lineRule="auto"/>
      <w:jc w:val="both"/>
      <w:outlineLvl w:val="9"/>
    </w:pPr>
    <w:rPr>
      <w:sz w:val="44"/>
      <w:lang w:val="en-US"/>
    </w:rPr>
  </w:style>
  <w:style w:type="character" w:customStyle="1" w:styleId="167">
    <w:name w:val="已访问的超链接1"/>
    <w:unhideWhenUsed/>
    <w:qFormat/>
    <w:uiPriority w:val="99"/>
    <w:rPr>
      <w:color w:val="800080"/>
      <w:u w:val="single"/>
    </w:rPr>
  </w:style>
  <w:style w:type="character" w:customStyle="1" w:styleId="168">
    <w:name w:val="op_dict_text1"/>
    <w:qFormat/>
    <w:uiPriority w:val="0"/>
  </w:style>
  <w:style w:type="character" w:customStyle="1" w:styleId="169">
    <w:name w:val="op_dict_text2"/>
    <w:qFormat/>
    <w:uiPriority w:val="0"/>
  </w:style>
  <w:style w:type="paragraph" w:customStyle="1" w:styleId="170">
    <w:name w:val="题1"/>
    <w:basedOn w:val="1"/>
    <w:qFormat/>
    <w:uiPriority w:val="0"/>
    <w:pPr>
      <w:widowControl/>
      <w:adjustRightInd w:val="0"/>
      <w:snapToGrid w:val="0"/>
      <w:spacing w:line="360" w:lineRule="auto"/>
      <w:ind w:left="0" w:firstLine="0" w:firstLineChars="0"/>
      <w:jc w:val="center"/>
      <w:outlineLvl w:val="0"/>
    </w:pPr>
    <w:rPr>
      <w:rFonts w:ascii="宋体" w:hAnsi="宋体" w:cs="Tahoma"/>
      <w:b/>
      <w:kern w:val="0"/>
      <w:sz w:val="24"/>
      <w:szCs w:val="21"/>
    </w:rPr>
  </w:style>
  <w:style w:type="paragraph" w:customStyle="1" w:styleId="171">
    <w:name w:val="题2"/>
    <w:basedOn w:val="1"/>
    <w:qFormat/>
    <w:uiPriority w:val="0"/>
    <w:pPr>
      <w:widowControl/>
      <w:adjustRightInd w:val="0"/>
      <w:snapToGrid w:val="0"/>
      <w:spacing w:line="360" w:lineRule="auto"/>
      <w:ind w:left="0" w:firstLine="0" w:firstLineChars="0"/>
      <w:jc w:val="center"/>
      <w:outlineLvl w:val="1"/>
    </w:pPr>
    <w:rPr>
      <w:rFonts w:ascii="宋体" w:hAnsi="宋体" w:cs="Tahoma"/>
      <w:b/>
      <w:kern w:val="0"/>
      <w:szCs w:val="21"/>
    </w:rPr>
  </w:style>
  <w:style w:type="paragraph" w:styleId="172">
    <w:name w:val="List Paragraph"/>
    <w:basedOn w:val="1"/>
    <w:link w:val="173"/>
    <w:qFormat/>
    <w:uiPriority w:val="1"/>
    <w:pPr>
      <w:ind w:left="0" w:firstLine="420" w:firstLineChars="200"/>
    </w:pPr>
    <w:rPr>
      <w:rFonts w:ascii="Times New Roman" w:hAnsi="Times New Roman"/>
      <w:szCs w:val="24"/>
    </w:rPr>
  </w:style>
  <w:style w:type="character" w:customStyle="1" w:styleId="173">
    <w:name w:val="列表段落 字符"/>
    <w:basedOn w:val="43"/>
    <w:link w:val="172"/>
    <w:qFormat/>
    <w:uiPriority w:val="34"/>
    <w:rPr>
      <w:rFonts w:ascii="Times New Roman" w:hAnsi="Times New Roman"/>
      <w:kern w:val="2"/>
      <w:sz w:val="21"/>
      <w:szCs w:val="24"/>
    </w:rPr>
  </w:style>
  <w:style w:type="paragraph" w:customStyle="1" w:styleId="174">
    <w:name w:val="TOC 标题2"/>
    <w:basedOn w:val="2"/>
    <w:next w:val="1"/>
    <w:unhideWhenUsed/>
    <w:qFormat/>
    <w:uiPriority w:val="39"/>
    <w:pPr>
      <w:widowControl/>
      <w:spacing w:before="480" w:beforeLines="0" w:after="0" w:afterLines="0" w:line="276" w:lineRule="auto"/>
      <w:jc w:val="left"/>
      <w:outlineLvl w:val="9"/>
    </w:pPr>
    <w:rPr>
      <w:rFonts w:ascii="Cambria" w:hAnsi="Cambria"/>
      <w:color w:val="365F91"/>
      <w:kern w:val="0"/>
      <w:sz w:val="28"/>
      <w:szCs w:val="28"/>
      <w:lang w:val="en-US"/>
    </w:rPr>
  </w:style>
  <w:style w:type="paragraph" w:customStyle="1" w:styleId="175">
    <w:name w:val="font5"/>
    <w:basedOn w:val="1"/>
    <w:qFormat/>
    <w:uiPriority w:val="0"/>
    <w:pPr>
      <w:widowControl/>
      <w:spacing w:before="100" w:beforeAutospacing="1" w:after="100" w:afterAutospacing="1"/>
      <w:ind w:left="0" w:firstLine="0" w:firstLineChars="0"/>
      <w:jc w:val="left"/>
    </w:pPr>
    <w:rPr>
      <w:rFonts w:ascii="宋体" w:hAnsi="宋体" w:cs="宋体"/>
      <w:kern w:val="0"/>
      <w:sz w:val="18"/>
      <w:szCs w:val="18"/>
    </w:rPr>
  </w:style>
  <w:style w:type="paragraph" w:customStyle="1" w:styleId="17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0" w:firstLine="0" w:firstLineChars="0"/>
      <w:jc w:val="center"/>
    </w:pPr>
    <w:rPr>
      <w:rFonts w:ascii="宋体" w:hAnsi="宋体" w:cs="宋体"/>
      <w:b/>
      <w:bCs/>
      <w:kern w:val="0"/>
      <w:sz w:val="24"/>
      <w:szCs w:val="24"/>
    </w:rPr>
  </w:style>
  <w:style w:type="paragraph" w:customStyle="1" w:styleId="17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0" w:firstLine="0" w:firstLineChars="0"/>
      <w:jc w:val="left"/>
    </w:pPr>
    <w:rPr>
      <w:rFonts w:ascii="宋体" w:hAnsi="宋体" w:cs="宋体"/>
      <w:kern w:val="0"/>
      <w:sz w:val="24"/>
      <w:szCs w:val="24"/>
    </w:rPr>
  </w:style>
  <w:style w:type="paragraph" w:customStyle="1" w:styleId="17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0" w:firstLine="0" w:firstLineChars="0"/>
      <w:jc w:val="center"/>
    </w:pPr>
    <w:rPr>
      <w:rFonts w:ascii="宋体" w:hAnsi="宋体" w:cs="宋体"/>
      <w:b/>
      <w:bCs/>
      <w:kern w:val="0"/>
      <w:sz w:val="18"/>
      <w:szCs w:val="18"/>
    </w:rPr>
  </w:style>
  <w:style w:type="paragraph" w:customStyle="1" w:styleId="179">
    <w:name w:val="xl91"/>
    <w:basedOn w:val="1"/>
    <w:qFormat/>
    <w:uiPriority w:val="0"/>
    <w:pPr>
      <w:widowControl/>
      <w:spacing w:before="100" w:beforeAutospacing="1" w:after="100" w:afterAutospacing="1"/>
      <w:ind w:left="0" w:firstLine="0" w:firstLineChars="0"/>
      <w:jc w:val="left"/>
    </w:pPr>
    <w:rPr>
      <w:rFonts w:ascii="宋体" w:hAnsi="宋体" w:cs="宋体"/>
      <w:kern w:val="0"/>
      <w:sz w:val="18"/>
      <w:szCs w:val="18"/>
    </w:rPr>
  </w:style>
  <w:style w:type="paragraph" w:customStyle="1" w:styleId="1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0" w:firstLine="0" w:firstLineChars="0"/>
      <w:jc w:val="left"/>
    </w:pPr>
    <w:rPr>
      <w:rFonts w:ascii="宋体" w:hAnsi="宋体" w:cs="宋体"/>
      <w:kern w:val="0"/>
      <w:sz w:val="18"/>
      <w:szCs w:val="18"/>
    </w:rPr>
  </w:style>
  <w:style w:type="paragraph" w:customStyle="1" w:styleId="181">
    <w:name w:val="标准"/>
    <w:basedOn w:val="172"/>
    <w:link w:val="182"/>
    <w:qFormat/>
    <w:uiPriority w:val="0"/>
    <w:pPr>
      <w:ind w:firstLine="0" w:firstLineChars="0"/>
      <w:jc w:val="center"/>
    </w:pPr>
    <w:rPr>
      <w:b/>
      <w:bCs/>
    </w:rPr>
  </w:style>
  <w:style w:type="character" w:customStyle="1" w:styleId="182">
    <w:name w:val="标准 字符"/>
    <w:basedOn w:val="173"/>
    <w:link w:val="181"/>
    <w:qFormat/>
    <w:uiPriority w:val="0"/>
    <w:rPr>
      <w:rFonts w:ascii="Times New Roman" w:hAnsi="Times New Roman"/>
      <w:b/>
      <w:bCs/>
      <w:kern w:val="2"/>
      <w:sz w:val="21"/>
      <w:szCs w:val="24"/>
    </w:rPr>
  </w:style>
  <w:style w:type="character" w:customStyle="1" w:styleId="183">
    <w:name w:val="yuedu1"/>
    <w:qFormat/>
    <w:uiPriority w:val="0"/>
    <w:rPr>
      <w:color w:val="000000"/>
      <w:sz w:val="21"/>
      <w:szCs w:val="21"/>
    </w:rPr>
  </w:style>
  <w:style w:type="table" w:customStyle="1" w:styleId="184">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85">
    <w:name w:val="Table Paragraph"/>
    <w:basedOn w:val="1"/>
    <w:qFormat/>
    <w:uiPriority w:val="1"/>
    <w:pPr>
      <w:autoSpaceDE w:val="0"/>
      <w:autoSpaceDN w:val="0"/>
      <w:ind w:left="0" w:firstLine="0" w:firstLineChars="0"/>
      <w:jc w:val="left"/>
    </w:pPr>
    <w:rPr>
      <w:rFonts w:ascii="宋体" w:hAnsi="宋体" w:cs="宋体"/>
      <w:kern w:val="0"/>
      <w:sz w:val="22"/>
      <w:lang w:eastAsia="en-US"/>
    </w:rPr>
  </w:style>
  <w:style w:type="paragraph" w:customStyle="1" w:styleId="186">
    <w:name w:val="简单回函地址"/>
    <w:basedOn w:val="1"/>
    <w:qFormat/>
    <w:uiPriority w:val="0"/>
    <w:pPr>
      <w:ind w:left="0" w:firstLine="0" w:firstLineChars="0"/>
    </w:pPr>
    <w:rPr>
      <w:rFonts w:ascii="Times New Roman" w:hAnsi="Times New Roman"/>
      <w:szCs w:val="24"/>
    </w:rPr>
  </w:style>
  <w:style w:type="paragraph" w:customStyle="1" w:styleId="187">
    <w:name w:val="1"/>
    <w:basedOn w:val="1"/>
    <w:next w:val="1"/>
    <w:qFormat/>
    <w:uiPriority w:val="0"/>
    <w:pPr>
      <w:ind w:left="0" w:firstLine="0" w:firstLineChars="0"/>
      <w:jc w:val="center"/>
    </w:pPr>
    <w:rPr>
      <w:rFonts w:ascii="宋体" w:hAnsi="宋体"/>
      <w:sz w:val="15"/>
      <w:szCs w:val="15"/>
    </w:rPr>
  </w:style>
  <w:style w:type="character" w:customStyle="1" w:styleId="188">
    <w:name w:val="标题 3 Char Char Char Char Char"/>
    <w:qFormat/>
    <w:uiPriority w:val="0"/>
    <w:rPr>
      <w:rFonts w:eastAsia="宋体"/>
      <w:b/>
      <w:bCs/>
      <w:kern w:val="2"/>
      <w:sz w:val="32"/>
      <w:szCs w:val="32"/>
      <w:lang w:val="en-US" w:eastAsia="zh-CN" w:bidi="ar-SA"/>
    </w:rPr>
  </w:style>
  <w:style w:type="paragraph" w:customStyle="1" w:styleId="189">
    <w:name w:val="标书正文"/>
    <w:qFormat/>
    <w:uiPriority w:val="0"/>
    <w:pPr>
      <w:spacing w:line="360" w:lineRule="auto"/>
      <w:ind w:firstLine="560"/>
    </w:pPr>
    <w:rPr>
      <w:rFonts w:ascii="宋体" w:hAnsi="宋体" w:eastAsia="宋体" w:cs="Times New Roman"/>
      <w:sz w:val="28"/>
      <w:lang w:val="en-US" w:eastAsia="zh-CN" w:bidi="ar-SA"/>
    </w:rPr>
  </w:style>
  <w:style w:type="character" w:customStyle="1" w:styleId="190">
    <w:name w:val="标题 2 Char"/>
    <w:qFormat/>
    <w:uiPriority w:val="0"/>
    <w:rPr>
      <w:rFonts w:ascii="Arial" w:hAnsi="Arial" w:eastAsia="黑体"/>
      <w:kern w:val="2"/>
      <w:sz w:val="28"/>
      <w:szCs w:val="24"/>
    </w:rPr>
  </w:style>
  <w:style w:type="paragraph" w:customStyle="1" w:styleId="191">
    <w:name w:val="其他发布日期"/>
    <w:basedOn w:val="1"/>
    <w:qFormat/>
    <w:uiPriority w:val="0"/>
    <w:pPr>
      <w:widowControl/>
      <w:spacing w:line="324" w:lineRule="auto"/>
      <w:ind w:left="0" w:firstLine="0" w:firstLineChars="0"/>
      <w:jc w:val="left"/>
    </w:pPr>
    <w:rPr>
      <w:rFonts w:ascii="Times New Roman" w:hAnsi="Times New Roman" w:eastAsia="黑体"/>
      <w:kern w:val="0"/>
      <w:sz w:val="28"/>
      <w:szCs w:val="20"/>
    </w:rPr>
  </w:style>
  <w:style w:type="character" w:customStyle="1" w:styleId="192">
    <w:name w:val="页脚 Char"/>
    <w:basedOn w:val="43"/>
    <w:qFormat/>
    <w:uiPriority w:val="99"/>
    <w:rPr>
      <w:kern w:val="2"/>
      <w:sz w:val="18"/>
      <w:szCs w:val="18"/>
    </w:rPr>
  </w:style>
  <w:style w:type="paragraph" w:customStyle="1" w:styleId="193">
    <w:name w:val="First Paragraph"/>
    <w:basedOn w:val="16"/>
    <w:next w:val="16"/>
    <w:qFormat/>
    <w:uiPriority w:val="0"/>
    <w:pPr>
      <w:widowControl/>
      <w:spacing w:before="180" w:after="180" w:line="240" w:lineRule="auto"/>
      <w:jc w:val="left"/>
    </w:pPr>
    <w:rPr>
      <w:rFonts w:asciiTheme="minorHAnsi" w:hAnsiTheme="minorHAnsi" w:eastAsiaTheme="minorEastAsia" w:cstheme="minorBidi"/>
      <w:kern w:val="0"/>
      <w:sz w:val="24"/>
      <w:szCs w:val="24"/>
      <w:lang w:val="en" w:eastAsia="en-US"/>
    </w:rPr>
  </w:style>
  <w:style w:type="character" w:customStyle="1" w:styleId="194">
    <w:name w:val="h21"/>
    <w:qFormat/>
    <w:uiPriority w:val="0"/>
    <w:rPr>
      <w:sz w:val="19"/>
    </w:rPr>
  </w:style>
  <w:style w:type="character" w:customStyle="1" w:styleId="195">
    <w:name w:val="未处理的提及1"/>
    <w:basedOn w:val="43"/>
    <w:semiHidden/>
    <w:unhideWhenUsed/>
    <w:qFormat/>
    <w:uiPriority w:val="99"/>
    <w:rPr>
      <w:color w:val="605E5C"/>
      <w:shd w:val="clear" w:color="auto" w:fill="E1DFDD"/>
    </w:rPr>
  </w:style>
  <w:style w:type="character" w:customStyle="1" w:styleId="196">
    <w:name w:val="未处理的提及2"/>
    <w:basedOn w:val="43"/>
    <w:semiHidden/>
    <w:unhideWhenUsed/>
    <w:qFormat/>
    <w:uiPriority w:val="99"/>
    <w:rPr>
      <w:color w:val="605E5C"/>
      <w:shd w:val="clear" w:color="auto" w:fill="E1DFDD"/>
    </w:rPr>
  </w:style>
  <w:style w:type="paragraph" w:customStyle="1" w:styleId="197">
    <w:name w:val="修订2"/>
    <w:hidden/>
    <w:semiHidden/>
    <w:qFormat/>
    <w:uiPriority w:val="99"/>
    <w:rPr>
      <w:rFonts w:ascii="Calibri" w:hAnsi="Calibri" w:eastAsia="宋体" w:cs="Times New Roman"/>
      <w:kern w:val="2"/>
      <w:sz w:val="21"/>
      <w:szCs w:val="22"/>
      <w:lang w:val="en-US" w:eastAsia="zh-CN" w:bidi="ar-SA"/>
    </w:rPr>
  </w:style>
  <w:style w:type="character" w:customStyle="1" w:styleId="198">
    <w:name w:val="未处理的提及3"/>
    <w:basedOn w:val="43"/>
    <w:semiHidden/>
    <w:unhideWhenUsed/>
    <w:qFormat/>
    <w:uiPriority w:val="99"/>
    <w:rPr>
      <w:color w:val="605E5C"/>
      <w:shd w:val="clear" w:color="auto" w:fill="E1DFDD"/>
    </w:rPr>
  </w:style>
  <w:style w:type="paragraph" w:customStyle="1" w:styleId="199">
    <w:name w:val="修订3"/>
    <w:hidden/>
    <w:semiHidden/>
    <w:qFormat/>
    <w:uiPriority w:val="99"/>
    <w:rPr>
      <w:rFonts w:ascii="Calibri" w:hAnsi="Calibri" w:eastAsia="宋体" w:cs="Times New Roman"/>
      <w:kern w:val="2"/>
      <w:sz w:val="21"/>
      <w:szCs w:val="22"/>
      <w:lang w:val="en-US" w:eastAsia="zh-CN" w:bidi="ar-SA"/>
    </w:rPr>
  </w:style>
  <w:style w:type="paragraph" w:customStyle="1" w:styleId="200">
    <w:name w:val="Header or footer|1"/>
    <w:basedOn w:val="1"/>
    <w:qFormat/>
    <w:uiPriority w:val="0"/>
    <w:rPr>
      <w:rFonts w:ascii="宋体" w:hAnsi="宋体" w:cs="宋体"/>
      <w:sz w:val="26"/>
      <w:szCs w:val="26"/>
      <w:lang w:val="zh-TW" w:eastAsia="zh-TW" w:bidi="zh-TW"/>
    </w:rPr>
  </w:style>
  <w:style w:type="character" w:customStyle="1" w:styleId="201">
    <w:name w:val="未处理的提及4"/>
    <w:basedOn w:val="43"/>
    <w:semiHidden/>
    <w:unhideWhenUsed/>
    <w:qFormat/>
    <w:uiPriority w:val="99"/>
    <w:rPr>
      <w:color w:val="605E5C"/>
      <w:shd w:val="clear" w:color="auto" w:fill="E1DFDD"/>
    </w:rPr>
  </w:style>
  <w:style w:type="paragraph" w:customStyle="1" w:styleId="202">
    <w:name w:val="修订4"/>
    <w:hidden/>
    <w:semiHidden/>
    <w:qFormat/>
    <w:uiPriority w:val="99"/>
    <w:rPr>
      <w:rFonts w:ascii="Calibri" w:hAnsi="Calibri" w:eastAsia="宋体" w:cs="Times New Roman"/>
      <w:kern w:val="2"/>
      <w:sz w:val="21"/>
      <w:szCs w:val="22"/>
      <w:lang w:val="en-US" w:eastAsia="zh-CN" w:bidi="ar-SA"/>
    </w:rPr>
  </w:style>
  <w:style w:type="character" w:customStyle="1" w:styleId="203">
    <w:name w:val="未处理的提及5"/>
    <w:basedOn w:val="43"/>
    <w:semiHidden/>
    <w:unhideWhenUsed/>
    <w:qFormat/>
    <w:uiPriority w:val="99"/>
    <w:rPr>
      <w:color w:val="605E5C"/>
      <w:shd w:val="clear" w:color="auto" w:fill="E1DFDD"/>
    </w:rPr>
  </w:style>
  <w:style w:type="paragraph" w:customStyle="1" w:styleId="204">
    <w:name w:val="修订5"/>
    <w:hidden/>
    <w:semiHidden/>
    <w:qFormat/>
    <w:uiPriority w:val="99"/>
    <w:rPr>
      <w:rFonts w:ascii="Calibri" w:hAnsi="Calibri" w:eastAsia="宋体" w:cs="Times New Roman"/>
      <w:kern w:val="2"/>
      <w:sz w:val="21"/>
      <w:szCs w:val="22"/>
      <w:lang w:val="en-US" w:eastAsia="zh-CN" w:bidi="ar-SA"/>
    </w:rPr>
  </w:style>
  <w:style w:type="paragraph" w:customStyle="1" w:styleId="205">
    <w:name w:val="修订6"/>
    <w:hidden/>
    <w:semiHidden/>
    <w:qFormat/>
    <w:uiPriority w:val="99"/>
    <w:rPr>
      <w:rFonts w:ascii="Calibri" w:hAnsi="Calibri" w:eastAsia="宋体" w:cs="Times New Roman"/>
      <w:kern w:val="2"/>
      <w:sz w:val="21"/>
      <w:szCs w:val="22"/>
      <w:lang w:val="en-US" w:eastAsia="zh-CN" w:bidi="ar-SA"/>
    </w:rPr>
  </w:style>
  <w:style w:type="character" w:customStyle="1" w:styleId="206">
    <w:name w:val="未处理的提及6"/>
    <w:basedOn w:val="43"/>
    <w:semiHidden/>
    <w:unhideWhenUsed/>
    <w:qFormat/>
    <w:uiPriority w:val="99"/>
    <w:rPr>
      <w:color w:val="605E5C"/>
      <w:shd w:val="clear" w:color="auto" w:fill="E1DFDD"/>
    </w:rPr>
  </w:style>
  <w:style w:type="character" w:customStyle="1" w:styleId="207">
    <w:name w:val="未处理的提及7"/>
    <w:basedOn w:val="43"/>
    <w:semiHidden/>
    <w:unhideWhenUsed/>
    <w:qFormat/>
    <w:uiPriority w:val="99"/>
    <w:rPr>
      <w:color w:val="605E5C"/>
      <w:shd w:val="clear" w:color="auto" w:fill="E1DFDD"/>
    </w:rPr>
  </w:style>
  <w:style w:type="paragraph" w:customStyle="1" w:styleId="208">
    <w:name w:val="修订7"/>
    <w:hidden/>
    <w:unhideWhenUsed/>
    <w:qFormat/>
    <w:uiPriority w:val="99"/>
    <w:rPr>
      <w:rFonts w:ascii="Calibri" w:hAnsi="Calibri" w:eastAsia="宋体" w:cs="Times New Roman"/>
      <w:kern w:val="2"/>
      <w:sz w:val="21"/>
      <w:szCs w:val="22"/>
      <w:lang w:val="en-US" w:eastAsia="zh-CN" w:bidi="ar-SA"/>
    </w:rPr>
  </w:style>
  <w:style w:type="paragraph" w:customStyle="1" w:styleId="209">
    <w:name w:val="修订8"/>
    <w:hidden/>
    <w:semiHidden/>
    <w:qFormat/>
    <w:uiPriority w:val="99"/>
    <w:rPr>
      <w:rFonts w:ascii="Calibri" w:hAnsi="Calibri" w:eastAsia="宋体" w:cs="Times New Roman"/>
      <w:kern w:val="2"/>
      <w:sz w:val="21"/>
      <w:szCs w:val="22"/>
      <w:lang w:val="en-US" w:eastAsia="zh-CN" w:bidi="ar-SA"/>
    </w:rPr>
  </w:style>
  <w:style w:type="paragraph" w:customStyle="1" w:styleId="210">
    <w:name w:val="修订9"/>
    <w:hidden/>
    <w:semiHidden/>
    <w:qFormat/>
    <w:uiPriority w:val="99"/>
    <w:rPr>
      <w:rFonts w:ascii="Calibri" w:hAnsi="Calibri" w:eastAsia="宋体" w:cs="Times New Roman"/>
      <w:kern w:val="2"/>
      <w:sz w:val="21"/>
      <w:szCs w:val="22"/>
      <w:lang w:val="en-US" w:eastAsia="zh-CN" w:bidi="ar-SA"/>
    </w:rPr>
  </w:style>
  <w:style w:type="character" w:customStyle="1" w:styleId="211">
    <w:name w:val="未处理的提及8"/>
    <w:basedOn w:val="43"/>
    <w:semiHidden/>
    <w:unhideWhenUsed/>
    <w:qFormat/>
    <w:uiPriority w:val="99"/>
    <w:rPr>
      <w:color w:val="605E5C"/>
      <w:shd w:val="clear" w:color="auto" w:fill="E1DFDD"/>
    </w:rPr>
  </w:style>
  <w:style w:type="paragraph" w:customStyle="1" w:styleId="212">
    <w:name w:val="Revision"/>
    <w:hidden/>
    <w:semiHidden/>
    <w:qFormat/>
    <w:uiPriority w:val="99"/>
    <w:rPr>
      <w:rFonts w:ascii="Calibri" w:hAnsi="Calibri" w:eastAsia="宋体" w:cs="Times New Roman"/>
      <w:kern w:val="2"/>
      <w:sz w:val="21"/>
      <w:szCs w:val="22"/>
      <w:lang w:val="en-US" w:eastAsia="zh-CN" w:bidi="ar-SA"/>
    </w:rPr>
  </w:style>
  <w:style w:type="character" w:styleId="213">
    <w:name w:val="Placeholder Text"/>
    <w:basedOn w:val="43"/>
    <w:semiHidden/>
    <w:qFormat/>
    <w:uiPriority w:val="99"/>
    <w:rPr>
      <w:color w:val="666666"/>
    </w:rPr>
  </w:style>
  <w:style w:type="character" w:customStyle="1" w:styleId="214">
    <w:name w:val="Unresolved Mention"/>
    <w:basedOn w:val="4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8.png"/><Relationship Id="rId5" Type="http://schemas.openxmlformats.org/officeDocument/2006/relationships/header" Target="header1.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http://www.cnsmart.net/shome/hongyan/fl10.gif" TargetMode="External"/><Relationship Id="rId41" Type="http://schemas.openxmlformats.org/officeDocument/2006/relationships/image" Target="media/image10.png"/><Relationship Id="rId40" Type="http://schemas.openxmlformats.org/officeDocument/2006/relationships/image" Target="media/image9.emf"/><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jpeg"/><Relationship Id="rId35" Type="http://schemas.openxmlformats.org/officeDocument/2006/relationships/image" Target="media/image4.jpe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112</Pages>
  <Words>14946</Words>
  <Characters>18729</Characters>
  <Lines>745</Lines>
  <Paragraphs>209</Paragraphs>
  <TotalTime>8</TotalTime>
  <ScaleCrop>false</ScaleCrop>
  <LinksUpToDate>false</LinksUpToDate>
  <CharactersWithSpaces>19780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2024-08-14T08:15:00Z</dcterms:created>
  <dc:creator>Administrator</dc:creator>
  <cp:lastModifiedBy>易燃易爆</cp:lastModifiedBy>
  <cp:lastPrinted>2024-08-05T01:55:00Z</cp:lastPrinted>
  <dcterms:modified xsi:type="dcterms:W3CDTF">2024-11-20T09:36:03Z</dcterms:modified>
  <cp:revision>267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2522CA86DEAE429AB6A6B8E92FBEAF80_13</vt:lpwstr>
  </property>
</Properties>
</file>