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F9AEF">
      <w:pPr>
        <w:spacing w:line="240" w:lineRule="auto"/>
        <w:ind w:firstLine="1320" w:firstLineChars="300"/>
        <w:jc w:val="center"/>
        <w:rPr>
          <w:color w:val="auto"/>
          <w:sz w:val="52"/>
          <w:highlight w:val="none"/>
        </w:rPr>
      </w:pPr>
      <w:bookmarkStart w:id="0" w:name="_Toc24542982"/>
      <w:bookmarkStart w:id="1" w:name="_Toc23843"/>
      <w:bookmarkStart w:id="2" w:name="_Toc26187"/>
      <w:bookmarkStart w:id="3" w:name="_Toc24419"/>
      <w:r>
        <w:rPr>
          <w:rFonts w:eastAsia="黑体"/>
          <w:color w:val="auto"/>
          <w:sz w:val="44"/>
          <w:szCs w:val="44"/>
          <w:highlight w:val="none"/>
        </w:rPr>
        <w:t>广西壮族自治区</w:t>
      </w:r>
      <w:r>
        <w:rPr>
          <w:rFonts w:hint="eastAsia" w:eastAsia="黑体"/>
          <w:color w:val="auto"/>
          <w:sz w:val="44"/>
          <w:szCs w:val="44"/>
          <w:highlight w:val="none"/>
        </w:rPr>
        <w:t>地方</w:t>
      </w:r>
      <w:r>
        <w:rPr>
          <w:rFonts w:eastAsia="黑体"/>
          <w:color w:val="auto"/>
          <w:sz w:val="44"/>
          <w:szCs w:val="44"/>
          <w:highlight w:val="none"/>
        </w:rPr>
        <w:t>标准</w:t>
      </w:r>
      <w:r>
        <w:rPr>
          <w:color w:val="auto"/>
          <w:sz w:val="52"/>
          <w:highlight w:val="none"/>
        </w:rPr>
        <w:t xml:space="preserve">   </w:t>
      </w:r>
      <w:r>
        <w:rPr>
          <w:rFonts w:cs="Times New Roman"/>
          <w:b/>
          <w:color w:val="auto"/>
          <w:kern w:val="2"/>
          <w:sz w:val="84"/>
          <w:szCs w:val="84"/>
          <w:highlight w:val="none"/>
          <w:lang w:eastAsia="zh-CN"/>
        </w:rPr>
        <w:t>DBJ</w:t>
      </w:r>
    </w:p>
    <w:p w14:paraId="5AB978C5">
      <w:pPr>
        <w:wordWrap w:val="0"/>
        <w:ind w:right="987"/>
        <w:jc w:val="right"/>
        <w:rPr>
          <w:rFonts w:eastAsia="黑体"/>
          <w:color w:val="auto"/>
          <w:szCs w:val="21"/>
          <w:highlight w:val="none"/>
        </w:rPr>
      </w:pPr>
      <w:r>
        <w:rPr>
          <w:rFonts w:eastAsia="黑体"/>
          <w:color w:val="auto"/>
          <w:szCs w:val="21"/>
          <w:highlight w:val="none"/>
        </w:rPr>
        <w:t>DBJ/T45-XXX-20</w:t>
      </w:r>
      <w:r>
        <w:rPr>
          <w:rFonts w:hint="eastAsia" w:eastAsia="黑体"/>
          <w:color w:val="auto"/>
          <w:szCs w:val="21"/>
          <w:highlight w:val="none"/>
        </w:rPr>
        <w:t>24</w:t>
      </w:r>
    </w:p>
    <w:p w14:paraId="6ED9B2B5">
      <w:pPr>
        <w:ind w:right="26"/>
        <w:rPr>
          <w:rFonts w:eastAsia="黑体"/>
          <w:color w:val="auto"/>
          <w:szCs w:val="21"/>
          <w:highlight w:val="none"/>
        </w:rPr>
      </w:pPr>
      <w:r>
        <w:rPr>
          <w:rFonts w:eastAsia="黑体"/>
          <w:color w:val="auto"/>
          <w:szCs w:val="21"/>
          <w:highlight w:val="none"/>
        </w:rPr>
        <w:t xml:space="preserve">                                                                  备案号xxxxxx</w:t>
      </w:r>
    </w:p>
    <w:p w14:paraId="046CF9C6">
      <w:pPr>
        <w:ind w:right="26"/>
        <w:rPr>
          <w:rFonts w:eastAsia="黑体"/>
          <w:color w:val="auto"/>
          <w:szCs w:val="21"/>
          <w:highlight w:val="none"/>
        </w:rPr>
      </w:pPr>
      <w:r>
        <w:rPr>
          <w:b/>
          <w:color w:val="auto"/>
          <w:sz w:val="52"/>
          <w:highlight w:val="none"/>
        </w:rPr>
        <mc:AlternateContent>
          <mc:Choice Requires="wps">
            <w:drawing>
              <wp:anchor distT="0" distB="0" distL="114300" distR="114300" simplePos="0" relativeHeight="251663360" behindDoc="0" locked="0" layoutInCell="1" allowOverlap="1">
                <wp:simplePos x="0" y="0"/>
                <wp:positionH relativeFrom="column">
                  <wp:posOffset>147955</wp:posOffset>
                </wp:positionH>
                <wp:positionV relativeFrom="paragraph">
                  <wp:posOffset>220345</wp:posOffset>
                </wp:positionV>
                <wp:extent cx="5791835" cy="0"/>
                <wp:effectExtent l="0" t="13970" r="18415" b="24130"/>
                <wp:wrapNone/>
                <wp:docPr id="32" name="直接连接符 32"/>
                <wp:cNvGraphicFramePr/>
                <a:graphic xmlns:a="http://schemas.openxmlformats.org/drawingml/2006/main">
                  <a:graphicData uri="http://schemas.microsoft.com/office/word/2010/wordprocessingShape">
                    <wps:wsp>
                      <wps:cNvCnPr/>
                      <wps:spPr>
                        <a:xfrm>
                          <a:off x="0" y="0"/>
                          <a:ext cx="5791835" cy="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65pt;margin-top:17.35pt;height:0pt;width:456.05pt;z-index:251663360;mso-width-relative:page;mso-height-relative:page;" filled="f" stroked="t" coordsize="21600,21600" o:gfxdata="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oSZxtcAAAAIAQAADwAAAAAAAAABACAAAAAiAAAAZHJzL2Rvd25yZXYu&#10;eG1sUEsBAhQAFAAAAAgAh07iQOn8PI38AQAA9QMAAA4AAAAAAAAAAQAgAAAAJgEAAGRycy9lMm9E&#10;b2MueG1sUEsFBgAAAAAGAAYAWQEAAJQFAAAAAA==&#10;">
                <v:fill on="f" focussize="0,0"/>
                <v:stroke weight="2.25pt" color="#000000" joinstyle="round"/>
                <v:imagedata o:title=""/>
                <o:lock v:ext="edit" aspectratio="f"/>
              </v:line>
            </w:pict>
          </mc:Fallback>
        </mc:AlternateContent>
      </w:r>
    </w:p>
    <w:p w14:paraId="55418EF8">
      <w:pPr>
        <w:spacing w:line="240" w:lineRule="auto"/>
        <w:jc w:val="center"/>
        <w:rPr>
          <w:rFonts w:hint="eastAsia" w:eastAsia="宋体"/>
          <w:b/>
          <w:color w:val="auto"/>
          <w:sz w:val="56"/>
          <w:szCs w:val="56"/>
          <w:highlight w:val="none"/>
          <w:u w:val="none"/>
          <w:lang w:eastAsia="zh-CN"/>
        </w:rPr>
      </w:pPr>
      <w:r>
        <w:rPr>
          <w:rFonts w:hint="eastAsia"/>
          <w:b/>
          <w:color w:val="auto"/>
          <w:sz w:val="56"/>
          <w:szCs w:val="56"/>
          <w:highlight w:val="none"/>
          <w:u w:val="none"/>
        </w:rPr>
        <w:t>现代木结构技术</w:t>
      </w:r>
      <w:r>
        <w:rPr>
          <w:rFonts w:hint="eastAsia"/>
          <w:b/>
          <w:color w:val="auto"/>
          <w:sz w:val="56"/>
          <w:szCs w:val="56"/>
          <w:highlight w:val="none"/>
          <w:u w:val="none"/>
          <w:lang w:eastAsia="zh-CN"/>
        </w:rPr>
        <w:t>规程</w:t>
      </w:r>
    </w:p>
    <w:p w14:paraId="3F8FB927">
      <w:pPr>
        <w:jc w:val="center"/>
        <w:rPr>
          <w:color w:val="auto"/>
          <w:highlight w:val="none"/>
          <w:u w:val="none"/>
        </w:rPr>
      </w:pPr>
      <w:r>
        <w:rPr>
          <w:rFonts w:hint="eastAsia"/>
          <w:color w:val="auto"/>
          <w:sz w:val="28"/>
          <w:szCs w:val="28"/>
          <w:highlight w:val="none"/>
          <w:u w:val="none"/>
          <w:lang w:val="en-US" w:eastAsia="zh-CN"/>
        </w:rPr>
        <w:t>T</w:t>
      </w:r>
      <w:r>
        <w:rPr>
          <w:rFonts w:hint="eastAsia"/>
          <w:color w:val="auto"/>
          <w:sz w:val="28"/>
          <w:szCs w:val="28"/>
          <w:highlight w:val="none"/>
          <w:u w:val="none"/>
        </w:rPr>
        <w:t xml:space="preserve">echnical </w:t>
      </w:r>
      <w:r>
        <w:rPr>
          <w:rFonts w:hint="eastAsia"/>
          <w:color w:val="auto"/>
          <w:sz w:val="28"/>
          <w:szCs w:val="28"/>
          <w:highlight w:val="none"/>
          <w:u w:val="none"/>
          <w:lang w:val="en-US" w:eastAsia="zh-CN"/>
        </w:rPr>
        <w:t>R</w:t>
      </w:r>
      <w:r>
        <w:rPr>
          <w:rFonts w:hint="eastAsia"/>
          <w:color w:val="auto"/>
          <w:sz w:val="28"/>
          <w:szCs w:val="28"/>
          <w:highlight w:val="none"/>
          <w:u w:val="none"/>
        </w:rPr>
        <w:t>egulations for Modern Wooden Structure Buildings</w:t>
      </w:r>
    </w:p>
    <w:p w14:paraId="4133085A">
      <w:pPr>
        <w:jc w:val="center"/>
        <w:rPr>
          <w:color w:val="auto"/>
          <w:highlight w:val="none"/>
        </w:rPr>
      </w:pPr>
    </w:p>
    <w:p w14:paraId="04A446A9">
      <w:pPr>
        <w:jc w:val="center"/>
        <w:rPr>
          <w:color w:val="auto"/>
          <w:highlight w:val="none"/>
        </w:rPr>
      </w:pPr>
    </w:p>
    <w:p w14:paraId="04F96270">
      <w:pPr>
        <w:jc w:val="center"/>
        <w:rPr>
          <w:color w:val="auto"/>
          <w:highlight w:val="none"/>
        </w:rPr>
      </w:pPr>
    </w:p>
    <w:p w14:paraId="7ACADAC6">
      <w:pPr>
        <w:jc w:val="center"/>
        <w:rPr>
          <w:color w:val="auto"/>
          <w:highlight w:val="none"/>
        </w:rPr>
      </w:pPr>
    </w:p>
    <w:p w14:paraId="28746C2F">
      <w:pPr>
        <w:jc w:val="center"/>
        <w:rPr>
          <w:color w:val="auto"/>
          <w:highlight w:val="none"/>
        </w:rPr>
      </w:pPr>
    </w:p>
    <w:p w14:paraId="3E2FBB54">
      <w:pPr>
        <w:jc w:val="center"/>
        <w:rPr>
          <w:color w:val="auto"/>
          <w:highlight w:val="none"/>
        </w:rPr>
      </w:pPr>
    </w:p>
    <w:p w14:paraId="790B1005">
      <w:pPr>
        <w:jc w:val="center"/>
        <w:rPr>
          <w:color w:val="auto"/>
          <w:highlight w:val="none"/>
        </w:rPr>
      </w:pPr>
    </w:p>
    <w:p w14:paraId="115EC67D">
      <w:pPr>
        <w:jc w:val="center"/>
        <w:rPr>
          <w:color w:val="auto"/>
          <w:highlight w:val="none"/>
        </w:rPr>
      </w:pPr>
    </w:p>
    <w:p w14:paraId="034820F4">
      <w:pPr>
        <w:jc w:val="center"/>
        <w:rPr>
          <w:color w:val="auto"/>
          <w:highlight w:val="none"/>
        </w:rPr>
      </w:pPr>
    </w:p>
    <w:p w14:paraId="0F3C311A">
      <w:pPr>
        <w:jc w:val="center"/>
        <w:rPr>
          <w:color w:val="auto"/>
          <w:highlight w:val="none"/>
        </w:rPr>
      </w:pPr>
    </w:p>
    <w:p w14:paraId="1154EE61">
      <w:pPr>
        <w:jc w:val="center"/>
        <w:rPr>
          <w:color w:val="auto"/>
          <w:highlight w:val="none"/>
        </w:rPr>
      </w:pPr>
    </w:p>
    <w:p w14:paraId="2287123E">
      <w:pPr>
        <w:jc w:val="center"/>
        <w:rPr>
          <w:color w:val="auto"/>
          <w:highlight w:val="none"/>
        </w:rPr>
      </w:pPr>
    </w:p>
    <w:p w14:paraId="0C71BA12">
      <w:pPr>
        <w:jc w:val="center"/>
        <w:rPr>
          <w:color w:val="auto"/>
          <w:highlight w:val="none"/>
        </w:rPr>
      </w:pPr>
    </w:p>
    <w:p w14:paraId="65E68E13">
      <w:pPr>
        <w:rPr>
          <w:color w:val="auto"/>
          <w:highlight w:val="none"/>
        </w:rPr>
      </w:pPr>
    </w:p>
    <w:p w14:paraId="3F87039F">
      <w:pPr>
        <w:jc w:val="center"/>
        <w:rPr>
          <w:color w:val="auto"/>
          <w:highlight w:val="none"/>
        </w:rPr>
      </w:pPr>
    </w:p>
    <w:p w14:paraId="464696E7">
      <w:pPr>
        <w:jc w:val="center"/>
        <w:rPr>
          <w:color w:val="auto"/>
          <w:highlight w:val="none"/>
        </w:rPr>
      </w:pPr>
    </w:p>
    <w:p w14:paraId="4BF975F3">
      <w:pPr>
        <w:jc w:val="center"/>
        <w:rPr>
          <w:color w:val="auto"/>
          <w:highlight w:val="none"/>
        </w:rPr>
      </w:pPr>
    </w:p>
    <w:p w14:paraId="2F2179BB">
      <w:pPr>
        <w:jc w:val="center"/>
        <w:rPr>
          <w:color w:val="auto"/>
          <w:highlight w:val="none"/>
        </w:rPr>
      </w:pPr>
      <w:r>
        <w:rPr>
          <w:rFonts w:hint="eastAsia"/>
          <w:color w:val="auto"/>
          <w:highlight w:val="none"/>
        </w:rPr>
        <w:t>202</w:t>
      </w:r>
      <w:r>
        <w:rPr>
          <w:color w:val="auto"/>
          <w:highlight w:val="none"/>
        </w:rPr>
        <w:t xml:space="preserve">X－XX－XX 发布                                  </w:t>
      </w:r>
      <w:r>
        <w:rPr>
          <w:rFonts w:hint="eastAsia"/>
          <w:color w:val="auto"/>
          <w:highlight w:val="none"/>
        </w:rPr>
        <w:t>202</w:t>
      </w:r>
      <w:r>
        <w:rPr>
          <w:color w:val="auto"/>
          <w:highlight w:val="none"/>
        </w:rPr>
        <w:t>X－XX－XX 实施</w:t>
      </w:r>
    </w:p>
    <w:p w14:paraId="71D05F2F">
      <w:pPr>
        <w:ind w:firstLine="1044"/>
        <w:jc w:val="center"/>
        <w:rPr>
          <w:color w:val="auto"/>
          <w:highlight w:val="none"/>
        </w:rPr>
      </w:pPr>
      <w:r>
        <w:rPr>
          <w:b/>
          <w:color w:val="auto"/>
          <w:sz w:val="52"/>
          <w:highlight w:val="none"/>
        </w:rPr>
        <mc:AlternateContent>
          <mc:Choice Requires="wps">
            <w:drawing>
              <wp:anchor distT="0" distB="0" distL="114300" distR="114300" simplePos="0" relativeHeight="251662336" behindDoc="0" locked="0" layoutInCell="1" allowOverlap="1">
                <wp:simplePos x="0" y="0"/>
                <wp:positionH relativeFrom="column">
                  <wp:posOffset>147955</wp:posOffset>
                </wp:positionH>
                <wp:positionV relativeFrom="paragraph">
                  <wp:posOffset>91440</wp:posOffset>
                </wp:positionV>
                <wp:extent cx="5791835" cy="0"/>
                <wp:effectExtent l="0" t="13970" r="18415" b="24130"/>
                <wp:wrapNone/>
                <wp:docPr id="30" name="直接连接符 30"/>
                <wp:cNvGraphicFramePr/>
                <a:graphic xmlns:a="http://schemas.openxmlformats.org/drawingml/2006/main">
                  <a:graphicData uri="http://schemas.microsoft.com/office/word/2010/wordprocessingShape">
                    <wps:wsp>
                      <wps:cNvCnPr/>
                      <wps:spPr>
                        <a:xfrm>
                          <a:off x="0" y="0"/>
                          <a:ext cx="5791835" cy="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65pt;margin-top:7.2pt;height:0pt;width:456.05pt;z-index:251662336;mso-width-relative:page;mso-height-relative:page;" filled="f" stroked="t" coordsize="21600,21600" o:gfxdata="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2FiyXWAAAACAEAAA8AAAAAAAAAAQAgAAAAIgAAAGRycy9kb3ducmV2Lnht&#10;bFBLAQIUABQAAAAIAIdO4kARn3Ei+wEAAPUDAAAOAAAAAAAAAAEAIAAAACUBAABkcnMvZTJvRG9j&#10;LnhtbFBLBQYAAAAABgAGAFkBAACSBQAAAAA=&#10;">
                <v:fill on="f" focussize="0,0"/>
                <v:stroke weight="2.25pt" color="#000000" joinstyle="round"/>
                <v:imagedata o:title=""/>
                <o:lock v:ext="edit" aspectratio="f"/>
              </v:line>
            </w:pict>
          </mc:Fallback>
        </mc:AlternateContent>
      </w:r>
    </w:p>
    <w:p w14:paraId="6673AFE2">
      <w:pPr>
        <w:pStyle w:val="49"/>
        <w:rPr>
          <w:color w:val="auto"/>
          <w:highlight w:val="none"/>
        </w:rPr>
      </w:pPr>
      <w:r>
        <w:rPr>
          <w:color w:val="auto"/>
          <w:highlight w:val="none"/>
        </w:rPr>
        <w:t>广西壮族自治区住房和城乡建设厅  发布</w:t>
      </w:r>
    </w:p>
    <w:p w14:paraId="20995204">
      <w:pPr>
        <w:rPr>
          <w:color w:val="auto"/>
          <w:highlight w:val="none"/>
        </w:rPr>
      </w:pPr>
    </w:p>
    <w:p w14:paraId="493E775A">
      <w:pPr>
        <w:pStyle w:val="39"/>
        <w:ind w:firstLine="0" w:firstLineChars="0"/>
        <w:rPr>
          <w:rFonts w:ascii="Times New Roman"/>
          <w:color w:val="auto"/>
          <w:szCs w:val="21"/>
          <w:highlight w:val="none"/>
        </w:rPr>
        <w:sectPr>
          <w:footerReference r:id="rId7" w:type="first"/>
          <w:headerReference r:id="rId5" w:type="default"/>
          <w:footerReference r:id="rId6" w:type="even"/>
          <w:pgSz w:w="11906" w:h="16838"/>
          <w:pgMar w:top="1134" w:right="1020" w:bottom="1134" w:left="1020" w:header="284" w:footer="284" w:gutter="0"/>
          <w:cols w:space="720" w:num="1"/>
          <w:docGrid w:linePitch="312" w:charSpace="0"/>
        </w:sectPr>
      </w:pPr>
    </w:p>
    <w:p w14:paraId="6FA4E2F1">
      <w:pPr>
        <w:jc w:val="center"/>
        <w:outlineLvl w:val="4"/>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前    言</w:t>
      </w:r>
      <w:bookmarkEnd w:id="0"/>
    </w:p>
    <w:p w14:paraId="59ABE907">
      <w:pPr>
        <w:ind w:firstLine="480" w:firstLineChars="200"/>
        <w:rPr>
          <w:bCs/>
          <w:color w:val="auto"/>
          <w:szCs w:val="24"/>
          <w:highlight w:val="none"/>
          <w:lang w:eastAsia="zh-CN"/>
        </w:rPr>
      </w:pPr>
    </w:p>
    <w:p w14:paraId="596776DF">
      <w:pPr>
        <w:ind w:firstLine="480" w:firstLineChars="200"/>
        <w:rPr>
          <w:bCs/>
          <w:color w:val="auto"/>
          <w:szCs w:val="24"/>
          <w:highlight w:val="none"/>
          <w:lang w:eastAsia="zh-CN"/>
        </w:rPr>
      </w:pPr>
      <w:r>
        <w:rPr>
          <w:rFonts w:hint="eastAsia"/>
          <w:bCs/>
          <w:color w:val="auto"/>
          <w:szCs w:val="24"/>
          <w:highlight w:val="none"/>
          <w:lang w:eastAsia="zh-CN"/>
        </w:rPr>
        <w:t>根据广西壮族自治区住房和城乡建设厅《自治区住房城乡建设厅关于下达2023年度全区工程建设地方标准制（修）订项目计划的通知》（桂建标〔2023〕15号）的要求，依据国家标准及政策的相关要求，结合广西地方气候特点、资源状况、地区经济和技术发展水平，总结现代木结构建筑设计及实践经验，并在广泛征求意见的基础上，制定本标准。</w:t>
      </w:r>
    </w:p>
    <w:p w14:paraId="4A05C30D">
      <w:pPr>
        <w:ind w:firstLine="480" w:firstLineChars="200"/>
        <w:rPr>
          <w:bCs/>
          <w:color w:val="auto"/>
          <w:szCs w:val="24"/>
          <w:highlight w:val="none"/>
          <w:lang w:eastAsia="zh-CN"/>
        </w:rPr>
      </w:pPr>
      <w:r>
        <w:rPr>
          <w:rFonts w:hint="eastAsia"/>
          <w:bCs/>
          <w:color w:val="auto"/>
          <w:szCs w:val="24"/>
          <w:highlight w:val="none"/>
          <w:lang w:eastAsia="zh-CN"/>
        </w:rPr>
        <w:t>本标准共分为13章，主要技术内容包括：总则、术语和符号、基本规定、材料、结构设计、轻型木结构、方木原木结构、胶合木结构、节能与隔声设计、防火设计、防护设计、制作安装与验收、使用和维护。</w:t>
      </w:r>
    </w:p>
    <w:p w14:paraId="06E208C1">
      <w:pPr>
        <w:ind w:firstLine="480" w:firstLineChars="200"/>
        <w:rPr>
          <w:bCs/>
          <w:color w:val="auto"/>
          <w:szCs w:val="24"/>
          <w:highlight w:val="none"/>
          <w:lang w:eastAsia="zh-CN"/>
        </w:rPr>
      </w:pPr>
      <w:r>
        <w:rPr>
          <w:rFonts w:hint="eastAsia"/>
          <w:bCs/>
          <w:color w:val="auto"/>
          <w:szCs w:val="24"/>
          <w:highlight w:val="none"/>
          <w:lang w:eastAsia="zh-CN"/>
        </w:rPr>
        <w:t>本标准由广西壮族自治区住房和城乡建设厅负责管理，由广西壮族自治区建筑科学研究设计院负责具体技术内容的解释。本标准在执行过程中，请各单位结合工程实践，认真总结经验，并将有关意见和建议随时函告广西壮族自治区建筑科学研究设计院（地址：南宁市北大南路17号，邮编：530005），以供今后修订时参考。</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3"/>
        <w:gridCol w:w="4453"/>
      </w:tblGrid>
      <w:tr w14:paraId="2E88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3" w:type="dxa"/>
          </w:tcPr>
          <w:p w14:paraId="3F384905">
            <w:pPr>
              <w:jc w:val="both"/>
              <w:rPr>
                <w:bCs/>
                <w:color w:val="auto"/>
                <w:szCs w:val="24"/>
                <w:highlight w:val="none"/>
                <w:lang w:eastAsia="zh-CN"/>
              </w:rPr>
            </w:pPr>
            <w:r>
              <w:rPr>
                <w:rFonts w:hint="eastAsia"/>
                <w:bCs/>
                <w:color w:val="auto"/>
                <w:szCs w:val="24"/>
                <w:highlight w:val="none"/>
                <w:lang w:eastAsia="zh-CN"/>
              </w:rPr>
              <w:t>主 编 单 位：</w:t>
            </w:r>
          </w:p>
        </w:tc>
        <w:tc>
          <w:tcPr>
            <w:tcW w:w="4453" w:type="dxa"/>
          </w:tcPr>
          <w:p w14:paraId="09FD4096">
            <w:pPr>
              <w:jc w:val="both"/>
              <w:rPr>
                <w:bCs/>
                <w:color w:val="auto"/>
                <w:szCs w:val="24"/>
                <w:highlight w:val="none"/>
                <w:lang w:eastAsia="zh-CN"/>
              </w:rPr>
            </w:pPr>
            <w:r>
              <w:rPr>
                <w:rFonts w:hint="eastAsia"/>
                <w:bCs/>
                <w:color w:val="auto"/>
                <w:szCs w:val="24"/>
                <w:highlight w:val="none"/>
                <w:lang w:eastAsia="zh-CN"/>
              </w:rPr>
              <w:t>广西壮族自治区建筑科学研究设计院</w:t>
            </w:r>
          </w:p>
        </w:tc>
      </w:tr>
      <w:tr w14:paraId="0D148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3" w:type="dxa"/>
          </w:tcPr>
          <w:p w14:paraId="7FE98690">
            <w:pPr>
              <w:jc w:val="both"/>
              <w:rPr>
                <w:bCs/>
                <w:color w:val="auto"/>
                <w:szCs w:val="24"/>
                <w:highlight w:val="none"/>
                <w:lang w:eastAsia="zh-CN"/>
              </w:rPr>
            </w:pPr>
            <w:r>
              <w:rPr>
                <w:rFonts w:hint="eastAsia"/>
                <w:bCs/>
                <w:color w:val="auto"/>
                <w:szCs w:val="24"/>
                <w:highlight w:val="none"/>
                <w:lang w:eastAsia="zh-CN"/>
              </w:rPr>
              <w:t>参 编 单 位：</w:t>
            </w:r>
          </w:p>
        </w:tc>
        <w:tc>
          <w:tcPr>
            <w:tcW w:w="4453" w:type="dxa"/>
          </w:tcPr>
          <w:p w14:paraId="75FA7005">
            <w:pPr>
              <w:jc w:val="both"/>
              <w:rPr>
                <w:bCs/>
                <w:color w:val="auto"/>
                <w:szCs w:val="24"/>
                <w:highlight w:val="none"/>
                <w:lang w:eastAsia="zh-CN"/>
              </w:rPr>
            </w:pPr>
            <w:r>
              <w:rPr>
                <w:rFonts w:hint="eastAsia"/>
                <w:bCs/>
                <w:color w:val="auto"/>
                <w:szCs w:val="24"/>
                <w:highlight w:val="none"/>
                <w:lang w:eastAsia="zh-CN"/>
              </w:rPr>
              <w:t>广西壮族自治区林业科学研究院</w:t>
            </w:r>
          </w:p>
        </w:tc>
      </w:tr>
      <w:tr w14:paraId="1C736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3" w:type="dxa"/>
          </w:tcPr>
          <w:p w14:paraId="3C774F31">
            <w:pPr>
              <w:jc w:val="both"/>
              <w:rPr>
                <w:bCs/>
                <w:color w:val="auto"/>
                <w:szCs w:val="24"/>
                <w:highlight w:val="none"/>
                <w:lang w:eastAsia="zh-CN"/>
              </w:rPr>
            </w:pPr>
          </w:p>
        </w:tc>
        <w:tc>
          <w:tcPr>
            <w:tcW w:w="4453" w:type="dxa"/>
          </w:tcPr>
          <w:p w14:paraId="16EA5D26">
            <w:pPr>
              <w:jc w:val="both"/>
              <w:rPr>
                <w:bCs/>
                <w:color w:val="auto"/>
                <w:szCs w:val="24"/>
                <w:highlight w:val="none"/>
                <w:lang w:eastAsia="zh-CN"/>
              </w:rPr>
            </w:pPr>
            <w:r>
              <w:rPr>
                <w:rFonts w:hint="eastAsia"/>
                <w:bCs/>
                <w:color w:val="auto"/>
                <w:szCs w:val="24"/>
                <w:highlight w:val="none"/>
                <w:lang w:eastAsia="zh-CN"/>
              </w:rPr>
              <w:t>广西建设职业技术学院</w:t>
            </w:r>
          </w:p>
        </w:tc>
      </w:tr>
      <w:tr w14:paraId="23B5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3" w:type="dxa"/>
          </w:tcPr>
          <w:p w14:paraId="2FE3BF8A">
            <w:pPr>
              <w:jc w:val="both"/>
              <w:rPr>
                <w:bCs/>
                <w:color w:val="auto"/>
                <w:szCs w:val="24"/>
                <w:highlight w:val="none"/>
                <w:lang w:eastAsia="zh-CN"/>
              </w:rPr>
            </w:pPr>
          </w:p>
        </w:tc>
        <w:tc>
          <w:tcPr>
            <w:tcW w:w="4453" w:type="dxa"/>
          </w:tcPr>
          <w:p w14:paraId="41C21E67">
            <w:pPr>
              <w:jc w:val="both"/>
              <w:rPr>
                <w:bCs/>
                <w:color w:val="auto"/>
                <w:szCs w:val="24"/>
                <w:highlight w:val="none"/>
                <w:lang w:eastAsia="zh-CN"/>
              </w:rPr>
            </w:pPr>
            <w:r>
              <w:rPr>
                <w:rFonts w:hint="eastAsia"/>
                <w:bCs/>
                <w:color w:val="auto"/>
                <w:szCs w:val="24"/>
                <w:highlight w:val="none"/>
                <w:lang w:eastAsia="zh-CN"/>
              </w:rPr>
              <w:t>广西加拿卑斯建设工程有限公司</w:t>
            </w:r>
          </w:p>
        </w:tc>
      </w:tr>
      <w:tr w14:paraId="0A3FB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3" w:type="dxa"/>
          </w:tcPr>
          <w:p w14:paraId="7444AE2E">
            <w:pPr>
              <w:jc w:val="both"/>
              <w:rPr>
                <w:bCs/>
                <w:color w:val="auto"/>
                <w:szCs w:val="24"/>
                <w:highlight w:val="none"/>
                <w:lang w:eastAsia="zh-CN"/>
              </w:rPr>
            </w:pPr>
            <w:r>
              <w:rPr>
                <w:rFonts w:hint="eastAsia"/>
                <w:bCs/>
                <w:color w:val="auto"/>
                <w:szCs w:val="24"/>
                <w:highlight w:val="none"/>
                <w:lang w:eastAsia="zh-CN"/>
              </w:rPr>
              <w:t>主要起草人员：</w:t>
            </w:r>
          </w:p>
        </w:tc>
        <w:tc>
          <w:tcPr>
            <w:tcW w:w="4453" w:type="dxa"/>
          </w:tcPr>
          <w:p w14:paraId="1560ABE9">
            <w:pPr>
              <w:jc w:val="both"/>
              <w:rPr>
                <w:bCs/>
                <w:color w:val="auto"/>
                <w:szCs w:val="24"/>
                <w:highlight w:val="none"/>
                <w:lang w:eastAsia="zh-CN"/>
              </w:rPr>
            </w:pPr>
          </w:p>
        </w:tc>
      </w:tr>
      <w:tr w14:paraId="12200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3" w:type="dxa"/>
          </w:tcPr>
          <w:p w14:paraId="6635B41A">
            <w:pPr>
              <w:jc w:val="both"/>
              <w:rPr>
                <w:bCs/>
                <w:color w:val="auto"/>
                <w:szCs w:val="24"/>
                <w:highlight w:val="none"/>
                <w:lang w:eastAsia="zh-CN"/>
              </w:rPr>
            </w:pPr>
            <w:r>
              <w:rPr>
                <w:rFonts w:hint="eastAsia"/>
                <w:bCs/>
                <w:color w:val="auto"/>
                <w:szCs w:val="24"/>
                <w:highlight w:val="none"/>
                <w:lang w:eastAsia="zh-CN"/>
              </w:rPr>
              <w:t>主要审查人员：</w:t>
            </w:r>
          </w:p>
        </w:tc>
        <w:tc>
          <w:tcPr>
            <w:tcW w:w="4453" w:type="dxa"/>
          </w:tcPr>
          <w:p w14:paraId="1E413FE7">
            <w:pPr>
              <w:jc w:val="both"/>
              <w:rPr>
                <w:bCs/>
                <w:color w:val="auto"/>
                <w:szCs w:val="24"/>
                <w:highlight w:val="none"/>
                <w:lang w:eastAsia="zh-CN"/>
              </w:rPr>
            </w:pPr>
          </w:p>
        </w:tc>
      </w:tr>
    </w:tbl>
    <w:p w14:paraId="22389EB5">
      <w:pPr>
        <w:rPr>
          <w:color w:val="auto"/>
          <w:highlight w:val="none"/>
        </w:rPr>
        <w:sectPr>
          <w:headerReference r:id="rId8" w:type="default"/>
          <w:footerReference r:id="rId9" w:type="default"/>
          <w:pgSz w:w="11906" w:h="16838"/>
          <w:pgMar w:top="1134" w:right="1020" w:bottom="1134" w:left="1020" w:header="851" w:footer="851" w:gutter="0"/>
          <w:pgNumType w:start="1"/>
          <w:cols w:space="720" w:num="1"/>
          <w:docGrid w:type="lines" w:linePitch="312" w:charSpace="0"/>
        </w:sectPr>
      </w:pPr>
    </w:p>
    <w:p w14:paraId="0660DDDE">
      <w:pPr>
        <w:autoSpaceDE w:val="0"/>
        <w:autoSpaceDN w:val="0"/>
        <w:jc w:val="center"/>
        <w:outlineLvl w:val="4"/>
        <w:rPr>
          <w:rFonts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目</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b/>
          <w:bCs/>
          <w:color w:val="auto"/>
          <w:sz w:val="28"/>
          <w:szCs w:val="28"/>
          <w:highlight w:val="none"/>
          <w:lang w:val="zh-CN"/>
        </w:rPr>
        <w:t>次</w:t>
      </w:r>
    </w:p>
    <w:p w14:paraId="6802AF2C">
      <w:pPr>
        <w:autoSpaceDE w:val="0"/>
        <w:autoSpaceDN w:val="0"/>
        <w:jc w:val="center"/>
        <w:rPr>
          <w:color w:val="auto"/>
          <w:highlight w:val="none"/>
        </w:rPr>
      </w:pPr>
    </w:p>
    <w:p w14:paraId="4601ADD9">
      <w:pPr>
        <w:pStyle w:val="12"/>
        <w:tabs>
          <w:tab w:val="right" w:leader="dot" w:pos="9582"/>
        </w:tabs>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highlight w:val="none"/>
        </w:rPr>
        <w:instrText xml:space="preserve"> HYPERLINK \l _Toc25357 </w:instrText>
      </w:r>
      <w:r>
        <w:rPr>
          <w:highlight w:val="none"/>
        </w:rPr>
        <w:fldChar w:fldCharType="separate"/>
      </w:r>
      <w:r>
        <w:rPr>
          <w:rFonts w:hint="eastAsia"/>
          <w:highlight w:val="none"/>
          <w:lang w:eastAsia="zh-CN"/>
        </w:rPr>
        <w:t>1  总  则</w:t>
      </w:r>
      <w:r>
        <w:tab/>
      </w:r>
      <w:r>
        <w:fldChar w:fldCharType="begin"/>
      </w:r>
      <w:r>
        <w:instrText xml:space="preserve"> PAGEREF _Toc25357 \h </w:instrText>
      </w:r>
      <w:r>
        <w:fldChar w:fldCharType="separate"/>
      </w:r>
      <w:r>
        <w:t>1</w:t>
      </w:r>
      <w:r>
        <w:fldChar w:fldCharType="end"/>
      </w:r>
      <w:r>
        <w:rPr>
          <w:color w:val="auto"/>
          <w:highlight w:val="none"/>
        </w:rPr>
        <w:fldChar w:fldCharType="end"/>
      </w:r>
    </w:p>
    <w:p w14:paraId="13376104">
      <w:pPr>
        <w:pStyle w:val="12"/>
        <w:tabs>
          <w:tab w:val="right" w:leader="dot" w:pos="9582"/>
        </w:tabs>
      </w:pPr>
      <w:r>
        <w:rPr>
          <w:color w:val="auto"/>
          <w:highlight w:val="none"/>
        </w:rPr>
        <w:fldChar w:fldCharType="begin"/>
      </w:r>
      <w:r>
        <w:rPr>
          <w:highlight w:val="none"/>
        </w:rPr>
        <w:instrText xml:space="preserve"> HYPERLINK \l _Toc28111 </w:instrText>
      </w:r>
      <w:r>
        <w:rPr>
          <w:highlight w:val="none"/>
        </w:rPr>
        <w:fldChar w:fldCharType="separate"/>
      </w:r>
      <w:r>
        <w:rPr>
          <w:highlight w:val="none"/>
        </w:rPr>
        <w:t>2</w:t>
      </w:r>
      <w:r>
        <w:rPr>
          <w:rFonts w:hint="eastAsia"/>
          <w:highlight w:val="none"/>
          <w:lang w:eastAsia="zh-CN"/>
        </w:rPr>
        <w:t xml:space="preserve">  </w:t>
      </w:r>
      <w:r>
        <w:rPr>
          <w:rFonts w:hint="eastAsia"/>
          <w:highlight w:val="none"/>
        </w:rPr>
        <w:t>术语和符号</w:t>
      </w:r>
      <w:r>
        <w:tab/>
      </w:r>
      <w:r>
        <w:fldChar w:fldCharType="begin"/>
      </w:r>
      <w:r>
        <w:instrText xml:space="preserve"> PAGEREF _Toc28111 \h </w:instrText>
      </w:r>
      <w:r>
        <w:fldChar w:fldCharType="separate"/>
      </w:r>
      <w:r>
        <w:t>2</w:t>
      </w:r>
      <w:r>
        <w:fldChar w:fldCharType="end"/>
      </w:r>
      <w:r>
        <w:rPr>
          <w:color w:val="auto"/>
          <w:highlight w:val="none"/>
        </w:rPr>
        <w:fldChar w:fldCharType="end"/>
      </w:r>
    </w:p>
    <w:p w14:paraId="0E564B1F">
      <w:pPr>
        <w:pStyle w:val="13"/>
        <w:tabs>
          <w:tab w:val="right" w:leader="dot" w:pos="9582"/>
        </w:tabs>
      </w:pPr>
      <w:r>
        <w:rPr>
          <w:color w:val="auto"/>
          <w:highlight w:val="none"/>
        </w:rPr>
        <w:fldChar w:fldCharType="begin"/>
      </w:r>
      <w:r>
        <w:rPr>
          <w:highlight w:val="none"/>
        </w:rPr>
        <w:instrText xml:space="preserve"> HYPERLINK \l _Toc30029 </w:instrText>
      </w:r>
      <w:r>
        <w:rPr>
          <w:highlight w:val="none"/>
        </w:rPr>
        <w:fldChar w:fldCharType="separate"/>
      </w:r>
      <w:r>
        <w:rPr>
          <w:highlight w:val="none"/>
        </w:rPr>
        <w:t>2.1</w:t>
      </w:r>
      <w:r>
        <w:rPr>
          <w:rFonts w:hint="eastAsia"/>
          <w:highlight w:val="none"/>
          <w:lang w:eastAsia="zh-CN"/>
        </w:rPr>
        <w:t xml:space="preserve">  </w:t>
      </w:r>
      <w:r>
        <w:rPr>
          <w:rFonts w:hint="eastAsia"/>
          <w:highlight w:val="none"/>
        </w:rPr>
        <w:t>术</w:t>
      </w:r>
      <w:r>
        <w:rPr>
          <w:rFonts w:hint="eastAsia"/>
          <w:highlight w:val="none"/>
          <w:lang w:eastAsia="zh-CN"/>
        </w:rPr>
        <w:t xml:space="preserve">  </w:t>
      </w:r>
      <w:r>
        <w:rPr>
          <w:rFonts w:hint="eastAsia"/>
          <w:highlight w:val="none"/>
        </w:rPr>
        <w:t>语</w:t>
      </w:r>
      <w:r>
        <w:tab/>
      </w:r>
      <w:r>
        <w:fldChar w:fldCharType="begin"/>
      </w:r>
      <w:r>
        <w:instrText xml:space="preserve"> PAGEREF _Toc30029 \h </w:instrText>
      </w:r>
      <w:r>
        <w:fldChar w:fldCharType="separate"/>
      </w:r>
      <w:r>
        <w:t>2</w:t>
      </w:r>
      <w:r>
        <w:fldChar w:fldCharType="end"/>
      </w:r>
      <w:r>
        <w:rPr>
          <w:color w:val="auto"/>
          <w:highlight w:val="none"/>
        </w:rPr>
        <w:fldChar w:fldCharType="end"/>
      </w:r>
    </w:p>
    <w:p w14:paraId="2C776F73">
      <w:pPr>
        <w:pStyle w:val="13"/>
        <w:tabs>
          <w:tab w:val="right" w:leader="dot" w:pos="9582"/>
        </w:tabs>
      </w:pPr>
      <w:r>
        <w:rPr>
          <w:color w:val="auto"/>
          <w:highlight w:val="none"/>
        </w:rPr>
        <w:fldChar w:fldCharType="begin"/>
      </w:r>
      <w:r>
        <w:rPr>
          <w:highlight w:val="none"/>
        </w:rPr>
        <w:instrText xml:space="preserve"> HYPERLINK \l _Toc32627 </w:instrText>
      </w:r>
      <w:r>
        <w:rPr>
          <w:highlight w:val="none"/>
        </w:rPr>
        <w:fldChar w:fldCharType="separate"/>
      </w:r>
      <w:r>
        <w:rPr>
          <w:highlight w:val="none"/>
        </w:rPr>
        <w:t>2.2</w:t>
      </w:r>
      <w:r>
        <w:rPr>
          <w:rFonts w:hint="eastAsia"/>
          <w:highlight w:val="none"/>
          <w:lang w:eastAsia="zh-CN"/>
        </w:rPr>
        <w:t xml:space="preserve">  </w:t>
      </w:r>
      <w:r>
        <w:rPr>
          <w:rFonts w:hint="eastAsia"/>
          <w:highlight w:val="none"/>
        </w:rPr>
        <w:t>符</w:t>
      </w:r>
      <w:r>
        <w:rPr>
          <w:rFonts w:hint="eastAsia"/>
          <w:highlight w:val="none"/>
          <w:lang w:eastAsia="zh-CN"/>
        </w:rPr>
        <w:t xml:space="preserve">  </w:t>
      </w:r>
      <w:r>
        <w:rPr>
          <w:rFonts w:hint="eastAsia"/>
          <w:highlight w:val="none"/>
        </w:rPr>
        <w:t>号</w:t>
      </w:r>
      <w:r>
        <w:tab/>
      </w:r>
      <w:r>
        <w:fldChar w:fldCharType="begin"/>
      </w:r>
      <w:r>
        <w:instrText xml:space="preserve"> PAGEREF _Toc32627 \h </w:instrText>
      </w:r>
      <w:r>
        <w:fldChar w:fldCharType="separate"/>
      </w:r>
      <w:r>
        <w:t>3</w:t>
      </w:r>
      <w:r>
        <w:fldChar w:fldCharType="end"/>
      </w:r>
      <w:r>
        <w:rPr>
          <w:color w:val="auto"/>
          <w:highlight w:val="none"/>
        </w:rPr>
        <w:fldChar w:fldCharType="end"/>
      </w:r>
    </w:p>
    <w:p w14:paraId="7D9E6EA3">
      <w:pPr>
        <w:pStyle w:val="12"/>
        <w:tabs>
          <w:tab w:val="right" w:leader="dot" w:pos="9582"/>
        </w:tabs>
      </w:pPr>
      <w:r>
        <w:rPr>
          <w:color w:val="auto"/>
          <w:highlight w:val="none"/>
        </w:rPr>
        <w:fldChar w:fldCharType="begin"/>
      </w:r>
      <w:r>
        <w:rPr>
          <w:highlight w:val="none"/>
        </w:rPr>
        <w:instrText xml:space="preserve"> HYPERLINK \l _Toc30545 </w:instrText>
      </w:r>
      <w:r>
        <w:rPr>
          <w:highlight w:val="none"/>
        </w:rPr>
        <w:fldChar w:fldCharType="separate"/>
      </w:r>
      <w:r>
        <w:rPr>
          <w:rFonts w:hint="eastAsia"/>
          <w:highlight w:val="none"/>
          <w:lang w:eastAsia="zh-CN"/>
        </w:rPr>
        <w:t>3  基本规定</w:t>
      </w:r>
      <w:r>
        <w:tab/>
      </w:r>
      <w:r>
        <w:fldChar w:fldCharType="begin"/>
      </w:r>
      <w:r>
        <w:instrText xml:space="preserve"> PAGEREF _Toc30545 \h </w:instrText>
      </w:r>
      <w:r>
        <w:fldChar w:fldCharType="separate"/>
      </w:r>
      <w:r>
        <w:t>5</w:t>
      </w:r>
      <w:r>
        <w:fldChar w:fldCharType="end"/>
      </w:r>
      <w:r>
        <w:rPr>
          <w:color w:val="auto"/>
          <w:highlight w:val="none"/>
        </w:rPr>
        <w:fldChar w:fldCharType="end"/>
      </w:r>
    </w:p>
    <w:p w14:paraId="41C8030E">
      <w:pPr>
        <w:pStyle w:val="12"/>
        <w:tabs>
          <w:tab w:val="right" w:leader="dot" w:pos="9582"/>
        </w:tabs>
      </w:pPr>
      <w:r>
        <w:rPr>
          <w:color w:val="auto"/>
          <w:highlight w:val="none"/>
        </w:rPr>
        <w:fldChar w:fldCharType="begin"/>
      </w:r>
      <w:r>
        <w:rPr>
          <w:highlight w:val="none"/>
        </w:rPr>
        <w:instrText xml:space="preserve"> HYPERLINK \l _Toc9273 </w:instrText>
      </w:r>
      <w:r>
        <w:rPr>
          <w:highlight w:val="none"/>
        </w:rPr>
        <w:fldChar w:fldCharType="separate"/>
      </w:r>
      <w:r>
        <w:rPr>
          <w:rFonts w:hint="eastAsia"/>
          <w:highlight w:val="none"/>
          <w:lang w:eastAsia="zh-CN"/>
        </w:rPr>
        <w:t>4  材  料</w:t>
      </w:r>
      <w:r>
        <w:tab/>
      </w:r>
      <w:r>
        <w:fldChar w:fldCharType="begin"/>
      </w:r>
      <w:r>
        <w:instrText xml:space="preserve"> PAGEREF _Toc9273 \h </w:instrText>
      </w:r>
      <w:r>
        <w:fldChar w:fldCharType="separate"/>
      </w:r>
      <w:r>
        <w:t>9</w:t>
      </w:r>
      <w:r>
        <w:fldChar w:fldCharType="end"/>
      </w:r>
      <w:r>
        <w:rPr>
          <w:color w:val="auto"/>
          <w:highlight w:val="none"/>
        </w:rPr>
        <w:fldChar w:fldCharType="end"/>
      </w:r>
    </w:p>
    <w:p w14:paraId="09C6A1E3">
      <w:pPr>
        <w:pStyle w:val="13"/>
        <w:tabs>
          <w:tab w:val="right" w:leader="dot" w:pos="9582"/>
        </w:tabs>
      </w:pPr>
      <w:r>
        <w:rPr>
          <w:color w:val="auto"/>
          <w:highlight w:val="none"/>
        </w:rPr>
        <w:fldChar w:fldCharType="begin"/>
      </w:r>
      <w:r>
        <w:rPr>
          <w:highlight w:val="none"/>
        </w:rPr>
        <w:instrText xml:space="preserve"> HYPERLINK \l _Toc6568 </w:instrText>
      </w:r>
      <w:r>
        <w:rPr>
          <w:highlight w:val="none"/>
        </w:rPr>
        <w:fldChar w:fldCharType="separate"/>
      </w:r>
      <w:r>
        <w:rPr>
          <w:rFonts w:hint="eastAsia"/>
          <w:highlight w:val="none"/>
          <w:lang w:eastAsia="zh-CN"/>
        </w:rPr>
        <w:t>4.</w:t>
      </w:r>
      <w:r>
        <w:rPr>
          <w:highlight w:val="none"/>
          <w:lang w:eastAsia="zh-CN"/>
        </w:rPr>
        <w:t>1</w:t>
      </w:r>
      <w:r>
        <w:rPr>
          <w:rFonts w:hint="eastAsia"/>
          <w:highlight w:val="none"/>
          <w:lang w:eastAsia="zh-CN"/>
        </w:rPr>
        <w:t xml:space="preserve">  结构用木材</w:t>
      </w:r>
      <w:r>
        <w:tab/>
      </w:r>
      <w:r>
        <w:fldChar w:fldCharType="begin"/>
      </w:r>
      <w:r>
        <w:instrText xml:space="preserve"> PAGEREF _Toc6568 \h </w:instrText>
      </w:r>
      <w:r>
        <w:fldChar w:fldCharType="separate"/>
      </w:r>
      <w:r>
        <w:t>9</w:t>
      </w:r>
      <w:r>
        <w:fldChar w:fldCharType="end"/>
      </w:r>
      <w:r>
        <w:rPr>
          <w:color w:val="auto"/>
          <w:highlight w:val="none"/>
        </w:rPr>
        <w:fldChar w:fldCharType="end"/>
      </w:r>
    </w:p>
    <w:p w14:paraId="0B57BEA5">
      <w:pPr>
        <w:pStyle w:val="13"/>
        <w:tabs>
          <w:tab w:val="right" w:leader="dot" w:pos="9582"/>
        </w:tabs>
      </w:pPr>
      <w:r>
        <w:rPr>
          <w:color w:val="auto"/>
          <w:highlight w:val="none"/>
        </w:rPr>
        <w:fldChar w:fldCharType="begin"/>
      </w:r>
      <w:r>
        <w:rPr>
          <w:highlight w:val="none"/>
        </w:rPr>
        <w:instrText xml:space="preserve"> HYPERLINK \l _Toc22485 </w:instrText>
      </w:r>
      <w:r>
        <w:rPr>
          <w:highlight w:val="none"/>
        </w:rPr>
        <w:fldChar w:fldCharType="separate"/>
      </w:r>
      <w:r>
        <w:rPr>
          <w:rFonts w:hint="eastAsia"/>
          <w:highlight w:val="none"/>
          <w:lang w:eastAsia="zh-CN"/>
        </w:rPr>
        <w:t>4.2  钢材与金属连接件</w:t>
      </w:r>
      <w:r>
        <w:tab/>
      </w:r>
      <w:r>
        <w:fldChar w:fldCharType="begin"/>
      </w:r>
      <w:r>
        <w:instrText xml:space="preserve"> PAGEREF _Toc22485 \h </w:instrText>
      </w:r>
      <w:r>
        <w:fldChar w:fldCharType="separate"/>
      </w:r>
      <w:r>
        <w:t>11</w:t>
      </w:r>
      <w:r>
        <w:fldChar w:fldCharType="end"/>
      </w:r>
      <w:r>
        <w:rPr>
          <w:color w:val="auto"/>
          <w:highlight w:val="none"/>
        </w:rPr>
        <w:fldChar w:fldCharType="end"/>
      </w:r>
    </w:p>
    <w:p w14:paraId="33C6FD07">
      <w:pPr>
        <w:pStyle w:val="13"/>
        <w:tabs>
          <w:tab w:val="right" w:leader="dot" w:pos="9582"/>
        </w:tabs>
      </w:pPr>
      <w:r>
        <w:rPr>
          <w:color w:val="auto"/>
          <w:highlight w:val="none"/>
        </w:rPr>
        <w:fldChar w:fldCharType="begin"/>
      </w:r>
      <w:r>
        <w:rPr>
          <w:highlight w:val="none"/>
        </w:rPr>
        <w:instrText xml:space="preserve"> HYPERLINK \l _Toc18709 </w:instrText>
      </w:r>
      <w:r>
        <w:rPr>
          <w:highlight w:val="none"/>
        </w:rPr>
        <w:fldChar w:fldCharType="separate"/>
      </w:r>
      <w:r>
        <w:rPr>
          <w:rFonts w:hint="eastAsia"/>
          <w:highlight w:val="none"/>
          <w:lang w:eastAsia="zh-CN"/>
        </w:rPr>
        <w:t>4.3  其他材料</w:t>
      </w:r>
      <w:r>
        <w:tab/>
      </w:r>
      <w:r>
        <w:fldChar w:fldCharType="begin"/>
      </w:r>
      <w:r>
        <w:instrText xml:space="preserve"> PAGEREF _Toc18709 \h </w:instrText>
      </w:r>
      <w:r>
        <w:fldChar w:fldCharType="separate"/>
      </w:r>
      <w:r>
        <w:t>12</w:t>
      </w:r>
      <w:r>
        <w:fldChar w:fldCharType="end"/>
      </w:r>
      <w:r>
        <w:rPr>
          <w:color w:val="auto"/>
          <w:highlight w:val="none"/>
        </w:rPr>
        <w:fldChar w:fldCharType="end"/>
      </w:r>
    </w:p>
    <w:p w14:paraId="7922BDFE">
      <w:pPr>
        <w:pStyle w:val="12"/>
        <w:tabs>
          <w:tab w:val="right" w:leader="dot" w:pos="9582"/>
        </w:tabs>
      </w:pPr>
      <w:r>
        <w:rPr>
          <w:color w:val="auto"/>
          <w:highlight w:val="none"/>
        </w:rPr>
        <w:fldChar w:fldCharType="begin"/>
      </w:r>
      <w:r>
        <w:rPr>
          <w:highlight w:val="none"/>
        </w:rPr>
        <w:instrText xml:space="preserve"> HYPERLINK \l _Toc7277 </w:instrText>
      </w:r>
      <w:r>
        <w:rPr>
          <w:highlight w:val="none"/>
        </w:rPr>
        <w:fldChar w:fldCharType="separate"/>
      </w:r>
      <w:r>
        <w:rPr>
          <w:rFonts w:hint="eastAsia"/>
          <w:highlight w:val="none"/>
          <w:lang w:eastAsia="zh-CN"/>
        </w:rPr>
        <w:t>5  结构设计</w:t>
      </w:r>
      <w:r>
        <w:tab/>
      </w:r>
      <w:r>
        <w:fldChar w:fldCharType="begin"/>
      </w:r>
      <w:r>
        <w:instrText xml:space="preserve"> PAGEREF _Toc7277 \h </w:instrText>
      </w:r>
      <w:r>
        <w:fldChar w:fldCharType="separate"/>
      </w:r>
      <w:r>
        <w:t>13</w:t>
      </w:r>
      <w:r>
        <w:fldChar w:fldCharType="end"/>
      </w:r>
      <w:r>
        <w:rPr>
          <w:color w:val="auto"/>
          <w:highlight w:val="none"/>
        </w:rPr>
        <w:fldChar w:fldCharType="end"/>
      </w:r>
    </w:p>
    <w:p w14:paraId="6B60FD05">
      <w:pPr>
        <w:pStyle w:val="13"/>
        <w:tabs>
          <w:tab w:val="right" w:leader="dot" w:pos="9582"/>
        </w:tabs>
      </w:pPr>
      <w:r>
        <w:rPr>
          <w:color w:val="auto"/>
          <w:highlight w:val="none"/>
        </w:rPr>
        <w:fldChar w:fldCharType="begin"/>
      </w:r>
      <w:r>
        <w:rPr>
          <w:highlight w:val="none"/>
        </w:rPr>
        <w:instrText xml:space="preserve"> HYPERLINK \l _Toc28108 </w:instrText>
      </w:r>
      <w:r>
        <w:rPr>
          <w:highlight w:val="none"/>
        </w:rPr>
        <w:fldChar w:fldCharType="separate"/>
      </w:r>
      <w:r>
        <w:rPr>
          <w:rFonts w:hint="eastAsia"/>
          <w:highlight w:val="none"/>
          <w:lang w:eastAsia="zh-CN"/>
        </w:rPr>
        <w:t>5.</w:t>
      </w:r>
      <w:r>
        <w:rPr>
          <w:highlight w:val="none"/>
          <w:lang w:eastAsia="zh-CN"/>
        </w:rPr>
        <w:t>1</w:t>
      </w:r>
      <w:r>
        <w:rPr>
          <w:rFonts w:hint="eastAsia"/>
          <w:highlight w:val="none"/>
          <w:lang w:eastAsia="zh-CN"/>
        </w:rPr>
        <w:t xml:space="preserve">  一般规定</w:t>
      </w:r>
      <w:r>
        <w:tab/>
      </w:r>
      <w:r>
        <w:fldChar w:fldCharType="begin"/>
      </w:r>
      <w:r>
        <w:instrText xml:space="preserve"> PAGEREF _Toc28108 \h </w:instrText>
      </w:r>
      <w:r>
        <w:fldChar w:fldCharType="separate"/>
      </w:r>
      <w:r>
        <w:t>13</w:t>
      </w:r>
      <w:r>
        <w:fldChar w:fldCharType="end"/>
      </w:r>
      <w:r>
        <w:rPr>
          <w:color w:val="auto"/>
          <w:highlight w:val="none"/>
        </w:rPr>
        <w:fldChar w:fldCharType="end"/>
      </w:r>
    </w:p>
    <w:p w14:paraId="79A0DD60">
      <w:pPr>
        <w:pStyle w:val="13"/>
        <w:tabs>
          <w:tab w:val="right" w:leader="dot" w:pos="9582"/>
        </w:tabs>
      </w:pPr>
      <w:r>
        <w:rPr>
          <w:color w:val="auto"/>
          <w:highlight w:val="none"/>
        </w:rPr>
        <w:fldChar w:fldCharType="begin"/>
      </w:r>
      <w:r>
        <w:rPr>
          <w:highlight w:val="none"/>
        </w:rPr>
        <w:instrText xml:space="preserve"> HYPERLINK \l _Toc5482 </w:instrText>
      </w:r>
      <w:r>
        <w:rPr>
          <w:highlight w:val="none"/>
        </w:rPr>
        <w:fldChar w:fldCharType="separate"/>
      </w:r>
      <w:r>
        <w:rPr>
          <w:rFonts w:hint="eastAsia"/>
          <w:highlight w:val="none"/>
          <w:lang w:eastAsia="zh-CN"/>
        </w:rPr>
        <w:t>5.2</w:t>
      </w:r>
      <w:r>
        <w:rPr>
          <w:rFonts w:hint="eastAsia"/>
          <w:highlight w:val="none"/>
          <w:lang w:val="en-US" w:eastAsia="zh-CN"/>
        </w:rPr>
        <w:t xml:space="preserve">  </w:t>
      </w:r>
      <w:r>
        <w:rPr>
          <w:rFonts w:hint="eastAsia"/>
          <w:highlight w:val="none"/>
          <w:lang w:eastAsia="zh-CN"/>
        </w:rPr>
        <w:t>荷载和地震作用</w:t>
      </w:r>
      <w:r>
        <w:tab/>
      </w:r>
      <w:r>
        <w:fldChar w:fldCharType="begin"/>
      </w:r>
      <w:r>
        <w:instrText xml:space="preserve"> PAGEREF _Toc5482 \h </w:instrText>
      </w:r>
      <w:r>
        <w:fldChar w:fldCharType="separate"/>
      </w:r>
      <w:r>
        <w:t>13</w:t>
      </w:r>
      <w:r>
        <w:fldChar w:fldCharType="end"/>
      </w:r>
      <w:r>
        <w:rPr>
          <w:color w:val="auto"/>
          <w:highlight w:val="none"/>
        </w:rPr>
        <w:fldChar w:fldCharType="end"/>
      </w:r>
    </w:p>
    <w:p w14:paraId="31D2D4B5">
      <w:pPr>
        <w:pStyle w:val="13"/>
        <w:tabs>
          <w:tab w:val="right" w:leader="dot" w:pos="9582"/>
        </w:tabs>
      </w:pPr>
      <w:r>
        <w:rPr>
          <w:color w:val="auto"/>
          <w:highlight w:val="none"/>
        </w:rPr>
        <w:fldChar w:fldCharType="begin"/>
      </w:r>
      <w:r>
        <w:rPr>
          <w:highlight w:val="none"/>
        </w:rPr>
        <w:instrText xml:space="preserve"> HYPERLINK \l _Toc4493 </w:instrText>
      </w:r>
      <w:r>
        <w:rPr>
          <w:highlight w:val="none"/>
        </w:rPr>
        <w:fldChar w:fldCharType="separate"/>
      </w:r>
      <w:r>
        <w:rPr>
          <w:rFonts w:hint="eastAsia"/>
          <w:highlight w:val="none"/>
          <w:lang w:eastAsia="zh-CN"/>
        </w:rPr>
        <w:t>5.3  结构体系</w:t>
      </w:r>
      <w:r>
        <w:tab/>
      </w:r>
      <w:r>
        <w:fldChar w:fldCharType="begin"/>
      </w:r>
      <w:r>
        <w:instrText xml:space="preserve"> PAGEREF _Toc4493 \h </w:instrText>
      </w:r>
      <w:r>
        <w:fldChar w:fldCharType="separate"/>
      </w:r>
      <w:r>
        <w:t>15</w:t>
      </w:r>
      <w:r>
        <w:fldChar w:fldCharType="end"/>
      </w:r>
      <w:r>
        <w:rPr>
          <w:color w:val="auto"/>
          <w:highlight w:val="none"/>
        </w:rPr>
        <w:fldChar w:fldCharType="end"/>
      </w:r>
    </w:p>
    <w:p w14:paraId="18721BD1">
      <w:pPr>
        <w:pStyle w:val="13"/>
        <w:tabs>
          <w:tab w:val="right" w:leader="dot" w:pos="9582"/>
        </w:tabs>
      </w:pPr>
      <w:r>
        <w:rPr>
          <w:color w:val="auto"/>
          <w:highlight w:val="none"/>
        </w:rPr>
        <w:fldChar w:fldCharType="begin"/>
      </w:r>
      <w:r>
        <w:rPr>
          <w:highlight w:val="none"/>
        </w:rPr>
        <w:instrText xml:space="preserve"> HYPERLINK \l _Toc12703 </w:instrText>
      </w:r>
      <w:r>
        <w:rPr>
          <w:highlight w:val="none"/>
        </w:rPr>
        <w:fldChar w:fldCharType="separate"/>
      </w:r>
      <w:r>
        <w:rPr>
          <w:rFonts w:hint="eastAsia"/>
          <w:highlight w:val="none"/>
          <w:lang w:eastAsia="zh-CN"/>
        </w:rPr>
        <w:t>5.4  结构分析方法</w:t>
      </w:r>
      <w:r>
        <w:tab/>
      </w:r>
      <w:r>
        <w:fldChar w:fldCharType="begin"/>
      </w:r>
      <w:r>
        <w:instrText xml:space="preserve"> PAGEREF _Toc12703 \h </w:instrText>
      </w:r>
      <w:r>
        <w:fldChar w:fldCharType="separate"/>
      </w:r>
      <w:r>
        <w:t>19</w:t>
      </w:r>
      <w:r>
        <w:fldChar w:fldCharType="end"/>
      </w:r>
      <w:r>
        <w:rPr>
          <w:color w:val="auto"/>
          <w:highlight w:val="none"/>
        </w:rPr>
        <w:fldChar w:fldCharType="end"/>
      </w:r>
    </w:p>
    <w:p w14:paraId="698E3E9E">
      <w:pPr>
        <w:pStyle w:val="13"/>
        <w:tabs>
          <w:tab w:val="right" w:leader="dot" w:pos="9582"/>
        </w:tabs>
      </w:pPr>
      <w:r>
        <w:rPr>
          <w:color w:val="auto"/>
          <w:highlight w:val="none"/>
        </w:rPr>
        <w:fldChar w:fldCharType="begin"/>
      </w:r>
      <w:r>
        <w:rPr>
          <w:highlight w:val="none"/>
        </w:rPr>
        <w:instrText xml:space="preserve"> HYPERLINK \l _Toc2986 </w:instrText>
      </w:r>
      <w:r>
        <w:rPr>
          <w:highlight w:val="none"/>
        </w:rPr>
        <w:fldChar w:fldCharType="separate"/>
      </w:r>
      <w:r>
        <w:rPr>
          <w:rFonts w:hint="eastAsia"/>
          <w:highlight w:val="none"/>
          <w:lang w:eastAsia="zh-CN"/>
        </w:rPr>
        <w:t>5.5  构件设计</w:t>
      </w:r>
      <w:r>
        <w:tab/>
      </w:r>
      <w:r>
        <w:fldChar w:fldCharType="begin"/>
      </w:r>
      <w:r>
        <w:instrText xml:space="preserve"> PAGEREF _Toc2986 \h </w:instrText>
      </w:r>
      <w:r>
        <w:fldChar w:fldCharType="separate"/>
      </w:r>
      <w:r>
        <w:t>20</w:t>
      </w:r>
      <w:r>
        <w:fldChar w:fldCharType="end"/>
      </w:r>
      <w:r>
        <w:rPr>
          <w:color w:val="auto"/>
          <w:highlight w:val="none"/>
        </w:rPr>
        <w:fldChar w:fldCharType="end"/>
      </w:r>
    </w:p>
    <w:p w14:paraId="722C77F8">
      <w:pPr>
        <w:pStyle w:val="13"/>
        <w:tabs>
          <w:tab w:val="right" w:leader="dot" w:pos="9582"/>
        </w:tabs>
      </w:pPr>
      <w:r>
        <w:rPr>
          <w:color w:val="auto"/>
          <w:highlight w:val="none"/>
        </w:rPr>
        <w:fldChar w:fldCharType="begin"/>
      </w:r>
      <w:r>
        <w:rPr>
          <w:highlight w:val="none"/>
        </w:rPr>
        <w:instrText xml:space="preserve"> HYPERLINK \l _Toc10165 </w:instrText>
      </w:r>
      <w:r>
        <w:rPr>
          <w:highlight w:val="none"/>
        </w:rPr>
        <w:fldChar w:fldCharType="separate"/>
      </w:r>
      <w:r>
        <w:rPr>
          <w:rFonts w:hint="eastAsia"/>
          <w:highlight w:val="none"/>
          <w:lang w:eastAsia="zh-CN"/>
        </w:rPr>
        <w:t>5.6  连接设计</w:t>
      </w:r>
      <w:r>
        <w:tab/>
      </w:r>
      <w:r>
        <w:fldChar w:fldCharType="begin"/>
      </w:r>
      <w:r>
        <w:instrText xml:space="preserve"> PAGEREF _Toc10165 \h </w:instrText>
      </w:r>
      <w:r>
        <w:fldChar w:fldCharType="separate"/>
      </w:r>
      <w:r>
        <w:t>20</w:t>
      </w:r>
      <w:r>
        <w:fldChar w:fldCharType="end"/>
      </w:r>
      <w:r>
        <w:rPr>
          <w:color w:val="auto"/>
          <w:highlight w:val="none"/>
        </w:rPr>
        <w:fldChar w:fldCharType="end"/>
      </w:r>
    </w:p>
    <w:p w14:paraId="053B6346">
      <w:pPr>
        <w:pStyle w:val="13"/>
        <w:tabs>
          <w:tab w:val="right" w:leader="dot" w:pos="9582"/>
        </w:tabs>
      </w:pPr>
      <w:r>
        <w:rPr>
          <w:color w:val="auto"/>
          <w:highlight w:val="none"/>
        </w:rPr>
        <w:fldChar w:fldCharType="begin"/>
      </w:r>
      <w:r>
        <w:rPr>
          <w:highlight w:val="none"/>
        </w:rPr>
        <w:instrText xml:space="preserve"> HYPERLINK \l _Toc2624 </w:instrText>
      </w:r>
      <w:r>
        <w:rPr>
          <w:highlight w:val="none"/>
        </w:rPr>
        <w:fldChar w:fldCharType="separate"/>
      </w:r>
      <w:r>
        <w:rPr>
          <w:rFonts w:hint="eastAsia"/>
          <w:highlight w:val="none"/>
          <w:lang w:eastAsia="zh-CN"/>
        </w:rPr>
        <w:t xml:space="preserve">5.7 </w:t>
      </w:r>
      <w:r>
        <w:rPr>
          <w:rFonts w:hint="eastAsia"/>
          <w:highlight w:val="none"/>
          <w:lang w:val="en-US" w:eastAsia="zh-CN"/>
        </w:rPr>
        <w:t xml:space="preserve"> </w:t>
      </w:r>
      <w:r>
        <w:rPr>
          <w:rFonts w:hint="eastAsia"/>
          <w:highlight w:val="none"/>
          <w:lang w:eastAsia="zh-CN"/>
        </w:rPr>
        <w:t>设计指标</w:t>
      </w:r>
      <w:r>
        <w:tab/>
      </w:r>
      <w:r>
        <w:fldChar w:fldCharType="begin"/>
      </w:r>
      <w:r>
        <w:instrText xml:space="preserve"> PAGEREF _Toc2624 \h </w:instrText>
      </w:r>
      <w:r>
        <w:fldChar w:fldCharType="separate"/>
      </w:r>
      <w:r>
        <w:t>21</w:t>
      </w:r>
      <w:r>
        <w:fldChar w:fldCharType="end"/>
      </w:r>
      <w:r>
        <w:rPr>
          <w:color w:val="auto"/>
          <w:highlight w:val="none"/>
        </w:rPr>
        <w:fldChar w:fldCharType="end"/>
      </w:r>
    </w:p>
    <w:p w14:paraId="2D685201">
      <w:pPr>
        <w:pStyle w:val="13"/>
        <w:tabs>
          <w:tab w:val="right" w:leader="dot" w:pos="9582"/>
        </w:tabs>
      </w:pPr>
      <w:r>
        <w:rPr>
          <w:color w:val="auto"/>
          <w:highlight w:val="none"/>
        </w:rPr>
        <w:fldChar w:fldCharType="begin"/>
      </w:r>
      <w:r>
        <w:rPr>
          <w:highlight w:val="none"/>
        </w:rPr>
        <w:instrText xml:space="preserve"> HYPERLINK \l _Toc24329 </w:instrText>
      </w:r>
      <w:r>
        <w:rPr>
          <w:highlight w:val="none"/>
        </w:rPr>
        <w:fldChar w:fldCharType="separate"/>
      </w:r>
      <w:r>
        <w:rPr>
          <w:rFonts w:hint="eastAsia"/>
          <w:highlight w:val="none"/>
          <w:lang w:eastAsia="zh-CN"/>
        </w:rPr>
        <w:t>5.8  基础设计</w:t>
      </w:r>
      <w:r>
        <w:tab/>
      </w:r>
      <w:r>
        <w:fldChar w:fldCharType="begin"/>
      </w:r>
      <w:r>
        <w:instrText xml:space="preserve"> PAGEREF _Toc24329 \h </w:instrText>
      </w:r>
      <w:r>
        <w:fldChar w:fldCharType="separate"/>
      </w:r>
      <w:r>
        <w:t>22</w:t>
      </w:r>
      <w:r>
        <w:fldChar w:fldCharType="end"/>
      </w:r>
      <w:r>
        <w:rPr>
          <w:color w:val="auto"/>
          <w:highlight w:val="none"/>
        </w:rPr>
        <w:fldChar w:fldCharType="end"/>
      </w:r>
    </w:p>
    <w:p w14:paraId="21B239C1">
      <w:pPr>
        <w:pStyle w:val="12"/>
        <w:tabs>
          <w:tab w:val="right" w:leader="dot" w:pos="9582"/>
        </w:tabs>
      </w:pPr>
      <w:r>
        <w:rPr>
          <w:color w:val="auto"/>
          <w:highlight w:val="none"/>
        </w:rPr>
        <w:fldChar w:fldCharType="begin"/>
      </w:r>
      <w:r>
        <w:rPr>
          <w:highlight w:val="none"/>
        </w:rPr>
        <w:instrText xml:space="preserve"> HYPERLINK \l _Toc18982 </w:instrText>
      </w:r>
      <w:r>
        <w:rPr>
          <w:highlight w:val="none"/>
        </w:rPr>
        <w:fldChar w:fldCharType="separate"/>
      </w:r>
      <w:r>
        <w:rPr>
          <w:rFonts w:hint="eastAsia"/>
          <w:highlight w:val="none"/>
          <w:lang w:eastAsia="zh-CN"/>
        </w:rPr>
        <w:t>6  轻型木结构</w:t>
      </w:r>
      <w:r>
        <w:tab/>
      </w:r>
      <w:r>
        <w:fldChar w:fldCharType="begin"/>
      </w:r>
      <w:r>
        <w:instrText xml:space="preserve"> PAGEREF _Toc18982 \h </w:instrText>
      </w:r>
      <w:r>
        <w:fldChar w:fldCharType="separate"/>
      </w:r>
      <w:r>
        <w:t>24</w:t>
      </w:r>
      <w:r>
        <w:fldChar w:fldCharType="end"/>
      </w:r>
      <w:r>
        <w:rPr>
          <w:color w:val="auto"/>
          <w:highlight w:val="none"/>
        </w:rPr>
        <w:fldChar w:fldCharType="end"/>
      </w:r>
    </w:p>
    <w:p w14:paraId="607781AF">
      <w:pPr>
        <w:pStyle w:val="13"/>
        <w:tabs>
          <w:tab w:val="right" w:leader="dot" w:pos="9582"/>
        </w:tabs>
      </w:pPr>
      <w:r>
        <w:rPr>
          <w:color w:val="auto"/>
          <w:highlight w:val="none"/>
        </w:rPr>
        <w:fldChar w:fldCharType="begin"/>
      </w:r>
      <w:r>
        <w:rPr>
          <w:highlight w:val="none"/>
        </w:rPr>
        <w:instrText xml:space="preserve"> HYPERLINK \l _Toc28759 </w:instrText>
      </w:r>
      <w:r>
        <w:rPr>
          <w:highlight w:val="none"/>
        </w:rPr>
        <w:fldChar w:fldCharType="separate"/>
      </w:r>
      <w:r>
        <w:rPr>
          <w:rFonts w:hint="eastAsia"/>
          <w:highlight w:val="none"/>
        </w:rPr>
        <w:t>6.1</w:t>
      </w:r>
      <w:r>
        <w:rPr>
          <w:rFonts w:hint="eastAsia"/>
          <w:highlight w:val="none"/>
          <w:lang w:eastAsia="zh-CN"/>
        </w:rPr>
        <w:t xml:space="preserve">  </w:t>
      </w:r>
      <w:r>
        <w:rPr>
          <w:rFonts w:hint="eastAsia"/>
          <w:highlight w:val="none"/>
        </w:rPr>
        <w:t>一般规定</w:t>
      </w:r>
      <w:r>
        <w:tab/>
      </w:r>
      <w:r>
        <w:fldChar w:fldCharType="begin"/>
      </w:r>
      <w:r>
        <w:instrText xml:space="preserve"> PAGEREF _Toc28759 \h </w:instrText>
      </w:r>
      <w:r>
        <w:fldChar w:fldCharType="separate"/>
      </w:r>
      <w:r>
        <w:t>24</w:t>
      </w:r>
      <w:r>
        <w:fldChar w:fldCharType="end"/>
      </w:r>
      <w:r>
        <w:rPr>
          <w:color w:val="auto"/>
          <w:highlight w:val="none"/>
        </w:rPr>
        <w:fldChar w:fldCharType="end"/>
      </w:r>
    </w:p>
    <w:p w14:paraId="041ECC44">
      <w:pPr>
        <w:pStyle w:val="13"/>
        <w:tabs>
          <w:tab w:val="right" w:leader="dot" w:pos="9582"/>
        </w:tabs>
      </w:pPr>
      <w:r>
        <w:rPr>
          <w:color w:val="auto"/>
          <w:highlight w:val="none"/>
        </w:rPr>
        <w:fldChar w:fldCharType="begin"/>
      </w:r>
      <w:r>
        <w:rPr>
          <w:highlight w:val="none"/>
        </w:rPr>
        <w:instrText xml:space="preserve"> HYPERLINK \l _Toc7006 </w:instrText>
      </w:r>
      <w:r>
        <w:rPr>
          <w:highlight w:val="none"/>
        </w:rPr>
        <w:fldChar w:fldCharType="separate"/>
      </w:r>
      <w:r>
        <w:rPr>
          <w:rFonts w:hint="eastAsia"/>
          <w:highlight w:val="none"/>
        </w:rPr>
        <w:t>6.</w:t>
      </w:r>
      <w:r>
        <w:rPr>
          <w:rFonts w:hint="eastAsia"/>
          <w:highlight w:val="none"/>
          <w:lang w:eastAsia="zh-CN"/>
        </w:rPr>
        <w:t xml:space="preserve">2  </w:t>
      </w:r>
      <w:r>
        <w:rPr>
          <w:rFonts w:hint="eastAsia"/>
          <w:highlight w:val="none"/>
        </w:rPr>
        <w:t>楼（屋）盖</w:t>
      </w:r>
      <w:r>
        <w:tab/>
      </w:r>
      <w:r>
        <w:fldChar w:fldCharType="begin"/>
      </w:r>
      <w:r>
        <w:instrText xml:space="preserve"> PAGEREF _Toc7006 \h </w:instrText>
      </w:r>
      <w:r>
        <w:fldChar w:fldCharType="separate"/>
      </w:r>
      <w:r>
        <w:t>24</w:t>
      </w:r>
      <w:r>
        <w:fldChar w:fldCharType="end"/>
      </w:r>
      <w:r>
        <w:rPr>
          <w:color w:val="auto"/>
          <w:highlight w:val="none"/>
        </w:rPr>
        <w:fldChar w:fldCharType="end"/>
      </w:r>
    </w:p>
    <w:p w14:paraId="63B767F6">
      <w:pPr>
        <w:pStyle w:val="13"/>
        <w:tabs>
          <w:tab w:val="right" w:leader="dot" w:pos="9582"/>
        </w:tabs>
      </w:pPr>
      <w:r>
        <w:rPr>
          <w:color w:val="auto"/>
          <w:highlight w:val="none"/>
        </w:rPr>
        <w:fldChar w:fldCharType="begin"/>
      </w:r>
      <w:r>
        <w:rPr>
          <w:highlight w:val="none"/>
        </w:rPr>
        <w:instrText xml:space="preserve"> HYPERLINK \l _Toc1258 </w:instrText>
      </w:r>
      <w:r>
        <w:rPr>
          <w:highlight w:val="none"/>
        </w:rPr>
        <w:fldChar w:fldCharType="separate"/>
      </w:r>
      <w:r>
        <w:rPr>
          <w:rFonts w:hint="eastAsia"/>
          <w:highlight w:val="none"/>
        </w:rPr>
        <w:t>6</w:t>
      </w:r>
      <w:r>
        <w:rPr>
          <w:rFonts w:hint="eastAsia"/>
          <w:highlight w:val="none"/>
          <w:lang w:eastAsia="zh-CN"/>
        </w:rPr>
        <w:t>.3  剪力墙</w:t>
      </w:r>
      <w:r>
        <w:tab/>
      </w:r>
      <w:r>
        <w:fldChar w:fldCharType="begin"/>
      </w:r>
      <w:r>
        <w:instrText xml:space="preserve"> PAGEREF _Toc1258 \h </w:instrText>
      </w:r>
      <w:r>
        <w:fldChar w:fldCharType="separate"/>
      </w:r>
      <w:r>
        <w:t>26</w:t>
      </w:r>
      <w:r>
        <w:fldChar w:fldCharType="end"/>
      </w:r>
      <w:r>
        <w:rPr>
          <w:color w:val="auto"/>
          <w:highlight w:val="none"/>
        </w:rPr>
        <w:fldChar w:fldCharType="end"/>
      </w:r>
    </w:p>
    <w:p w14:paraId="779185C3">
      <w:pPr>
        <w:pStyle w:val="13"/>
        <w:tabs>
          <w:tab w:val="right" w:leader="dot" w:pos="9582"/>
        </w:tabs>
      </w:pPr>
      <w:r>
        <w:rPr>
          <w:color w:val="auto"/>
          <w:highlight w:val="none"/>
        </w:rPr>
        <w:fldChar w:fldCharType="begin"/>
      </w:r>
      <w:r>
        <w:rPr>
          <w:highlight w:val="none"/>
        </w:rPr>
        <w:instrText xml:space="preserve"> HYPERLINK \l _Toc32271 </w:instrText>
      </w:r>
      <w:r>
        <w:rPr>
          <w:highlight w:val="none"/>
        </w:rPr>
        <w:fldChar w:fldCharType="separate"/>
      </w:r>
      <w:r>
        <w:rPr>
          <w:rFonts w:hint="eastAsia"/>
          <w:highlight w:val="none"/>
          <w:lang w:eastAsia="zh-CN"/>
        </w:rPr>
        <w:t>6.4  墙面板</w:t>
      </w:r>
      <w:r>
        <w:tab/>
      </w:r>
      <w:r>
        <w:fldChar w:fldCharType="begin"/>
      </w:r>
      <w:r>
        <w:instrText xml:space="preserve"> PAGEREF _Toc32271 \h </w:instrText>
      </w:r>
      <w:r>
        <w:fldChar w:fldCharType="separate"/>
      </w:r>
      <w:r>
        <w:t>31</w:t>
      </w:r>
      <w:r>
        <w:fldChar w:fldCharType="end"/>
      </w:r>
      <w:r>
        <w:rPr>
          <w:color w:val="auto"/>
          <w:highlight w:val="none"/>
        </w:rPr>
        <w:fldChar w:fldCharType="end"/>
      </w:r>
    </w:p>
    <w:p w14:paraId="64199F21">
      <w:pPr>
        <w:pStyle w:val="12"/>
        <w:tabs>
          <w:tab w:val="right" w:leader="dot" w:pos="9582"/>
        </w:tabs>
      </w:pPr>
      <w:r>
        <w:rPr>
          <w:color w:val="auto"/>
          <w:highlight w:val="none"/>
        </w:rPr>
        <w:fldChar w:fldCharType="begin"/>
      </w:r>
      <w:r>
        <w:rPr>
          <w:highlight w:val="none"/>
        </w:rPr>
        <w:instrText xml:space="preserve"> HYPERLINK \l _Toc20527 </w:instrText>
      </w:r>
      <w:r>
        <w:rPr>
          <w:highlight w:val="none"/>
        </w:rPr>
        <w:fldChar w:fldCharType="separate"/>
      </w:r>
      <w:r>
        <w:rPr>
          <w:rFonts w:hint="eastAsia"/>
          <w:highlight w:val="none"/>
          <w:lang w:eastAsia="zh-CN"/>
        </w:rPr>
        <w:t>7  方木原木结构</w:t>
      </w:r>
      <w:r>
        <w:tab/>
      </w:r>
      <w:r>
        <w:fldChar w:fldCharType="begin"/>
      </w:r>
      <w:r>
        <w:instrText xml:space="preserve"> PAGEREF _Toc20527 \h </w:instrText>
      </w:r>
      <w:r>
        <w:fldChar w:fldCharType="separate"/>
      </w:r>
      <w:r>
        <w:t>35</w:t>
      </w:r>
      <w:r>
        <w:fldChar w:fldCharType="end"/>
      </w:r>
      <w:r>
        <w:rPr>
          <w:color w:val="auto"/>
          <w:highlight w:val="none"/>
        </w:rPr>
        <w:fldChar w:fldCharType="end"/>
      </w:r>
    </w:p>
    <w:p w14:paraId="24BD4108">
      <w:pPr>
        <w:pStyle w:val="13"/>
        <w:tabs>
          <w:tab w:val="right" w:leader="dot" w:pos="9582"/>
        </w:tabs>
      </w:pPr>
      <w:r>
        <w:rPr>
          <w:color w:val="auto"/>
          <w:highlight w:val="none"/>
        </w:rPr>
        <w:fldChar w:fldCharType="begin"/>
      </w:r>
      <w:r>
        <w:rPr>
          <w:highlight w:val="none"/>
        </w:rPr>
        <w:instrText xml:space="preserve"> HYPERLINK \l _Toc17491 </w:instrText>
      </w:r>
      <w:r>
        <w:rPr>
          <w:highlight w:val="none"/>
        </w:rPr>
        <w:fldChar w:fldCharType="separate"/>
      </w:r>
      <w:r>
        <w:rPr>
          <w:rFonts w:hint="eastAsia"/>
          <w:highlight w:val="none"/>
          <w:lang w:eastAsia="zh-CN"/>
        </w:rPr>
        <w:t xml:space="preserve">7.1  </w:t>
      </w:r>
      <w:r>
        <w:rPr>
          <w:rFonts w:hint="eastAsia"/>
          <w:highlight w:val="none"/>
        </w:rPr>
        <w:t>一般规定</w:t>
      </w:r>
      <w:r>
        <w:tab/>
      </w:r>
      <w:r>
        <w:fldChar w:fldCharType="begin"/>
      </w:r>
      <w:r>
        <w:instrText xml:space="preserve"> PAGEREF _Toc17491 \h </w:instrText>
      </w:r>
      <w:r>
        <w:fldChar w:fldCharType="separate"/>
      </w:r>
      <w:r>
        <w:t>35</w:t>
      </w:r>
      <w:r>
        <w:fldChar w:fldCharType="end"/>
      </w:r>
      <w:r>
        <w:rPr>
          <w:color w:val="auto"/>
          <w:highlight w:val="none"/>
        </w:rPr>
        <w:fldChar w:fldCharType="end"/>
      </w:r>
    </w:p>
    <w:p w14:paraId="719DCC0A">
      <w:pPr>
        <w:pStyle w:val="13"/>
        <w:tabs>
          <w:tab w:val="right" w:leader="dot" w:pos="9582"/>
        </w:tabs>
      </w:pPr>
      <w:r>
        <w:rPr>
          <w:color w:val="auto"/>
          <w:highlight w:val="none"/>
        </w:rPr>
        <w:fldChar w:fldCharType="begin"/>
      </w:r>
      <w:r>
        <w:rPr>
          <w:highlight w:val="none"/>
        </w:rPr>
        <w:instrText xml:space="preserve"> HYPERLINK \l _Toc32463 </w:instrText>
      </w:r>
      <w:r>
        <w:rPr>
          <w:highlight w:val="none"/>
        </w:rPr>
        <w:fldChar w:fldCharType="separate"/>
      </w:r>
      <w:r>
        <w:rPr>
          <w:rFonts w:hint="eastAsia"/>
          <w:highlight w:val="none"/>
          <w:lang w:eastAsia="zh-CN"/>
        </w:rPr>
        <w:t xml:space="preserve">7.2  </w:t>
      </w:r>
      <w:r>
        <w:rPr>
          <w:rFonts w:hint="eastAsia"/>
          <w:highlight w:val="none"/>
        </w:rPr>
        <w:t>梁和柱</w:t>
      </w:r>
      <w:r>
        <w:tab/>
      </w:r>
      <w:r>
        <w:fldChar w:fldCharType="begin"/>
      </w:r>
      <w:r>
        <w:instrText xml:space="preserve"> PAGEREF _Toc32463 \h </w:instrText>
      </w:r>
      <w:r>
        <w:fldChar w:fldCharType="separate"/>
      </w:r>
      <w:r>
        <w:t>38</w:t>
      </w:r>
      <w:r>
        <w:fldChar w:fldCharType="end"/>
      </w:r>
      <w:r>
        <w:rPr>
          <w:color w:val="auto"/>
          <w:highlight w:val="none"/>
        </w:rPr>
        <w:fldChar w:fldCharType="end"/>
      </w:r>
    </w:p>
    <w:p w14:paraId="5A499358">
      <w:pPr>
        <w:pStyle w:val="13"/>
        <w:tabs>
          <w:tab w:val="right" w:leader="dot" w:pos="9582"/>
        </w:tabs>
      </w:pPr>
      <w:r>
        <w:rPr>
          <w:color w:val="auto"/>
          <w:highlight w:val="none"/>
        </w:rPr>
        <w:fldChar w:fldCharType="begin"/>
      </w:r>
      <w:r>
        <w:rPr>
          <w:highlight w:val="none"/>
        </w:rPr>
        <w:instrText xml:space="preserve"> HYPERLINK \l _Toc18261 </w:instrText>
      </w:r>
      <w:r>
        <w:rPr>
          <w:highlight w:val="none"/>
        </w:rPr>
        <w:fldChar w:fldCharType="separate"/>
      </w:r>
      <w:r>
        <w:rPr>
          <w:rFonts w:hint="eastAsia"/>
          <w:highlight w:val="none"/>
          <w:lang w:eastAsia="zh-CN"/>
        </w:rPr>
        <w:t>7.3</w:t>
      </w:r>
      <w:r>
        <w:rPr>
          <w:highlight w:val="none"/>
        </w:rPr>
        <w:t xml:space="preserve"> </w:t>
      </w:r>
      <w:r>
        <w:rPr>
          <w:rFonts w:hint="eastAsia"/>
          <w:highlight w:val="none"/>
          <w:lang w:eastAsia="zh-CN"/>
        </w:rPr>
        <w:t xml:space="preserve"> </w:t>
      </w:r>
      <w:r>
        <w:rPr>
          <w:rFonts w:hint="eastAsia"/>
          <w:highlight w:val="none"/>
        </w:rPr>
        <w:t>墙</w:t>
      </w:r>
      <w:r>
        <w:rPr>
          <w:highlight w:val="none"/>
        </w:rPr>
        <w:t xml:space="preserve"> </w:t>
      </w:r>
      <w:r>
        <w:rPr>
          <w:rFonts w:hint="eastAsia"/>
          <w:highlight w:val="none"/>
          <w:lang w:eastAsia="zh-CN"/>
        </w:rPr>
        <w:t xml:space="preserve"> </w:t>
      </w:r>
      <w:r>
        <w:rPr>
          <w:highlight w:val="none"/>
        </w:rPr>
        <w:t>体</w:t>
      </w:r>
      <w:r>
        <w:tab/>
      </w:r>
      <w:r>
        <w:fldChar w:fldCharType="begin"/>
      </w:r>
      <w:r>
        <w:instrText xml:space="preserve"> PAGEREF _Toc18261 \h </w:instrText>
      </w:r>
      <w:r>
        <w:fldChar w:fldCharType="separate"/>
      </w:r>
      <w:r>
        <w:t>38</w:t>
      </w:r>
      <w:r>
        <w:fldChar w:fldCharType="end"/>
      </w:r>
      <w:r>
        <w:rPr>
          <w:color w:val="auto"/>
          <w:highlight w:val="none"/>
        </w:rPr>
        <w:fldChar w:fldCharType="end"/>
      </w:r>
    </w:p>
    <w:p w14:paraId="3BF33727">
      <w:pPr>
        <w:pStyle w:val="13"/>
        <w:tabs>
          <w:tab w:val="right" w:leader="dot" w:pos="9582"/>
        </w:tabs>
      </w:pPr>
      <w:r>
        <w:rPr>
          <w:color w:val="auto"/>
          <w:highlight w:val="none"/>
        </w:rPr>
        <w:fldChar w:fldCharType="begin"/>
      </w:r>
      <w:r>
        <w:rPr>
          <w:highlight w:val="none"/>
        </w:rPr>
        <w:instrText xml:space="preserve"> HYPERLINK \l _Toc4037 </w:instrText>
      </w:r>
      <w:r>
        <w:rPr>
          <w:highlight w:val="none"/>
        </w:rPr>
        <w:fldChar w:fldCharType="separate"/>
      </w:r>
      <w:r>
        <w:rPr>
          <w:rFonts w:hint="eastAsia"/>
          <w:highlight w:val="none"/>
          <w:lang w:eastAsia="zh-CN"/>
        </w:rPr>
        <w:t>7.4</w:t>
      </w:r>
      <w:r>
        <w:rPr>
          <w:highlight w:val="none"/>
        </w:rPr>
        <w:t xml:space="preserve"> </w:t>
      </w:r>
      <w:r>
        <w:rPr>
          <w:rFonts w:hint="eastAsia"/>
          <w:highlight w:val="none"/>
          <w:lang w:eastAsia="zh-CN"/>
        </w:rPr>
        <w:t xml:space="preserve"> </w:t>
      </w:r>
      <w:r>
        <w:rPr>
          <w:rFonts w:hint="eastAsia"/>
          <w:highlight w:val="none"/>
        </w:rPr>
        <w:t>楼盖及屋盖</w:t>
      </w:r>
      <w:r>
        <w:tab/>
      </w:r>
      <w:r>
        <w:fldChar w:fldCharType="begin"/>
      </w:r>
      <w:r>
        <w:instrText xml:space="preserve"> PAGEREF _Toc4037 \h </w:instrText>
      </w:r>
      <w:r>
        <w:fldChar w:fldCharType="separate"/>
      </w:r>
      <w:r>
        <w:t>40</w:t>
      </w:r>
      <w:r>
        <w:fldChar w:fldCharType="end"/>
      </w:r>
      <w:r>
        <w:rPr>
          <w:color w:val="auto"/>
          <w:highlight w:val="none"/>
        </w:rPr>
        <w:fldChar w:fldCharType="end"/>
      </w:r>
    </w:p>
    <w:p w14:paraId="352AE430">
      <w:pPr>
        <w:pStyle w:val="13"/>
        <w:tabs>
          <w:tab w:val="right" w:leader="dot" w:pos="9582"/>
        </w:tabs>
      </w:pPr>
      <w:r>
        <w:rPr>
          <w:color w:val="auto"/>
          <w:highlight w:val="none"/>
        </w:rPr>
        <w:fldChar w:fldCharType="begin"/>
      </w:r>
      <w:r>
        <w:rPr>
          <w:highlight w:val="none"/>
        </w:rPr>
        <w:instrText xml:space="preserve"> HYPERLINK \l _Toc29340 </w:instrText>
      </w:r>
      <w:r>
        <w:rPr>
          <w:highlight w:val="none"/>
        </w:rPr>
        <w:fldChar w:fldCharType="separate"/>
      </w:r>
      <w:r>
        <w:rPr>
          <w:rFonts w:hint="eastAsia"/>
          <w:highlight w:val="none"/>
          <w:lang w:eastAsia="zh-CN"/>
        </w:rPr>
        <w:t xml:space="preserve">7.5  </w:t>
      </w:r>
      <w:r>
        <w:rPr>
          <w:rFonts w:hint="eastAsia"/>
          <w:highlight w:val="none"/>
        </w:rPr>
        <w:t>桁</w:t>
      </w:r>
      <w:r>
        <w:rPr>
          <w:highlight w:val="none"/>
        </w:rPr>
        <w:t xml:space="preserve"> </w:t>
      </w:r>
      <w:r>
        <w:rPr>
          <w:rFonts w:hint="eastAsia"/>
          <w:highlight w:val="none"/>
          <w:lang w:eastAsia="zh-CN"/>
        </w:rPr>
        <w:t xml:space="preserve"> </w:t>
      </w:r>
      <w:r>
        <w:rPr>
          <w:highlight w:val="none"/>
        </w:rPr>
        <w:t>架</w:t>
      </w:r>
      <w:r>
        <w:tab/>
      </w:r>
      <w:r>
        <w:fldChar w:fldCharType="begin"/>
      </w:r>
      <w:r>
        <w:instrText xml:space="preserve"> PAGEREF _Toc29340 \h </w:instrText>
      </w:r>
      <w:r>
        <w:fldChar w:fldCharType="separate"/>
      </w:r>
      <w:r>
        <w:t>43</w:t>
      </w:r>
      <w:r>
        <w:fldChar w:fldCharType="end"/>
      </w:r>
      <w:r>
        <w:rPr>
          <w:color w:val="auto"/>
          <w:highlight w:val="none"/>
        </w:rPr>
        <w:fldChar w:fldCharType="end"/>
      </w:r>
    </w:p>
    <w:p w14:paraId="4E05270A">
      <w:pPr>
        <w:pStyle w:val="13"/>
        <w:tabs>
          <w:tab w:val="right" w:leader="dot" w:pos="9582"/>
        </w:tabs>
      </w:pPr>
      <w:r>
        <w:rPr>
          <w:color w:val="auto"/>
          <w:highlight w:val="none"/>
        </w:rPr>
        <w:fldChar w:fldCharType="begin"/>
      </w:r>
      <w:r>
        <w:rPr>
          <w:highlight w:val="none"/>
        </w:rPr>
        <w:instrText xml:space="preserve"> HYPERLINK \l _Toc28433 </w:instrText>
      </w:r>
      <w:r>
        <w:rPr>
          <w:highlight w:val="none"/>
        </w:rPr>
        <w:fldChar w:fldCharType="separate"/>
      </w:r>
      <w:r>
        <w:rPr>
          <w:rFonts w:hint="eastAsia"/>
          <w:highlight w:val="none"/>
          <w:lang w:eastAsia="zh-CN"/>
        </w:rPr>
        <w:t xml:space="preserve">7.6 </w:t>
      </w:r>
      <w:r>
        <w:rPr>
          <w:rFonts w:hint="eastAsia"/>
          <w:highlight w:val="none"/>
        </w:rPr>
        <w:t xml:space="preserve"> 天</w:t>
      </w:r>
      <w:r>
        <w:rPr>
          <w:rFonts w:hint="eastAsia"/>
          <w:highlight w:val="none"/>
          <w:lang w:eastAsia="zh-CN"/>
        </w:rPr>
        <w:t xml:space="preserve">  </w:t>
      </w:r>
      <w:r>
        <w:rPr>
          <w:rFonts w:hint="eastAsia"/>
          <w:highlight w:val="none"/>
        </w:rPr>
        <w:t>窗</w:t>
      </w:r>
      <w:r>
        <w:tab/>
      </w:r>
      <w:r>
        <w:fldChar w:fldCharType="begin"/>
      </w:r>
      <w:r>
        <w:instrText xml:space="preserve"> PAGEREF _Toc28433 \h </w:instrText>
      </w:r>
      <w:r>
        <w:fldChar w:fldCharType="separate"/>
      </w:r>
      <w:r>
        <w:t>47</w:t>
      </w:r>
      <w:r>
        <w:fldChar w:fldCharType="end"/>
      </w:r>
      <w:r>
        <w:rPr>
          <w:color w:val="auto"/>
          <w:highlight w:val="none"/>
        </w:rPr>
        <w:fldChar w:fldCharType="end"/>
      </w:r>
    </w:p>
    <w:p w14:paraId="1391B3B3">
      <w:pPr>
        <w:pStyle w:val="13"/>
        <w:tabs>
          <w:tab w:val="right" w:leader="dot" w:pos="9582"/>
        </w:tabs>
      </w:pPr>
      <w:r>
        <w:rPr>
          <w:color w:val="auto"/>
          <w:highlight w:val="none"/>
        </w:rPr>
        <w:fldChar w:fldCharType="begin"/>
      </w:r>
      <w:r>
        <w:rPr>
          <w:highlight w:val="none"/>
        </w:rPr>
        <w:instrText xml:space="preserve"> HYPERLINK \l _Toc15990 </w:instrText>
      </w:r>
      <w:r>
        <w:rPr>
          <w:highlight w:val="none"/>
        </w:rPr>
        <w:fldChar w:fldCharType="separate"/>
      </w:r>
      <w:r>
        <w:rPr>
          <w:rFonts w:hint="eastAsia"/>
          <w:highlight w:val="none"/>
          <w:lang w:eastAsia="zh-CN"/>
        </w:rPr>
        <w:t>7.7</w:t>
      </w:r>
      <w:r>
        <w:rPr>
          <w:highlight w:val="none"/>
        </w:rPr>
        <w:t xml:space="preserve"> </w:t>
      </w:r>
      <w:r>
        <w:rPr>
          <w:rFonts w:hint="eastAsia"/>
          <w:highlight w:val="none"/>
          <w:lang w:eastAsia="zh-CN"/>
        </w:rPr>
        <w:t xml:space="preserve"> </w:t>
      </w:r>
      <w:r>
        <w:rPr>
          <w:highlight w:val="none"/>
        </w:rPr>
        <w:t xml:space="preserve">支 </w:t>
      </w:r>
      <w:r>
        <w:rPr>
          <w:rFonts w:hint="eastAsia"/>
          <w:highlight w:val="none"/>
          <w:lang w:eastAsia="zh-CN"/>
        </w:rPr>
        <w:t xml:space="preserve"> </w:t>
      </w:r>
      <w:r>
        <w:rPr>
          <w:highlight w:val="none"/>
        </w:rPr>
        <w:t>撑</w:t>
      </w:r>
      <w:r>
        <w:tab/>
      </w:r>
      <w:r>
        <w:fldChar w:fldCharType="begin"/>
      </w:r>
      <w:r>
        <w:instrText xml:space="preserve"> PAGEREF _Toc15990 \h </w:instrText>
      </w:r>
      <w:r>
        <w:fldChar w:fldCharType="separate"/>
      </w:r>
      <w:r>
        <w:t>48</w:t>
      </w:r>
      <w:r>
        <w:fldChar w:fldCharType="end"/>
      </w:r>
      <w:r>
        <w:rPr>
          <w:color w:val="auto"/>
          <w:highlight w:val="none"/>
        </w:rPr>
        <w:fldChar w:fldCharType="end"/>
      </w:r>
    </w:p>
    <w:p w14:paraId="0F6C3081">
      <w:pPr>
        <w:pStyle w:val="12"/>
        <w:tabs>
          <w:tab w:val="right" w:leader="dot" w:pos="9582"/>
        </w:tabs>
      </w:pPr>
      <w:r>
        <w:rPr>
          <w:color w:val="auto"/>
          <w:highlight w:val="none"/>
        </w:rPr>
        <w:fldChar w:fldCharType="begin"/>
      </w:r>
      <w:r>
        <w:rPr>
          <w:highlight w:val="none"/>
        </w:rPr>
        <w:instrText xml:space="preserve"> HYPERLINK \l _Toc9961 </w:instrText>
      </w:r>
      <w:r>
        <w:rPr>
          <w:highlight w:val="none"/>
        </w:rPr>
        <w:fldChar w:fldCharType="separate"/>
      </w:r>
      <w:r>
        <w:rPr>
          <w:highlight w:val="none"/>
        </w:rPr>
        <w:t>8 胶合木结构</w:t>
      </w:r>
      <w:r>
        <w:tab/>
      </w:r>
      <w:r>
        <w:fldChar w:fldCharType="begin"/>
      </w:r>
      <w:r>
        <w:instrText xml:space="preserve"> PAGEREF _Toc9961 \h </w:instrText>
      </w:r>
      <w:r>
        <w:fldChar w:fldCharType="separate"/>
      </w:r>
      <w:r>
        <w:t>52</w:t>
      </w:r>
      <w:r>
        <w:fldChar w:fldCharType="end"/>
      </w:r>
      <w:r>
        <w:rPr>
          <w:color w:val="auto"/>
          <w:highlight w:val="none"/>
        </w:rPr>
        <w:fldChar w:fldCharType="end"/>
      </w:r>
    </w:p>
    <w:p w14:paraId="744E0A67">
      <w:pPr>
        <w:pStyle w:val="13"/>
        <w:tabs>
          <w:tab w:val="right" w:leader="dot" w:pos="9582"/>
        </w:tabs>
      </w:pPr>
      <w:r>
        <w:rPr>
          <w:color w:val="auto"/>
          <w:highlight w:val="none"/>
        </w:rPr>
        <w:fldChar w:fldCharType="begin"/>
      </w:r>
      <w:r>
        <w:rPr>
          <w:highlight w:val="none"/>
        </w:rPr>
        <w:instrText xml:space="preserve"> HYPERLINK \l _Toc15065 </w:instrText>
      </w:r>
      <w:r>
        <w:rPr>
          <w:highlight w:val="none"/>
        </w:rPr>
        <w:fldChar w:fldCharType="separate"/>
      </w:r>
      <w:r>
        <w:rPr>
          <w:highlight w:val="none"/>
        </w:rPr>
        <w:t xml:space="preserve">8.1 </w:t>
      </w:r>
      <w:r>
        <w:rPr>
          <w:rFonts w:hint="eastAsia"/>
          <w:highlight w:val="none"/>
          <w:lang w:val="en-US" w:eastAsia="zh-CN"/>
        </w:rPr>
        <w:t xml:space="preserve"> </w:t>
      </w:r>
      <w:r>
        <w:rPr>
          <w:highlight w:val="none"/>
        </w:rPr>
        <w:t>一般规定</w:t>
      </w:r>
      <w:r>
        <w:tab/>
      </w:r>
      <w:r>
        <w:fldChar w:fldCharType="begin"/>
      </w:r>
      <w:r>
        <w:instrText xml:space="preserve"> PAGEREF _Toc15065 \h </w:instrText>
      </w:r>
      <w:r>
        <w:fldChar w:fldCharType="separate"/>
      </w:r>
      <w:r>
        <w:t>52</w:t>
      </w:r>
      <w:r>
        <w:fldChar w:fldCharType="end"/>
      </w:r>
      <w:r>
        <w:rPr>
          <w:color w:val="auto"/>
          <w:highlight w:val="none"/>
        </w:rPr>
        <w:fldChar w:fldCharType="end"/>
      </w:r>
    </w:p>
    <w:p w14:paraId="22C80FE1">
      <w:pPr>
        <w:pStyle w:val="13"/>
        <w:tabs>
          <w:tab w:val="right" w:leader="dot" w:pos="9582"/>
        </w:tabs>
      </w:pPr>
      <w:r>
        <w:rPr>
          <w:color w:val="auto"/>
          <w:highlight w:val="none"/>
        </w:rPr>
        <w:fldChar w:fldCharType="begin"/>
      </w:r>
      <w:r>
        <w:rPr>
          <w:highlight w:val="none"/>
        </w:rPr>
        <w:instrText xml:space="preserve"> HYPERLINK \l _Toc25503 </w:instrText>
      </w:r>
      <w:r>
        <w:rPr>
          <w:highlight w:val="none"/>
        </w:rPr>
        <w:fldChar w:fldCharType="separate"/>
      </w:r>
      <w:r>
        <w:rPr>
          <w:highlight w:val="none"/>
        </w:rPr>
        <w:t xml:space="preserve">8.2 </w:t>
      </w:r>
      <w:r>
        <w:rPr>
          <w:rFonts w:hint="eastAsia"/>
          <w:highlight w:val="none"/>
          <w:lang w:val="en-US" w:eastAsia="zh-CN"/>
        </w:rPr>
        <w:t xml:space="preserve"> </w:t>
      </w:r>
      <w:r>
        <w:rPr>
          <w:highlight w:val="none"/>
        </w:rPr>
        <w:t>构件设计</w:t>
      </w:r>
      <w:r>
        <w:tab/>
      </w:r>
      <w:r>
        <w:fldChar w:fldCharType="begin"/>
      </w:r>
      <w:r>
        <w:instrText xml:space="preserve"> PAGEREF _Toc25503 \h </w:instrText>
      </w:r>
      <w:r>
        <w:fldChar w:fldCharType="separate"/>
      </w:r>
      <w:r>
        <w:t>59</w:t>
      </w:r>
      <w:r>
        <w:fldChar w:fldCharType="end"/>
      </w:r>
      <w:r>
        <w:rPr>
          <w:color w:val="auto"/>
          <w:highlight w:val="none"/>
        </w:rPr>
        <w:fldChar w:fldCharType="end"/>
      </w:r>
    </w:p>
    <w:p w14:paraId="42C2AEB4">
      <w:pPr>
        <w:pStyle w:val="13"/>
        <w:tabs>
          <w:tab w:val="right" w:leader="dot" w:pos="9582"/>
        </w:tabs>
      </w:pPr>
      <w:r>
        <w:rPr>
          <w:color w:val="auto"/>
          <w:highlight w:val="none"/>
        </w:rPr>
        <w:fldChar w:fldCharType="begin"/>
      </w:r>
      <w:r>
        <w:rPr>
          <w:highlight w:val="none"/>
        </w:rPr>
        <w:instrText xml:space="preserve"> HYPERLINK \l _Toc5690 </w:instrText>
      </w:r>
      <w:r>
        <w:rPr>
          <w:highlight w:val="none"/>
        </w:rPr>
        <w:fldChar w:fldCharType="separate"/>
      </w:r>
      <w:r>
        <w:rPr>
          <w:highlight w:val="none"/>
        </w:rPr>
        <w:t xml:space="preserve">8.3 </w:t>
      </w:r>
      <w:r>
        <w:rPr>
          <w:rFonts w:hint="eastAsia"/>
          <w:highlight w:val="none"/>
          <w:lang w:val="en-US" w:eastAsia="zh-CN"/>
        </w:rPr>
        <w:t xml:space="preserve"> </w:t>
      </w:r>
      <w:r>
        <w:rPr>
          <w:rFonts w:hint="eastAsia"/>
          <w:highlight w:val="none"/>
        </w:rPr>
        <w:t>连接</w:t>
      </w:r>
      <w:r>
        <w:rPr>
          <w:highlight w:val="none"/>
        </w:rPr>
        <w:t>设计</w:t>
      </w:r>
      <w:r>
        <w:tab/>
      </w:r>
      <w:r>
        <w:fldChar w:fldCharType="begin"/>
      </w:r>
      <w:r>
        <w:instrText xml:space="preserve"> PAGEREF _Toc5690 \h </w:instrText>
      </w:r>
      <w:r>
        <w:fldChar w:fldCharType="separate"/>
      </w:r>
      <w:r>
        <w:t>61</w:t>
      </w:r>
      <w:r>
        <w:fldChar w:fldCharType="end"/>
      </w:r>
      <w:r>
        <w:rPr>
          <w:color w:val="auto"/>
          <w:highlight w:val="none"/>
        </w:rPr>
        <w:fldChar w:fldCharType="end"/>
      </w:r>
    </w:p>
    <w:p w14:paraId="412C066C">
      <w:pPr>
        <w:pStyle w:val="13"/>
        <w:tabs>
          <w:tab w:val="right" w:leader="dot" w:pos="9582"/>
        </w:tabs>
      </w:pPr>
      <w:r>
        <w:rPr>
          <w:color w:val="auto"/>
          <w:highlight w:val="none"/>
        </w:rPr>
        <w:fldChar w:fldCharType="begin"/>
      </w:r>
      <w:r>
        <w:rPr>
          <w:highlight w:val="none"/>
        </w:rPr>
        <w:instrText xml:space="preserve"> HYPERLINK \l _Toc10135 </w:instrText>
      </w:r>
      <w:r>
        <w:rPr>
          <w:highlight w:val="none"/>
        </w:rPr>
        <w:fldChar w:fldCharType="separate"/>
      </w:r>
      <w:r>
        <w:rPr>
          <w:highlight w:val="none"/>
        </w:rPr>
        <w:t xml:space="preserve">8.4 </w:t>
      </w:r>
      <w:r>
        <w:rPr>
          <w:rFonts w:hint="eastAsia"/>
          <w:highlight w:val="none"/>
          <w:lang w:val="en-US" w:eastAsia="zh-CN"/>
        </w:rPr>
        <w:t xml:space="preserve"> </w:t>
      </w:r>
      <w:r>
        <w:rPr>
          <w:rFonts w:hint="eastAsia"/>
          <w:highlight w:val="none"/>
        </w:rPr>
        <w:t>构造要求</w:t>
      </w:r>
      <w:r>
        <w:tab/>
      </w:r>
      <w:r>
        <w:fldChar w:fldCharType="begin"/>
      </w:r>
      <w:r>
        <w:instrText xml:space="preserve"> PAGEREF _Toc10135 \h </w:instrText>
      </w:r>
      <w:r>
        <w:fldChar w:fldCharType="separate"/>
      </w:r>
      <w:r>
        <w:t>67</w:t>
      </w:r>
      <w:r>
        <w:fldChar w:fldCharType="end"/>
      </w:r>
      <w:r>
        <w:rPr>
          <w:color w:val="auto"/>
          <w:highlight w:val="none"/>
        </w:rPr>
        <w:fldChar w:fldCharType="end"/>
      </w:r>
    </w:p>
    <w:p w14:paraId="00D63A9D">
      <w:pPr>
        <w:pStyle w:val="12"/>
        <w:tabs>
          <w:tab w:val="right" w:leader="dot" w:pos="9582"/>
        </w:tabs>
      </w:pPr>
      <w:r>
        <w:rPr>
          <w:color w:val="auto"/>
          <w:highlight w:val="none"/>
        </w:rPr>
        <w:fldChar w:fldCharType="begin"/>
      </w:r>
      <w:r>
        <w:rPr>
          <w:highlight w:val="none"/>
        </w:rPr>
        <w:instrText xml:space="preserve"> HYPERLINK \l _Toc10276 </w:instrText>
      </w:r>
      <w:r>
        <w:rPr>
          <w:highlight w:val="none"/>
        </w:rPr>
        <w:fldChar w:fldCharType="separate"/>
      </w:r>
      <w:r>
        <w:rPr>
          <w:rFonts w:hint="eastAsia"/>
          <w:highlight w:val="none"/>
          <w:lang w:val="en-US" w:eastAsia="zh-CN"/>
        </w:rPr>
        <w:t>9  节能与隔声设计</w:t>
      </w:r>
      <w:r>
        <w:tab/>
      </w:r>
      <w:r>
        <w:fldChar w:fldCharType="begin"/>
      </w:r>
      <w:r>
        <w:instrText xml:space="preserve"> PAGEREF _Toc10276 \h </w:instrText>
      </w:r>
      <w:r>
        <w:fldChar w:fldCharType="separate"/>
      </w:r>
      <w:r>
        <w:t>79</w:t>
      </w:r>
      <w:r>
        <w:fldChar w:fldCharType="end"/>
      </w:r>
      <w:r>
        <w:rPr>
          <w:color w:val="auto"/>
          <w:highlight w:val="none"/>
        </w:rPr>
        <w:fldChar w:fldCharType="end"/>
      </w:r>
    </w:p>
    <w:p w14:paraId="00E6426A">
      <w:pPr>
        <w:pStyle w:val="13"/>
        <w:tabs>
          <w:tab w:val="right" w:leader="dot" w:pos="9582"/>
        </w:tabs>
      </w:pPr>
      <w:r>
        <w:rPr>
          <w:color w:val="auto"/>
          <w:highlight w:val="none"/>
        </w:rPr>
        <w:fldChar w:fldCharType="begin"/>
      </w:r>
      <w:r>
        <w:rPr>
          <w:highlight w:val="none"/>
        </w:rPr>
        <w:instrText xml:space="preserve"> HYPERLINK \l _Toc14333 </w:instrText>
      </w:r>
      <w:r>
        <w:rPr>
          <w:highlight w:val="none"/>
        </w:rPr>
        <w:fldChar w:fldCharType="separate"/>
      </w:r>
      <w:r>
        <w:rPr>
          <w:rFonts w:hint="eastAsia"/>
          <w:highlight w:val="none"/>
          <w:lang w:eastAsia="zh-CN"/>
        </w:rPr>
        <w:t>9.1  一般规定</w:t>
      </w:r>
      <w:r>
        <w:tab/>
      </w:r>
      <w:r>
        <w:fldChar w:fldCharType="begin"/>
      </w:r>
      <w:r>
        <w:instrText xml:space="preserve"> PAGEREF _Toc14333 \h </w:instrText>
      </w:r>
      <w:r>
        <w:fldChar w:fldCharType="separate"/>
      </w:r>
      <w:r>
        <w:t>79</w:t>
      </w:r>
      <w:r>
        <w:fldChar w:fldCharType="end"/>
      </w:r>
      <w:r>
        <w:rPr>
          <w:color w:val="auto"/>
          <w:highlight w:val="none"/>
        </w:rPr>
        <w:fldChar w:fldCharType="end"/>
      </w:r>
    </w:p>
    <w:p w14:paraId="75842BAB">
      <w:pPr>
        <w:pStyle w:val="13"/>
        <w:tabs>
          <w:tab w:val="right" w:leader="dot" w:pos="9582"/>
        </w:tabs>
      </w:pPr>
      <w:r>
        <w:rPr>
          <w:color w:val="auto"/>
          <w:highlight w:val="none"/>
        </w:rPr>
        <w:fldChar w:fldCharType="begin"/>
      </w:r>
      <w:r>
        <w:rPr>
          <w:highlight w:val="none"/>
        </w:rPr>
        <w:instrText xml:space="preserve"> HYPERLINK \l _Toc1440 </w:instrText>
      </w:r>
      <w:r>
        <w:rPr>
          <w:highlight w:val="none"/>
        </w:rPr>
        <w:fldChar w:fldCharType="separate"/>
      </w:r>
      <w:r>
        <w:rPr>
          <w:rFonts w:hint="eastAsia"/>
          <w:highlight w:val="none"/>
          <w:lang w:eastAsia="zh-CN"/>
        </w:rPr>
        <w:t>9.2  节  能</w:t>
      </w:r>
      <w:r>
        <w:tab/>
      </w:r>
      <w:r>
        <w:fldChar w:fldCharType="begin"/>
      </w:r>
      <w:r>
        <w:instrText xml:space="preserve"> PAGEREF _Toc1440 \h </w:instrText>
      </w:r>
      <w:r>
        <w:fldChar w:fldCharType="separate"/>
      </w:r>
      <w:r>
        <w:t>80</w:t>
      </w:r>
      <w:r>
        <w:fldChar w:fldCharType="end"/>
      </w:r>
      <w:r>
        <w:rPr>
          <w:color w:val="auto"/>
          <w:highlight w:val="none"/>
        </w:rPr>
        <w:fldChar w:fldCharType="end"/>
      </w:r>
    </w:p>
    <w:p w14:paraId="7E71A781">
      <w:pPr>
        <w:pStyle w:val="13"/>
        <w:tabs>
          <w:tab w:val="right" w:leader="dot" w:pos="9582"/>
        </w:tabs>
      </w:pPr>
      <w:r>
        <w:rPr>
          <w:color w:val="auto"/>
          <w:highlight w:val="none"/>
        </w:rPr>
        <w:fldChar w:fldCharType="begin"/>
      </w:r>
      <w:r>
        <w:rPr>
          <w:highlight w:val="none"/>
        </w:rPr>
        <w:instrText xml:space="preserve"> HYPERLINK \l _Toc20510 </w:instrText>
      </w:r>
      <w:r>
        <w:rPr>
          <w:highlight w:val="none"/>
        </w:rPr>
        <w:fldChar w:fldCharType="separate"/>
      </w:r>
      <w:r>
        <w:rPr>
          <w:rFonts w:hint="eastAsia"/>
          <w:highlight w:val="none"/>
          <w:lang w:eastAsia="zh-CN"/>
        </w:rPr>
        <w:t>9.3  隔  声</w:t>
      </w:r>
      <w:r>
        <w:tab/>
      </w:r>
      <w:r>
        <w:fldChar w:fldCharType="begin"/>
      </w:r>
      <w:r>
        <w:instrText xml:space="preserve"> PAGEREF _Toc20510 \h </w:instrText>
      </w:r>
      <w:r>
        <w:fldChar w:fldCharType="separate"/>
      </w:r>
      <w:r>
        <w:t>82</w:t>
      </w:r>
      <w:r>
        <w:fldChar w:fldCharType="end"/>
      </w:r>
      <w:r>
        <w:rPr>
          <w:color w:val="auto"/>
          <w:highlight w:val="none"/>
        </w:rPr>
        <w:fldChar w:fldCharType="end"/>
      </w:r>
    </w:p>
    <w:p w14:paraId="1B2B46D9">
      <w:pPr>
        <w:pStyle w:val="12"/>
        <w:tabs>
          <w:tab w:val="right" w:leader="dot" w:pos="9582"/>
        </w:tabs>
      </w:pPr>
      <w:r>
        <w:rPr>
          <w:color w:val="auto"/>
          <w:highlight w:val="none"/>
        </w:rPr>
        <w:fldChar w:fldCharType="begin"/>
      </w:r>
      <w:r>
        <w:rPr>
          <w:highlight w:val="none"/>
        </w:rPr>
        <w:instrText xml:space="preserve"> HYPERLINK \l _Toc5538 </w:instrText>
      </w:r>
      <w:r>
        <w:rPr>
          <w:highlight w:val="none"/>
        </w:rPr>
        <w:fldChar w:fldCharType="separate"/>
      </w:r>
      <w:r>
        <w:rPr>
          <w:rFonts w:hint="eastAsia"/>
          <w:highlight w:val="none"/>
          <w:lang w:eastAsia="zh-CN"/>
        </w:rPr>
        <w:t>10  防火设计</w:t>
      </w:r>
      <w:r>
        <w:tab/>
      </w:r>
      <w:r>
        <w:fldChar w:fldCharType="begin"/>
      </w:r>
      <w:r>
        <w:instrText xml:space="preserve"> PAGEREF _Toc5538 \h </w:instrText>
      </w:r>
      <w:r>
        <w:fldChar w:fldCharType="separate"/>
      </w:r>
      <w:r>
        <w:t>83</w:t>
      </w:r>
      <w:r>
        <w:fldChar w:fldCharType="end"/>
      </w:r>
      <w:r>
        <w:rPr>
          <w:color w:val="auto"/>
          <w:highlight w:val="none"/>
        </w:rPr>
        <w:fldChar w:fldCharType="end"/>
      </w:r>
    </w:p>
    <w:p w14:paraId="10D1393B">
      <w:pPr>
        <w:pStyle w:val="13"/>
        <w:tabs>
          <w:tab w:val="right" w:leader="dot" w:pos="9582"/>
        </w:tabs>
      </w:pPr>
      <w:r>
        <w:rPr>
          <w:color w:val="auto"/>
          <w:highlight w:val="none"/>
        </w:rPr>
        <w:fldChar w:fldCharType="begin"/>
      </w:r>
      <w:r>
        <w:rPr>
          <w:highlight w:val="none"/>
        </w:rPr>
        <w:instrText xml:space="preserve"> HYPERLINK \l _Toc22669 </w:instrText>
      </w:r>
      <w:r>
        <w:rPr>
          <w:highlight w:val="none"/>
        </w:rPr>
        <w:fldChar w:fldCharType="separate"/>
      </w:r>
      <w:r>
        <w:rPr>
          <w:rFonts w:hint="eastAsia"/>
          <w:highlight w:val="none"/>
          <w:lang w:eastAsia="zh-CN"/>
        </w:rPr>
        <w:t>10</w:t>
      </w:r>
      <w:r>
        <w:rPr>
          <w:highlight w:val="none"/>
          <w:lang w:eastAsia="zh-CN"/>
        </w:rPr>
        <w:t>.1</w:t>
      </w:r>
      <w:r>
        <w:rPr>
          <w:rFonts w:hint="eastAsia"/>
          <w:highlight w:val="none"/>
          <w:lang w:eastAsia="zh-CN"/>
        </w:rPr>
        <w:t xml:space="preserve">  一般规定</w:t>
      </w:r>
      <w:r>
        <w:tab/>
      </w:r>
      <w:r>
        <w:fldChar w:fldCharType="begin"/>
      </w:r>
      <w:r>
        <w:instrText xml:space="preserve"> PAGEREF _Toc22669 \h </w:instrText>
      </w:r>
      <w:r>
        <w:fldChar w:fldCharType="separate"/>
      </w:r>
      <w:r>
        <w:t>83</w:t>
      </w:r>
      <w:r>
        <w:fldChar w:fldCharType="end"/>
      </w:r>
      <w:r>
        <w:rPr>
          <w:color w:val="auto"/>
          <w:highlight w:val="none"/>
        </w:rPr>
        <w:fldChar w:fldCharType="end"/>
      </w:r>
    </w:p>
    <w:p w14:paraId="7DC950A2">
      <w:pPr>
        <w:pStyle w:val="13"/>
        <w:tabs>
          <w:tab w:val="right" w:leader="dot" w:pos="9582"/>
        </w:tabs>
      </w:pPr>
      <w:r>
        <w:rPr>
          <w:color w:val="auto"/>
          <w:highlight w:val="none"/>
        </w:rPr>
        <w:fldChar w:fldCharType="begin"/>
      </w:r>
      <w:r>
        <w:rPr>
          <w:highlight w:val="none"/>
        </w:rPr>
        <w:instrText xml:space="preserve"> HYPERLINK \l _Toc3608 </w:instrText>
      </w:r>
      <w:r>
        <w:rPr>
          <w:highlight w:val="none"/>
        </w:rPr>
        <w:fldChar w:fldCharType="separate"/>
      </w:r>
      <w:r>
        <w:rPr>
          <w:rFonts w:hint="eastAsia"/>
          <w:highlight w:val="none"/>
          <w:lang w:eastAsia="zh-CN"/>
        </w:rPr>
        <w:t>10</w:t>
      </w:r>
      <w:r>
        <w:rPr>
          <w:highlight w:val="none"/>
          <w:lang w:eastAsia="zh-CN"/>
        </w:rPr>
        <w:t>.2</w:t>
      </w:r>
      <w:r>
        <w:rPr>
          <w:rFonts w:hint="eastAsia"/>
          <w:highlight w:val="none"/>
          <w:lang w:eastAsia="zh-CN"/>
        </w:rPr>
        <w:t xml:space="preserve">  防火要求</w:t>
      </w:r>
      <w:r>
        <w:tab/>
      </w:r>
      <w:r>
        <w:fldChar w:fldCharType="begin"/>
      </w:r>
      <w:r>
        <w:instrText xml:space="preserve"> PAGEREF _Toc3608 \h </w:instrText>
      </w:r>
      <w:r>
        <w:fldChar w:fldCharType="separate"/>
      </w:r>
      <w:r>
        <w:t>84</w:t>
      </w:r>
      <w:r>
        <w:fldChar w:fldCharType="end"/>
      </w:r>
      <w:r>
        <w:rPr>
          <w:color w:val="auto"/>
          <w:highlight w:val="none"/>
        </w:rPr>
        <w:fldChar w:fldCharType="end"/>
      </w:r>
    </w:p>
    <w:p w14:paraId="38AEC906">
      <w:pPr>
        <w:pStyle w:val="13"/>
        <w:tabs>
          <w:tab w:val="right" w:leader="dot" w:pos="9582"/>
        </w:tabs>
      </w:pPr>
      <w:r>
        <w:rPr>
          <w:color w:val="auto"/>
          <w:highlight w:val="none"/>
        </w:rPr>
        <w:fldChar w:fldCharType="begin"/>
      </w:r>
      <w:r>
        <w:rPr>
          <w:highlight w:val="none"/>
        </w:rPr>
        <w:instrText xml:space="preserve"> HYPERLINK \l _Toc2177 </w:instrText>
      </w:r>
      <w:r>
        <w:rPr>
          <w:highlight w:val="none"/>
        </w:rPr>
        <w:fldChar w:fldCharType="separate"/>
      </w:r>
      <w:r>
        <w:rPr>
          <w:rFonts w:hint="eastAsia"/>
          <w:highlight w:val="none"/>
          <w:lang w:eastAsia="zh-CN"/>
        </w:rPr>
        <w:t>10</w:t>
      </w:r>
      <w:r>
        <w:rPr>
          <w:highlight w:val="none"/>
          <w:lang w:eastAsia="zh-CN"/>
        </w:rPr>
        <w:t>.3</w:t>
      </w:r>
      <w:r>
        <w:rPr>
          <w:rFonts w:hint="eastAsia"/>
          <w:highlight w:val="none"/>
          <w:lang w:eastAsia="zh-CN"/>
        </w:rPr>
        <w:t xml:space="preserve">  防火构造</w:t>
      </w:r>
      <w:r>
        <w:tab/>
      </w:r>
      <w:r>
        <w:fldChar w:fldCharType="begin"/>
      </w:r>
      <w:r>
        <w:instrText xml:space="preserve"> PAGEREF _Toc2177 \h </w:instrText>
      </w:r>
      <w:r>
        <w:fldChar w:fldCharType="separate"/>
      </w:r>
      <w:r>
        <w:t>86</w:t>
      </w:r>
      <w:r>
        <w:fldChar w:fldCharType="end"/>
      </w:r>
      <w:r>
        <w:rPr>
          <w:color w:val="auto"/>
          <w:highlight w:val="none"/>
        </w:rPr>
        <w:fldChar w:fldCharType="end"/>
      </w:r>
    </w:p>
    <w:p w14:paraId="68BC6486">
      <w:pPr>
        <w:pStyle w:val="13"/>
        <w:tabs>
          <w:tab w:val="right" w:leader="dot" w:pos="9582"/>
        </w:tabs>
      </w:pPr>
      <w:r>
        <w:rPr>
          <w:color w:val="auto"/>
          <w:highlight w:val="none"/>
        </w:rPr>
        <w:fldChar w:fldCharType="begin"/>
      </w:r>
      <w:r>
        <w:rPr>
          <w:highlight w:val="none"/>
        </w:rPr>
        <w:instrText xml:space="preserve"> HYPERLINK \l _Toc18007 </w:instrText>
      </w:r>
      <w:r>
        <w:rPr>
          <w:highlight w:val="none"/>
        </w:rPr>
        <w:fldChar w:fldCharType="separate"/>
      </w:r>
      <w:r>
        <w:rPr>
          <w:rFonts w:hint="eastAsia"/>
          <w:highlight w:val="none"/>
          <w:lang w:eastAsia="zh-CN"/>
        </w:rPr>
        <w:t>10</w:t>
      </w:r>
      <w:r>
        <w:rPr>
          <w:highlight w:val="none"/>
          <w:lang w:eastAsia="zh-CN"/>
        </w:rPr>
        <w:t>.4</w:t>
      </w:r>
      <w:r>
        <w:rPr>
          <w:rFonts w:hint="eastAsia"/>
          <w:highlight w:val="none"/>
          <w:lang w:eastAsia="zh-CN"/>
        </w:rPr>
        <w:t xml:space="preserve">  施工现场防火措施</w:t>
      </w:r>
      <w:r>
        <w:tab/>
      </w:r>
      <w:r>
        <w:fldChar w:fldCharType="begin"/>
      </w:r>
      <w:r>
        <w:instrText xml:space="preserve"> PAGEREF _Toc18007 \h </w:instrText>
      </w:r>
      <w:r>
        <w:fldChar w:fldCharType="separate"/>
      </w:r>
      <w:r>
        <w:t>89</w:t>
      </w:r>
      <w:r>
        <w:fldChar w:fldCharType="end"/>
      </w:r>
      <w:r>
        <w:rPr>
          <w:color w:val="auto"/>
          <w:highlight w:val="none"/>
        </w:rPr>
        <w:fldChar w:fldCharType="end"/>
      </w:r>
    </w:p>
    <w:p w14:paraId="5A84DAC4">
      <w:pPr>
        <w:pStyle w:val="12"/>
        <w:tabs>
          <w:tab w:val="right" w:leader="dot" w:pos="9582"/>
        </w:tabs>
      </w:pPr>
      <w:r>
        <w:rPr>
          <w:color w:val="auto"/>
          <w:highlight w:val="none"/>
        </w:rPr>
        <w:fldChar w:fldCharType="begin"/>
      </w:r>
      <w:r>
        <w:rPr>
          <w:highlight w:val="none"/>
        </w:rPr>
        <w:instrText xml:space="preserve"> HYPERLINK \l _Toc19214 </w:instrText>
      </w:r>
      <w:r>
        <w:rPr>
          <w:highlight w:val="none"/>
        </w:rPr>
        <w:fldChar w:fldCharType="separate"/>
      </w:r>
      <w:r>
        <w:rPr>
          <w:rFonts w:hint="eastAsia"/>
          <w:highlight w:val="none"/>
          <w:lang w:eastAsia="zh-CN"/>
        </w:rPr>
        <w:t>11  防护设计</w:t>
      </w:r>
      <w:r>
        <w:tab/>
      </w:r>
      <w:r>
        <w:fldChar w:fldCharType="begin"/>
      </w:r>
      <w:r>
        <w:instrText xml:space="preserve"> PAGEREF _Toc19214 \h </w:instrText>
      </w:r>
      <w:r>
        <w:fldChar w:fldCharType="separate"/>
      </w:r>
      <w:r>
        <w:t>92</w:t>
      </w:r>
      <w:r>
        <w:fldChar w:fldCharType="end"/>
      </w:r>
      <w:r>
        <w:rPr>
          <w:color w:val="auto"/>
          <w:highlight w:val="none"/>
        </w:rPr>
        <w:fldChar w:fldCharType="end"/>
      </w:r>
    </w:p>
    <w:p w14:paraId="6619290D">
      <w:pPr>
        <w:pStyle w:val="13"/>
        <w:tabs>
          <w:tab w:val="right" w:leader="dot" w:pos="9582"/>
        </w:tabs>
      </w:pPr>
      <w:r>
        <w:rPr>
          <w:color w:val="auto"/>
          <w:highlight w:val="none"/>
        </w:rPr>
        <w:fldChar w:fldCharType="begin"/>
      </w:r>
      <w:r>
        <w:rPr>
          <w:highlight w:val="none"/>
        </w:rPr>
        <w:instrText xml:space="preserve"> HYPERLINK \l _Toc29170 </w:instrText>
      </w:r>
      <w:r>
        <w:rPr>
          <w:highlight w:val="none"/>
        </w:rPr>
        <w:fldChar w:fldCharType="separate"/>
      </w:r>
      <w:r>
        <w:rPr>
          <w:rFonts w:hint="eastAsia"/>
          <w:highlight w:val="none"/>
          <w:lang w:eastAsia="zh-CN"/>
        </w:rPr>
        <w:t>11.</w:t>
      </w:r>
      <w:r>
        <w:rPr>
          <w:rFonts w:hint="eastAsia"/>
          <w:highlight w:val="none"/>
        </w:rPr>
        <w:t>1</w:t>
      </w:r>
      <w:r>
        <w:rPr>
          <w:rFonts w:hint="eastAsia"/>
          <w:highlight w:val="none"/>
          <w:lang w:eastAsia="zh-CN"/>
        </w:rPr>
        <w:t xml:space="preserve">  </w:t>
      </w:r>
      <w:r>
        <w:rPr>
          <w:rFonts w:hint="eastAsia"/>
          <w:highlight w:val="none"/>
        </w:rPr>
        <w:t>一般规定</w:t>
      </w:r>
      <w:r>
        <w:tab/>
      </w:r>
      <w:r>
        <w:fldChar w:fldCharType="begin"/>
      </w:r>
      <w:r>
        <w:instrText xml:space="preserve"> PAGEREF _Toc29170 \h </w:instrText>
      </w:r>
      <w:r>
        <w:fldChar w:fldCharType="separate"/>
      </w:r>
      <w:r>
        <w:t>92</w:t>
      </w:r>
      <w:r>
        <w:fldChar w:fldCharType="end"/>
      </w:r>
      <w:r>
        <w:rPr>
          <w:color w:val="auto"/>
          <w:highlight w:val="none"/>
        </w:rPr>
        <w:fldChar w:fldCharType="end"/>
      </w:r>
    </w:p>
    <w:p w14:paraId="7C4A136A">
      <w:pPr>
        <w:pStyle w:val="13"/>
        <w:tabs>
          <w:tab w:val="right" w:leader="dot" w:pos="9582"/>
        </w:tabs>
      </w:pPr>
      <w:r>
        <w:rPr>
          <w:color w:val="auto"/>
          <w:highlight w:val="none"/>
        </w:rPr>
        <w:fldChar w:fldCharType="begin"/>
      </w:r>
      <w:r>
        <w:rPr>
          <w:highlight w:val="none"/>
        </w:rPr>
        <w:instrText xml:space="preserve"> HYPERLINK \l _Toc20254 </w:instrText>
      </w:r>
      <w:r>
        <w:rPr>
          <w:highlight w:val="none"/>
        </w:rPr>
        <w:fldChar w:fldCharType="separate"/>
      </w:r>
      <w:r>
        <w:rPr>
          <w:rFonts w:hint="eastAsia"/>
          <w:highlight w:val="none"/>
          <w:lang w:eastAsia="zh-CN"/>
        </w:rPr>
        <w:t>11.</w:t>
      </w:r>
      <w:r>
        <w:rPr>
          <w:rFonts w:hint="eastAsia"/>
          <w:highlight w:val="none"/>
        </w:rPr>
        <w:t>2</w:t>
      </w:r>
      <w:r>
        <w:rPr>
          <w:rFonts w:hint="eastAsia"/>
          <w:highlight w:val="none"/>
          <w:lang w:eastAsia="zh-CN"/>
        </w:rPr>
        <w:t xml:space="preserve">  </w:t>
      </w:r>
      <w:r>
        <w:rPr>
          <w:rFonts w:hint="eastAsia"/>
          <w:highlight w:val="none"/>
        </w:rPr>
        <w:t>防生物危害</w:t>
      </w:r>
      <w:r>
        <w:tab/>
      </w:r>
      <w:r>
        <w:fldChar w:fldCharType="begin"/>
      </w:r>
      <w:r>
        <w:instrText xml:space="preserve"> PAGEREF _Toc20254 \h </w:instrText>
      </w:r>
      <w:r>
        <w:fldChar w:fldCharType="separate"/>
      </w:r>
      <w:r>
        <w:t>94</w:t>
      </w:r>
      <w:r>
        <w:fldChar w:fldCharType="end"/>
      </w:r>
      <w:r>
        <w:rPr>
          <w:color w:val="auto"/>
          <w:highlight w:val="none"/>
        </w:rPr>
        <w:fldChar w:fldCharType="end"/>
      </w:r>
    </w:p>
    <w:p w14:paraId="27D03766">
      <w:pPr>
        <w:pStyle w:val="13"/>
        <w:tabs>
          <w:tab w:val="right" w:leader="dot" w:pos="9582"/>
        </w:tabs>
      </w:pPr>
      <w:r>
        <w:rPr>
          <w:color w:val="auto"/>
          <w:highlight w:val="none"/>
        </w:rPr>
        <w:fldChar w:fldCharType="begin"/>
      </w:r>
      <w:r>
        <w:rPr>
          <w:highlight w:val="none"/>
        </w:rPr>
        <w:instrText xml:space="preserve"> HYPERLINK \l _Toc12095 </w:instrText>
      </w:r>
      <w:r>
        <w:rPr>
          <w:highlight w:val="none"/>
        </w:rPr>
        <w:fldChar w:fldCharType="separate"/>
      </w:r>
      <w:r>
        <w:rPr>
          <w:rFonts w:hint="eastAsia"/>
          <w:highlight w:val="none"/>
          <w:lang w:val="en-US" w:eastAsia="zh-CN"/>
        </w:rPr>
        <w:t>11</w:t>
      </w:r>
      <w:r>
        <w:rPr>
          <w:rFonts w:hint="eastAsia"/>
          <w:highlight w:val="none"/>
        </w:rPr>
        <w:t>.</w:t>
      </w:r>
      <w:r>
        <w:rPr>
          <w:rFonts w:hint="eastAsia"/>
          <w:highlight w:val="none"/>
          <w:lang w:val="en-US" w:eastAsia="zh-CN"/>
        </w:rPr>
        <w:t>3  防水防潮</w:t>
      </w:r>
      <w:r>
        <w:tab/>
      </w:r>
      <w:r>
        <w:fldChar w:fldCharType="begin"/>
      </w:r>
      <w:r>
        <w:instrText xml:space="preserve"> PAGEREF _Toc12095 \h </w:instrText>
      </w:r>
      <w:r>
        <w:fldChar w:fldCharType="separate"/>
      </w:r>
      <w:r>
        <w:t>100</w:t>
      </w:r>
      <w:r>
        <w:fldChar w:fldCharType="end"/>
      </w:r>
      <w:r>
        <w:rPr>
          <w:color w:val="auto"/>
          <w:highlight w:val="none"/>
        </w:rPr>
        <w:fldChar w:fldCharType="end"/>
      </w:r>
    </w:p>
    <w:p w14:paraId="0ED27E48">
      <w:pPr>
        <w:pStyle w:val="12"/>
        <w:tabs>
          <w:tab w:val="right" w:leader="dot" w:pos="9582"/>
        </w:tabs>
      </w:pPr>
      <w:r>
        <w:rPr>
          <w:color w:val="auto"/>
          <w:highlight w:val="none"/>
        </w:rPr>
        <w:fldChar w:fldCharType="begin"/>
      </w:r>
      <w:r>
        <w:rPr>
          <w:highlight w:val="none"/>
        </w:rPr>
        <w:instrText xml:space="preserve"> HYPERLINK \l _Toc8290 </w:instrText>
      </w:r>
      <w:r>
        <w:rPr>
          <w:highlight w:val="none"/>
        </w:rPr>
        <w:fldChar w:fldCharType="separate"/>
      </w:r>
      <w:r>
        <w:rPr>
          <w:rFonts w:hint="eastAsia"/>
          <w:highlight w:val="none"/>
          <w:lang w:eastAsia="zh-CN"/>
        </w:rPr>
        <w:t>12  制作、安装与验收</w:t>
      </w:r>
      <w:r>
        <w:tab/>
      </w:r>
      <w:r>
        <w:fldChar w:fldCharType="begin"/>
      </w:r>
      <w:r>
        <w:instrText xml:space="preserve"> PAGEREF _Toc8290 \h </w:instrText>
      </w:r>
      <w:r>
        <w:fldChar w:fldCharType="separate"/>
      </w:r>
      <w:r>
        <w:t>104</w:t>
      </w:r>
      <w:r>
        <w:fldChar w:fldCharType="end"/>
      </w:r>
      <w:r>
        <w:rPr>
          <w:color w:val="auto"/>
          <w:highlight w:val="none"/>
        </w:rPr>
        <w:fldChar w:fldCharType="end"/>
      </w:r>
    </w:p>
    <w:p w14:paraId="00C352A6">
      <w:pPr>
        <w:pStyle w:val="13"/>
        <w:tabs>
          <w:tab w:val="right" w:leader="dot" w:pos="9582"/>
        </w:tabs>
      </w:pPr>
      <w:r>
        <w:rPr>
          <w:color w:val="auto"/>
          <w:highlight w:val="none"/>
        </w:rPr>
        <w:fldChar w:fldCharType="begin"/>
      </w:r>
      <w:r>
        <w:rPr>
          <w:highlight w:val="none"/>
        </w:rPr>
        <w:instrText xml:space="preserve"> HYPERLINK \l _Toc28439 </w:instrText>
      </w:r>
      <w:r>
        <w:rPr>
          <w:highlight w:val="none"/>
        </w:rPr>
        <w:fldChar w:fldCharType="separate"/>
      </w:r>
      <w:r>
        <w:rPr>
          <w:rFonts w:hint="eastAsia"/>
          <w:highlight w:val="none"/>
          <w:lang w:eastAsia="zh-CN"/>
        </w:rPr>
        <w:t xml:space="preserve">12.1 </w:t>
      </w:r>
      <w:r>
        <w:rPr>
          <w:highlight w:val="none"/>
          <w:lang w:eastAsia="zh-CN"/>
        </w:rPr>
        <w:t xml:space="preserve"> 一般规定</w:t>
      </w:r>
      <w:r>
        <w:tab/>
      </w:r>
      <w:r>
        <w:fldChar w:fldCharType="begin"/>
      </w:r>
      <w:r>
        <w:instrText xml:space="preserve"> PAGEREF _Toc28439 \h </w:instrText>
      </w:r>
      <w:r>
        <w:fldChar w:fldCharType="separate"/>
      </w:r>
      <w:r>
        <w:t>104</w:t>
      </w:r>
      <w:r>
        <w:fldChar w:fldCharType="end"/>
      </w:r>
      <w:r>
        <w:rPr>
          <w:color w:val="auto"/>
          <w:highlight w:val="none"/>
        </w:rPr>
        <w:fldChar w:fldCharType="end"/>
      </w:r>
    </w:p>
    <w:p w14:paraId="6546B5AD">
      <w:pPr>
        <w:pStyle w:val="13"/>
        <w:tabs>
          <w:tab w:val="right" w:leader="dot" w:pos="9582"/>
        </w:tabs>
      </w:pPr>
      <w:r>
        <w:rPr>
          <w:color w:val="auto"/>
          <w:highlight w:val="none"/>
        </w:rPr>
        <w:fldChar w:fldCharType="begin"/>
      </w:r>
      <w:r>
        <w:rPr>
          <w:highlight w:val="none"/>
        </w:rPr>
        <w:instrText xml:space="preserve"> HYPERLINK \l _Toc10138 </w:instrText>
      </w:r>
      <w:r>
        <w:rPr>
          <w:highlight w:val="none"/>
        </w:rPr>
        <w:fldChar w:fldCharType="separate"/>
      </w:r>
      <w:r>
        <w:rPr>
          <w:rFonts w:hint="eastAsia"/>
          <w:highlight w:val="none"/>
          <w:lang w:eastAsia="zh-CN"/>
        </w:rPr>
        <w:t>12.2  构件制作</w:t>
      </w:r>
      <w:r>
        <w:tab/>
      </w:r>
      <w:r>
        <w:fldChar w:fldCharType="begin"/>
      </w:r>
      <w:r>
        <w:instrText xml:space="preserve"> PAGEREF _Toc10138 \h </w:instrText>
      </w:r>
      <w:r>
        <w:fldChar w:fldCharType="separate"/>
      </w:r>
      <w:r>
        <w:t>105</w:t>
      </w:r>
      <w:r>
        <w:fldChar w:fldCharType="end"/>
      </w:r>
      <w:r>
        <w:rPr>
          <w:color w:val="auto"/>
          <w:highlight w:val="none"/>
        </w:rPr>
        <w:fldChar w:fldCharType="end"/>
      </w:r>
    </w:p>
    <w:p w14:paraId="580F9E5D">
      <w:pPr>
        <w:pStyle w:val="13"/>
        <w:tabs>
          <w:tab w:val="right" w:leader="dot" w:pos="9582"/>
        </w:tabs>
      </w:pPr>
      <w:r>
        <w:rPr>
          <w:color w:val="auto"/>
          <w:highlight w:val="none"/>
        </w:rPr>
        <w:fldChar w:fldCharType="begin"/>
      </w:r>
      <w:r>
        <w:rPr>
          <w:highlight w:val="none"/>
        </w:rPr>
        <w:instrText xml:space="preserve"> HYPERLINK \l _Toc13204 </w:instrText>
      </w:r>
      <w:r>
        <w:rPr>
          <w:highlight w:val="none"/>
        </w:rPr>
        <w:fldChar w:fldCharType="separate"/>
      </w:r>
      <w:r>
        <w:rPr>
          <w:rFonts w:hint="eastAsia"/>
          <w:highlight w:val="none"/>
          <w:lang w:eastAsia="zh-CN"/>
        </w:rPr>
        <w:t>12.3  安  装</w:t>
      </w:r>
      <w:r>
        <w:tab/>
      </w:r>
      <w:r>
        <w:fldChar w:fldCharType="begin"/>
      </w:r>
      <w:r>
        <w:instrText xml:space="preserve"> PAGEREF _Toc13204 \h </w:instrText>
      </w:r>
      <w:r>
        <w:fldChar w:fldCharType="separate"/>
      </w:r>
      <w:r>
        <w:t>105</w:t>
      </w:r>
      <w:r>
        <w:fldChar w:fldCharType="end"/>
      </w:r>
      <w:r>
        <w:rPr>
          <w:color w:val="auto"/>
          <w:highlight w:val="none"/>
        </w:rPr>
        <w:fldChar w:fldCharType="end"/>
      </w:r>
    </w:p>
    <w:p w14:paraId="3BB37186">
      <w:pPr>
        <w:pStyle w:val="13"/>
        <w:tabs>
          <w:tab w:val="right" w:leader="dot" w:pos="9582"/>
        </w:tabs>
      </w:pPr>
      <w:r>
        <w:rPr>
          <w:color w:val="auto"/>
          <w:highlight w:val="none"/>
        </w:rPr>
        <w:fldChar w:fldCharType="begin"/>
      </w:r>
      <w:r>
        <w:rPr>
          <w:highlight w:val="none"/>
        </w:rPr>
        <w:instrText xml:space="preserve"> HYPERLINK \l _Toc4599 </w:instrText>
      </w:r>
      <w:r>
        <w:rPr>
          <w:highlight w:val="none"/>
        </w:rPr>
        <w:fldChar w:fldCharType="separate"/>
      </w:r>
      <w:r>
        <w:rPr>
          <w:rFonts w:hint="eastAsia"/>
          <w:highlight w:val="none"/>
          <w:lang w:eastAsia="zh-CN"/>
        </w:rPr>
        <w:t>12.4  验  收</w:t>
      </w:r>
      <w:r>
        <w:tab/>
      </w:r>
      <w:r>
        <w:fldChar w:fldCharType="begin"/>
      </w:r>
      <w:r>
        <w:instrText xml:space="preserve"> PAGEREF _Toc4599 \h </w:instrText>
      </w:r>
      <w:r>
        <w:fldChar w:fldCharType="separate"/>
      </w:r>
      <w:r>
        <w:t>109</w:t>
      </w:r>
      <w:r>
        <w:fldChar w:fldCharType="end"/>
      </w:r>
      <w:r>
        <w:rPr>
          <w:color w:val="auto"/>
          <w:highlight w:val="none"/>
        </w:rPr>
        <w:fldChar w:fldCharType="end"/>
      </w:r>
    </w:p>
    <w:p w14:paraId="1E7C011A">
      <w:pPr>
        <w:pStyle w:val="12"/>
        <w:tabs>
          <w:tab w:val="right" w:leader="dot" w:pos="9582"/>
        </w:tabs>
      </w:pPr>
      <w:r>
        <w:rPr>
          <w:color w:val="auto"/>
          <w:highlight w:val="none"/>
        </w:rPr>
        <w:fldChar w:fldCharType="begin"/>
      </w:r>
      <w:r>
        <w:rPr>
          <w:highlight w:val="none"/>
        </w:rPr>
        <w:instrText xml:space="preserve"> HYPERLINK \l _Toc26315 </w:instrText>
      </w:r>
      <w:r>
        <w:rPr>
          <w:highlight w:val="none"/>
        </w:rPr>
        <w:fldChar w:fldCharType="separate"/>
      </w:r>
      <w:r>
        <w:rPr>
          <w:rFonts w:hint="eastAsia"/>
          <w:highlight w:val="none"/>
          <w:lang w:eastAsia="zh-CN"/>
        </w:rPr>
        <w:t>13  使用和维护</w:t>
      </w:r>
      <w:r>
        <w:tab/>
      </w:r>
      <w:r>
        <w:fldChar w:fldCharType="begin"/>
      </w:r>
      <w:r>
        <w:instrText xml:space="preserve"> PAGEREF _Toc26315 \h </w:instrText>
      </w:r>
      <w:r>
        <w:fldChar w:fldCharType="separate"/>
      </w:r>
      <w:r>
        <w:t>113</w:t>
      </w:r>
      <w:r>
        <w:fldChar w:fldCharType="end"/>
      </w:r>
      <w:r>
        <w:rPr>
          <w:color w:val="auto"/>
          <w:highlight w:val="none"/>
        </w:rPr>
        <w:fldChar w:fldCharType="end"/>
      </w:r>
    </w:p>
    <w:p w14:paraId="4D6466EA">
      <w:pPr>
        <w:pStyle w:val="13"/>
        <w:tabs>
          <w:tab w:val="right" w:leader="dot" w:pos="9582"/>
        </w:tabs>
      </w:pPr>
      <w:r>
        <w:rPr>
          <w:color w:val="auto"/>
          <w:highlight w:val="none"/>
        </w:rPr>
        <w:fldChar w:fldCharType="begin"/>
      </w:r>
      <w:r>
        <w:rPr>
          <w:highlight w:val="none"/>
        </w:rPr>
        <w:instrText xml:space="preserve"> HYPERLINK \l _Toc29575 </w:instrText>
      </w:r>
      <w:r>
        <w:rPr>
          <w:highlight w:val="none"/>
        </w:rPr>
        <w:fldChar w:fldCharType="separate"/>
      </w:r>
      <w:r>
        <w:rPr>
          <w:highlight w:val="none"/>
          <w:lang w:eastAsia="zh-CN"/>
        </w:rPr>
        <w:t xml:space="preserve">13.1 </w:t>
      </w:r>
      <w:r>
        <w:rPr>
          <w:rFonts w:hint="eastAsia"/>
          <w:highlight w:val="none"/>
          <w:lang w:eastAsia="zh-CN"/>
        </w:rPr>
        <w:t xml:space="preserve"> 一般规定</w:t>
      </w:r>
      <w:r>
        <w:tab/>
      </w:r>
      <w:r>
        <w:fldChar w:fldCharType="begin"/>
      </w:r>
      <w:r>
        <w:instrText xml:space="preserve"> PAGEREF _Toc29575 \h </w:instrText>
      </w:r>
      <w:r>
        <w:fldChar w:fldCharType="separate"/>
      </w:r>
      <w:r>
        <w:t>113</w:t>
      </w:r>
      <w:r>
        <w:fldChar w:fldCharType="end"/>
      </w:r>
      <w:r>
        <w:rPr>
          <w:color w:val="auto"/>
          <w:highlight w:val="none"/>
        </w:rPr>
        <w:fldChar w:fldCharType="end"/>
      </w:r>
    </w:p>
    <w:p w14:paraId="43C0D131">
      <w:pPr>
        <w:pStyle w:val="13"/>
        <w:tabs>
          <w:tab w:val="right" w:leader="dot" w:pos="9582"/>
        </w:tabs>
      </w:pPr>
      <w:r>
        <w:rPr>
          <w:color w:val="auto"/>
          <w:highlight w:val="none"/>
        </w:rPr>
        <w:fldChar w:fldCharType="begin"/>
      </w:r>
      <w:r>
        <w:rPr>
          <w:highlight w:val="none"/>
        </w:rPr>
        <w:instrText xml:space="preserve"> HYPERLINK \l _Toc23065 </w:instrText>
      </w:r>
      <w:r>
        <w:rPr>
          <w:highlight w:val="none"/>
        </w:rPr>
        <w:fldChar w:fldCharType="separate"/>
      </w:r>
      <w:r>
        <w:rPr>
          <w:highlight w:val="none"/>
          <w:lang w:eastAsia="zh-CN"/>
        </w:rPr>
        <w:t>13.2</w:t>
      </w:r>
      <w:r>
        <w:rPr>
          <w:rFonts w:hint="eastAsia"/>
          <w:highlight w:val="none"/>
          <w:lang w:eastAsia="zh-CN"/>
        </w:rPr>
        <w:t xml:space="preserve">  </w:t>
      </w:r>
      <w:r>
        <w:rPr>
          <w:highlight w:val="none"/>
          <w:lang w:eastAsia="zh-CN"/>
        </w:rPr>
        <w:t>检查和监测</w:t>
      </w:r>
      <w:r>
        <w:tab/>
      </w:r>
      <w:r>
        <w:fldChar w:fldCharType="begin"/>
      </w:r>
      <w:r>
        <w:instrText xml:space="preserve"> PAGEREF _Toc23065 \h </w:instrText>
      </w:r>
      <w:r>
        <w:fldChar w:fldCharType="separate"/>
      </w:r>
      <w:r>
        <w:t>114</w:t>
      </w:r>
      <w:r>
        <w:fldChar w:fldCharType="end"/>
      </w:r>
      <w:r>
        <w:rPr>
          <w:color w:val="auto"/>
          <w:highlight w:val="none"/>
        </w:rPr>
        <w:fldChar w:fldCharType="end"/>
      </w:r>
    </w:p>
    <w:p w14:paraId="19FFCD57">
      <w:pPr>
        <w:pStyle w:val="13"/>
        <w:tabs>
          <w:tab w:val="right" w:leader="dot" w:pos="9582"/>
        </w:tabs>
      </w:pPr>
      <w:r>
        <w:rPr>
          <w:color w:val="auto"/>
          <w:highlight w:val="none"/>
        </w:rPr>
        <w:fldChar w:fldCharType="begin"/>
      </w:r>
      <w:r>
        <w:rPr>
          <w:highlight w:val="none"/>
        </w:rPr>
        <w:instrText xml:space="preserve"> HYPERLINK \l _Toc13506 </w:instrText>
      </w:r>
      <w:r>
        <w:rPr>
          <w:highlight w:val="none"/>
        </w:rPr>
        <w:fldChar w:fldCharType="separate"/>
      </w:r>
      <w:r>
        <w:rPr>
          <w:highlight w:val="none"/>
          <w:lang w:eastAsia="zh-CN"/>
        </w:rPr>
        <w:t>13.3</w:t>
      </w:r>
      <w:r>
        <w:rPr>
          <w:rFonts w:hint="eastAsia"/>
          <w:highlight w:val="none"/>
          <w:lang w:eastAsia="zh-CN"/>
        </w:rPr>
        <w:t xml:space="preserve">  </w:t>
      </w:r>
      <w:r>
        <w:rPr>
          <w:highlight w:val="none"/>
          <w:lang w:eastAsia="zh-CN"/>
        </w:rPr>
        <w:t>维护要求</w:t>
      </w:r>
      <w:r>
        <w:tab/>
      </w:r>
      <w:r>
        <w:fldChar w:fldCharType="begin"/>
      </w:r>
      <w:r>
        <w:instrText xml:space="preserve"> PAGEREF _Toc13506 \h </w:instrText>
      </w:r>
      <w:r>
        <w:fldChar w:fldCharType="separate"/>
      </w:r>
      <w:r>
        <w:t>118</w:t>
      </w:r>
      <w:r>
        <w:fldChar w:fldCharType="end"/>
      </w:r>
      <w:r>
        <w:rPr>
          <w:color w:val="auto"/>
          <w:highlight w:val="none"/>
        </w:rPr>
        <w:fldChar w:fldCharType="end"/>
      </w:r>
    </w:p>
    <w:p w14:paraId="2FCDDC60">
      <w:pPr>
        <w:pStyle w:val="12"/>
        <w:tabs>
          <w:tab w:val="right" w:leader="dot" w:pos="9582"/>
        </w:tabs>
      </w:pPr>
      <w:r>
        <w:rPr>
          <w:color w:val="auto"/>
          <w:highlight w:val="none"/>
        </w:rPr>
        <w:fldChar w:fldCharType="begin"/>
      </w:r>
      <w:r>
        <w:rPr>
          <w:highlight w:val="none"/>
        </w:rPr>
        <w:instrText xml:space="preserve"> HYPERLINK \l _Toc7064 </w:instrText>
      </w:r>
      <w:r>
        <w:rPr>
          <w:highlight w:val="none"/>
        </w:rPr>
        <w:fldChar w:fldCharType="separate"/>
      </w:r>
      <w:r>
        <w:rPr>
          <w:rFonts w:hint="eastAsia"/>
          <w:highlight w:val="none"/>
        </w:rPr>
        <w:t>附录</w:t>
      </w:r>
      <w:r>
        <w:rPr>
          <w:rFonts w:hint="eastAsia"/>
          <w:highlight w:val="none"/>
          <w:lang w:val="en-US" w:eastAsia="zh-CN"/>
        </w:rPr>
        <w:t>A</w:t>
      </w:r>
      <w:r>
        <w:rPr>
          <w:rFonts w:hint="eastAsia"/>
          <w:highlight w:val="none"/>
          <w:lang w:eastAsia="zh-CN"/>
        </w:rPr>
        <w:t xml:space="preserve">  </w:t>
      </w:r>
      <w:r>
        <w:rPr>
          <w:rFonts w:hint="eastAsia"/>
          <w:highlight w:val="none"/>
        </w:rPr>
        <w:t>广西木材材料性能参数表</w:t>
      </w:r>
      <w:r>
        <w:tab/>
      </w:r>
      <w:r>
        <w:fldChar w:fldCharType="begin"/>
      </w:r>
      <w:r>
        <w:instrText xml:space="preserve"> PAGEREF _Toc7064 \h </w:instrText>
      </w:r>
      <w:r>
        <w:fldChar w:fldCharType="separate"/>
      </w:r>
      <w:r>
        <w:t>120</w:t>
      </w:r>
      <w:r>
        <w:fldChar w:fldCharType="end"/>
      </w:r>
      <w:r>
        <w:rPr>
          <w:color w:val="auto"/>
          <w:highlight w:val="none"/>
        </w:rPr>
        <w:fldChar w:fldCharType="end"/>
      </w:r>
    </w:p>
    <w:p w14:paraId="33A07279">
      <w:pPr>
        <w:pStyle w:val="12"/>
        <w:tabs>
          <w:tab w:val="right" w:leader="dot" w:pos="9582"/>
        </w:tabs>
      </w:pPr>
      <w:r>
        <w:rPr>
          <w:color w:val="auto"/>
          <w:highlight w:val="none"/>
        </w:rPr>
        <w:fldChar w:fldCharType="begin"/>
      </w:r>
      <w:r>
        <w:rPr>
          <w:highlight w:val="none"/>
        </w:rPr>
        <w:instrText xml:space="preserve"> HYPERLINK \l _Toc23764 </w:instrText>
      </w:r>
      <w:r>
        <w:rPr>
          <w:highlight w:val="none"/>
        </w:rPr>
        <w:fldChar w:fldCharType="separate"/>
      </w:r>
      <w:r>
        <w:rPr>
          <w:rFonts w:hint="eastAsia"/>
          <w:highlight w:val="none"/>
        </w:rPr>
        <w:t>附录</w:t>
      </w:r>
      <w:r>
        <w:rPr>
          <w:rFonts w:hint="eastAsia"/>
          <w:highlight w:val="none"/>
          <w:lang w:val="en-US" w:eastAsia="zh-CN"/>
        </w:rPr>
        <w:t>B</w:t>
      </w:r>
      <w:r>
        <w:rPr>
          <w:rFonts w:hint="eastAsia"/>
          <w:highlight w:val="none"/>
          <w:lang w:eastAsia="zh-CN"/>
        </w:rPr>
        <w:t xml:space="preserve">  </w:t>
      </w:r>
      <w:r>
        <w:rPr>
          <w:rFonts w:hint="eastAsia"/>
          <w:highlight w:val="none"/>
        </w:rPr>
        <w:t>广西适用于木结构建筑用木材的热工性能参数表</w:t>
      </w:r>
      <w:r>
        <w:tab/>
      </w:r>
      <w:r>
        <w:fldChar w:fldCharType="begin"/>
      </w:r>
      <w:r>
        <w:instrText xml:space="preserve"> PAGEREF _Toc23764 \h </w:instrText>
      </w:r>
      <w:r>
        <w:fldChar w:fldCharType="separate"/>
      </w:r>
      <w:r>
        <w:t>127</w:t>
      </w:r>
      <w:r>
        <w:fldChar w:fldCharType="end"/>
      </w:r>
      <w:r>
        <w:rPr>
          <w:color w:val="auto"/>
          <w:highlight w:val="none"/>
        </w:rPr>
        <w:fldChar w:fldCharType="end"/>
      </w:r>
    </w:p>
    <w:p w14:paraId="217F9383">
      <w:pPr>
        <w:pStyle w:val="12"/>
        <w:tabs>
          <w:tab w:val="right" w:leader="dot" w:pos="9582"/>
        </w:tabs>
      </w:pPr>
      <w:r>
        <w:rPr>
          <w:color w:val="auto"/>
          <w:highlight w:val="none"/>
        </w:rPr>
        <w:fldChar w:fldCharType="begin"/>
      </w:r>
      <w:r>
        <w:rPr>
          <w:highlight w:val="none"/>
        </w:rPr>
        <w:instrText xml:space="preserve"> HYPERLINK \l _Toc26966 </w:instrText>
      </w:r>
      <w:r>
        <w:rPr>
          <w:highlight w:val="none"/>
        </w:rPr>
        <w:fldChar w:fldCharType="separate"/>
      </w:r>
      <w:r>
        <w:rPr>
          <w:rFonts w:hint="eastAsia" w:cs="Times New Roman"/>
          <w:highlight w:val="none"/>
          <w:lang w:eastAsia="zh-CN"/>
        </w:rPr>
        <w:t>附录</w:t>
      </w:r>
      <w:r>
        <w:rPr>
          <w:rFonts w:hint="eastAsia" w:cs="Times New Roman"/>
          <w:highlight w:val="none"/>
          <w:lang w:val="en-US" w:eastAsia="zh-CN"/>
        </w:rPr>
        <w:t>C</w:t>
      </w:r>
      <w:r>
        <w:rPr>
          <w:rFonts w:hint="eastAsia" w:cs="Times New Roman"/>
          <w:highlight w:val="none"/>
          <w:lang w:eastAsia="zh-CN"/>
        </w:rPr>
        <w:t xml:space="preserve"> </w:t>
      </w:r>
      <w:r>
        <w:rPr>
          <w:rFonts w:hint="eastAsia" w:cs="Times New Roman"/>
          <w:highlight w:val="none"/>
          <w:lang w:val="en-US" w:eastAsia="zh-CN"/>
        </w:rPr>
        <w:t xml:space="preserve"> </w:t>
      </w:r>
      <w:r>
        <w:rPr>
          <w:rFonts w:hint="eastAsia" w:cs="Times New Roman"/>
          <w:highlight w:val="none"/>
          <w:lang w:eastAsia="zh-CN"/>
        </w:rPr>
        <w:t>木基结构板的剪力墙抗剪强度设计值</w:t>
      </w:r>
      <w:r>
        <w:tab/>
      </w:r>
      <w:r>
        <w:fldChar w:fldCharType="begin"/>
      </w:r>
      <w:r>
        <w:instrText xml:space="preserve"> PAGEREF _Toc26966 \h </w:instrText>
      </w:r>
      <w:r>
        <w:fldChar w:fldCharType="separate"/>
      </w:r>
      <w:r>
        <w:t>128</w:t>
      </w:r>
      <w:r>
        <w:fldChar w:fldCharType="end"/>
      </w:r>
      <w:r>
        <w:rPr>
          <w:color w:val="auto"/>
          <w:highlight w:val="none"/>
        </w:rPr>
        <w:fldChar w:fldCharType="end"/>
      </w:r>
    </w:p>
    <w:p w14:paraId="5D358E91">
      <w:pPr>
        <w:pStyle w:val="12"/>
        <w:tabs>
          <w:tab w:val="right" w:leader="dot" w:pos="9582"/>
        </w:tabs>
      </w:pPr>
      <w:r>
        <w:rPr>
          <w:color w:val="auto"/>
          <w:highlight w:val="none"/>
        </w:rPr>
        <w:fldChar w:fldCharType="begin"/>
      </w:r>
      <w:r>
        <w:rPr>
          <w:highlight w:val="none"/>
        </w:rPr>
        <w:instrText xml:space="preserve"> HYPERLINK \l _Toc32475 </w:instrText>
      </w:r>
      <w:r>
        <w:rPr>
          <w:highlight w:val="none"/>
        </w:rPr>
        <w:fldChar w:fldCharType="separate"/>
      </w:r>
      <w:r>
        <w:rPr>
          <w:rFonts w:cs="Times New Roman"/>
          <w:highlight w:val="none"/>
          <w:lang w:eastAsia="zh-CN"/>
        </w:rPr>
        <w:t>附录</w:t>
      </w:r>
      <w:r>
        <w:rPr>
          <w:rFonts w:hint="eastAsia" w:cs="Times New Roman"/>
          <w:highlight w:val="none"/>
          <w:lang w:val="en-US" w:eastAsia="zh-CN"/>
        </w:rPr>
        <w:t>D</w:t>
      </w:r>
      <w:r>
        <w:rPr>
          <w:rFonts w:hint="eastAsia" w:cs="Times New Roman"/>
          <w:highlight w:val="none"/>
          <w:lang w:eastAsia="zh-CN"/>
        </w:rPr>
        <w:t xml:space="preserve"> </w:t>
      </w:r>
      <w:r>
        <w:rPr>
          <w:rFonts w:hint="eastAsia" w:cs="Times New Roman"/>
          <w:highlight w:val="none"/>
          <w:lang w:val="en-US" w:eastAsia="zh-CN"/>
        </w:rPr>
        <w:t xml:space="preserve"> </w:t>
      </w:r>
      <w:r>
        <w:rPr>
          <w:rFonts w:hint="eastAsia" w:cs="Times New Roman"/>
          <w:highlight w:val="none"/>
          <w:lang w:eastAsia="zh-CN"/>
        </w:rPr>
        <w:t>轻型木结构的一般要求</w:t>
      </w:r>
      <w:r>
        <w:tab/>
      </w:r>
      <w:r>
        <w:fldChar w:fldCharType="begin"/>
      </w:r>
      <w:r>
        <w:instrText xml:space="preserve"> PAGEREF _Toc32475 \h </w:instrText>
      </w:r>
      <w:r>
        <w:fldChar w:fldCharType="separate"/>
      </w:r>
      <w:r>
        <w:t>130</w:t>
      </w:r>
      <w:r>
        <w:fldChar w:fldCharType="end"/>
      </w:r>
      <w:r>
        <w:rPr>
          <w:color w:val="auto"/>
          <w:highlight w:val="none"/>
        </w:rPr>
        <w:fldChar w:fldCharType="end"/>
      </w:r>
    </w:p>
    <w:p w14:paraId="349CA72F">
      <w:pPr>
        <w:pStyle w:val="12"/>
        <w:tabs>
          <w:tab w:val="right" w:leader="dot" w:pos="9582"/>
        </w:tabs>
      </w:pPr>
      <w:r>
        <w:rPr>
          <w:color w:val="auto"/>
          <w:highlight w:val="none"/>
        </w:rPr>
        <w:fldChar w:fldCharType="begin"/>
      </w:r>
      <w:r>
        <w:rPr>
          <w:highlight w:val="none"/>
        </w:rPr>
        <w:instrText xml:space="preserve"> HYPERLINK \l _Toc18973 </w:instrText>
      </w:r>
      <w:r>
        <w:rPr>
          <w:highlight w:val="none"/>
        </w:rPr>
        <w:fldChar w:fldCharType="separate"/>
      </w:r>
      <w:r>
        <w:rPr>
          <w:rFonts w:hint="eastAsia"/>
          <w:highlight w:val="none"/>
          <w:lang w:eastAsia="zh-CN"/>
        </w:rPr>
        <w:t>本标准用词说明</w:t>
      </w:r>
      <w:r>
        <w:tab/>
      </w:r>
      <w:r>
        <w:fldChar w:fldCharType="begin"/>
      </w:r>
      <w:r>
        <w:instrText xml:space="preserve"> PAGEREF _Toc18973 \h </w:instrText>
      </w:r>
      <w:r>
        <w:fldChar w:fldCharType="separate"/>
      </w:r>
      <w:r>
        <w:t>135</w:t>
      </w:r>
      <w:r>
        <w:fldChar w:fldCharType="end"/>
      </w:r>
      <w:r>
        <w:rPr>
          <w:color w:val="auto"/>
          <w:highlight w:val="none"/>
        </w:rPr>
        <w:fldChar w:fldCharType="end"/>
      </w:r>
    </w:p>
    <w:p w14:paraId="7E75B16F">
      <w:pPr>
        <w:pStyle w:val="12"/>
        <w:tabs>
          <w:tab w:val="right" w:leader="dot" w:pos="9582"/>
        </w:tabs>
      </w:pPr>
      <w:r>
        <w:rPr>
          <w:color w:val="auto"/>
          <w:highlight w:val="none"/>
        </w:rPr>
        <w:fldChar w:fldCharType="begin"/>
      </w:r>
      <w:r>
        <w:rPr>
          <w:highlight w:val="none"/>
        </w:rPr>
        <w:instrText xml:space="preserve"> HYPERLINK \l _Toc19989 </w:instrText>
      </w:r>
      <w:r>
        <w:rPr>
          <w:highlight w:val="none"/>
        </w:rPr>
        <w:fldChar w:fldCharType="separate"/>
      </w:r>
      <w:r>
        <w:rPr>
          <w:rFonts w:hint="eastAsia"/>
          <w:highlight w:val="none"/>
          <w:lang w:eastAsia="zh-CN"/>
        </w:rPr>
        <w:t>引用标准名录</w:t>
      </w:r>
      <w:r>
        <w:tab/>
      </w:r>
      <w:r>
        <w:fldChar w:fldCharType="begin"/>
      </w:r>
      <w:r>
        <w:instrText xml:space="preserve"> PAGEREF _Toc19989 \h </w:instrText>
      </w:r>
      <w:r>
        <w:fldChar w:fldCharType="separate"/>
      </w:r>
      <w:r>
        <w:t>136</w:t>
      </w:r>
      <w:r>
        <w:fldChar w:fldCharType="end"/>
      </w:r>
      <w:r>
        <w:rPr>
          <w:color w:val="auto"/>
          <w:highlight w:val="none"/>
        </w:rPr>
        <w:fldChar w:fldCharType="end"/>
      </w:r>
    </w:p>
    <w:p w14:paraId="433166EA">
      <w:pPr>
        <w:pStyle w:val="12"/>
        <w:tabs>
          <w:tab w:val="right" w:leader="dot" w:pos="9582"/>
        </w:tabs>
      </w:pPr>
      <w:r>
        <w:rPr>
          <w:color w:val="auto"/>
          <w:highlight w:val="none"/>
        </w:rPr>
        <w:fldChar w:fldCharType="begin"/>
      </w:r>
      <w:r>
        <w:rPr>
          <w:highlight w:val="none"/>
        </w:rPr>
        <w:instrText xml:space="preserve"> HYPERLINK \l _Toc13667 </w:instrText>
      </w:r>
      <w:r>
        <w:rPr>
          <w:highlight w:val="none"/>
        </w:rPr>
        <w:fldChar w:fldCharType="separate"/>
      </w:r>
      <w:r>
        <w:rPr>
          <w:snapToGrid w:val="0"/>
          <w:szCs w:val="32"/>
          <w:highlight w:val="none"/>
        </w:rPr>
        <w:t>条文说明</w:t>
      </w:r>
      <w:r>
        <w:tab/>
      </w:r>
      <w:r>
        <w:fldChar w:fldCharType="begin"/>
      </w:r>
      <w:r>
        <w:instrText xml:space="preserve"> PAGEREF _Toc13667 \h </w:instrText>
      </w:r>
      <w:r>
        <w:fldChar w:fldCharType="separate"/>
      </w:r>
      <w:r>
        <w:t>138</w:t>
      </w:r>
      <w:r>
        <w:fldChar w:fldCharType="end"/>
      </w:r>
      <w:r>
        <w:rPr>
          <w:color w:val="auto"/>
          <w:highlight w:val="none"/>
        </w:rPr>
        <w:fldChar w:fldCharType="end"/>
      </w:r>
    </w:p>
    <w:p w14:paraId="37D28A16">
      <w:pPr>
        <w:pStyle w:val="13"/>
        <w:tabs>
          <w:tab w:val="right" w:leader="dot" w:pos="9582"/>
        </w:tabs>
        <w:autoSpaceDE w:val="0"/>
        <w:autoSpaceDN w:val="0"/>
        <w:ind w:left="360"/>
        <w:jc w:val="center"/>
        <w:rPr>
          <w:color w:val="auto"/>
          <w:highlight w:val="none"/>
        </w:rPr>
      </w:pPr>
      <w:r>
        <w:rPr>
          <w:color w:val="auto"/>
          <w:highlight w:val="none"/>
        </w:rPr>
        <w:fldChar w:fldCharType="end"/>
      </w:r>
    </w:p>
    <w:p w14:paraId="5FCD4826">
      <w:pPr>
        <w:pStyle w:val="13"/>
        <w:tabs>
          <w:tab w:val="right" w:leader="dot" w:pos="9582"/>
        </w:tabs>
        <w:ind w:left="360"/>
        <w:jc w:val="center"/>
        <w:rPr>
          <w:color w:val="auto"/>
          <w:highlight w:val="none"/>
        </w:rPr>
      </w:pPr>
      <w:r>
        <w:rPr>
          <w:color w:val="auto"/>
          <w:highlight w:val="none"/>
        </w:rPr>
        <w:br w:type="page"/>
      </w:r>
      <w:bookmarkStart w:id="329" w:name="_GoBack"/>
      <w:bookmarkEnd w:id="329"/>
    </w:p>
    <w:p w14:paraId="482B1C61">
      <w:pPr>
        <w:pStyle w:val="13"/>
        <w:tabs>
          <w:tab w:val="right" w:leader="dot" w:pos="9582"/>
        </w:tabs>
        <w:ind w:left="360"/>
        <w:jc w:val="center"/>
        <w:rPr>
          <w:rFonts w:cs="Times New Roman"/>
          <w:color w:val="auto"/>
          <w:kern w:val="2"/>
          <w:sz w:val="32"/>
          <w:highlight w:val="none"/>
          <w:lang w:eastAsia="zh-CN"/>
        </w:rPr>
      </w:pPr>
      <w:r>
        <w:rPr>
          <w:rFonts w:hint="eastAsia"/>
          <w:b/>
          <w:bCs/>
          <w:color w:val="auto"/>
          <w:sz w:val="32"/>
          <w:szCs w:val="32"/>
          <w:highlight w:val="none"/>
          <w:lang w:eastAsia="zh-CN"/>
        </w:rPr>
        <w:t>Contents</w:t>
      </w:r>
    </w:p>
    <w:p w14:paraId="61B4FAE9">
      <w:pPr>
        <w:autoSpaceDE w:val="0"/>
        <w:autoSpaceDN w:val="0"/>
        <w:jc w:val="center"/>
        <w:rPr>
          <w:color w:val="auto"/>
          <w:highlight w:val="none"/>
        </w:rPr>
      </w:pPr>
      <w:bookmarkStart w:id="4" w:name="_Toc8464"/>
      <w:bookmarkStart w:id="5" w:name="_Toc8981"/>
      <w:bookmarkStart w:id="6" w:name="_Toc7563"/>
      <w:bookmarkStart w:id="7" w:name="_Toc22751"/>
      <w:bookmarkStart w:id="8" w:name="_Toc4893"/>
      <w:bookmarkStart w:id="9" w:name="_Toc6985"/>
      <w:bookmarkStart w:id="10" w:name="_Toc24248"/>
      <w:bookmarkStart w:id="11" w:name="_Toc5952"/>
      <w:bookmarkStart w:id="12" w:name="_Toc880"/>
    </w:p>
    <w:p w14:paraId="18996CDB">
      <w:pPr>
        <w:pStyle w:val="12"/>
        <w:tabs>
          <w:tab w:val="right" w:leader="dot" w:pos="9582"/>
        </w:tabs>
        <w:rPr>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_Toc2017 </w:instrText>
      </w:r>
      <w:r>
        <w:rPr>
          <w:color w:val="auto"/>
          <w:highlight w:val="none"/>
        </w:rPr>
        <w:fldChar w:fldCharType="separate"/>
      </w:r>
      <w:r>
        <w:rPr>
          <w:rFonts w:hint="eastAsia"/>
          <w:color w:val="auto"/>
          <w:highlight w:val="none"/>
          <w:lang w:eastAsia="zh-CN"/>
        </w:rPr>
        <w:t>1  General Provisions</w:t>
      </w:r>
      <w:r>
        <w:rPr>
          <w:color w:val="auto"/>
          <w:highlight w:val="none"/>
        </w:rPr>
        <w:tab/>
      </w:r>
      <w:r>
        <w:rPr>
          <w:color w:val="auto"/>
          <w:highlight w:val="none"/>
        </w:rPr>
        <w:fldChar w:fldCharType="begin"/>
      </w:r>
      <w:r>
        <w:rPr>
          <w:color w:val="auto"/>
          <w:highlight w:val="none"/>
        </w:rPr>
        <w:instrText xml:space="preserve"> PAGEREF _Toc2017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4D1B406">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_Toc23948 </w:instrText>
      </w:r>
      <w:r>
        <w:rPr>
          <w:color w:val="auto"/>
          <w:highlight w:val="none"/>
        </w:rPr>
        <w:fldChar w:fldCharType="separate"/>
      </w:r>
      <w:r>
        <w:rPr>
          <w:color w:val="auto"/>
          <w:highlight w:val="none"/>
        </w:rPr>
        <w:t>2</w:t>
      </w:r>
      <w:r>
        <w:rPr>
          <w:rFonts w:hint="eastAsia"/>
          <w:color w:val="auto"/>
          <w:highlight w:val="none"/>
          <w:lang w:eastAsia="zh-CN"/>
        </w:rPr>
        <w:t xml:space="preserve">  </w:t>
      </w:r>
      <w:r>
        <w:rPr>
          <w:rFonts w:hint="eastAsia"/>
          <w:color w:val="auto"/>
          <w:highlight w:val="none"/>
        </w:rPr>
        <w:t>Terms and Symbols</w:t>
      </w:r>
      <w:r>
        <w:rPr>
          <w:color w:val="auto"/>
          <w:highlight w:val="none"/>
        </w:rPr>
        <w:tab/>
      </w:r>
      <w:r>
        <w:rPr>
          <w:color w:val="auto"/>
          <w:highlight w:val="none"/>
        </w:rPr>
        <w:fldChar w:fldCharType="begin"/>
      </w:r>
      <w:r>
        <w:rPr>
          <w:color w:val="auto"/>
          <w:highlight w:val="none"/>
        </w:rPr>
        <w:instrText xml:space="preserve"> PAGEREF _Toc23948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7B06707">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_Toc24200 </w:instrText>
      </w:r>
      <w:r>
        <w:rPr>
          <w:color w:val="auto"/>
          <w:highlight w:val="none"/>
        </w:rPr>
        <w:fldChar w:fldCharType="separate"/>
      </w:r>
      <w:r>
        <w:rPr>
          <w:color w:val="auto"/>
          <w:highlight w:val="none"/>
        </w:rPr>
        <w:t>2.1</w:t>
      </w:r>
      <w:r>
        <w:rPr>
          <w:rFonts w:hint="eastAsia"/>
          <w:color w:val="auto"/>
          <w:highlight w:val="none"/>
          <w:lang w:eastAsia="zh-CN"/>
        </w:rPr>
        <w:t xml:space="preserve">  </w:t>
      </w:r>
      <w:r>
        <w:rPr>
          <w:rFonts w:hint="eastAsia"/>
          <w:color w:val="auto"/>
          <w:highlight w:val="none"/>
        </w:rPr>
        <w:t>Terms</w:t>
      </w:r>
      <w:r>
        <w:rPr>
          <w:color w:val="auto"/>
          <w:highlight w:val="none"/>
        </w:rPr>
        <w:tab/>
      </w:r>
      <w:r>
        <w:rPr>
          <w:color w:val="auto"/>
          <w:highlight w:val="none"/>
        </w:rPr>
        <w:fldChar w:fldCharType="begin"/>
      </w:r>
      <w:r>
        <w:rPr>
          <w:color w:val="auto"/>
          <w:highlight w:val="none"/>
        </w:rPr>
        <w:instrText xml:space="preserve"> PAGEREF _Toc24200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D42B002">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_Toc26293 </w:instrText>
      </w:r>
      <w:r>
        <w:rPr>
          <w:color w:val="auto"/>
          <w:highlight w:val="none"/>
        </w:rPr>
        <w:fldChar w:fldCharType="separate"/>
      </w:r>
      <w:r>
        <w:rPr>
          <w:color w:val="auto"/>
          <w:highlight w:val="none"/>
        </w:rPr>
        <w:t>2.2</w:t>
      </w:r>
      <w:r>
        <w:rPr>
          <w:rFonts w:hint="eastAsia"/>
          <w:color w:val="auto"/>
          <w:highlight w:val="none"/>
          <w:lang w:eastAsia="zh-CN"/>
        </w:rPr>
        <w:t xml:space="preserve">  </w:t>
      </w:r>
      <w:r>
        <w:rPr>
          <w:rFonts w:hint="eastAsia"/>
          <w:color w:val="auto"/>
          <w:highlight w:val="none"/>
        </w:rPr>
        <w:t>Symbols</w:t>
      </w:r>
      <w:r>
        <w:rPr>
          <w:color w:val="auto"/>
          <w:highlight w:val="none"/>
        </w:rPr>
        <w:tab/>
      </w:r>
      <w:r>
        <w:rPr>
          <w:color w:val="auto"/>
          <w:highlight w:val="none"/>
        </w:rPr>
        <w:fldChar w:fldCharType="begin"/>
      </w:r>
      <w:r>
        <w:rPr>
          <w:color w:val="auto"/>
          <w:highlight w:val="none"/>
        </w:rPr>
        <w:instrText xml:space="preserve"> PAGEREF _Toc26293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354D16FF">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_Toc5374 </w:instrText>
      </w:r>
      <w:r>
        <w:rPr>
          <w:color w:val="auto"/>
          <w:highlight w:val="none"/>
        </w:rPr>
        <w:fldChar w:fldCharType="separate"/>
      </w:r>
      <w:r>
        <w:rPr>
          <w:rFonts w:hint="eastAsia"/>
          <w:color w:val="auto"/>
          <w:highlight w:val="none"/>
          <w:lang w:eastAsia="zh-CN"/>
        </w:rPr>
        <w:t>3  Basic Regulations</w:t>
      </w:r>
      <w:r>
        <w:rPr>
          <w:color w:val="auto"/>
          <w:highlight w:val="none"/>
        </w:rPr>
        <w:tab/>
      </w:r>
      <w:r>
        <w:rPr>
          <w:color w:val="auto"/>
          <w:highlight w:val="none"/>
        </w:rPr>
        <w:fldChar w:fldCharType="begin"/>
      </w:r>
      <w:r>
        <w:rPr>
          <w:color w:val="auto"/>
          <w:highlight w:val="none"/>
        </w:rPr>
        <w:instrText xml:space="preserve"> PAGEREF _Toc5374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3AFFA84">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_Toc1416 </w:instrText>
      </w:r>
      <w:r>
        <w:rPr>
          <w:color w:val="auto"/>
          <w:highlight w:val="none"/>
        </w:rPr>
        <w:fldChar w:fldCharType="separate"/>
      </w:r>
      <w:r>
        <w:rPr>
          <w:rFonts w:hint="eastAsia"/>
          <w:color w:val="auto"/>
          <w:highlight w:val="none"/>
          <w:lang w:eastAsia="zh-CN"/>
        </w:rPr>
        <w:t>4  Materials</w:t>
      </w:r>
      <w:r>
        <w:rPr>
          <w:color w:val="auto"/>
          <w:highlight w:val="none"/>
        </w:rPr>
        <w:tab/>
      </w:r>
      <w:r>
        <w:rPr>
          <w:color w:val="auto"/>
          <w:highlight w:val="none"/>
        </w:rPr>
        <w:fldChar w:fldCharType="begin"/>
      </w:r>
      <w:r>
        <w:rPr>
          <w:color w:val="auto"/>
          <w:highlight w:val="none"/>
        </w:rPr>
        <w:instrText xml:space="preserve"> PAGEREF _Toc1416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9F9EF3E">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_Toc16118 </w:instrText>
      </w:r>
      <w:r>
        <w:rPr>
          <w:color w:val="auto"/>
          <w:highlight w:val="none"/>
        </w:rPr>
        <w:fldChar w:fldCharType="separate"/>
      </w:r>
      <w:r>
        <w:rPr>
          <w:rFonts w:hint="eastAsia"/>
          <w:color w:val="auto"/>
          <w:highlight w:val="none"/>
          <w:lang w:eastAsia="zh-CN"/>
        </w:rPr>
        <w:t>4.</w:t>
      </w:r>
      <w:r>
        <w:rPr>
          <w:color w:val="auto"/>
          <w:highlight w:val="none"/>
          <w:lang w:eastAsia="zh-CN"/>
        </w:rPr>
        <w:t>1</w:t>
      </w:r>
      <w:r>
        <w:rPr>
          <w:rFonts w:hint="eastAsia"/>
          <w:color w:val="auto"/>
          <w:highlight w:val="none"/>
          <w:lang w:eastAsia="zh-CN"/>
        </w:rPr>
        <w:t xml:space="preserve">  Structural Timber</w:t>
      </w:r>
      <w:r>
        <w:rPr>
          <w:color w:val="auto"/>
          <w:highlight w:val="none"/>
        </w:rPr>
        <w:tab/>
      </w:r>
      <w:r>
        <w:rPr>
          <w:color w:val="auto"/>
          <w:highlight w:val="none"/>
        </w:rPr>
        <w:fldChar w:fldCharType="begin"/>
      </w:r>
      <w:r>
        <w:rPr>
          <w:color w:val="auto"/>
          <w:highlight w:val="none"/>
        </w:rPr>
        <w:instrText xml:space="preserve"> PAGEREF _Toc16118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CBCA63A">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_Toc7034 </w:instrText>
      </w:r>
      <w:r>
        <w:rPr>
          <w:color w:val="auto"/>
          <w:highlight w:val="none"/>
        </w:rPr>
        <w:fldChar w:fldCharType="separate"/>
      </w:r>
      <w:r>
        <w:rPr>
          <w:rFonts w:hint="eastAsia"/>
          <w:color w:val="auto"/>
          <w:highlight w:val="none"/>
          <w:lang w:eastAsia="zh-CN"/>
        </w:rPr>
        <w:t>4.2  Steel and Metal Fasteners</w:t>
      </w:r>
      <w:r>
        <w:rPr>
          <w:color w:val="auto"/>
          <w:highlight w:val="none"/>
        </w:rPr>
        <w:tab/>
      </w:r>
      <w:r>
        <w:rPr>
          <w:color w:val="auto"/>
          <w:highlight w:val="none"/>
        </w:rPr>
        <w:fldChar w:fldCharType="begin"/>
      </w:r>
      <w:r>
        <w:rPr>
          <w:color w:val="auto"/>
          <w:highlight w:val="none"/>
        </w:rPr>
        <w:instrText xml:space="preserve"> PAGEREF _Toc7034 \h </w:instrText>
      </w:r>
      <w:r>
        <w:rPr>
          <w:color w:val="auto"/>
          <w:highlight w:val="none"/>
        </w:rPr>
        <w:fldChar w:fldCharType="separate"/>
      </w:r>
      <w:r>
        <w:rPr>
          <w:color w:val="auto"/>
          <w:highlight w:val="none"/>
        </w:rPr>
        <w:t>1</w:t>
      </w:r>
      <w:r>
        <w:rPr>
          <w:rFonts w:hint="eastAsia"/>
          <w:color w:val="auto"/>
          <w:highlight w:val="none"/>
          <w:lang w:val="en-US" w:eastAsia="zh-CN"/>
        </w:rPr>
        <w:t>1</w:t>
      </w:r>
      <w:r>
        <w:rPr>
          <w:color w:val="auto"/>
          <w:highlight w:val="none"/>
        </w:rPr>
        <w:fldChar w:fldCharType="end"/>
      </w:r>
      <w:r>
        <w:rPr>
          <w:color w:val="auto"/>
          <w:highlight w:val="none"/>
        </w:rPr>
        <w:fldChar w:fldCharType="end"/>
      </w:r>
    </w:p>
    <w:p w14:paraId="7D671B06">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_Toc13750 </w:instrText>
      </w:r>
      <w:r>
        <w:rPr>
          <w:color w:val="auto"/>
          <w:highlight w:val="none"/>
        </w:rPr>
        <w:fldChar w:fldCharType="separate"/>
      </w:r>
      <w:r>
        <w:rPr>
          <w:rFonts w:hint="eastAsia"/>
          <w:color w:val="auto"/>
          <w:highlight w:val="none"/>
          <w:lang w:eastAsia="zh-CN"/>
        </w:rPr>
        <w:t>4.3  Other Materials</w:t>
      </w:r>
      <w:r>
        <w:rPr>
          <w:color w:val="auto"/>
          <w:highlight w:val="none"/>
        </w:rPr>
        <w:tab/>
      </w:r>
      <w:r>
        <w:rPr>
          <w:color w:val="auto"/>
          <w:highlight w:val="none"/>
        </w:rPr>
        <w:fldChar w:fldCharType="begin"/>
      </w:r>
      <w:r>
        <w:rPr>
          <w:color w:val="auto"/>
          <w:highlight w:val="none"/>
        </w:rPr>
        <w:instrText xml:space="preserve"> PAGEREF _Toc13750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04526AB9">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_Toc14615 </w:instrText>
      </w:r>
      <w:r>
        <w:rPr>
          <w:color w:val="auto"/>
          <w:highlight w:val="none"/>
        </w:rPr>
        <w:fldChar w:fldCharType="separate"/>
      </w:r>
      <w:r>
        <w:rPr>
          <w:rFonts w:hint="eastAsia"/>
          <w:color w:val="auto"/>
          <w:highlight w:val="none"/>
          <w:lang w:eastAsia="zh-CN"/>
        </w:rPr>
        <w:t xml:space="preserve">5  Structure </w:t>
      </w:r>
      <w:r>
        <w:rPr>
          <w:rFonts w:hint="eastAsia"/>
          <w:color w:val="auto"/>
          <w:highlight w:val="none"/>
          <w:lang w:val="en-US" w:eastAsia="zh-CN"/>
        </w:rPr>
        <w:t>Design</w:t>
      </w:r>
      <w:r>
        <w:rPr>
          <w:color w:val="auto"/>
          <w:highlight w:val="none"/>
        </w:rPr>
        <w:tab/>
      </w:r>
      <w:r>
        <w:rPr>
          <w:color w:val="auto"/>
          <w:highlight w:val="none"/>
        </w:rPr>
        <w:fldChar w:fldCharType="begin"/>
      </w:r>
      <w:r>
        <w:rPr>
          <w:color w:val="auto"/>
          <w:highlight w:val="none"/>
        </w:rPr>
        <w:instrText xml:space="preserve"> PAGEREF _Toc14615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06073B60">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_Toc21609 </w:instrText>
      </w:r>
      <w:r>
        <w:rPr>
          <w:color w:val="auto"/>
          <w:highlight w:val="none"/>
        </w:rPr>
        <w:fldChar w:fldCharType="separate"/>
      </w:r>
      <w:r>
        <w:rPr>
          <w:rFonts w:hint="eastAsia"/>
          <w:color w:val="auto"/>
          <w:highlight w:val="none"/>
          <w:lang w:eastAsia="zh-CN"/>
        </w:rPr>
        <w:t>5.</w:t>
      </w:r>
      <w:r>
        <w:rPr>
          <w:color w:val="auto"/>
          <w:highlight w:val="none"/>
          <w:lang w:eastAsia="zh-CN"/>
        </w:rPr>
        <w:t>1</w:t>
      </w:r>
      <w:r>
        <w:rPr>
          <w:rFonts w:hint="eastAsia"/>
          <w:color w:val="auto"/>
          <w:highlight w:val="none"/>
          <w:lang w:eastAsia="zh-CN"/>
        </w:rPr>
        <w:t xml:space="preserve">  General Provisions</w:t>
      </w:r>
      <w:r>
        <w:rPr>
          <w:color w:val="auto"/>
          <w:highlight w:val="none"/>
        </w:rPr>
        <w:tab/>
      </w:r>
      <w:r>
        <w:rPr>
          <w:color w:val="auto"/>
          <w:highlight w:val="none"/>
        </w:rPr>
        <w:fldChar w:fldCharType="begin"/>
      </w:r>
      <w:r>
        <w:rPr>
          <w:color w:val="auto"/>
          <w:highlight w:val="none"/>
        </w:rPr>
        <w:instrText xml:space="preserve"> PAGEREF _Toc21609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7A9C33A4">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_Toc32512 </w:instrText>
      </w:r>
      <w:r>
        <w:rPr>
          <w:color w:val="auto"/>
          <w:highlight w:val="none"/>
        </w:rPr>
        <w:fldChar w:fldCharType="separate"/>
      </w:r>
      <w:r>
        <w:rPr>
          <w:rFonts w:hint="eastAsia"/>
          <w:color w:val="auto"/>
          <w:highlight w:val="none"/>
          <w:lang w:eastAsia="zh-CN"/>
        </w:rPr>
        <w:t xml:space="preserve">5.2  Load and </w:t>
      </w:r>
      <w:r>
        <w:rPr>
          <w:rFonts w:hint="eastAsia"/>
          <w:color w:val="auto"/>
          <w:highlight w:val="none"/>
          <w:lang w:val="en-US" w:eastAsia="zh-CN"/>
        </w:rPr>
        <w:t>E</w:t>
      </w:r>
      <w:r>
        <w:rPr>
          <w:rFonts w:hint="eastAsia"/>
          <w:color w:val="auto"/>
          <w:highlight w:val="none"/>
          <w:lang w:eastAsia="zh-CN"/>
        </w:rPr>
        <w:t xml:space="preserve">arthquake </w:t>
      </w:r>
      <w:r>
        <w:rPr>
          <w:rFonts w:hint="eastAsia"/>
          <w:color w:val="auto"/>
          <w:highlight w:val="none"/>
          <w:lang w:val="en-US" w:eastAsia="zh-CN"/>
        </w:rPr>
        <w:t>A</w:t>
      </w:r>
      <w:r>
        <w:rPr>
          <w:rFonts w:hint="eastAsia"/>
          <w:color w:val="auto"/>
          <w:highlight w:val="none"/>
          <w:lang w:eastAsia="zh-CN"/>
        </w:rPr>
        <w:t>ction</w:t>
      </w:r>
      <w:r>
        <w:rPr>
          <w:color w:val="auto"/>
          <w:highlight w:val="none"/>
        </w:rPr>
        <w:tab/>
      </w:r>
      <w:r>
        <w:rPr>
          <w:color w:val="auto"/>
          <w:highlight w:val="none"/>
        </w:rPr>
        <w:fldChar w:fldCharType="begin"/>
      </w:r>
      <w:r>
        <w:rPr>
          <w:color w:val="auto"/>
          <w:highlight w:val="none"/>
        </w:rPr>
        <w:instrText xml:space="preserve"> PAGEREF _Toc32512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5D3EB6D">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_Toc709 </w:instrText>
      </w:r>
      <w:r>
        <w:rPr>
          <w:color w:val="auto"/>
          <w:highlight w:val="none"/>
        </w:rPr>
        <w:fldChar w:fldCharType="separate"/>
      </w:r>
      <w:r>
        <w:rPr>
          <w:rFonts w:hint="eastAsia"/>
          <w:color w:val="auto"/>
          <w:highlight w:val="none"/>
          <w:lang w:eastAsia="zh-CN"/>
        </w:rPr>
        <w:t xml:space="preserve">5.3  </w:t>
      </w:r>
      <w:r>
        <w:rPr>
          <w:rFonts w:hint="eastAsia"/>
          <w:color w:val="auto"/>
          <w:highlight w:val="none"/>
          <w:lang w:val="en-US" w:eastAsia="zh-CN"/>
        </w:rPr>
        <w:t>S</w:t>
      </w:r>
      <w:r>
        <w:rPr>
          <w:rFonts w:hint="eastAsia"/>
          <w:color w:val="auto"/>
          <w:highlight w:val="none"/>
          <w:lang w:eastAsia="zh-CN"/>
        </w:rPr>
        <w:t xml:space="preserve">tructural </w:t>
      </w:r>
      <w:r>
        <w:rPr>
          <w:rFonts w:hint="eastAsia"/>
          <w:color w:val="auto"/>
          <w:highlight w:val="none"/>
          <w:lang w:val="en-US" w:eastAsia="zh-CN"/>
        </w:rPr>
        <w:t>S</w:t>
      </w:r>
      <w:r>
        <w:rPr>
          <w:rFonts w:hint="eastAsia"/>
          <w:color w:val="auto"/>
          <w:highlight w:val="none"/>
          <w:lang w:eastAsia="zh-CN"/>
        </w:rPr>
        <w:t xml:space="preserve">ystem </w:t>
      </w:r>
      <w:r>
        <w:rPr>
          <w:color w:val="auto"/>
          <w:highlight w:val="none"/>
        </w:rPr>
        <w:tab/>
      </w:r>
      <w:r>
        <w:rPr>
          <w:color w:val="auto"/>
          <w:highlight w:val="none"/>
        </w:rPr>
        <w:fldChar w:fldCharType="begin"/>
      </w:r>
      <w:r>
        <w:rPr>
          <w:color w:val="auto"/>
          <w:highlight w:val="none"/>
        </w:rPr>
        <w:instrText xml:space="preserve"> PAGEREF _Toc709 \h </w:instrText>
      </w:r>
      <w:r>
        <w:rPr>
          <w:color w:val="auto"/>
          <w:highlight w:val="none"/>
        </w:rPr>
        <w:fldChar w:fldCharType="separate"/>
      </w:r>
      <w:r>
        <w:rPr>
          <w:color w:val="auto"/>
          <w:highlight w:val="none"/>
        </w:rPr>
        <w:t>1</w:t>
      </w:r>
      <w:r>
        <w:rPr>
          <w:rFonts w:hint="eastAsia"/>
          <w:color w:val="auto"/>
          <w:highlight w:val="none"/>
          <w:lang w:val="en-US" w:eastAsia="zh-CN"/>
        </w:rPr>
        <w:t>5</w:t>
      </w:r>
      <w:r>
        <w:rPr>
          <w:color w:val="auto"/>
          <w:highlight w:val="none"/>
        </w:rPr>
        <w:fldChar w:fldCharType="end"/>
      </w:r>
      <w:r>
        <w:rPr>
          <w:color w:val="auto"/>
          <w:highlight w:val="none"/>
        </w:rPr>
        <w:fldChar w:fldCharType="end"/>
      </w:r>
    </w:p>
    <w:p w14:paraId="55B6BD38">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_Toc16712 </w:instrText>
      </w:r>
      <w:r>
        <w:rPr>
          <w:color w:val="auto"/>
          <w:highlight w:val="none"/>
        </w:rPr>
        <w:fldChar w:fldCharType="separate"/>
      </w:r>
      <w:r>
        <w:rPr>
          <w:rFonts w:hint="eastAsia"/>
          <w:color w:val="auto"/>
          <w:highlight w:val="none"/>
          <w:lang w:eastAsia="zh-CN"/>
        </w:rPr>
        <w:t xml:space="preserve">5.4  Structural </w:t>
      </w:r>
      <w:r>
        <w:rPr>
          <w:rFonts w:hint="eastAsia"/>
          <w:color w:val="auto"/>
          <w:highlight w:val="none"/>
          <w:lang w:val="en-US" w:eastAsia="zh-CN"/>
        </w:rPr>
        <w:t>A</w:t>
      </w:r>
      <w:r>
        <w:rPr>
          <w:rFonts w:hint="eastAsia"/>
          <w:color w:val="auto"/>
          <w:highlight w:val="none"/>
          <w:lang w:eastAsia="zh-CN"/>
        </w:rPr>
        <w:t xml:space="preserve">nalysis </w:t>
      </w:r>
      <w:r>
        <w:rPr>
          <w:rFonts w:hint="eastAsia"/>
          <w:color w:val="auto"/>
          <w:highlight w:val="none"/>
          <w:lang w:val="en-US" w:eastAsia="zh-CN"/>
        </w:rPr>
        <w:t>M</w:t>
      </w:r>
      <w:r>
        <w:rPr>
          <w:rFonts w:hint="eastAsia"/>
          <w:color w:val="auto"/>
          <w:highlight w:val="none"/>
          <w:lang w:eastAsia="zh-CN"/>
        </w:rPr>
        <w:t>ethod</w:t>
      </w:r>
      <w:r>
        <w:rPr>
          <w:color w:val="auto"/>
          <w:highlight w:val="none"/>
        </w:rPr>
        <w:tab/>
      </w:r>
      <w:r>
        <w:rPr>
          <w:color w:val="auto"/>
          <w:highlight w:val="none"/>
        </w:rPr>
        <w:fldChar w:fldCharType="begin"/>
      </w:r>
      <w:r>
        <w:rPr>
          <w:color w:val="auto"/>
          <w:highlight w:val="none"/>
        </w:rPr>
        <w:instrText xml:space="preserve"> PAGEREF _Toc16712 \h </w:instrText>
      </w:r>
      <w:r>
        <w:rPr>
          <w:color w:val="auto"/>
          <w:highlight w:val="none"/>
        </w:rPr>
        <w:fldChar w:fldCharType="separate"/>
      </w:r>
      <w:r>
        <w:rPr>
          <w:color w:val="auto"/>
          <w:highlight w:val="none"/>
        </w:rPr>
        <w:t>1</w:t>
      </w:r>
      <w:r>
        <w:rPr>
          <w:rFonts w:hint="eastAsia"/>
          <w:color w:val="auto"/>
          <w:highlight w:val="none"/>
          <w:lang w:val="en-US" w:eastAsia="zh-CN"/>
        </w:rPr>
        <w:t>9</w:t>
      </w:r>
      <w:r>
        <w:rPr>
          <w:color w:val="auto"/>
          <w:highlight w:val="none"/>
        </w:rPr>
        <w:fldChar w:fldCharType="end"/>
      </w:r>
      <w:r>
        <w:rPr>
          <w:color w:val="auto"/>
          <w:highlight w:val="none"/>
        </w:rPr>
        <w:fldChar w:fldCharType="end"/>
      </w:r>
    </w:p>
    <w:p w14:paraId="7162A22C">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_Toc27387 </w:instrText>
      </w:r>
      <w:r>
        <w:rPr>
          <w:color w:val="auto"/>
          <w:highlight w:val="none"/>
        </w:rPr>
        <w:fldChar w:fldCharType="separate"/>
      </w:r>
      <w:r>
        <w:rPr>
          <w:rFonts w:hint="eastAsia"/>
          <w:color w:val="auto"/>
          <w:highlight w:val="none"/>
          <w:lang w:eastAsia="zh-CN"/>
        </w:rPr>
        <w:t>5.5  Component</w:t>
      </w:r>
      <w:r>
        <w:rPr>
          <w:rFonts w:hint="eastAsia"/>
          <w:color w:val="auto"/>
          <w:highlight w:val="none"/>
          <w:lang w:val="en-US" w:eastAsia="zh-CN"/>
        </w:rPr>
        <w:t>s</w:t>
      </w:r>
      <w:r>
        <w:rPr>
          <w:rFonts w:hint="eastAsia"/>
          <w:color w:val="auto"/>
          <w:highlight w:val="none"/>
          <w:lang w:eastAsia="zh-CN"/>
        </w:rPr>
        <w:t xml:space="preserve"> Design</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0</w:t>
      </w:r>
    </w:p>
    <w:p w14:paraId="53F786A4">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_Toc13850 </w:instrText>
      </w:r>
      <w:r>
        <w:rPr>
          <w:color w:val="auto"/>
          <w:highlight w:val="none"/>
        </w:rPr>
        <w:fldChar w:fldCharType="separate"/>
      </w:r>
      <w:r>
        <w:rPr>
          <w:rFonts w:hint="eastAsia"/>
          <w:color w:val="auto"/>
          <w:highlight w:val="none"/>
          <w:lang w:eastAsia="zh-CN"/>
        </w:rPr>
        <w:t>5.6  Connecti</w:t>
      </w:r>
      <w:r>
        <w:rPr>
          <w:rFonts w:hint="eastAsia"/>
          <w:color w:val="auto"/>
          <w:highlight w:val="none"/>
          <w:lang w:val="en-US" w:eastAsia="zh-CN"/>
        </w:rPr>
        <w:t>ng</w:t>
      </w:r>
      <w:r>
        <w:rPr>
          <w:rFonts w:hint="eastAsia"/>
          <w:color w:val="auto"/>
          <w:highlight w:val="none"/>
          <w:lang w:eastAsia="zh-CN"/>
        </w:rPr>
        <w:t xml:space="preserve"> </w:t>
      </w:r>
      <w:r>
        <w:rPr>
          <w:rFonts w:hint="eastAsia"/>
          <w:color w:val="auto"/>
          <w:highlight w:val="none"/>
          <w:lang w:val="en-US" w:eastAsia="zh-CN"/>
        </w:rPr>
        <w:t>D</w:t>
      </w:r>
      <w:r>
        <w:rPr>
          <w:rFonts w:hint="eastAsia"/>
          <w:color w:val="auto"/>
          <w:highlight w:val="none"/>
          <w:lang w:eastAsia="zh-CN"/>
        </w:rPr>
        <w:t>esign</w:t>
      </w:r>
      <w:r>
        <w:rPr>
          <w:color w:val="auto"/>
          <w:highlight w:val="none"/>
        </w:rPr>
        <w:tab/>
      </w:r>
      <w:r>
        <w:rPr>
          <w:color w:val="auto"/>
          <w:highlight w:val="none"/>
        </w:rPr>
        <w:fldChar w:fldCharType="begin"/>
      </w:r>
      <w:r>
        <w:rPr>
          <w:color w:val="auto"/>
          <w:highlight w:val="none"/>
        </w:rPr>
        <w:instrText xml:space="preserve"> PAGEREF _Toc13850 \h </w:instrText>
      </w:r>
      <w:r>
        <w:rPr>
          <w:color w:val="auto"/>
          <w:highlight w:val="none"/>
        </w:rPr>
        <w:fldChar w:fldCharType="separate"/>
      </w:r>
      <w:r>
        <w:rPr>
          <w:color w:val="auto"/>
          <w:highlight w:val="none"/>
        </w:rPr>
        <w:t>2</w:t>
      </w:r>
      <w:r>
        <w:rPr>
          <w:rFonts w:hint="eastAsia"/>
          <w:color w:val="auto"/>
          <w:highlight w:val="none"/>
          <w:lang w:val="en-US" w:eastAsia="zh-CN"/>
        </w:rPr>
        <w:t>0</w:t>
      </w:r>
      <w:r>
        <w:rPr>
          <w:color w:val="auto"/>
          <w:highlight w:val="none"/>
        </w:rPr>
        <w:fldChar w:fldCharType="end"/>
      </w:r>
      <w:r>
        <w:rPr>
          <w:color w:val="auto"/>
          <w:highlight w:val="none"/>
        </w:rPr>
        <w:fldChar w:fldCharType="end"/>
      </w:r>
    </w:p>
    <w:p w14:paraId="1E0059FB">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_Toc13850 </w:instrText>
      </w:r>
      <w:r>
        <w:rPr>
          <w:color w:val="auto"/>
          <w:highlight w:val="none"/>
        </w:rPr>
        <w:fldChar w:fldCharType="separate"/>
      </w:r>
      <w:r>
        <w:rPr>
          <w:rFonts w:hint="eastAsia"/>
          <w:color w:val="auto"/>
          <w:highlight w:val="none"/>
          <w:lang w:eastAsia="zh-CN"/>
        </w:rPr>
        <w:t>5.</w:t>
      </w:r>
      <w:r>
        <w:rPr>
          <w:rFonts w:hint="eastAsia"/>
          <w:color w:val="auto"/>
          <w:highlight w:val="none"/>
          <w:lang w:val="en-US" w:eastAsia="zh-CN"/>
        </w:rPr>
        <w:t>7</w:t>
      </w:r>
      <w:r>
        <w:rPr>
          <w:rFonts w:hint="eastAsia"/>
          <w:color w:val="auto"/>
          <w:highlight w:val="none"/>
          <w:lang w:eastAsia="zh-CN"/>
        </w:rPr>
        <w:t xml:space="preserve">  Design </w:t>
      </w:r>
      <w:r>
        <w:rPr>
          <w:rFonts w:hint="eastAsia"/>
          <w:color w:val="auto"/>
          <w:highlight w:val="none"/>
          <w:lang w:val="en-US" w:eastAsia="zh-CN"/>
        </w:rPr>
        <w:t>I</w:t>
      </w:r>
      <w:r>
        <w:rPr>
          <w:rFonts w:hint="eastAsia"/>
          <w:color w:val="auto"/>
          <w:highlight w:val="none"/>
          <w:lang w:eastAsia="zh-CN"/>
        </w:rPr>
        <w:t>ndicators</w:t>
      </w:r>
      <w:r>
        <w:rPr>
          <w:color w:val="auto"/>
          <w:highlight w:val="none"/>
        </w:rPr>
        <w:tab/>
      </w:r>
      <w:r>
        <w:rPr>
          <w:color w:val="auto"/>
          <w:highlight w:val="none"/>
        </w:rPr>
        <w:fldChar w:fldCharType="begin"/>
      </w:r>
      <w:r>
        <w:rPr>
          <w:color w:val="auto"/>
          <w:highlight w:val="none"/>
        </w:rPr>
        <w:instrText xml:space="preserve"> PAGEREF _Toc13850 \h </w:instrText>
      </w:r>
      <w:r>
        <w:rPr>
          <w:color w:val="auto"/>
          <w:highlight w:val="none"/>
        </w:rPr>
        <w:fldChar w:fldCharType="separate"/>
      </w:r>
      <w:r>
        <w:rPr>
          <w:color w:val="auto"/>
          <w:highlight w:val="none"/>
        </w:rPr>
        <w:t>2</w:t>
      </w:r>
      <w:r>
        <w:rPr>
          <w:rFonts w:hint="eastAsia"/>
          <w:color w:val="auto"/>
          <w:highlight w:val="none"/>
          <w:lang w:val="en-US" w:eastAsia="zh-CN"/>
        </w:rPr>
        <w:t>1</w:t>
      </w:r>
      <w:r>
        <w:rPr>
          <w:color w:val="auto"/>
          <w:highlight w:val="none"/>
        </w:rPr>
        <w:fldChar w:fldCharType="end"/>
      </w:r>
      <w:r>
        <w:rPr>
          <w:color w:val="auto"/>
          <w:highlight w:val="none"/>
        </w:rPr>
        <w:fldChar w:fldCharType="end"/>
      </w:r>
    </w:p>
    <w:p w14:paraId="4D3279CD">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_Toc13850 </w:instrText>
      </w:r>
      <w:r>
        <w:rPr>
          <w:color w:val="auto"/>
          <w:highlight w:val="none"/>
        </w:rPr>
        <w:fldChar w:fldCharType="separate"/>
      </w:r>
      <w:r>
        <w:rPr>
          <w:rFonts w:hint="eastAsia"/>
          <w:color w:val="auto"/>
          <w:highlight w:val="none"/>
          <w:lang w:eastAsia="zh-CN"/>
        </w:rPr>
        <w:t>5.</w:t>
      </w:r>
      <w:r>
        <w:rPr>
          <w:rFonts w:hint="eastAsia"/>
          <w:color w:val="auto"/>
          <w:highlight w:val="none"/>
          <w:lang w:val="en-US" w:eastAsia="zh-CN"/>
        </w:rPr>
        <w:t>8</w:t>
      </w:r>
      <w:r>
        <w:rPr>
          <w:rFonts w:hint="eastAsia"/>
          <w:color w:val="auto"/>
          <w:highlight w:val="none"/>
          <w:lang w:eastAsia="zh-CN"/>
        </w:rPr>
        <w:t xml:space="preserve">  </w:t>
      </w:r>
      <w:r>
        <w:rPr>
          <w:rFonts w:hint="eastAsia"/>
          <w:color w:val="auto"/>
          <w:highlight w:val="none"/>
          <w:lang w:val="en-US" w:eastAsia="zh-CN"/>
        </w:rPr>
        <w:t>F</w:t>
      </w:r>
      <w:r>
        <w:rPr>
          <w:rFonts w:hint="eastAsia"/>
          <w:color w:val="auto"/>
          <w:highlight w:val="none"/>
          <w:lang w:eastAsia="zh-CN"/>
        </w:rPr>
        <w:t>oundation</w:t>
      </w:r>
      <w:r>
        <w:rPr>
          <w:rFonts w:hint="eastAsia"/>
          <w:color w:val="auto"/>
          <w:highlight w:val="none"/>
          <w:lang w:val="en-US" w:eastAsia="zh-CN"/>
        </w:rPr>
        <w:t>s</w:t>
      </w:r>
      <w:r>
        <w:rPr>
          <w:rFonts w:hint="eastAsia"/>
          <w:color w:val="auto"/>
          <w:highlight w:val="none"/>
          <w:lang w:eastAsia="zh-CN"/>
        </w:rPr>
        <w:t xml:space="preserve"> </w:t>
      </w:r>
      <w:r>
        <w:rPr>
          <w:rFonts w:hint="eastAsia"/>
          <w:color w:val="auto"/>
          <w:highlight w:val="none"/>
          <w:lang w:val="en-US" w:eastAsia="zh-CN"/>
        </w:rPr>
        <w:t>D</w:t>
      </w:r>
      <w:r>
        <w:rPr>
          <w:rFonts w:hint="eastAsia"/>
          <w:color w:val="auto"/>
          <w:highlight w:val="none"/>
          <w:lang w:eastAsia="zh-CN"/>
        </w:rPr>
        <w:t>esign</w:t>
      </w:r>
      <w:r>
        <w:rPr>
          <w:color w:val="auto"/>
          <w:highlight w:val="none"/>
        </w:rPr>
        <w:tab/>
      </w:r>
      <w:r>
        <w:rPr>
          <w:color w:val="auto"/>
          <w:highlight w:val="none"/>
        </w:rPr>
        <w:fldChar w:fldCharType="begin"/>
      </w:r>
      <w:r>
        <w:rPr>
          <w:color w:val="auto"/>
          <w:highlight w:val="none"/>
        </w:rPr>
        <w:instrText xml:space="preserve"> PAGEREF _Toc13850 \h </w:instrText>
      </w:r>
      <w:r>
        <w:rPr>
          <w:color w:val="auto"/>
          <w:highlight w:val="none"/>
        </w:rPr>
        <w:fldChar w:fldCharType="separate"/>
      </w:r>
      <w:r>
        <w:rPr>
          <w:color w:val="auto"/>
          <w:highlight w:val="none"/>
        </w:rPr>
        <w:t>2</w:t>
      </w:r>
      <w:r>
        <w:rPr>
          <w:rFonts w:hint="eastAsia"/>
          <w:color w:val="auto"/>
          <w:highlight w:val="none"/>
          <w:lang w:val="en-US" w:eastAsia="zh-CN"/>
        </w:rPr>
        <w:t>2</w:t>
      </w:r>
      <w:r>
        <w:rPr>
          <w:color w:val="auto"/>
          <w:highlight w:val="none"/>
        </w:rPr>
        <w:fldChar w:fldCharType="end"/>
      </w:r>
      <w:r>
        <w:rPr>
          <w:color w:val="auto"/>
          <w:highlight w:val="none"/>
        </w:rPr>
        <w:fldChar w:fldCharType="end"/>
      </w:r>
    </w:p>
    <w:p w14:paraId="47210497">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_Toc21573 </w:instrText>
      </w:r>
      <w:r>
        <w:rPr>
          <w:color w:val="auto"/>
          <w:highlight w:val="none"/>
        </w:rPr>
        <w:fldChar w:fldCharType="separate"/>
      </w:r>
      <w:r>
        <w:rPr>
          <w:rFonts w:hint="eastAsia"/>
          <w:color w:val="auto"/>
          <w:highlight w:val="none"/>
          <w:lang w:eastAsia="zh-CN"/>
        </w:rPr>
        <w:t>6  Light Timber Construction</w:t>
      </w:r>
      <w:r>
        <w:rPr>
          <w:color w:val="auto"/>
          <w:highlight w:val="none"/>
        </w:rPr>
        <w:tab/>
      </w:r>
      <w:r>
        <w:rPr>
          <w:color w:val="auto"/>
          <w:highlight w:val="none"/>
        </w:rPr>
        <w:fldChar w:fldCharType="begin"/>
      </w:r>
      <w:r>
        <w:rPr>
          <w:color w:val="auto"/>
          <w:highlight w:val="none"/>
        </w:rPr>
        <w:instrText xml:space="preserve"> PAGEREF _Toc21573 \h </w:instrText>
      </w:r>
      <w:r>
        <w:rPr>
          <w:color w:val="auto"/>
          <w:highlight w:val="none"/>
        </w:rPr>
        <w:fldChar w:fldCharType="separate"/>
      </w:r>
      <w:r>
        <w:rPr>
          <w:color w:val="auto"/>
          <w:highlight w:val="none"/>
        </w:rPr>
        <w:t>2</w:t>
      </w:r>
      <w:r>
        <w:rPr>
          <w:rFonts w:hint="eastAsia"/>
          <w:color w:val="auto"/>
          <w:highlight w:val="none"/>
          <w:lang w:val="en-US" w:eastAsia="zh-CN"/>
        </w:rPr>
        <w:t>4</w:t>
      </w:r>
      <w:r>
        <w:rPr>
          <w:color w:val="auto"/>
          <w:highlight w:val="none"/>
        </w:rPr>
        <w:fldChar w:fldCharType="end"/>
      </w:r>
      <w:r>
        <w:rPr>
          <w:color w:val="auto"/>
          <w:highlight w:val="none"/>
        </w:rPr>
        <w:fldChar w:fldCharType="end"/>
      </w:r>
    </w:p>
    <w:p w14:paraId="0ED3977F">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_Toc12958 </w:instrText>
      </w:r>
      <w:r>
        <w:rPr>
          <w:color w:val="auto"/>
          <w:highlight w:val="none"/>
        </w:rPr>
        <w:fldChar w:fldCharType="separate"/>
      </w:r>
      <w:r>
        <w:rPr>
          <w:rFonts w:hint="eastAsia"/>
          <w:color w:val="auto"/>
          <w:highlight w:val="none"/>
        </w:rPr>
        <w:t>6.1</w:t>
      </w:r>
      <w:r>
        <w:rPr>
          <w:rFonts w:hint="eastAsia"/>
          <w:color w:val="auto"/>
          <w:highlight w:val="none"/>
          <w:lang w:eastAsia="zh-CN"/>
        </w:rPr>
        <w:t xml:space="preserve">  </w:t>
      </w:r>
      <w:r>
        <w:rPr>
          <w:rFonts w:hint="eastAsia"/>
          <w:color w:val="auto"/>
          <w:highlight w:val="none"/>
        </w:rPr>
        <w:t>General Provisions</w:t>
      </w:r>
      <w:r>
        <w:rPr>
          <w:color w:val="auto"/>
          <w:highlight w:val="none"/>
        </w:rPr>
        <w:tab/>
      </w:r>
      <w:r>
        <w:rPr>
          <w:color w:val="auto"/>
          <w:highlight w:val="none"/>
        </w:rPr>
        <w:fldChar w:fldCharType="begin"/>
      </w:r>
      <w:r>
        <w:rPr>
          <w:color w:val="auto"/>
          <w:highlight w:val="none"/>
        </w:rPr>
        <w:instrText xml:space="preserve"> PAGEREF _Toc12958 \h </w:instrText>
      </w:r>
      <w:r>
        <w:rPr>
          <w:color w:val="auto"/>
          <w:highlight w:val="none"/>
        </w:rPr>
        <w:fldChar w:fldCharType="separate"/>
      </w:r>
      <w:r>
        <w:rPr>
          <w:color w:val="auto"/>
          <w:highlight w:val="none"/>
        </w:rPr>
        <w:t>2</w:t>
      </w:r>
      <w:r>
        <w:rPr>
          <w:rFonts w:hint="eastAsia"/>
          <w:color w:val="auto"/>
          <w:highlight w:val="none"/>
          <w:lang w:val="en-US" w:eastAsia="zh-CN"/>
        </w:rPr>
        <w:t>4</w:t>
      </w:r>
      <w:r>
        <w:rPr>
          <w:color w:val="auto"/>
          <w:highlight w:val="none"/>
        </w:rPr>
        <w:fldChar w:fldCharType="end"/>
      </w:r>
      <w:r>
        <w:rPr>
          <w:color w:val="auto"/>
          <w:highlight w:val="none"/>
        </w:rPr>
        <w:fldChar w:fldCharType="end"/>
      </w:r>
    </w:p>
    <w:p w14:paraId="4A107768">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_Toc1715 </w:instrText>
      </w:r>
      <w:r>
        <w:rPr>
          <w:color w:val="auto"/>
          <w:highlight w:val="none"/>
        </w:rPr>
        <w:fldChar w:fldCharType="separate"/>
      </w:r>
      <w:r>
        <w:rPr>
          <w:rFonts w:hint="eastAsia"/>
          <w:color w:val="auto"/>
          <w:highlight w:val="none"/>
        </w:rPr>
        <w:t>6.</w:t>
      </w:r>
      <w:r>
        <w:rPr>
          <w:rFonts w:hint="eastAsia"/>
          <w:color w:val="auto"/>
          <w:highlight w:val="none"/>
          <w:lang w:eastAsia="zh-CN"/>
        </w:rPr>
        <w:t xml:space="preserve">2  </w:t>
      </w:r>
      <w:r>
        <w:rPr>
          <w:rFonts w:hint="eastAsia"/>
          <w:color w:val="auto"/>
          <w:highlight w:val="none"/>
        </w:rPr>
        <w:t>Floor (Roof) Structures</w:t>
      </w:r>
      <w:r>
        <w:rPr>
          <w:color w:val="auto"/>
          <w:highlight w:val="none"/>
        </w:rPr>
        <w:tab/>
      </w:r>
      <w:r>
        <w:rPr>
          <w:color w:val="auto"/>
          <w:highlight w:val="none"/>
        </w:rPr>
        <w:fldChar w:fldCharType="begin"/>
      </w:r>
      <w:r>
        <w:rPr>
          <w:color w:val="auto"/>
          <w:highlight w:val="none"/>
        </w:rPr>
        <w:instrText xml:space="preserve"> PAGEREF _Toc1715 \h </w:instrText>
      </w:r>
      <w:r>
        <w:rPr>
          <w:color w:val="auto"/>
          <w:highlight w:val="none"/>
        </w:rPr>
        <w:fldChar w:fldCharType="separate"/>
      </w:r>
      <w:r>
        <w:rPr>
          <w:color w:val="auto"/>
          <w:highlight w:val="none"/>
        </w:rPr>
        <w:t>2</w:t>
      </w:r>
      <w:r>
        <w:rPr>
          <w:rFonts w:hint="eastAsia"/>
          <w:color w:val="auto"/>
          <w:highlight w:val="none"/>
          <w:lang w:val="en-US" w:eastAsia="zh-CN"/>
        </w:rPr>
        <w:t>4</w:t>
      </w:r>
      <w:r>
        <w:rPr>
          <w:color w:val="auto"/>
          <w:highlight w:val="none"/>
        </w:rPr>
        <w:fldChar w:fldCharType="end"/>
      </w:r>
      <w:r>
        <w:rPr>
          <w:color w:val="auto"/>
          <w:highlight w:val="none"/>
        </w:rPr>
        <w:fldChar w:fldCharType="end"/>
      </w:r>
    </w:p>
    <w:p w14:paraId="3097A5AC">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_Toc10898 </w:instrText>
      </w:r>
      <w:r>
        <w:rPr>
          <w:color w:val="auto"/>
          <w:highlight w:val="none"/>
        </w:rPr>
        <w:fldChar w:fldCharType="separate"/>
      </w:r>
      <w:r>
        <w:rPr>
          <w:rFonts w:hint="eastAsia"/>
          <w:color w:val="auto"/>
          <w:highlight w:val="none"/>
        </w:rPr>
        <w:t>6</w:t>
      </w: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 xml:space="preserve">  Shear</w:t>
      </w:r>
      <w:r>
        <w:rPr>
          <w:rFonts w:hint="eastAsia"/>
          <w:color w:val="auto"/>
          <w:highlight w:val="none"/>
          <w:lang w:val="en-US" w:eastAsia="zh-CN"/>
        </w:rPr>
        <w:t xml:space="preserve"> </w:t>
      </w:r>
      <w:r>
        <w:rPr>
          <w:rFonts w:hint="eastAsia"/>
          <w:color w:val="auto"/>
          <w:highlight w:val="none"/>
          <w:lang w:eastAsia="zh-CN"/>
        </w:rPr>
        <w:t>Walls</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6</w:t>
      </w:r>
    </w:p>
    <w:p w14:paraId="148DFF05">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_Toc25048 </w:instrText>
      </w:r>
      <w:r>
        <w:rPr>
          <w:color w:val="auto"/>
          <w:highlight w:val="none"/>
        </w:rPr>
        <w:fldChar w:fldCharType="separate"/>
      </w:r>
      <w:r>
        <w:rPr>
          <w:rFonts w:hint="eastAsia"/>
          <w:color w:val="auto"/>
          <w:highlight w:val="none"/>
          <w:lang w:eastAsia="zh-CN"/>
        </w:rPr>
        <w:t>6.</w:t>
      </w:r>
      <w:r>
        <w:rPr>
          <w:rFonts w:hint="eastAsia"/>
          <w:color w:val="auto"/>
          <w:highlight w:val="none"/>
          <w:lang w:val="en-US" w:eastAsia="zh-CN"/>
        </w:rPr>
        <w:t>4</w:t>
      </w:r>
      <w:r>
        <w:rPr>
          <w:rFonts w:hint="eastAsia"/>
          <w:color w:val="auto"/>
          <w:highlight w:val="none"/>
          <w:lang w:eastAsia="zh-CN"/>
        </w:rPr>
        <w:t xml:space="preserve">  Wall Panels</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1</w:t>
      </w:r>
    </w:p>
    <w:p w14:paraId="073253D6">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_Toc26598 </w:instrText>
      </w:r>
      <w:r>
        <w:rPr>
          <w:color w:val="auto"/>
          <w:highlight w:val="none"/>
        </w:rPr>
        <w:fldChar w:fldCharType="separate"/>
      </w:r>
      <w:r>
        <w:rPr>
          <w:rFonts w:hint="eastAsia"/>
          <w:color w:val="auto"/>
          <w:highlight w:val="none"/>
          <w:lang w:eastAsia="zh-CN"/>
        </w:rPr>
        <w:t>7  Square Timber and Log Construction</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5</w:t>
      </w:r>
    </w:p>
    <w:p w14:paraId="4BF827FB">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_Toc12303 </w:instrText>
      </w:r>
      <w:r>
        <w:rPr>
          <w:color w:val="auto"/>
          <w:highlight w:val="none"/>
        </w:rPr>
        <w:fldChar w:fldCharType="separate"/>
      </w:r>
      <w:r>
        <w:rPr>
          <w:rFonts w:hint="eastAsia"/>
          <w:color w:val="auto"/>
          <w:highlight w:val="none"/>
          <w:lang w:eastAsia="zh-CN"/>
        </w:rPr>
        <w:t xml:space="preserve">7.1  </w:t>
      </w:r>
      <w:r>
        <w:rPr>
          <w:rFonts w:hint="eastAsia"/>
          <w:color w:val="auto"/>
          <w:highlight w:val="none"/>
        </w:rPr>
        <w:t>General Provisions</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5</w:t>
      </w:r>
    </w:p>
    <w:p w14:paraId="6B829955">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_Toc28359 </w:instrText>
      </w:r>
      <w:r>
        <w:rPr>
          <w:color w:val="auto"/>
          <w:highlight w:val="none"/>
        </w:rPr>
        <w:fldChar w:fldCharType="separate"/>
      </w:r>
      <w:r>
        <w:rPr>
          <w:rFonts w:hint="eastAsia"/>
          <w:color w:val="auto"/>
          <w:highlight w:val="none"/>
          <w:lang w:eastAsia="zh-CN"/>
        </w:rPr>
        <w:t xml:space="preserve">7.2  </w:t>
      </w:r>
      <w:r>
        <w:rPr>
          <w:rFonts w:hint="eastAsia"/>
          <w:color w:val="auto"/>
          <w:highlight w:val="none"/>
        </w:rPr>
        <w:t>Beams and Columns</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8</w:t>
      </w:r>
    </w:p>
    <w:p w14:paraId="76BC888B">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_Toc14962 </w:instrText>
      </w:r>
      <w:r>
        <w:rPr>
          <w:color w:val="auto"/>
          <w:highlight w:val="none"/>
        </w:rPr>
        <w:fldChar w:fldCharType="separate"/>
      </w:r>
      <w:r>
        <w:rPr>
          <w:rFonts w:hint="eastAsia"/>
          <w:color w:val="auto"/>
          <w:highlight w:val="none"/>
          <w:lang w:eastAsia="zh-CN"/>
        </w:rPr>
        <w:t>7.3</w:t>
      </w:r>
      <w:r>
        <w:rPr>
          <w:color w:val="auto"/>
          <w:highlight w:val="none"/>
        </w:rPr>
        <w:t xml:space="preserve"> </w:t>
      </w:r>
      <w:r>
        <w:rPr>
          <w:rFonts w:hint="eastAsia"/>
          <w:color w:val="auto"/>
          <w:highlight w:val="none"/>
          <w:lang w:eastAsia="zh-CN"/>
        </w:rPr>
        <w:t xml:space="preserve"> </w:t>
      </w:r>
      <w:r>
        <w:rPr>
          <w:rFonts w:hint="eastAsia"/>
          <w:color w:val="auto"/>
          <w:highlight w:val="none"/>
        </w:rPr>
        <w:t>Walls</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8</w:t>
      </w:r>
    </w:p>
    <w:p w14:paraId="4FA67EC6">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_Toc6058 </w:instrText>
      </w:r>
      <w:r>
        <w:rPr>
          <w:color w:val="auto"/>
          <w:highlight w:val="none"/>
        </w:rPr>
        <w:fldChar w:fldCharType="separate"/>
      </w:r>
      <w:r>
        <w:rPr>
          <w:rFonts w:hint="eastAsia"/>
          <w:color w:val="auto"/>
          <w:highlight w:val="none"/>
          <w:lang w:eastAsia="zh-CN"/>
        </w:rPr>
        <w:t>7.4</w:t>
      </w:r>
      <w:r>
        <w:rPr>
          <w:color w:val="auto"/>
          <w:highlight w:val="none"/>
        </w:rPr>
        <w:t xml:space="preserve"> </w:t>
      </w:r>
      <w:r>
        <w:rPr>
          <w:rFonts w:hint="eastAsia"/>
          <w:color w:val="auto"/>
          <w:highlight w:val="none"/>
          <w:lang w:eastAsia="zh-CN"/>
        </w:rPr>
        <w:t xml:space="preserve"> </w:t>
      </w:r>
      <w:r>
        <w:rPr>
          <w:rFonts w:hint="eastAsia"/>
          <w:color w:val="auto"/>
          <w:highlight w:val="none"/>
        </w:rPr>
        <w:t>Floor</w:t>
      </w:r>
      <w:r>
        <w:rPr>
          <w:rFonts w:hint="eastAsia"/>
          <w:color w:val="auto"/>
          <w:highlight w:val="none"/>
          <w:lang w:val="en-US" w:eastAsia="zh-CN"/>
        </w:rPr>
        <w:t>s</w:t>
      </w:r>
      <w:r>
        <w:rPr>
          <w:rFonts w:hint="eastAsia"/>
          <w:color w:val="auto"/>
          <w:highlight w:val="none"/>
        </w:rPr>
        <w:t xml:space="preserve"> and Roof</w:t>
      </w:r>
      <w:r>
        <w:rPr>
          <w:rFonts w:hint="eastAsia"/>
          <w:color w:val="auto"/>
          <w:highlight w:val="none"/>
          <w:lang w:val="en-US" w:eastAsia="zh-CN"/>
        </w:rPr>
        <w:t>s</w:t>
      </w:r>
      <w:r>
        <w:rPr>
          <w:rFonts w:hint="eastAsia"/>
          <w:color w:val="auto"/>
          <w:highlight w:val="none"/>
        </w:rPr>
        <w:t xml:space="preserve"> Structures</w:t>
      </w:r>
      <w:r>
        <w:rPr>
          <w:color w:val="auto"/>
          <w:highlight w:val="none"/>
        </w:rPr>
        <w:tab/>
      </w:r>
      <w:r>
        <w:rPr>
          <w:color w:val="auto"/>
          <w:highlight w:val="none"/>
        </w:rPr>
        <w:fldChar w:fldCharType="begin"/>
      </w:r>
      <w:r>
        <w:rPr>
          <w:color w:val="auto"/>
          <w:highlight w:val="none"/>
        </w:rPr>
        <w:instrText xml:space="preserve"> PAGEREF _Toc6058 \h </w:instrText>
      </w:r>
      <w:r>
        <w:rPr>
          <w:color w:val="auto"/>
          <w:highlight w:val="none"/>
        </w:rPr>
        <w:fldChar w:fldCharType="separate"/>
      </w:r>
      <w:r>
        <w:rPr>
          <w:color w:val="auto"/>
          <w:highlight w:val="none"/>
        </w:rPr>
        <w:t>4</w:t>
      </w:r>
      <w:r>
        <w:rPr>
          <w:rFonts w:hint="eastAsia"/>
          <w:color w:val="auto"/>
          <w:highlight w:val="none"/>
          <w:lang w:val="en-US" w:eastAsia="zh-CN"/>
        </w:rPr>
        <w:t>0</w:t>
      </w:r>
      <w:r>
        <w:rPr>
          <w:color w:val="auto"/>
          <w:highlight w:val="none"/>
        </w:rPr>
        <w:fldChar w:fldCharType="end"/>
      </w:r>
      <w:r>
        <w:rPr>
          <w:color w:val="auto"/>
          <w:highlight w:val="none"/>
        </w:rPr>
        <w:fldChar w:fldCharType="end"/>
      </w:r>
    </w:p>
    <w:p w14:paraId="1ED14488">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_Toc30791 </w:instrText>
      </w:r>
      <w:r>
        <w:rPr>
          <w:color w:val="auto"/>
          <w:highlight w:val="none"/>
        </w:rPr>
        <w:fldChar w:fldCharType="separate"/>
      </w:r>
      <w:r>
        <w:rPr>
          <w:rFonts w:hint="eastAsia"/>
          <w:color w:val="auto"/>
          <w:highlight w:val="none"/>
          <w:lang w:eastAsia="zh-CN"/>
        </w:rPr>
        <w:t xml:space="preserve">7.5  </w:t>
      </w:r>
      <w:r>
        <w:rPr>
          <w:rFonts w:hint="eastAsia"/>
          <w:color w:val="auto"/>
          <w:highlight w:val="none"/>
        </w:rPr>
        <w:t>Trusses</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3</w:t>
      </w:r>
    </w:p>
    <w:p w14:paraId="04FBC146">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_Toc724 </w:instrText>
      </w:r>
      <w:r>
        <w:rPr>
          <w:color w:val="auto"/>
          <w:highlight w:val="none"/>
        </w:rPr>
        <w:fldChar w:fldCharType="separate"/>
      </w:r>
      <w:r>
        <w:rPr>
          <w:rFonts w:hint="eastAsia"/>
          <w:color w:val="auto"/>
          <w:highlight w:val="none"/>
          <w:lang w:eastAsia="zh-CN"/>
        </w:rPr>
        <w:t xml:space="preserve">7.6 </w:t>
      </w:r>
      <w:r>
        <w:rPr>
          <w:rFonts w:hint="eastAsia"/>
          <w:color w:val="auto"/>
          <w:highlight w:val="none"/>
        </w:rPr>
        <w:t xml:space="preserve"> Skylights</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7</w:t>
      </w:r>
    </w:p>
    <w:p w14:paraId="6EB74478">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_Toc24175 </w:instrText>
      </w:r>
      <w:r>
        <w:rPr>
          <w:color w:val="auto"/>
          <w:highlight w:val="none"/>
        </w:rPr>
        <w:fldChar w:fldCharType="separate"/>
      </w:r>
      <w:r>
        <w:rPr>
          <w:rFonts w:hint="eastAsia"/>
          <w:color w:val="auto"/>
          <w:highlight w:val="none"/>
          <w:lang w:eastAsia="zh-CN"/>
        </w:rPr>
        <w:t>7.7</w:t>
      </w:r>
      <w:r>
        <w:rPr>
          <w:color w:val="auto"/>
          <w:highlight w:val="none"/>
        </w:rPr>
        <w:t xml:space="preserve"> </w:t>
      </w:r>
      <w:r>
        <w:rPr>
          <w:rFonts w:hint="eastAsia"/>
          <w:color w:val="auto"/>
          <w:highlight w:val="none"/>
          <w:lang w:eastAsia="zh-CN"/>
        </w:rPr>
        <w:t xml:space="preserve"> </w:t>
      </w:r>
      <w:r>
        <w:rPr>
          <w:rFonts w:hint="eastAsia"/>
          <w:color w:val="auto"/>
          <w:highlight w:val="none"/>
        </w:rPr>
        <w:t>Support</w:t>
      </w:r>
      <w:r>
        <w:rPr>
          <w:rFonts w:hint="eastAsia"/>
          <w:color w:val="auto"/>
          <w:highlight w:val="none"/>
          <w:lang w:val="en-US" w:eastAsia="zh-CN"/>
        </w:rPr>
        <w:t xml:space="preserve"> Structures</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8</w:t>
      </w:r>
    </w:p>
    <w:p w14:paraId="157A95C7">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_Toc6284 </w:instrText>
      </w:r>
      <w:r>
        <w:rPr>
          <w:color w:val="auto"/>
          <w:highlight w:val="none"/>
        </w:rPr>
        <w:fldChar w:fldCharType="separate"/>
      </w:r>
      <w:r>
        <w:rPr>
          <w:rFonts w:hint="eastAsia"/>
          <w:color w:val="auto"/>
          <w:highlight w:val="none"/>
          <w:lang w:eastAsia="zh-CN"/>
        </w:rPr>
        <w:t>8  Glulam Construction</w:t>
      </w:r>
      <w:r>
        <w:rPr>
          <w:color w:val="auto"/>
          <w:highlight w:val="none"/>
        </w:rPr>
        <w:tab/>
      </w:r>
      <w:r>
        <w:rPr>
          <w:color w:val="auto"/>
          <w:highlight w:val="none"/>
        </w:rPr>
        <w:fldChar w:fldCharType="begin"/>
      </w:r>
      <w:r>
        <w:rPr>
          <w:color w:val="auto"/>
          <w:highlight w:val="none"/>
        </w:rPr>
        <w:instrText xml:space="preserve"> PAGEREF _Toc6284 \h </w:instrText>
      </w:r>
      <w:r>
        <w:rPr>
          <w:color w:val="auto"/>
          <w:highlight w:val="none"/>
        </w:rPr>
        <w:fldChar w:fldCharType="separate"/>
      </w:r>
      <w:r>
        <w:rPr>
          <w:color w:val="auto"/>
          <w:highlight w:val="none"/>
        </w:rPr>
        <w:t>5</w:t>
      </w:r>
      <w:r>
        <w:rPr>
          <w:rFonts w:hint="eastAsia"/>
          <w:color w:val="auto"/>
          <w:highlight w:val="none"/>
          <w:lang w:val="en-US" w:eastAsia="zh-CN"/>
        </w:rPr>
        <w:t>2</w:t>
      </w:r>
      <w:r>
        <w:rPr>
          <w:color w:val="auto"/>
          <w:highlight w:val="none"/>
        </w:rPr>
        <w:fldChar w:fldCharType="end"/>
      </w:r>
      <w:r>
        <w:rPr>
          <w:color w:val="auto"/>
          <w:highlight w:val="none"/>
        </w:rPr>
        <w:fldChar w:fldCharType="end"/>
      </w:r>
    </w:p>
    <w:p w14:paraId="7E256165">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_Toc1876 </w:instrText>
      </w:r>
      <w:r>
        <w:rPr>
          <w:color w:val="auto"/>
          <w:highlight w:val="none"/>
        </w:rPr>
        <w:fldChar w:fldCharType="separate"/>
      </w:r>
      <w:r>
        <w:rPr>
          <w:color w:val="auto"/>
          <w:highlight w:val="none"/>
        </w:rPr>
        <w:t>8.1</w:t>
      </w:r>
      <w:r>
        <w:rPr>
          <w:rFonts w:hint="eastAsia"/>
          <w:color w:val="auto"/>
          <w:highlight w:val="none"/>
          <w:lang w:eastAsia="zh-CN"/>
        </w:rPr>
        <w:t xml:space="preserve"> </w:t>
      </w:r>
      <w:r>
        <w:rPr>
          <w:color w:val="auto"/>
          <w:highlight w:val="none"/>
        </w:rPr>
        <w:t xml:space="preserve"> </w:t>
      </w:r>
      <w:r>
        <w:rPr>
          <w:rFonts w:hint="eastAsia"/>
          <w:color w:val="auto"/>
          <w:highlight w:val="none"/>
        </w:rPr>
        <w:t>General Provisions</w:t>
      </w:r>
      <w:r>
        <w:rPr>
          <w:color w:val="auto"/>
          <w:highlight w:val="none"/>
        </w:rPr>
        <w:tab/>
      </w:r>
      <w:r>
        <w:rPr>
          <w:color w:val="auto"/>
          <w:highlight w:val="none"/>
        </w:rPr>
        <w:fldChar w:fldCharType="begin"/>
      </w:r>
      <w:r>
        <w:rPr>
          <w:color w:val="auto"/>
          <w:highlight w:val="none"/>
        </w:rPr>
        <w:instrText xml:space="preserve"> PAGEREF _Toc1876 \h </w:instrText>
      </w:r>
      <w:r>
        <w:rPr>
          <w:color w:val="auto"/>
          <w:highlight w:val="none"/>
        </w:rPr>
        <w:fldChar w:fldCharType="separate"/>
      </w:r>
      <w:r>
        <w:rPr>
          <w:color w:val="auto"/>
          <w:highlight w:val="none"/>
        </w:rPr>
        <w:t>5</w:t>
      </w:r>
      <w:r>
        <w:rPr>
          <w:rFonts w:hint="eastAsia"/>
          <w:color w:val="auto"/>
          <w:highlight w:val="none"/>
          <w:lang w:val="en-US" w:eastAsia="zh-CN"/>
        </w:rPr>
        <w:t>2</w:t>
      </w:r>
      <w:r>
        <w:rPr>
          <w:color w:val="auto"/>
          <w:highlight w:val="none"/>
        </w:rPr>
        <w:fldChar w:fldCharType="end"/>
      </w:r>
      <w:r>
        <w:rPr>
          <w:color w:val="auto"/>
          <w:highlight w:val="none"/>
        </w:rPr>
        <w:fldChar w:fldCharType="end"/>
      </w:r>
    </w:p>
    <w:p w14:paraId="5E252278">
      <w:pPr>
        <w:pStyle w:val="13"/>
        <w:tabs>
          <w:tab w:val="right" w:leader="dot" w:pos="9582"/>
        </w:tabs>
        <w:rPr>
          <w:color w:val="auto"/>
          <w:highlight w:val="none"/>
        </w:rPr>
      </w:pPr>
      <w:r>
        <w:rPr>
          <w:color w:val="auto"/>
          <w:highlight w:val="none"/>
        </w:rPr>
        <w:fldChar w:fldCharType="begin"/>
      </w:r>
      <w:r>
        <w:rPr>
          <w:color w:val="auto"/>
          <w:highlight w:val="none"/>
        </w:rPr>
        <w:instrText xml:space="preserve"> HYPERLINK \l _Toc6096 </w:instrText>
      </w:r>
      <w:r>
        <w:rPr>
          <w:color w:val="auto"/>
          <w:highlight w:val="none"/>
        </w:rPr>
        <w:fldChar w:fldCharType="separate"/>
      </w:r>
      <w:r>
        <w:rPr>
          <w:color w:val="auto"/>
          <w:highlight w:val="none"/>
        </w:rPr>
        <w:t xml:space="preserve">8.2 </w:t>
      </w:r>
      <w:r>
        <w:rPr>
          <w:rFonts w:hint="eastAsia"/>
          <w:color w:val="auto"/>
          <w:highlight w:val="none"/>
          <w:lang w:eastAsia="zh-CN"/>
        </w:rPr>
        <w:t xml:space="preserve"> </w:t>
      </w:r>
      <w:r>
        <w:rPr>
          <w:rFonts w:hint="eastAsia"/>
          <w:color w:val="auto"/>
          <w:highlight w:val="none"/>
        </w:rPr>
        <w:t xml:space="preserve">Component </w:t>
      </w:r>
      <w:r>
        <w:rPr>
          <w:rFonts w:hint="eastAsia"/>
          <w:color w:val="auto"/>
          <w:highlight w:val="none"/>
          <w:lang w:val="en-US" w:eastAsia="zh-CN"/>
        </w:rPr>
        <w:t>Design</w:t>
      </w:r>
      <w:r>
        <w:rPr>
          <w:color w:val="auto"/>
          <w:highlight w:val="none"/>
        </w:rPr>
        <w:tab/>
      </w:r>
      <w:r>
        <w:rPr>
          <w:color w:val="auto"/>
          <w:highlight w:val="none"/>
        </w:rPr>
        <w:fldChar w:fldCharType="begin"/>
      </w:r>
      <w:r>
        <w:rPr>
          <w:color w:val="auto"/>
          <w:highlight w:val="none"/>
        </w:rPr>
        <w:instrText xml:space="preserve"> PAGEREF _Toc6096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557E3CDB">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_Toc1876 </w:instrText>
      </w:r>
      <w:r>
        <w:rPr>
          <w:color w:val="auto"/>
          <w:highlight w:val="none"/>
        </w:rPr>
        <w:fldChar w:fldCharType="separate"/>
      </w:r>
      <w:r>
        <w:rPr>
          <w:color w:val="auto"/>
          <w:highlight w:val="none"/>
        </w:rPr>
        <w:t>8.</w:t>
      </w:r>
      <w:r>
        <w:rPr>
          <w:rFonts w:hint="eastAsia"/>
          <w:color w:val="auto"/>
          <w:highlight w:val="none"/>
          <w:lang w:val="en-US" w:eastAsia="zh-CN"/>
        </w:rPr>
        <w:t>3</w:t>
      </w:r>
      <w:r>
        <w:rPr>
          <w:rFonts w:hint="eastAsia"/>
          <w:color w:val="auto"/>
          <w:highlight w:val="none"/>
          <w:lang w:eastAsia="zh-CN"/>
        </w:rPr>
        <w:t xml:space="preserve"> </w:t>
      </w:r>
      <w:r>
        <w:rPr>
          <w:color w:val="auto"/>
          <w:highlight w:val="none"/>
        </w:rPr>
        <w:t xml:space="preserve"> </w:t>
      </w:r>
      <w:r>
        <w:rPr>
          <w:rFonts w:hint="eastAsia"/>
          <w:color w:val="auto"/>
          <w:highlight w:val="none"/>
          <w:lang w:eastAsia="zh-CN"/>
        </w:rPr>
        <w:t>Connecti</w:t>
      </w:r>
      <w:r>
        <w:rPr>
          <w:rFonts w:hint="eastAsia"/>
          <w:color w:val="auto"/>
          <w:highlight w:val="none"/>
          <w:lang w:val="en-US" w:eastAsia="zh-CN"/>
        </w:rPr>
        <w:t>ng</w:t>
      </w:r>
      <w:r>
        <w:rPr>
          <w:rFonts w:hint="eastAsia"/>
          <w:color w:val="auto"/>
          <w:highlight w:val="none"/>
          <w:lang w:eastAsia="zh-CN"/>
        </w:rPr>
        <w:t xml:space="preserve"> </w:t>
      </w:r>
      <w:r>
        <w:rPr>
          <w:rFonts w:hint="eastAsia"/>
          <w:color w:val="auto"/>
          <w:highlight w:val="none"/>
          <w:lang w:val="en-US" w:eastAsia="zh-CN"/>
        </w:rPr>
        <w:t>D</w:t>
      </w:r>
      <w:r>
        <w:rPr>
          <w:rFonts w:hint="eastAsia"/>
          <w:color w:val="auto"/>
          <w:highlight w:val="none"/>
          <w:lang w:eastAsia="zh-CN"/>
        </w:rPr>
        <w:t>esign</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1</w:t>
      </w:r>
    </w:p>
    <w:p w14:paraId="1E67ACDB">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_Toc6096 </w:instrText>
      </w:r>
      <w:r>
        <w:rPr>
          <w:color w:val="auto"/>
          <w:highlight w:val="none"/>
        </w:rPr>
        <w:fldChar w:fldCharType="separate"/>
      </w:r>
      <w:r>
        <w:rPr>
          <w:color w:val="auto"/>
          <w:highlight w:val="none"/>
        </w:rPr>
        <w:t>8.</w:t>
      </w:r>
      <w:r>
        <w:rPr>
          <w:rFonts w:hint="eastAsia"/>
          <w:color w:val="auto"/>
          <w:highlight w:val="none"/>
          <w:lang w:val="en-US" w:eastAsia="zh-CN"/>
        </w:rPr>
        <w:t>4</w:t>
      </w:r>
      <w:r>
        <w:rPr>
          <w:color w:val="auto"/>
          <w:highlight w:val="none"/>
        </w:rPr>
        <w:t xml:space="preserve"> </w:t>
      </w:r>
      <w:r>
        <w:rPr>
          <w:rFonts w:hint="eastAsia"/>
          <w:color w:val="auto"/>
          <w:highlight w:val="none"/>
          <w:lang w:eastAsia="zh-CN"/>
        </w:rPr>
        <w:t xml:space="preserve"> </w:t>
      </w:r>
      <w:r>
        <w:rPr>
          <w:rFonts w:hint="eastAsia"/>
          <w:color w:val="auto"/>
          <w:highlight w:val="none"/>
        </w:rPr>
        <w:t>Construction Requirements</w:t>
      </w:r>
      <w:r>
        <w:rPr>
          <w:color w:val="auto"/>
          <w:highlight w:val="none"/>
        </w:rPr>
        <w:tab/>
      </w:r>
      <w:r>
        <w:rPr>
          <w:rFonts w:hint="eastAsia"/>
          <w:color w:val="auto"/>
          <w:highlight w:val="none"/>
          <w:lang w:val="en-US" w:eastAsia="zh-CN"/>
        </w:rPr>
        <w:t>6</w:t>
      </w:r>
      <w:r>
        <w:rPr>
          <w:color w:val="auto"/>
          <w:highlight w:val="none"/>
        </w:rPr>
        <w:fldChar w:fldCharType="end"/>
      </w:r>
      <w:r>
        <w:rPr>
          <w:rFonts w:hint="eastAsia"/>
          <w:color w:val="auto"/>
          <w:highlight w:val="none"/>
          <w:lang w:val="en-US" w:eastAsia="zh-CN"/>
        </w:rPr>
        <w:t>7</w:t>
      </w:r>
    </w:p>
    <w:p w14:paraId="7D4392AC">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_Toc29526 </w:instrText>
      </w:r>
      <w:r>
        <w:rPr>
          <w:color w:val="auto"/>
          <w:highlight w:val="none"/>
        </w:rPr>
        <w:fldChar w:fldCharType="separate"/>
      </w:r>
      <w:r>
        <w:rPr>
          <w:rFonts w:hint="eastAsia"/>
          <w:color w:val="auto"/>
          <w:highlight w:val="none"/>
          <w:lang w:eastAsia="zh-CN"/>
        </w:rPr>
        <w:t>9  Energy Efficiency and Sound Insulation Design</w:t>
      </w:r>
      <w:r>
        <w:rPr>
          <w:color w:val="auto"/>
          <w:highlight w:val="none"/>
        </w:rPr>
        <w:tab/>
      </w:r>
      <w:r>
        <w:rPr>
          <w:color w:val="auto"/>
          <w:highlight w:val="none"/>
        </w:rPr>
        <w:fldChar w:fldCharType="end"/>
      </w:r>
      <w:r>
        <w:rPr>
          <w:rFonts w:hint="eastAsia"/>
          <w:color w:val="auto"/>
          <w:highlight w:val="none"/>
          <w:lang w:val="en-US" w:eastAsia="zh-CN"/>
        </w:rPr>
        <w:t>79</w:t>
      </w:r>
    </w:p>
    <w:p w14:paraId="52DBFBCD">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_Toc3974 </w:instrText>
      </w:r>
      <w:r>
        <w:rPr>
          <w:color w:val="auto"/>
          <w:highlight w:val="none"/>
        </w:rPr>
        <w:fldChar w:fldCharType="separate"/>
      </w:r>
      <w:r>
        <w:rPr>
          <w:rFonts w:hint="eastAsia"/>
          <w:color w:val="auto"/>
          <w:highlight w:val="none"/>
          <w:lang w:eastAsia="zh-CN"/>
        </w:rPr>
        <w:t>9.1  General Provisions</w:t>
      </w:r>
      <w:r>
        <w:rPr>
          <w:color w:val="auto"/>
          <w:highlight w:val="none"/>
        </w:rPr>
        <w:tab/>
      </w:r>
      <w:r>
        <w:rPr>
          <w:rFonts w:hint="eastAsia"/>
          <w:color w:val="auto"/>
          <w:highlight w:val="none"/>
          <w:lang w:val="en-US" w:eastAsia="zh-CN"/>
        </w:rPr>
        <w:t>79</w:t>
      </w:r>
      <w:r>
        <w:rPr>
          <w:color w:val="auto"/>
          <w:highlight w:val="none"/>
        </w:rPr>
        <w:fldChar w:fldCharType="end"/>
      </w:r>
    </w:p>
    <w:p w14:paraId="24867F5D">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_Toc28062 </w:instrText>
      </w:r>
      <w:r>
        <w:rPr>
          <w:color w:val="auto"/>
          <w:highlight w:val="none"/>
        </w:rPr>
        <w:fldChar w:fldCharType="separate"/>
      </w:r>
      <w:r>
        <w:rPr>
          <w:rFonts w:hint="eastAsia"/>
          <w:color w:val="auto"/>
          <w:highlight w:val="none"/>
          <w:lang w:eastAsia="zh-CN"/>
        </w:rPr>
        <w:t>9.2  Energy Efficiency</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0</w:t>
      </w:r>
    </w:p>
    <w:p w14:paraId="764E1A8E">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_Toc16016 </w:instrText>
      </w:r>
      <w:r>
        <w:rPr>
          <w:color w:val="auto"/>
          <w:highlight w:val="none"/>
        </w:rPr>
        <w:fldChar w:fldCharType="separate"/>
      </w:r>
      <w:r>
        <w:rPr>
          <w:rFonts w:hint="eastAsia"/>
          <w:color w:val="auto"/>
          <w:highlight w:val="none"/>
          <w:lang w:eastAsia="zh-CN"/>
        </w:rPr>
        <w:t>9.3  Sound Insulation</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2</w:t>
      </w:r>
    </w:p>
    <w:p w14:paraId="5BDA17EE">
      <w:pPr>
        <w:pStyle w:val="12"/>
        <w:tabs>
          <w:tab w:val="right" w:leader="dot" w:pos="9582"/>
        </w:tabs>
        <w:rPr>
          <w:color w:val="auto"/>
          <w:highlight w:val="none"/>
        </w:rPr>
      </w:pPr>
      <w:r>
        <w:rPr>
          <w:color w:val="auto"/>
          <w:highlight w:val="none"/>
        </w:rPr>
        <w:fldChar w:fldCharType="begin"/>
      </w:r>
      <w:r>
        <w:rPr>
          <w:color w:val="auto"/>
          <w:highlight w:val="none"/>
        </w:rPr>
        <w:instrText xml:space="preserve"> HYPERLINK \l _Toc16507 </w:instrText>
      </w:r>
      <w:r>
        <w:rPr>
          <w:color w:val="auto"/>
          <w:highlight w:val="none"/>
        </w:rPr>
        <w:fldChar w:fldCharType="separate"/>
      </w:r>
      <w:r>
        <w:rPr>
          <w:rFonts w:hint="eastAsia"/>
          <w:color w:val="auto"/>
          <w:highlight w:val="none"/>
          <w:lang w:eastAsia="zh-CN"/>
        </w:rPr>
        <w:t xml:space="preserve">10  </w:t>
      </w:r>
      <w:r>
        <w:rPr>
          <w:rFonts w:hint="eastAsia"/>
          <w:color w:val="auto"/>
          <w:highlight w:val="none"/>
        </w:rPr>
        <w:t>Fire Protection Design</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3</w:t>
      </w:r>
    </w:p>
    <w:p w14:paraId="3B84F14A">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_Toc31019 </w:instrText>
      </w:r>
      <w:r>
        <w:rPr>
          <w:color w:val="auto"/>
          <w:highlight w:val="none"/>
        </w:rPr>
        <w:fldChar w:fldCharType="separate"/>
      </w:r>
      <w:r>
        <w:rPr>
          <w:rFonts w:hint="eastAsia"/>
          <w:color w:val="auto"/>
          <w:highlight w:val="none"/>
          <w:lang w:eastAsia="zh-CN"/>
        </w:rPr>
        <w:t>10</w:t>
      </w:r>
      <w:r>
        <w:rPr>
          <w:color w:val="auto"/>
          <w:highlight w:val="none"/>
          <w:lang w:eastAsia="zh-CN"/>
        </w:rPr>
        <w:t>.1</w:t>
      </w:r>
      <w:r>
        <w:rPr>
          <w:rFonts w:hint="eastAsia"/>
          <w:color w:val="auto"/>
          <w:highlight w:val="none"/>
          <w:lang w:eastAsia="zh-CN"/>
        </w:rPr>
        <w:t xml:space="preserve">  General Provisions</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4</w:t>
      </w:r>
    </w:p>
    <w:p w14:paraId="20C00A4C">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_Toc32181 </w:instrText>
      </w:r>
      <w:r>
        <w:rPr>
          <w:color w:val="auto"/>
          <w:highlight w:val="none"/>
        </w:rPr>
        <w:fldChar w:fldCharType="separate"/>
      </w:r>
      <w:r>
        <w:rPr>
          <w:rFonts w:hint="eastAsia"/>
          <w:color w:val="auto"/>
          <w:highlight w:val="none"/>
          <w:lang w:eastAsia="zh-CN"/>
        </w:rPr>
        <w:t>10</w:t>
      </w:r>
      <w:r>
        <w:rPr>
          <w:color w:val="auto"/>
          <w:highlight w:val="none"/>
          <w:lang w:eastAsia="zh-CN"/>
        </w:rPr>
        <w:t>.2</w:t>
      </w:r>
      <w:r>
        <w:rPr>
          <w:rFonts w:hint="eastAsia"/>
          <w:color w:val="auto"/>
          <w:highlight w:val="none"/>
          <w:lang w:eastAsia="zh-CN"/>
        </w:rPr>
        <w:t xml:space="preserve">  Fire Protection Requirements</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5</w:t>
      </w:r>
    </w:p>
    <w:p w14:paraId="02FFBF84">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_Toc26232 </w:instrText>
      </w:r>
      <w:r>
        <w:rPr>
          <w:color w:val="auto"/>
          <w:highlight w:val="none"/>
        </w:rPr>
        <w:fldChar w:fldCharType="separate"/>
      </w:r>
      <w:r>
        <w:rPr>
          <w:rFonts w:hint="eastAsia"/>
          <w:color w:val="auto"/>
          <w:highlight w:val="none"/>
          <w:lang w:eastAsia="zh-CN"/>
        </w:rPr>
        <w:t>10</w:t>
      </w:r>
      <w:r>
        <w:rPr>
          <w:color w:val="auto"/>
          <w:highlight w:val="none"/>
          <w:lang w:eastAsia="zh-CN"/>
        </w:rPr>
        <w:t>.3</w:t>
      </w:r>
      <w:r>
        <w:rPr>
          <w:rFonts w:hint="eastAsia"/>
          <w:color w:val="auto"/>
          <w:highlight w:val="none"/>
          <w:lang w:eastAsia="zh-CN"/>
        </w:rPr>
        <w:t xml:space="preserve">  Fire Protection Construction</w:t>
      </w:r>
      <w:r>
        <w:rPr>
          <w:color w:val="auto"/>
          <w:highlight w:val="none"/>
        </w:rPr>
        <w:tab/>
      </w:r>
      <w:r>
        <w:rPr>
          <w:rFonts w:hint="eastAsia"/>
          <w:color w:val="auto"/>
          <w:highlight w:val="none"/>
          <w:lang w:val="en-US" w:eastAsia="zh-CN"/>
        </w:rPr>
        <w:t>8</w:t>
      </w:r>
      <w:r>
        <w:rPr>
          <w:color w:val="auto"/>
          <w:highlight w:val="none"/>
        </w:rPr>
        <w:fldChar w:fldCharType="end"/>
      </w:r>
      <w:r>
        <w:rPr>
          <w:rFonts w:hint="eastAsia"/>
          <w:color w:val="auto"/>
          <w:highlight w:val="none"/>
          <w:lang w:val="en-US" w:eastAsia="zh-CN"/>
        </w:rPr>
        <w:t>6</w:t>
      </w:r>
    </w:p>
    <w:p w14:paraId="3FA929C7">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_Toc639 </w:instrText>
      </w:r>
      <w:r>
        <w:rPr>
          <w:color w:val="auto"/>
          <w:highlight w:val="none"/>
        </w:rPr>
        <w:fldChar w:fldCharType="separate"/>
      </w:r>
      <w:r>
        <w:rPr>
          <w:rFonts w:hint="eastAsia"/>
          <w:color w:val="auto"/>
          <w:highlight w:val="none"/>
          <w:lang w:eastAsia="zh-CN"/>
        </w:rPr>
        <w:t>10</w:t>
      </w:r>
      <w:r>
        <w:rPr>
          <w:color w:val="auto"/>
          <w:highlight w:val="none"/>
          <w:lang w:eastAsia="zh-CN"/>
        </w:rPr>
        <w:t>.4</w:t>
      </w:r>
      <w:r>
        <w:rPr>
          <w:rFonts w:hint="eastAsia"/>
          <w:color w:val="auto"/>
          <w:highlight w:val="none"/>
          <w:lang w:eastAsia="zh-CN"/>
        </w:rPr>
        <w:t xml:space="preserve">  Fire Protection Measures on Construction Sites</w:t>
      </w:r>
      <w:r>
        <w:rPr>
          <w:color w:val="auto"/>
          <w:highlight w:val="none"/>
        </w:rPr>
        <w:tab/>
      </w:r>
      <w:r>
        <w:rPr>
          <w:rFonts w:hint="eastAsia"/>
          <w:color w:val="auto"/>
          <w:highlight w:val="none"/>
          <w:lang w:val="en-US" w:eastAsia="zh-CN"/>
        </w:rPr>
        <w:t>89</w:t>
      </w:r>
      <w:r>
        <w:rPr>
          <w:color w:val="auto"/>
          <w:highlight w:val="none"/>
        </w:rPr>
        <w:fldChar w:fldCharType="end"/>
      </w:r>
    </w:p>
    <w:p w14:paraId="44A77E8B">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_Toc16165 </w:instrText>
      </w:r>
      <w:r>
        <w:rPr>
          <w:color w:val="auto"/>
          <w:highlight w:val="none"/>
        </w:rPr>
        <w:fldChar w:fldCharType="separate"/>
      </w:r>
      <w:r>
        <w:rPr>
          <w:rFonts w:hint="eastAsia"/>
          <w:color w:val="auto"/>
          <w:highlight w:val="none"/>
          <w:lang w:eastAsia="zh-CN"/>
        </w:rPr>
        <w:t>11  Protection Design</w:t>
      </w:r>
      <w:r>
        <w:rPr>
          <w:color w:val="auto"/>
          <w:highlight w:val="none"/>
        </w:rPr>
        <w:tab/>
      </w:r>
      <w:r>
        <w:rPr>
          <w:rFonts w:hint="eastAsia"/>
          <w:color w:val="auto"/>
          <w:highlight w:val="none"/>
          <w:lang w:val="en-US" w:eastAsia="zh-CN"/>
        </w:rPr>
        <w:t>9</w:t>
      </w:r>
      <w:r>
        <w:rPr>
          <w:color w:val="auto"/>
          <w:highlight w:val="none"/>
        </w:rPr>
        <w:fldChar w:fldCharType="end"/>
      </w:r>
      <w:r>
        <w:rPr>
          <w:rFonts w:hint="eastAsia"/>
          <w:color w:val="auto"/>
          <w:highlight w:val="none"/>
          <w:lang w:val="en-US" w:eastAsia="zh-CN"/>
        </w:rPr>
        <w:t>2</w:t>
      </w:r>
    </w:p>
    <w:p w14:paraId="241D192A">
      <w:pPr>
        <w:pStyle w:val="13"/>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_Toc23535 </w:instrText>
      </w:r>
      <w:r>
        <w:rPr>
          <w:color w:val="auto"/>
          <w:highlight w:val="none"/>
        </w:rPr>
        <w:fldChar w:fldCharType="separate"/>
      </w:r>
      <w:r>
        <w:rPr>
          <w:rFonts w:hint="eastAsia"/>
          <w:color w:val="auto"/>
          <w:highlight w:val="none"/>
          <w:lang w:eastAsia="zh-CN"/>
        </w:rPr>
        <w:t>11.1  General Provisions</w:t>
      </w:r>
      <w:r>
        <w:rPr>
          <w:color w:val="auto"/>
          <w:highlight w:val="none"/>
        </w:rPr>
        <w:tab/>
      </w:r>
      <w:r>
        <w:rPr>
          <w:rFonts w:hint="eastAsia"/>
          <w:color w:val="auto"/>
          <w:highlight w:val="none"/>
          <w:lang w:val="en-US" w:eastAsia="zh-CN"/>
        </w:rPr>
        <w:t>9</w:t>
      </w:r>
      <w:r>
        <w:rPr>
          <w:color w:val="auto"/>
          <w:highlight w:val="none"/>
        </w:rPr>
        <w:fldChar w:fldCharType="end"/>
      </w:r>
      <w:r>
        <w:rPr>
          <w:rFonts w:hint="eastAsia"/>
          <w:color w:val="auto"/>
          <w:highlight w:val="none"/>
          <w:lang w:val="en-US" w:eastAsia="zh-CN"/>
        </w:rPr>
        <w:t>2</w:t>
      </w:r>
    </w:p>
    <w:p w14:paraId="65B2D2E4">
      <w:pPr>
        <w:pStyle w:val="13"/>
        <w:tabs>
          <w:tab w:val="right" w:leader="dot" w:pos="9582"/>
        </w:tabs>
        <w:rPr>
          <w:rFonts w:hint="eastAsia"/>
          <w:color w:val="auto"/>
          <w:highlight w:val="none"/>
          <w:lang w:val="en-US" w:eastAsia="zh-CN"/>
        </w:rPr>
      </w:pPr>
      <w:r>
        <w:rPr>
          <w:color w:val="auto"/>
          <w:highlight w:val="none"/>
        </w:rPr>
        <w:fldChar w:fldCharType="begin"/>
      </w:r>
      <w:r>
        <w:rPr>
          <w:color w:val="auto"/>
          <w:highlight w:val="none"/>
        </w:rPr>
        <w:instrText xml:space="preserve"> HYPERLINK \l _Toc16017 </w:instrText>
      </w:r>
      <w:r>
        <w:rPr>
          <w:color w:val="auto"/>
          <w:highlight w:val="none"/>
        </w:rPr>
        <w:fldChar w:fldCharType="separate"/>
      </w:r>
      <w:r>
        <w:rPr>
          <w:rFonts w:hint="eastAsia"/>
          <w:color w:val="auto"/>
          <w:highlight w:val="none"/>
          <w:lang w:eastAsia="zh-CN"/>
        </w:rPr>
        <w:t>11.2  Protection Against Biological Hazards</w:t>
      </w:r>
      <w:r>
        <w:rPr>
          <w:color w:val="auto"/>
          <w:highlight w:val="none"/>
        </w:rPr>
        <w:tab/>
      </w:r>
      <w:r>
        <w:rPr>
          <w:color w:val="auto"/>
          <w:highlight w:val="none"/>
        </w:rPr>
        <w:fldChar w:fldCharType="end"/>
      </w:r>
      <w:r>
        <w:rPr>
          <w:rFonts w:hint="eastAsia"/>
          <w:color w:val="auto"/>
          <w:highlight w:val="none"/>
          <w:lang w:val="en-US" w:eastAsia="zh-CN"/>
        </w:rPr>
        <w:t>94</w:t>
      </w:r>
    </w:p>
    <w:p w14:paraId="466EAC3C">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_Toc23535 </w:instrText>
      </w:r>
      <w:r>
        <w:rPr>
          <w:color w:val="auto"/>
          <w:highlight w:val="none"/>
        </w:rPr>
        <w:fldChar w:fldCharType="separate"/>
      </w:r>
      <w:r>
        <w:rPr>
          <w:rFonts w:hint="eastAsia"/>
          <w:color w:val="auto"/>
          <w:highlight w:val="none"/>
          <w:lang w:eastAsia="zh-CN"/>
        </w:rPr>
        <w:t>11.</w:t>
      </w:r>
      <w:r>
        <w:rPr>
          <w:rFonts w:hint="eastAsia"/>
          <w:color w:val="auto"/>
          <w:highlight w:val="none"/>
          <w:lang w:val="en-US" w:eastAsia="zh-CN"/>
        </w:rPr>
        <w:t>3</w:t>
      </w:r>
      <w:r>
        <w:rPr>
          <w:rFonts w:hint="eastAsia"/>
          <w:color w:val="auto"/>
          <w:highlight w:val="none"/>
          <w:lang w:eastAsia="zh-CN"/>
        </w:rPr>
        <w:t xml:space="preserve">  Water</w:t>
      </w:r>
      <w:r>
        <w:rPr>
          <w:rFonts w:hint="eastAsia"/>
          <w:color w:val="auto"/>
          <w:highlight w:val="none"/>
          <w:lang w:val="en-US" w:eastAsia="zh-CN"/>
        </w:rPr>
        <w:t>-</w:t>
      </w:r>
      <w:r>
        <w:rPr>
          <w:rFonts w:hint="eastAsia"/>
          <w:color w:val="auto"/>
          <w:highlight w:val="none"/>
          <w:lang w:eastAsia="zh-CN"/>
        </w:rPr>
        <w:t xml:space="preserve">proof and </w:t>
      </w:r>
      <w:r>
        <w:rPr>
          <w:rFonts w:hint="eastAsia"/>
          <w:color w:val="auto"/>
          <w:highlight w:val="none"/>
          <w:lang w:val="en-US" w:eastAsia="zh-CN"/>
        </w:rPr>
        <w:t>M</w:t>
      </w:r>
      <w:r>
        <w:rPr>
          <w:rFonts w:hint="eastAsia"/>
          <w:color w:val="auto"/>
          <w:highlight w:val="none"/>
          <w:lang w:eastAsia="zh-CN"/>
        </w:rPr>
        <w:t>oisture-proof</w:t>
      </w:r>
      <w:r>
        <w:rPr>
          <w:color w:val="auto"/>
          <w:highlight w:val="none"/>
        </w:rPr>
        <w:tab/>
      </w:r>
      <w:r>
        <w:rPr>
          <w:color w:val="auto"/>
          <w:highlight w:val="none"/>
        </w:rPr>
        <w:fldChar w:fldCharType="end"/>
      </w:r>
      <w:r>
        <w:rPr>
          <w:rFonts w:hint="eastAsia"/>
          <w:color w:val="auto"/>
          <w:highlight w:val="none"/>
          <w:lang w:val="en-US" w:eastAsia="zh-CN"/>
        </w:rPr>
        <w:t>100</w:t>
      </w:r>
    </w:p>
    <w:p w14:paraId="54310198">
      <w:pPr>
        <w:pStyle w:val="12"/>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_Toc6170 </w:instrText>
      </w:r>
      <w:r>
        <w:rPr>
          <w:color w:val="auto"/>
          <w:highlight w:val="none"/>
        </w:rPr>
        <w:fldChar w:fldCharType="separate"/>
      </w:r>
      <w:r>
        <w:rPr>
          <w:rFonts w:hint="eastAsia"/>
          <w:color w:val="auto"/>
          <w:highlight w:val="none"/>
          <w:lang w:eastAsia="zh-CN"/>
        </w:rPr>
        <w:t>12  Fabrication, Installation, and Acceptance</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04</w:t>
      </w:r>
    </w:p>
    <w:p w14:paraId="6EA95CA6">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_Toc16865 </w:instrText>
      </w:r>
      <w:r>
        <w:rPr>
          <w:color w:val="auto"/>
          <w:highlight w:val="none"/>
        </w:rPr>
        <w:fldChar w:fldCharType="separate"/>
      </w:r>
      <w:r>
        <w:rPr>
          <w:rFonts w:hint="eastAsia"/>
          <w:color w:val="auto"/>
          <w:highlight w:val="none"/>
          <w:lang w:eastAsia="zh-CN"/>
        </w:rPr>
        <w:t xml:space="preserve">12.1 </w:t>
      </w:r>
      <w:r>
        <w:rPr>
          <w:color w:val="auto"/>
          <w:highlight w:val="none"/>
          <w:lang w:eastAsia="zh-CN"/>
        </w:rPr>
        <w:t xml:space="preserve"> </w:t>
      </w:r>
      <w:r>
        <w:rPr>
          <w:rFonts w:hint="eastAsia"/>
          <w:color w:val="auto"/>
          <w:highlight w:val="none"/>
          <w:lang w:eastAsia="zh-CN"/>
        </w:rPr>
        <w:t>General Provisions</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04</w:t>
      </w:r>
    </w:p>
    <w:p w14:paraId="36953066">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_Toc12627 </w:instrText>
      </w:r>
      <w:r>
        <w:rPr>
          <w:color w:val="auto"/>
          <w:highlight w:val="none"/>
        </w:rPr>
        <w:fldChar w:fldCharType="separate"/>
      </w:r>
      <w:r>
        <w:rPr>
          <w:rFonts w:hint="eastAsia"/>
          <w:color w:val="auto"/>
          <w:highlight w:val="none"/>
          <w:lang w:eastAsia="zh-CN"/>
        </w:rPr>
        <w:t>12.2  Member Fabrication</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05</w:t>
      </w:r>
    </w:p>
    <w:p w14:paraId="52733D78">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_Toc11484 </w:instrText>
      </w:r>
      <w:r>
        <w:rPr>
          <w:color w:val="auto"/>
          <w:highlight w:val="none"/>
        </w:rPr>
        <w:fldChar w:fldCharType="separate"/>
      </w:r>
      <w:r>
        <w:rPr>
          <w:rFonts w:hint="eastAsia"/>
          <w:color w:val="auto"/>
          <w:highlight w:val="none"/>
          <w:lang w:eastAsia="zh-CN"/>
        </w:rPr>
        <w:t>12.3  Installation</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05</w:t>
      </w:r>
    </w:p>
    <w:p w14:paraId="1E99118E">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_Toc27672 </w:instrText>
      </w:r>
      <w:r>
        <w:rPr>
          <w:color w:val="auto"/>
          <w:highlight w:val="none"/>
        </w:rPr>
        <w:fldChar w:fldCharType="separate"/>
      </w:r>
      <w:r>
        <w:rPr>
          <w:rFonts w:hint="eastAsia"/>
          <w:color w:val="auto"/>
          <w:highlight w:val="none"/>
          <w:lang w:eastAsia="zh-CN"/>
        </w:rPr>
        <w:t>12.4  Acceptance</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09</w:t>
      </w:r>
    </w:p>
    <w:p w14:paraId="62BF26E8">
      <w:pPr>
        <w:pStyle w:val="12"/>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_Toc10889 </w:instrText>
      </w:r>
      <w:r>
        <w:rPr>
          <w:color w:val="auto"/>
          <w:highlight w:val="none"/>
        </w:rPr>
        <w:fldChar w:fldCharType="separate"/>
      </w:r>
      <w:r>
        <w:rPr>
          <w:rFonts w:hint="eastAsia"/>
          <w:color w:val="auto"/>
          <w:highlight w:val="none"/>
          <w:lang w:eastAsia="zh-CN"/>
        </w:rPr>
        <w:t>13  Us</w:t>
      </w:r>
      <w:r>
        <w:rPr>
          <w:rFonts w:hint="eastAsia"/>
          <w:color w:val="auto"/>
          <w:highlight w:val="none"/>
          <w:lang w:val="en-US" w:eastAsia="zh-CN"/>
        </w:rPr>
        <w:t>age</w:t>
      </w:r>
      <w:r>
        <w:rPr>
          <w:rFonts w:hint="eastAsia"/>
          <w:color w:val="auto"/>
          <w:highlight w:val="none"/>
          <w:lang w:eastAsia="zh-CN"/>
        </w:rPr>
        <w:t xml:space="preserve"> and Maintenance</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13</w:t>
      </w:r>
    </w:p>
    <w:p w14:paraId="68E2A439">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_Toc1461 </w:instrText>
      </w:r>
      <w:r>
        <w:rPr>
          <w:color w:val="auto"/>
          <w:highlight w:val="none"/>
        </w:rPr>
        <w:fldChar w:fldCharType="separate"/>
      </w:r>
      <w:r>
        <w:rPr>
          <w:color w:val="auto"/>
          <w:highlight w:val="none"/>
          <w:lang w:eastAsia="zh-CN"/>
        </w:rPr>
        <w:t xml:space="preserve">13.1 </w:t>
      </w:r>
      <w:r>
        <w:rPr>
          <w:rFonts w:hint="eastAsia"/>
          <w:color w:val="auto"/>
          <w:highlight w:val="none"/>
          <w:lang w:eastAsia="zh-CN"/>
        </w:rPr>
        <w:t xml:space="preserve"> General Provisions</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13</w:t>
      </w:r>
    </w:p>
    <w:p w14:paraId="5C3CBBD2">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_Toc20454 </w:instrText>
      </w:r>
      <w:r>
        <w:rPr>
          <w:color w:val="auto"/>
          <w:highlight w:val="none"/>
        </w:rPr>
        <w:fldChar w:fldCharType="separate"/>
      </w:r>
      <w:r>
        <w:rPr>
          <w:color w:val="auto"/>
          <w:highlight w:val="none"/>
          <w:lang w:eastAsia="zh-CN"/>
        </w:rPr>
        <w:t>13.2</w:t>
      </w:r>
      <w:r>
        <w:rPr>
          <w:rFonts w:hint="eastAsia"/>
          <w:color w:val="auto"/>
          <w:highlight w:val="none"/>
          <w:lang w:eastAsia="zh-CN"/>
        </w:rPr>
        <w:t xml:space="preserve">  Inspection and Monitoring</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14</w:t>
      </w:r>
    </w:p>
    <w:p w14:paraId="6FAE2377">
      <w:pPr>
        <w:pStyle w:val="13"/>
        <w:tabs>
          <w:tab w:val="right" w:leader="dot" w:pos="9582"/>
        </w:tabs>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_Toc16546 </w:instrText>
      </w:r>
      <w:r>
        <w:rPr>
          <w:color w:val="auto"/>
          <w:highlight w:val="none"/>
        </w:rPr>
        <w:fldChar w:fldCharType="separate"/>
      </w:r>
      <w:r>
        <w:rPr>
          <w:color w:val="auto"/>
          <w:highlight w:val="none"/>
          <w:lang w:eastAsia="zh-CN"/>
        </w:rPr>
        <w:t>13.3</w:t>
      </w:r>
      <w:r>
        <w:rPr>
          <w:rFonts w:hint="eastAsia"/>
          <w:color w:val="auto"/>
          <w:highlight w:val="none"/>
          <w:lang w:eastAsia="zh-CN"/>
        </w:rPr>
        <w:t xml:space="preserve">  Maintenance Requirements</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18</w:t>
      </w:r>
    </w:p>
    <w:p w14:paraId="3D4B849F">
      <w:pPr>
        <w:pStyle w:val="12"/>
        <w:tabs>
          <w:tab w:val="right" w:leader="dot" w:pos="9582"/>
        </w:tabs>
        <w:rPr>
          <w:rFonts w:hint="eastAsia" w:eastAsia="宋体"/>
          <w:color w:val="auto"/>
          <w:highlight w:val="none"/>
          <w:lang w:eastAsia="zh-CN"/>
        </w:rPr>
      </w:pPr>
      <w:r>
        <w:rPr>
          <w:color w:val="auto"/>
          <w:highlight w:val="none"/>
        </w:rPr>
        <w:fldChar w:fldCharType="begin"/>
      </w:r>
      <w:r>
        <w:rPr>
          <w:color w:val="auto"/>
          <w:highlight w:val="none"/>
        </w:rPr>
        <w:instrText xml:space="preserve"> HYPERLINK \l _Toc1315 </w:instrText>
      </w:r>
      <w:r>
        <w:rPr>
          <w:color w:val="auto"/>
          <w:highlight w:val="none"/>
        </w:rPr>
        <w:fldChar w:fldCharType="separate"/>
      </w:r>
      <w:r>
        <w:rPr>
          <w:rFonts w:hint="eastAsia"/>
          <w:color w:val="auto"/>
          <w:highlight w:val="none"/>
        </w:rPr>
        <w:t xml:space="preserve">Appendix </w:t>
      </w:r>
      <w:r>
        <w:rPr>
          <w:rFonts w:hint="eastAsia"/>
          <w:color w:val="auto"/>
          <w:highlight w:val="none"/>
          <w:lang w:val="en-US" w:eastAsia="zh-CN"/>
        </w:rPr>
        <w:t>A</w:t>
      </w:r>
      <w:r>
        <w:rPr>
          <w:rFonts w:hint="eastAsia"/>
          <w:color w:val="auto"/>
          <w:highlight w:val="none"/>
        </w:rPr>
        <w:t>: Table of Material Performance Parameters for Guangxi Timber</w:t>
      </w:r>
      <w:r>
        <w:rPr>
          <w:color w:val="auto"/>
          <w:highlight w:val="none"/>
        </w:rPr>
        <w:tab/>
      </w:r>
      <w:r>
        <w:rPr>
          <w:color w:val="auto"/>
          <w:highlight w:val="none"/>
        </w:rPr>
        <w:fldChar w:fldCharType="begin"/>
      </w:r>
      <w:r>
        <w:rPr>
          <w:color w:val="auto"/>
          <w:highlight w:val="none"/>
        </w:rPr>
        <w:instrText xml:space="preserve"> PAGEREF _Toc1315 \h </w:instrText>
      </w:r>
      <w:r>
        <w:rPr>
          <w:color w:val="auto"/>
          <w:highlight w:val="none"/>
        </w:rPr>
        <w:fldChar w:fldCharType="separate"/>
      </w:r>
      <w:r>
        <w:rPr>
          <w:rFonts w:hint="eastAsia"/>
          <w:color w:val="auto"/>
          <w:highlight w:val="none"/>
          <w:lang w:val="en-US" w:eastAsia="zh-CN"/>
        </w:rPr>
        <w:t>12</w:t>
      </w:r>
      <w:r>
        <w:rPr>
          <w:color w:val="auto"/>
          <w:highlight w:val="none"/>
        </w:rPr>
        <w:fldChar w:fldCharType="end"/>
      </w:r>
      <w:r>
        <w:rPr>
          <w:color w:val="auto"/>
          <w:highlight w:val="none"/>
        </w:rPr>
        <w:fldChar w:fldCharType="end"/>
      </w:r>
      <w:r>
        <w:rPr>
          <w:rFonts w:hint="eastAsia"/>
          <w:color w:val="auto"/>
          <w:highlight w:val="none"/>
          <w:lang w:val="en-US" w:eastAsia="zh-CN"/>
        </w:rPr>
        <w:t>0</w:t>
      </w:r>
    </w:p>
    <w:p w14:paraId="393C829E">
      <w:pPr>
        <w:pStyle w:val="12"/>
        <w:tabs>
          <w:tab w:val="right" w:leader="dot" w:pos="9582"/>
        </w:tabs>
        <w:jc w:val="both"/>
        <w:rPr>
          <w:rFonts w:hint="default" w:eastAsia="宋体"/>
          <w:color w:val="auto"/>
          <w:highlight w:val="none"/>
          <w:lang w:val="en-US" w:eastAsia="zh-CN"/>
        </w:rPr>
      </w:pPr>
      <w:r>
        <w:rPr>
          <w:color w:val="auto"/>
          <w:highlight w:val="none"/>
        </w:rPr>
        <w:fldChar w:fldCharType="begin"/>
      </w:r>
      <w:r>
        <w:rPr>
          <w:color w:val="auto"/>
          <w:highlight w:val="none"/>
        </w:rPr>
        <w:instrText xml:space="preserve"> HYPERLINK \l _Toc16029 </w:instrText>
      </w:r>
      <w:r>
        <w:rPr>
          <w:color w:val="auto"/>
          <w:highlight w:val="none"/>
        </w:rPr>
        <w:fldChar w:fldCharType="separate"/>
      </w:r>
      <w:r>
        <w:rPr>
          <w:rFonts w:hint="eastAsia"/>
          <w:color w:val="auto"/>
          <w:highlight w:val="none"/>
        </w:rPr>
        <w:t xml:space="preserve">Appendix </w:t>
      </w:r>
      <w:r>
        <w:rPr>
          <w:rFonts w:hint="eastAsia"/>
          <w:color w:val="auto"/>
          <w:highlight w:val="none"/>
          <w:lang w:val="en-US" w:eastAsia="zh-CN"/>
        </w:rPr>
        <w:t>B</w:t>
      </w:r>
      <w:r>
        <w:rPr>
          <w:rFonts w:hint="eastAsia"/>
          <w:color w:val="auto"/>
          <w:highlight w:val="none"/>
        </w:rPr>
        <w:t>: Thermal Performance Parameters of Timber for Wood Structure Buildings in Guangxi</w:t>
      </w:r>
      <w:r>
        <w:rPr>
          <w:color w:val="auto"/>
          <w:highlight w:val="none"/>
        </w:rPr>
        <w:tab/>
      </w:r>
      <w:r>
        <w:rPr>
          <w:color w:val="auto"/>
          <w:highlight w:val="none"/>
        </w:rPr>
        <w:fldChar w:fldCharType="begin"/>
      </w:r>
      <w:r>
        <w:rPr>
          <w:color w:val="auto"/>
          <w:highlight w:val="none"/>
        </w:rPr>
        <w:instrText xml:space="preserve"> PAGEREF _Toc16029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r>
        <w:rPr>
          <w:rFonts w:hint="eastAsia"/>
          <w:color w:val="auto"/>
          <w:highlight w:val="none"/>
          <w:lang w:val="en-US" w:eastAsia="zh-CN"/>
        </w:rPr>
        <w:t>27</w:t>
      </w:r>
    </w:p>
    <w:p w14:paraId="29F7836F">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_Toc16319 </w:instrText>
      </w:r>
      <w:r>
        <w:rPr>
          <w:color w:val="auto"/>
          <w:highlight w:val="none"/>
        </w:rPr>
        <w:fldChar w:fldCharType="separate"/>
      </w:r>
      <w:r>
        <w:rPr>
          <w:rFonts w:hint="eastAsia" w:cs="Times New Roman"/>
          <w:color w:val="auto"/>
          <w:highlight w:val="none"/>
          <w:lang w:eastAsia="zh-CN"/>
        </w:rPr>
        <w:t xml:space="preserve">Appendix </w:t>
      </w:r>
      <w:r>
        <w:rPr>
          <w:rFonts w:hint="eastAsia" w:cs="Times New Roman"/>
          <w:color w:val="auto"/>
          <w:highlight w:val="none"/>
          <w:lang w:val="en-US" w:eastAsia="zh-CN"/>
        </w:rPr>
        <w:t>C</w:t>
      </w:r>
      <w:r>
        <w:rPr>
          <w:rFonts w:hint="eastAsia" w:cs="Times New Roman"/>
          <w:color w:val="auto"/>
          <w:highlight w:val="none"/>
          <w:lang w:eastAsia="zh-CN"/>
        </w:rPr>
        <w:t>: Design Values for Shear Wall Shear Strength of Wood-Based Structural Panels</w:t>
      </w:r>
      <w:r>
        <w:rPr>
          <w:color w:val="auto"/>
          <w:highlight w:val="none"/>
        </w:rPr>
        <w:tab/>
      </w:r>
      <w:r>
        <w:rPr>
          <w:color w:val="auto"/>
          <w:highlight w:val="none"/>
        </w:rPr>
        <w:fldChar w:fldCharType="begin"/>
      </w:r>
      <w:r>
        <w:rPr>
          <w:color w:val="auto"/>
          <w:highlight w:val="none"/>
        </w:rPr>
        <w:instrText xml:space="preserve"> PAGEREF _Toc16319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r>
        <w:rPr>
          <w:rFonts w:hint="eastAsia"/>
          <w:color w:val="auto"/>
          <w:highlight w:val="none"/>
          <w:lang w:val="en-US" w:eastAsia="zh-CN"/>
        </w:rPr>
        <w:t>28</w:t>
      </w:r>
    </w:p>
    <w:p w14:paraId="6264D54D">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_Toc856 </w:instrText>
      </w:r>
      <w:r>
        <w:rPr>
          <w:color w:val="auto"/>
          <w:highlight w:val="none"/>
        </w:rPr>
        <w:fldChar w:fldCharType="separate"/>
      </w:r>
      <w:r>
        <w:rPr>
          <w:rFonts w:hint="eastAsia" w:cs="Times New Roman"/>
          <w:color w:val="auto"/>
          <w:highlight w:val="none"/>
          <w:lang w:eastAsia="zh-CN"/>
        </w:rPr>
        <w:t xml:space="preserve">Appendix </w:t>
      </w:r>
      <w:r>
        <w:rPr>
          <w:rFonts w:hint="eastAsia" w:cs="Times New Roman"/>
          <w:color w:val="auto"/>
          <w:highlight w:val="none"/>
          <w:lang w:val="en-US" w:eastAsia="zh-CN"/>
        </w:rPr>
        <w:t>D</w:t>
      </w:r>
      <w:r>
        <w:rPr>
          <w:rFonts w:hint="eastAsia" w:cs="Times New Roman"/>
          <w:color w:val="auto"/>
          <w:highlight w:val="none"/>
          <w:lang w:eastAsia="zh-CN"/>
        </w:rPr>
        <w:t>: General Requirements for Light Timber Construction</w:t>
      </w:r>
      <w:r>
        <w:rPr>
          <w:color w:val="auto"/>
          <w:highlight w:val="none"/>
        </w:rPr>
        <w:tab/>
      </w:r>
      <w:r>
        <w:rPr>
          <w:color w:val="auto"/>
          <w:highlight w:val="none"/>
        </w:rPr>
        <w:fldChar w:fldCharType="begin"/>
      </w:r>
      <w:r>
        <w:rPr>
          <w:color w:val="auto"/>
          <w:highlight w:val="none"/>
        </w:rPr>
        <w:instrText xml:space="preserve"> PAGEREF _Toc856 \h </w:instrText>
      </w:r>
      <w:r>
        <w:rPr>
          <w:color w:val="auto"/>
          <w:highlight w:val="none"/>
        </w:rPr>
        <w:fldChar w:fldCharType="separate"/>
      </w:r>
      <w:r>
        <w:rPr>
          <w:color w:val="auto"/>
          <w:highlight w:val="none"/>
        </w:rPr>
        <w:t>1</w:t>
      </w:r>
      <w:r>
        <w:rPr>
          <w:rFonts w:hint="eastAsia"/>
          <w:color w:val="auto"/>
          <w:highlight w:val="none"/>
          <w:lang w:val="en-US" w:eastAsia="zh-CN"/>
        </w:rPr>
        <w:t>3</w:t>
      </w:r>
      <w:r>
        <w:rPr>
          <w:color w:val="auto"/>
          <w:highlight w:val="none"/>
        </w:rPr>
        <w:fldChar w:fldCharType="end"/>
      </w:r>
      <w:r>
        <w:rPr>
          <w:color w:val="auto"/>
          <w:highlight w:val="none"/>
        </w:rPr>
        <w:fldChar w:fldCharType="end"/>
      </w:r>
      <w:r>
        <w:rPr>
          <w:rFonts w:hint="eastAsia"/>
          <w:color w:val="auto"/>
          <w:highlight w:val="none"/>
          <w:lang w:val="en-US" w:eastAsia="zh-CN"/>
        </w:rPr>
        <w:t>0</w:t>
      </w:r>
    </w:p>
    <w:p w14:paraId="6F41CD2C">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_Toc13440 </w:instrText>
      </w:r>
      <w:r>
        <w:rPr>
          <w:color w:val="auto"/>
          <w:highlight w:val="none"/>
        </w:rPr>
        <w:fldChar w:fldCharType="separate"/>
      </w:r>
      <w:r>
        <w:rPr>
          <w:rFonts w:hint="eastAsia"/>
          <w:color w:val="auto"/>
          <w:highlight w:val="none"/>
          <w:lang w:eastAsia="zh-CN"/>
        </w:rPr>
        <w:t>Explanation of Terms Used in This Standard</w:t>
      </w:r>
      <w:r>
        <w:rPr>
          <w:color w:val="auto"/>
          <w:highlight w:val="none"/>
        </w:rPr>
        <w:tab/>
      </w:r>
      <w:r>
        <w:rPr>
          <w:color w:val="auto"/>
          <w:highlight w:val="none"/>
        </w:rPr>
        <w:fldChar w:fldCharType="begin"/>
      </w:r>
      <w:r>
        <w:rPr>
          <w:color w:val="auto"/>
          <w:highlight w:val="none"/>
        </w:rPr>
        <w:instrText xml:space="preserve"> PAGEREF _Toc13440 \h </w:instrText>
      </w:r>
      <w:r>
        <w:rPr>
          <w:color w:val="auto"/>
          <w:highlight w:val="none"/>
        </w:rPr>
        <w:fldChar w:fldCharType="separate"/>
      </w:r>
      <w:r>
        <w:rPr>
          <w:color w:val="auto"/>
          <w:highlight w:val="none"/>
        </w:rPr>
        <w:t>1</w:t>
      </w:r>
      <w:r>
        <w:rPr>
          <w:rFonts w:hint="eastAsia"/>
          <w:color w:val="auto"/>
          <w:highlight w:val="none"/>
          <w:lang w:val="en-US" w:eastAsia="zh-CN"/>
        </w:rPr>
        <w:t>3</w:t>
      </w:r>
      <w:r>
        <w:rPr>
          <w:color w:val="auto"/>
          <w:highlight w:val="none"/>
        </w:rPr>
        <w:fldChar w:fldCharType="end"/>
      </w:r>
      <w:r>
        <w:rPr>
          <w:color w:val="auto"/>
          <w:highlight w:val="none"/>
        </w:rPr>
        <w:fldChar w:fldCharType="end"/>
      </w:r>
      <w:r>
        <w:rPr>
          <w:rFonts w:hint="eastAsia"/>
          <w:color w:val="auto"/>
          <w:highlight w:val="none"/>
          <w:lang w:val="en-US" w:eastAsia="zh-CN"/>
        </w:rPr>
        <w:t>5</w:t>
      </w:r>
    </w:p>
    <w:p w14:paraId="61D80D4A">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_Toc31330 </w:instrText>
      </w:r>
      <w:r>
        <w:rPr>
          <w:color w:val="auto"/>
          <w:highlight w:val="none"/>
        </w:rPr>
        <w:fldChar w:fldCharType="separate"/>
      </w:r>
      <w:r>
        <w:rPr>
          <w:rFonts w:hint="eastAsia"/>
          <w:color w:val="auto"/>
          <w:highlight w:val="none"/>
          <w:lang w:eastAsia="zh-CN"/>
        </w:rPr>
        <w:t>List of Referenced Standards</w:t>
      </w:r>
      <w:r>
        <w:rPr>
          <w:color w:val="auto"/>
          <w:highlight w:val="none"/>
        </w:rPr>
        <w:tab/>
      </w:r>
      <w:r>
        <w:rPr>
          <w:color w:val="auto"/>
          <w:highlight w:val="none"/>
        </w:rPr>
        <w:fldChar w:fldCharType="begin"/>
      </w:r>
      <w:r>
        <w:rPr>
          <w:color w:val="auto"/>
          <w:highlight w:val="none"/>
        </w:rPr>
        <w:instrText xml:space="preserve"> PAGEREF _Toc31330 \h </w:instrText>
      </w:r>
      <w:r>
        <w:rPr>
          <w:color w:val="auto"/>
          <w:highlight w:val="none"/>
        </w:rPr>
        <w:fldChar w:fldCharType="separate"/>
      </w:r>
      <w:r>
        <w:rPr>
          <w:color w:val="auto"/>
          <w:highlight w:val="none"/>
        </w:rPr>
        <w:t>1</w:t>
      </w:r>
      <w:r>
        <w:rPr>
          <w:rFonts w:hint="eastAsia"/>
          <w:color w:val="auto"/>
          <w:highlight w:val="none"/>
          <w:lang w:val="en-US" w:eastAsia="zh-CN"/>
        </w:rPr>
        <w:t>3</w:t>
      </w:r>
      <w:r>
        <w:rPr>
          <w:color w:val="auto"/>
          <w:highlight w:val="none"/>
        </w:rPr>
        <w:fldChar w:fldCharType="end"/>
      </w:r>
      <w:r>
        <w:rPr>
          <w:color w:val="auto"/>
          <w:highlight w:val="none"/>
        </w:rPr>
        <w:fldChar w:fldCharType="end"/>
      </w:r>
      <w:r>
        <w:rPr>
          <w:rFonts w:hint="eastAsia"/>
          <w:color w:val="auto"/>
          <w:highlight w:val="none"/>
          <w:lang w:val="en-US" w:eastAsia="zh-CN"/>
        </w:rPr>
        <w:t>6</w:t>
      </w:r>
    </w:p>
    <w:p w14:paraId="28801684">
      <w:pPr>
        <w:pStyle w:val="12"/>
        <w:tabs>
          <w:tab w:val="right" w:leader="dot" w:pos="9582"/>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_Toc29979 </w:instrText>
      </w:r>
      <w:r>
        <w:rPr>
          <w:color w:val="auto"/>
          <w:highlight w:val="none"/>
        </w:rPr>
        <w:fldChar w:fldCharType="separate"/>
      </w:r>
      <w:r>
        <w:rPr>
          <w:rFonts w:hint="eastAsia"/>
          <w:snapToGrid w:val="0"/>
          <w:color w:val="auto"/>
          <w:szCs w:val="32"/>
          <w:highlight w:val="none"/>
        </w:rPr>
        <w:t>Explanation of Clauses</w:t>
      </w:r>
      <w:r>
        <w:rPr>
          <w:color w:val="auto"/>
          <w:highlight w:val="none"/>
        </w:rPr>
        <w:tab/>
      </w:r>
      <w:r>
        <w:rPr>
          <w:color w:val="auto"/>
          <w:highlight w:val="none"/>
        </w:rPr>
        <w:fldChar w:fldCharType="begin"/>
      </w:r>
      <w:r>
        <w:rPr>
          <w:color w:val="auto"/>
          <w:highlight w:val="none"/>
        </w:rPr>
        <w:instrText xml:space="preserve"> PAGEREF _Toc29979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r>
        <w:rPr>
          <w:rFonts w:hint="eastAsia"/>
          <w:color w:val="auto"/>
          <w:highlight w:val="none"/>
          <w:lang w:val="en-US" w:eastAsia="zh-CN"/>
        </w:rPr>
        <w:t>38</w:t>
      </w:r>
    </w:p>
    <w:p w14:paraId="040F86E6">
      <w:pPr>
        <w:rPr>
          <w:color w:val="auto"/>
          <w:highlight w:val="none"/>
          <w:lang w:eastAsia="zh-CN"/>
        </w:rPr>
        <w:sectPr>
          <w:footerReference r:id="rId10" w:type="default"/>
          <w:pgSz w:w="11906" w:h="16838"/>
          <w:pgMar w:top="850" w:right="907" w:bottom="850" w:left="1417" w:header="851" w:footer="992" w:gutter="0"/>
          <w:pgNumType w:start="1"/>
          <w:cols w:space="720" w:num="1"/>
          <w:docGrid w:type="lines" w:linePitch="312" w:charSpace="0"/>
        </w:sectPr>
      </w:pPr>
      <w:r>
        <w:rPr>
          <w:color w:val="auto"/>
          <w:highlight w:val="none"/>
        </w:rPr>
        <w:fldChar w:fldCharType="end"/>
      </w:r>
    </w:p>
    <w:p w14:paraId="690167F8">
      <w:pPr>
        <w:pStyle w:val="2"/>
        <w:spacing w:before="312"/>
        <w:rPr>
          <w:color w:val="auto"/>
          <w:highlight w:val="none"/>
          <w:lang w:eastAsia="zh-CN"/>
        </w:rPr>
      </w:pPr>
      <w:bookmarkStart w:id="13" w:name="_Toc9035"/>
      <w:bookmarkStart w:id="14" w:name="_Toc23446"/>
      <w:bookmarkStart w:id="15" w:name="_Toc25357"/>
      <w:r>
        <w:rPr>
          <w:rFonts w:hint="eastAsia"/>
          <w:color w:val="auto"/>
          <w:highlight w:val="none"/>
          <w:lang w:eastAsia="zh-CN"/>
        </w:rPr>
        <w:t>1  总  则</w:t>
      </w:r>
      <w:bookmarkEnd w:id="4"/>
      <w:bookmarkEnd w:id="5"/>
      <w:bookmarkEnd w:id="6"/>
      <w:bookmarkEnd w:id="7"/>
      <w:bookmarkEnd w:id="8"/>
      <w:bookmarkEnd w:id="9"/>
      <w:bookmarkEnd w:id="10"/>
      <w:bookmarkEnd w:id="11"/>
      <w:bookmarkEnd w:id="12"/>
      <w:bookmarkEnd w:id="13"/>
      <w:bookmarkEnd w:id="14"/>
      <w:bookmarkEnd w:id="15"/>
    </w:p>
    <w:p w14:paraId="6AB8CD49">
      <w:pPr>
        <w:rPr>
          <w:color w:val="auto"/>
          <w:highlight w:val="none"/>
          <w:lang w:eastAsia="zh-CN"/>
        </w:rPr>
      </w:pPr>
    </w:p>
    <w:p w14:paraId="56394D77">
      <w:pPr>
        <w:pStyle w:val="4"/>
        <w:rPr>
          <w:color w:val="auto"/>
          <w:highlight w:val="none"/>
          <w:u w:val="none"/>
        </w:rPr>
      </w:pPr>
      <w:r>
        <w:rPr>
          <w:b/>
          <w:bCs/>
          <w:color w:val="auto"/>
          <w:highlight w:val="none"/>
          <w:u w:val="none"/>
        </w:rPr>
        <w:t>1.0.1</w:t>
      </w:r>
      <w:r>
        <w:rPr>
          <w:rFonts w:hint="eastAsia"/>
          <w:b/>
          <w:bCs/>
          <w:color w:val="auto"/>
          <w:highlight w:val="none"/>
          <w:u w:val="none"/>
          <w:lang w:eastAsia="zh-CN"/>
        </w:rPr>
        <w:t xml:space="preserve">  </w:t>
      </w:r>
      <w:r>
        <w:rPr>
          <w:rFonts w:hint="eastAsia"/>
          <w:color w:val="auto"/>
          <w:highlight w:val="none"/>
          <w:u w:val="none"/>
        </w:rPr>
        <w:t>为满足广西木结构建筑的应用需求，在应用中贯彻执行国家的技术经济政策，做到技术先进、安全适用、经济合理、确保质量、保护环境，制定本</w:t>
      </w:r>
      <w:r>
        <w:rPr>
          <w:rFonts w:hint="eastAsia"/>
          <w:color w:val="auto"/>
          <w:highlight w:val="none"/>
          <w:u w:val="none"/>
          <w:lang w:eastAsia="zh-CN"/>
        </w:rPr>
        <w:t>规程</w:t>
      </w:r>
      <w:r>
        <w:rPr>
          <w:rFonts w:hint="eastAsia"/>
          <w:color w:val="auto"/>
          <w:highlight w:val="none"/>
          <w:u w:val="none"/>
        </w:rPr>
        <w:t>。</w:t>
      </w:r>
    </w:p>
    <w:p w14:paraId="7BA1D318">
      <w:pPr>
        <w:pStyle w:val="50"/>
        <w:ind w:firstLine="480"/>
        <w:rPr>
          <w:rFonts w:hint="eastAsia"/>
          <w:color w:val="auto"/>
          <w:highlight w:val="none"/>
        </w:rPr>
      </w:pPr>
      <w:r>
        <w:rPr>
          <w:rFonts w:hint="eastAsia"/>
          <w:color w:val="auto"/>
          <w:highlight w:val="none"/>
        </w:rPr>
        <w:t>【条文说明】1.0.1：‌广西具有丰富的木材资源，发展木结构建筑具有得天独厚的优势。‌ 广西地处亚热带，光、水、热等自然条件优越，林木综合生长率为全国平均水平的2—3倍，林木一年四季均可生长，林业发展自然禀赋得天独厚‌。此外，广西是我国重要集体林区，森林面积达到2.23亿亩，其中人工林面积1.34亿亩，居全国第一位，年木材采伐蓄积量达4800多万立方米，稳居全国第一位‌。</w:t>
      </w:r>
    </w:p>
    <w:p w14:paraId="1CCF0602">
      <w:pPr>
        <w:pStyle w:val="50"/>
        <w:ind w:firstLine="480"/>
        <w:rPr>
          <w:rFonts w:hint="eastAsia"/>
          <w:color w:val="auto"/>
          <w:highlight w:val="none"/>
        </w:rPr>
      </w:pPr>
      <w:r>
        <w:rPr>
          <w:rFonts w:hint="eastAsia"/>
          <w:color w:val="auto"/>
          <w:highlight w:val="none"/>
        </w:rPr>
        <w:t>广西在木材产量、人造板产量等方面均位居全国第一，202</w:t>
      </w:r>
      <w:r>
        <w:rPr>
          <w:rFonts w:hint="eastAsia"/>
          <w:color w:val="auto"/>
          <w:highlight w:val="none"/>
          <w:lang w:val="en-US" w:eastAsia="zh-CN"/>
        </w:rPr>
        <w:t>3</w:t>
      </w:r>
      <w:r>
        <w:rPr>
          <w:rFonts w:hint="eastAsia"/>
          <w:color w:val="auto"/>
          <w:highlight w:val="none"/>
        </w:rPr>
        <w:t>年人造板产量达</w:t>
      </w:r>
      <w:r>
        <w:rPr>
          <w:rFonts w:hint="eastAsia"/>
          <w:color w:val="auto"/>
          <w:highlight w:val="none"/>
          <w:lang w:val="en-US" w:eastAsia="zh-CN"/>
        </w:rPr>
        <w:t>4684</w:t>
      </w:r>
      <w:r>
        <w:rPr>
          <w:rFonts w:hint="eastAsia"/>
          <w:color w:val="auto"/>
          <w:highlight w:val="none"/>
        </w:rPr>
        <w:t>万立方米，是全国最大的人造板生产基地‌。此外，广西还拥有多项全国第一的林业指标，如人工林面积、木材产量、人造板材、八角产量、肉桂产量等‌。这些成就使得广西成为了全国重要的森林生态优势区、森林资源富集区、林业产业集中区‌。</w:t>
      </w:r>
    </w:p>
    <w:p w14:paraId="56885016">
      <w:pPr>
        <w:pStyle w:val="50"/>
        <w:ind w:firstLine="480"/>
        <w:rPr>
          <w:rFonts w:hint="eastAsia"/>
          <w:color w:val="auto"/>
          <w:highlight w:val="none"/>
        </w:rPr>
      </w:pPr>
      <w:r>
        <w:rPr>
          <w:rFonts w:hint="eastAsia"/>
          <w:color w:val="auto"/>
          <w:highlight w:val="none"/>
        </w:rPr>
        <w:t>因此为了进一步推广和发展木结构建筑，制定本</w:t>
      </w:r>
      <w:r>
        <w:rPr>
          <w:rFonts w:hint="eastAsia"/>
          <w:color w:val="auto"/>
          <w:highlight w:val="none"/>
          <w:lang w:eastAsia="zh-CN"/>
        </w:rPr>
        <w:t>规程</w:t>
      </w:r>
      <w:r>
        <w:rPr>
          <w:rFonts w:hint="eastAsia"/>
          <w:color w:val="auto"/>
          <w:highlight w:val="none"/>
        </w:rPr>
        <w:t>。</w:t>
      </w:r>
    </w:p>
    <w:p w14:paraId="5380346C">
      <w:pPr>
        <w:rPr>
          <w:color w:val="auto"/>
          <w:highlight w:val="none"/>
          <w:u w:val="none"/>
        </w:rPr>
      </w:pPr>
    </w:p>
    <w:p w14:paraId="3F3479AE">
      <w:pPr>
        <w:pStyle w:val="4"/>
        <w:rPr>
          <w:color w:val="auto"/>
          <w:highlight w:val="none"/>
          <w:u w:val="none"/>
        </w:rPr>
      </w:pPr>
      <w:r>
        <w:rPr>
          <w:b/>
          <w:bCs/>
          <w:color w:val="auto"/>
          <w:highlight w:val="none"/>
          <w:u w:val="none"/>
        </w:rPr>
        <w:t>1.0.2</w:t>
      </w:r>
      <w:r>
        <w:rPr>
          <w:rFonts w:hint="eastAsia"/>
          <w:b/>
          <w:bCs/>
          <w:color w:val="auto"/>
          <w:highlight w:val="none"/>
          <w:u w:val="none"/>
          <w:lang w:eastAsia="zh-CN"/>
        </w:rPr>
        <w:t xml:space="preserve">  </w:t>
      </w:r>
      <w:r>
        <w:rPr>
          <w:rFonts w:hint="eastAsia"/>
          <w:color w:val="auto"/>
          <w:highlight w:val="none"/>
          <w:u w:val="none"/>
        </w:rPr>
        <w:t>本标准适用于下列木结构民用建筑的设计、制作、安装、验收与维护：</w:t>
      </w:r>
    </w:p>
    <w:p w14:paraId="4257D263">
      <w:pPr>
        <w:pStyle w:val="4"/>
        <w:ind w:firstLine="480" w:firstLineChars="200"/>
        <w:rPr>
          <w:color w:val="auto"/>
          <w:highlight w:val="none"/>
          <w:u w:val="none"/>
        </w:rPr>
      </w:pPr>
      <w:r>
        <w:rPr>
          <w:color w:val="auto"/>
          <w:highlight w:val="none"/>
          <w:u w:val="none"/>
        </w:rPr>
        <w:t>1</w:t>
      </w:r>
      <w:r>
        <w:rPr>
          <w:rFonts w:hint="eastAsia"/>
          <w:color w:val="auto"/>
          <w:highlight w:val="none"/>
          <w:u w:val="none"/>
          <w:lang w:eastAsia="zh-CN"/>
        </w:rPr>
        <w:t xml:space="preserve">  </w:t>
      </w:r>
      <w:r>
        <w:rPr>
          <w:rFonts w:hint="eastAsia"/>
          <w:color w:val="auto"/>
          <w:highlight w:val="none"/>
          <w:u w:val="none"/>
        </w:rPr>
        <w:t>建筑高度不大于</w:t>
      </w:r>
      <w:r>
        <w:rPr>
          <w:color w:val="auto"/>
          <w:highlight w:val="none"/>
          <w:u w:val="none"/>
        </w:rPr>
        <w:t>27m</w:t>
      </w:r>
      <w:r>
        <w:rPr>
          <w:rFonts w:hint="eastAsia"/>
          <w:color w:val="auto"/>
          <w:highlight w:val="none"/>
          <w:u w:val="none"/>
        </w:rPr>
        <w:t>的木结构住宅建筑；</w:t>
      </w:r>
    </w:p>
    <w:p w14:paraId="7D6DA9CE">
      <w:pPr>
        <w:pStyle w:val="4"/>
        <w:ind w:firstLine="480" w:firstLineChars="200"/>
        <w:rPr>
          <w:color w:val="auto"/>
          <w:highlight w:val="none"/>
          <w:u w:val="none"/>
        </w:rPr>
      </w:pPr>
      <w:r>
        <w:rPr>
          <w:color w:val="auto"/>
          <w:highlight w:val="none"/>
          <w:u w:val="none"/>
        </w:rPr>
        <w:t>2</w:t>
      </w:r>
      <w:r>
        <w:rPr>
          <w:rFonts w:hint="eastAsia"/>
          <w:color w:val="auto"/>
          <w:highlight w:val="none"/>
          <w:u w:val="none"/>
          <w:lang w:eastAsia="zh-CN"/>
        </w:rPr>
        <w:t xml:space="preserve">  </w:t>
      </w:r>
      <w:r>
        <w:rPr>
          <w:rFonts w:hint="eastAsia"/>
          <w:color w:val="auto"/>
          <w:highlight w:val="none"/>
          <w:u w:val="none"/>
        </w:rPr>
        <w:t>建筑高度不大于</w:t>
      </w:r>
      <w:r>
        <w:rPr>
          <w:color w:val="auto"/>
          <w:highlight w:val="none"/>
          <w:u w:val="none"/>
        </w:rPr>
        <w:t>24m</w:t>
      </w:r>
      <w:r>
        <w:rPr>
          <w:rFonts w:hint="eastAsia"/>
          <w:color w:val="auto"/>
          <w:highlight w:val="none"/>
          <w:u w:val="none"/>
        </w:rPr>
        <w:t>的非单层木结构公共建筑和其他民用木结构建筑；</w:t>
      </w:r>
    </w:p>
    <w:p w14:paraId="27D158AD">
      <w:pPr>
        <w:pStyle w:val="4"/>
        <w:ind w:firstLine="480" w:firstLineChars="200"/>
        <w:rPr>
          <w:color w:val="auto"/>
          <w:highlight w:val="none"/>
          <w:u w:val="none"/>
        </w:rPr>
      </w:pPr>
      <w:r>
        <w:rPr>
          <w:color w:val="auto"/>
          <w:highlight w:val="none"/>
          <w:u w:val="none"/>
        </w:rPr>
        <w:t>3</w:t>
      </w:r>
      <w:r>
        <w:rPr>
          <w:rFonts w:hint="eastAsia"/>
          <w:color w:val="auto"/>
          <w:highlight w:val="none"/>
          <w:u w:val="none"/>
          <w:lang w:eastAsia="zh-CN"/>
        </w:rPr>
        <w:t xml:space="preserve">  </w:t>
      </w:r>
      <w:r>
        <w:rPr>
          <w:rFonts w:hint="eastAsia"/>
          <w:color w:val="auto"/>
          <w:highlight w:val="none"/>
          <w:u w:val="none"/>
        </w:rPr>
        <w:t>单层木结构公共建筑；</w:t>
      </w:r>
    </w:p>
    <w:p w14:paraId="3CAE1D5D">
      <w:pPr>
        <w:pStyle w:val="50"/>
        <w:ind w:firstLine="480"/>
        <w:rPr>
          <w:rFonts w:hint="eastAsia"/>
          <w:color w:val="auto"/>
          <w:highlight w:val="none"/>
        </w:rPr>
      </w:pPr>
      <w:r>
        <w:rPr>
          <w:rFonts w:hint="eastAsia"/>
          <w:color w:val="auto"/>
          <w:highlight w:val="none"/>
          <w:lang w:eastAsia="zh-CN"/>
        </w:rPr>
        <w:t>【条文说明】1.0.</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高层木结构建筑除应符合本</w:t>
      </w:r>
      <w:r>
        <w:rPr>
          <w:rFonts w:hint="eastAsia"/>
          <w:color w:val="auto"/>
          <w:highlight w:val="none"/>
          <w:lang w:eastAsia="zh-CN"/>
        </w:rPr>
        <w:t>规程</w:t>
      </w:r>
      <w:r>
        <w:rPr>
          <w:rFonts w:hint="eastAsia"/>
          <w:color w:val="auto"/>
          <w:highlight w:val="none"/>
        </w:rPr>
        <w:t>的要求外，尚应结合实际情况采取更加严格的设计标准，其防火设计应提交国家主管部门组织专题研究、论证。</w:t>
      </w:r>
    </w:p>
    <w:p w14:paraId="47D12A38">
      <w:pPr>
        <w:rPr>
          <w:color w:val="auto"/>
          <w:highlight w:val="none"/>
          <w:u w:val="none"/>
        </w:rPr>
      </w:pPr>
    </w:p>
    <w:p w14:paraId="39709764">
      <w:pPr>
        <w:pStyle w:val="4"/>
        <w:rPr>
          <w:color w:val="auto"/>
          <w:highlight w:val="none"/>
          <w:u w:val="none"/>
        </w:rPr>
      </w:pPr>
      <w:r>
        <w:rPr>
          <w:b/>
          <w:bCs/>
          <w:color w:val="auto"/>
          <w:highlight w:val="none"/>
          <w:u w:val="none"/>
        </w:rPr>
        <w:t>1.0.3</w:t>
      </w:r>
      <w:r>
        <w:rPr>
          <w:rFonts w:hint="eastAsia"/>
          <w:b/>
          <w:bCs/>
          <w:color w:val="auto"/>
          <w:highlight w:val="none"/>
          <w:u w:val="none"/>
          <w:lang w:eastAsia="zh-CN"/>
        </w:rPr>
        <w:t xml:space="preserve">  </w:t>
      </w:r>
      <w:r>
        <w:rPr>
          <w:rFonts w:hint="eastAsia"/>
          <w:color w:val="auto"/>
          <w:highlight w:val="none"/>
          <w:u w:val="none"/>
        </w:rPr>
        <w:t>木结构建筑的设计、制作、安装、验收与维护，除应符合本标准外，尚应符合国家现行有关标准的规定。</w:t>
      </w:r>
    </w:p>
    <w:p w14:paraId="1BB056A5">
      <w:pPr>
        <w:pStyle w:val="50"/>
        <w:ind w:firstLine="480"/>
        <w:rPr>
          <w:rFonts w:hint="eastAsia"/>
          <w:color w:val="auto"/>
          <w:highlight w:val="none"/>
          <w:lang w:eastAsia="zh-CN"/>
        </w:rPr>
      </w:pPr>
      <w:r>
        <w:rPr>
          <w:rFonts w:hint="eastAsia"/>
          <w:color w:val="auto"/>
          <w:highlight w:val="none"/>
          <w:lang w:eastAsia="zh-CN"/>
        </w:rPr>
        <w:t>【条文说明】1.0.3：目前，我国与木结构相关的标准规范主要有：《木结构通用规范》GB55005、《多高层木结构建筑技术标准》GB/T 51226、《装配式木结构建筑技术标准》GB/T 51233、《木结构设计标准》GB 50005、《胶合木结构技术规范 》GB/T 50708等，还有《建筑防火通用规范》GB 55037、《建筑设计防火规范》GB 50016当中也涉及部分木结构的内容。木结构建筑的设计、制作、安装、验收与维护，除应符合本标准外，尚应符合国家现行有关标准的规定。</w:t>
      </w:r>
    </w:p>
    <w:p w14:paraId="1CF40704">
      <w:pPr>
        <w:rPr>
          <w:rFonts w:hint="eastAsia"/>
          <w:color w:val="auto"/>
          <w:highlight w:val="none"/>
          <w:lang w:eastAsia="zh-CN"/>
        </w:rPr>
      </w:pPr>
    </w:p>
    <w:p w14:paraId="158EBE00">
      <w:pPr>
        <w:pStyle w:val="2"/>
        <w:spacing w:before="312"/>
        <w:rPr>
          <w:color w:val="auto"/>
          <w:highlight w:val="none"/>
        </w:rPr>
      </w:pPr>
      <w:bookmarkStart w:id="16" w:name="_Toc17040"/>
      <w:bookmarkStart w:id="17" w:name="_Toc58592721"/>
      <w:bookmarkStart w:id="18" w:name="_Toc15514"/>
      <w:bookmarkStart w:id="19" w:name="_Toc28111"/>
      <w:bookmarkStart w:id="20" w:name="_Toc22913"/>
      <w:bookmarkStart w:id="21" w:name="_Toc6978"/>
      <w:bookmarkStart w:id="22" w:name="_Toc24226"/>
      <w:bookmarkStart w:id="23" w:name="_Toc27211"/>
      <w:bookmarkStart w:id="24" w:name="_Toc20837"/>
      <w:bookmarkStart w:id="25" w:name="_Toc27018"/>
      <w:bookmarkStart w:id="26" w:name="_Toc1504"/>
      <w:bookmarkStart w:id="27" w:name="_Toc1316"/>
      <w:bookmarkStart w:id="28" w:name="_Toc32394"/>
      <w:r>
        <w:rPr>
          <w:color w:val="auto"/>
          <w:highlight w:val="none"/>
        </w:rPr>
        <w:t>2</w:t>
      </w:r>
      <w:r>
        <w:rPr>
          <w:rFonts w:hint="eastAsia"/>
          <w:color w:val="auto"/>
          <w:highlight w:val="none"/>
          <w:lang w:eastAsia="zh-CN"/>
        </w:rPr>
        <w:t xml:space="preserve">  </w:t>
      </w:r>
      <w:r>
        <w:rPr>
          <w:rFonts w:hint="eastAsia"/>
          <w:color w:val="auto"/>
          <w:highlight w:val="none"/>
        </w:rPr>
        <w:t>术语和符号</w:t>
      </w:r>
      <w:bookmarkEnd w:id="16"/>
      <w:bookmarkEnd w:id="17"/>
      <w:bookmarkEnd w:id="18"/>
      <w:bookmarkEnd w:id="19"/>
    </w:p>
    <w:p w14:paraId="3F5022D0">
      <w:pPr>
        <w:pStyle w:val="3"/>
        <w:spacing w:before="156" w:after="156"/>
        <w:rPr>
          <w:color w:val="auto"/>
          <w:highlight w:val="none"/>
        </w:rPr>
      </w:pPr>
      <w:bookmarkStart w:id="29" w:name="_Toc30016"/>
      <w:bookmarkStart w:id="30" w:name="_Toc58592722"/>
      <w:bookmarkStart w:id="31" w:name="_Toc5235"/>
      <w:bookmarkStart w:id="32" w:name="_Toc30029"/>
      <w:r>
        <w:rPr>
          <w:color w:val="auto"/>
          <w:highlight w:val="none"/>
        </w:rPr>
        <w:t>2.1</w:t>
      </w:r>
      <w:r>
        <w:rPr>
          <w:rFonts w:hint="eastAsia"/>
          <w:color w:val="auto"/>
          <w:highlight w:val="none"/>
          <w:lang w:eastAsia="zh-CN"/>
        </w:rPr>
        <w:t xml:space="preserve">  </w:t>
      </w:r>
      <w:r>
        <w:rPr>
          <w:rFonts w:hint="eastAsia"/>
          <w:color w:val="auto"/>
          <w:highlight w:val="none"/>
        </w:rPr>
        <w:t>术</w:t>
      </w:r>
      <w:r>
        <w:rPr>
          <w:rFonts w:hint="eastAsia"/>
          <w:color w:val="auto"/>
          <w:highlight w:val="none"/>
          <w:lang w:eastAsia="zh-CN"/>
        </w:rPr>
        <w:t xml:space="preserve">  </w:t>
      </w:r>
      <w:r>
        <w:rPr>
          <w:rFonts w:hint="eastAsia"/>
          <w:color w:val="auto"/>
          <w:highlight w:val="none"/>
        </w:rPr>
        <w:t>语</w:t>
      </w:r>
      <w:bookmarkEnd w:id="29"/>
      <w:bookmarkEnd w:id="30"/>
      <w:bookmarkEnd w:id="31"/>
      <w:bookmarkEnd w:id="32"/>
    </w:p>
    <w:p w14:paraId="059E2961">
      <w:pPr>
        <w:pStyle w:val="4"/>
        <w:rPr>
          <w:rFonts w:hint="default"/>
          <w:color w:val="auto"/>
          <w:highlight w:val="none"/>
          <w:u w:val="none"/>
          <w:lang w:val="en-US" w:eastAsia="zh-CN"/>
        </w:rPr>
      </w:pPr>
      <w:bookmarkStart w:id="33" w:name="_Toc58592723"/>
      <w:r>
        <w:rPr>
          <w:b/>
          <w:bCs/>
          <w:color w:val="auto"/>
          <w:highlight w:val="none"/>
          <w:u w:val="none"/>
        </w:rPr>
        <w:t>2.1.1</w:t>
      </w:r>
      <w:r>
        <w:rPr>
          <w:rFonts w:hint="eastAsia"/>
          <w:b/>
          <w:bCs/>
          <w:color w:val="auto"/>
          <w:highlight w:val="none"/>
          <w:u w:val="none"/>
          <w:lang w:eastAsia="zh-CN"/>
        </w:rPr>
        <w:t xml:space="preserve"> </w:t>
      </w:r>
      <w:r>
        <w:rPr>
          <w:rFonts w:hint="eastAsia"/>
          <w:color w:val="auto"/>
          <w:highlight w:val="none"/>
          <w:u w:val="none"/>
          <w:lang w:eastAsia="zh-CN"/>
        </w:rPr>
        <w:t xml:space="preserve"> 现代木结构</w:t>
      </w:r>
      <w:r>
        <w:rPr>
          <w:rFonts w:hint="eastAsia"/>
          <w:color w:val="auto"/>
          <w:highlight w:val="none"/>
          <w:u w:val="none"/>
          <w:lang w:val="en-US" w:eastAsia="zh-CN"/>
        </w:rPr>
        <w:t xml:space="preserve"> modern wooden structure</w:t>
      </w:r>
    </w:p>
    <w:p w14:paraId="2A4A0706">
      <w:pPr>
        <w:rPr>
          <w:rFonts w:hint="default"/>
          <w:color w:val="auto"/>
          <w:highlight w:val="none"/>
          <w:lang w:val="en-US" w:eastAsia="zh-CN"/>
        </w:rPr>
      </w:pPr>
      <w:r>
        <w:rPr>
          <w:rFonts w:hint="eastAsia"/>
          <w:color w:val="auto"/>
          <w:highlight w:val="none"/>
          <w:u w:val="none"/>
          <w:lang w:val="en-US" w:eastAsia="zh-CN"/>
        </w:rPr>
        <w:t xml:space="preserve">   </w:t>
      </w:r>
      <w:r>
        <w:rPr>
          <w:rFonts w:hint="eastAsia" w:ascii="Times New Roman" w:hAnsi="Times New Roman" w:eastAsia="宋体" w:cs="宋体"/>
          <w:color w:val="auto"/>
          <w:sz w:val="24"/>
          <w:szCs w:val="22"/>
          <w:highlight w:val="none"/>
          <w:u w:val="none"/>
          <w:lang w:val="en-US" w:eastAsia="zh-CN" w:bidi="ar-SA"/>
        </w:rPr>
        <w:t xml:space="preserve">  集传统的建材（木材）和现代先进的设计、加工及建造技术而发展起来的结构形式。</w:t>
      </w:r>
    </w:p>
    <w:p w14:paraId="37A57C83">
      <w:pPr>
        <w:pStyle w:val="4"/>
        <w:rPr>
          <w:color w:val="auto"/>
          <w:highlight w:val="none"/>
          <w:u w:val="none"/>
        </w:rPr>
      </w:pPr>
      <w:r>
        <w:rPr>
          <w:rFonts w:hint="eastAsia"/>
          <w:b/>
          <w:bCs/>
          <w:color w:val="auto"/>
          <w:highlight w:val="none"/>
          <w:u w:val="none"/>
          <w:lang w:val="en-US" w:eastAsia="zh-CN"/>
        </w:rPr>
        <w:t>2.1.2</w:t>
      </w:r>
      <w:r>
        <w:rPr>
          <w:rFonts w:hint="eastAsia"/>
          <w:color w:val="auto"/>
          <w:highlight w:val="none"/>
          <w:u w:val="none"/>
        </w:rPr>
        <w:t>木结构建筑</w:t>
      </w:r>
      <w:r>
        <w:rPr>
          <w:rFonts w:hint="eastAsia"/>
          <w:color w:val="auto"/>
          <w:highlight w:val="none"/>
          <w:u w:val="none"/>
          <w:lang w:eastAsia="zh-CN"/>
        </w:rPr>
        <w:t xml:space="preserve"> </w:t>
      </w:r>
      <w:r>
        <w:rPr>
          <w:color w:val="auto"/>
          <w:highlight w:val="none"/>
          <w:u w:val="none"/>
        </w:rPr>
        <w:t>timber</w:t>
      </w:r>
      <w:r>
        <w:rPr>
          <w:rFonts w:hint="eastAsia"/>
          <w:color w:val="auto"/>
          <w:highlight w:val="none"/>
          <w:u w:val="none"/>
          <w:lang w:eastAsia="zh-CN"/>
        </w:rPr>
        <w:t xml:space="preserve"> </w:t>
      </w:r>
      <w:r>
        <w:rPr>
          <w:color w:val="auto"/>
          <w:highlight w:val="none"/>
          <w:u w:val="none"/>
        </w:rPr>
        <w:t>buildings</w:t>
      </w:r>
    </w:p>
    <w:p w14:paraId="0ECC97EE">
      <w:pPr>
        <w:pStyle w:val="4"/>
        <w:ind w:firstLine="480" w:firstLineChars="200"/>
        <w:rPr>
          <w:rFonts w:hint="eastAsia"/>
          <w:color w:val="auto"/>
          <w:highlight w:val="none"/>
          <w:u w:val="none"/>
          <w:lang w:eastAsia="zh-CN"/>
        </w:rPr>
      </w:pPr>
      <w:r>
        <w:rPr>
          <w:rFonts w:hint="eastAsia"/>
          <w:color w:val="auto"/>
          <w:highlight w:val="none"/>
          <w:u w:val="none"/>
          <w:lang w:eastAsia="zh-CN"/>
        </w:rPr>
        <w:t>单纯由木材或主要由木材承受荷载的建筑，其通过各种金属连接件或榫卯手段进行连接和固定。</w:t>
      </w:r>
    </w:p>
    <w:p w14:paraId="6DC9FBE7">
      <w:pPr>
        <w:pStyle w:val="4"/>
        <w:rPr>
          <w:color w:val="auto"/>
          <w:highlight w:val="none"/>
          <w:u w:val="none"/>
        </w:rPr>
      </w:pPr>
      <w:r>
        <w:rPr>
          <w:b/>
          <w:bCs/>
          <w:color w:val="auto"/>
          <w:highlight w:val="none"/>
          <w:u w:val="none"/>
        </w:rPr>
        <w:t>2.1.</w:t>
      </w:r>
      <w:r>
        <w:rPr>
          <w:rFonts w:hint="eastAsia"/>
          <w:b/>
          <w:bCs/>
          <w:color w:val="auto"/>
          <w:highlight w:val="none"/>
          <w:u w:val="none"/>
          <w:lang w:val="en-US" w:eastAsia="zh-CN"/>
        </w:rPr>
        <w:t>3</w:t>
      </w:r>
      <w:r>
        <w:rPr>
          <w:rFonts w:hint="eastAsia"/>
          <w:b/>
          <w:bCs/>
          <w:color w:val="auto"/>
          <w:highlight w:val="none"/>
          <w:u w:val="none"/>
          <w:lang w:eastAsia="zh-CN"/>
        </w:rPr>
        <w:t xml:space="preserve">  </w:t>
      </w:r>
      <w:r>
        <w:rPr>
          <w:rFonts w:hint="eastAsia"/>
          <w:color w:val="auto"/>
          <w:highlight w:val="none"/>
          <w:u w:val="none"/>
        </w:rPr>
        <w:t>纯木结构</w:t>
      </w:r>
      <w:r>
        <w:rPr>
          <w:rFonts w:hint="eastAsia"/>
          <w:color w:val="auto"/>
          <w:highlight w:val="none"/>
          <w:u w:val="none"/>
          <w:lang w:eastAsia="zh-CN"/>
        </w:rPr>
        <w:t xml:space="preserve"> </w:t>
      </w:r>
      <w:r>
        <w:rPr>
          <w:color w:val="auto"/>
          <w:highlight w:val="none"/>
          <w:u w:val="none"/>
        </w:rPr>
        <w:t>pure</w:t>
      </w:r>
      <w:r>
        <w:rPr>
          <w:rFonts w:hint="eastAsia"/>
          <w:color w:val="auto"/>
          <w:highlight w:val="none"/>
          <w:u w:val="none"/>
          <w:lang w:eastAsia="zh-CN"/>
        </w:rPr>
        <w:t xml:space="preserve"> </w:t>
      </w:r>
      <w:r>
        <w:rPr>
          <w:color w:val="auto"/>
          <w:highlight w:val="none"/>
          <w:u w:val="none"/>
        </w:rPr>
        <w:t>timber</w:t>
      </w:r>
      <w:r>
        <w:rPr>
          <w:rFonts w:hint="eastAsia"/>
          <w:color w:val="auto"/>
          <w:highlight w:val="none"/>
          <w:u w:val="none"/>
          <w:lang w:eastAsia="zh-CN"/>
        </w:rPr>
        <w:t xml:space="preserve"> </w:t>
      </w:r>
      <w:r>
        <w:rPr>
          <w:color w:val="auto"/>
          <w:highlight w:val="none"/>
          <w:u w:val="none"/>
        </w:rPr>
        <w:t>structure</w:t>
      </w:r>
    </w:p>
    <w:p w14:paraId="04EB25BE">
      <w:pPr>
        <w:pStyle w:val="4"/>
        <w:ind w:firstLine="480" w:firstLineChars="200"/>
        <w:rPr>
          <w:color w:val="auto"/>
          <w:highlight w:val="none"/>
          <w:u w:val="none"/>
          <w:lang w:eastAsia="zh-CN"/>
        </w:rPr>
      </w:pPr>
      <w:r>
        <w:rPr>
          <w:rFonts w:hint="eastAsia"/>
          <w:color w:val="auto"/>
          <w:highlight w:val="none"/>
          <w:u w:val="none"/>
          <w:lang w:eastAsia="zh-CN"/>
        </w:rPr>
        <w:t>承重构件均采用木材或木材制品制作的结构形式，包括方木、原木结构、胶合木结构和轻型木结构等。</w:t>
      </w:r>
    </w:p>
    <w:p w14:paraId="6ADA965B">
      <w:pPr>
        <w:pStyle w:val="4"/>
        <w:rPr>
          <w:color w:val="auto"/>
          <w:highlight w:val="none"/>
          <w:u w:val="none"/>
          <w:lang w:eastAsia="zh-CN"/>
        </w:rPr>
      </w:pPr>
      <w:r>
        <w:rPr>
          <w:b/>
          <w:bCs/>
          <w:color w:val="auto"/>
          <w:highlight w:val="none"/>
          <w:u w:val="none"/>
          <w:lang w:eastAsia="zh-CN"/>
        </w:rPr>
        <w:t>2.1.</w:t>
      </w:r>
      <w:r>
        <w:rPr>
          <w:rFonts w:hint="eastAsia"/>
          <w:b/>
          <w:bCs/>
          <w:color w:val="auto"/>
          <w:highlight w:val="none"/>
          <w:u w:val="none"/>
          <w:lang w:val="en-US" w:eastAsia="zh-CN"/>
        </w:rPr>
        <w:t>4</w:t>
      </w:r>
      <w:r>
        <w:rPr>
          <w:rFonts w:hint="eastAsia"/>
          <w:b/>
          <w:bCs/>
          <w:color w:val="auto"/>
          <w:highlight w:val="none"/>
          <w:u w:val="none"/>
          <w:lang w:eastAsia="zh-CN"/>
        </w:rPr>
        <w:t xml:space="preserve">  </w:t>
      </w:r>
      <w:r>
        <w:rPr>
          <w:rFonts w:hint="eastAsia"/>
          <w:color w:val="auto"/>
          <w:highlight w:val="none"/>
          <w:u w:val="none"/>
          <w:lang w:eastAsia="zh-CN"/>
        </w:rPr>
        <w:t xml:space="preserve">木混合结构 </w:t>
      </w:r>
      <w:r>
        <w:rPr>
          <w:color w:val="auto"/>
          <w:highlight w:val="none"/>
          <w:u w:val="none"/>
          <w:lang w:eastAsia="zh-CN"/>
        </w:rPr>
        <w:t>hybrid</w:t>
      </w:r>
      <w:r>
        <w:rPr>
          <w:rFonts w:hint="eastAsia"/>
          <w:color w:val="auto"/>
          <w:highlight w:val="none"/>
          <w:u w:val="none"/>
          <w:lang w:eastAsia="zh-CN"/>
        </w:rPr>
        <w:t xml:space="preserve"> </w:t>
      </w:r>
      <w:r>
        <w:rPr>
          <w:color w:val="auto"/>
          <w:highlight w:val="none"/>
          <w:u w:val="none"/>
          <w:lang w:eastAsia="zh-CN"/>
        </w:rPr>
        <w:t>timber</w:t>
      </w:r>
      <w:r>
        <w:rPr>
          <w:rFonts w:hint="eastAsia"/>
          <w:color w:val="auto"/>
          <w:highlight w:val="none"/>
          <w:u w:val="none"/>
          <w:lang w:eastAsia="zh-CN"/>
        </w:rPr>
        <w:t xml:space="preserve"> </w:t>
      </w:r>
      <w:r>
        <w:rPr>
          <w:color w:val="auto"/>
          <w:highlight w:val="none"/>
          <w:u w:val="none"/>
          <w:lang w:eastAsia="zh-CN"/>
        </w:rPr>
        <w:t>structure</w:t>
      </w:r>
    </w:p>
    <w:p w14:paraId="35ACF865">
      <w:pPr>
        <w:pStyle w:val="4"/>
        <w:ind w:firstLine="480" w:firstLineChars="200"/>
        <w:rPr>
          <w:color w:val="auto"/>
          <w:highlight w:val="none"/>
          <w:u w:val="none"/>
          <w:lang w:eastAsia="zh-CN"/>
        </w:rPr>
      </w:pPr>
      <w:r>
        <w:rPr>
          <w:rFonts w:hint="eastAsia"/>
          <w:color w:val="auto"/>
          <w:highlight w:val="none"/>
          <w:u w:val="none"/>
          <w:lang w:eastAsia="zh-CN"/>
        </w:rPr>
        <w:t>由木结构构件与钢结构构件、钢筋混凝土结构构件混合承重，并以木结构为主要结构形式的结构体系，包括下部为钢筋混凝土结构或钢结构、上部为纯木结构的上下混合木结构以及混凝土核心筒木结构等。</w:t>
      </w:r>
    </w:p>
    <w:p w14:paraId="241BA052">
      <w:pPr>
        <w:pStyle w:val="4"/>
        <w:rPr>
          <w:color w:val="auto"/>
          <w:highlight w:val="none"/>
          <w:u w:val="none"/>
        </w:rPr>
      </w:pPr>
      <w:r>
        <w:rPr>
          <w:b/>
          <w:bCs/>
          <w:color w:val="auto"/>
          <w:highlight w:val="none"/>
          <w:u w:val="none"/>
        </w:rPr>
        <w:t>2.1.</w:t>
      </w:r>
      <w:r>
        <w:rPr>
          <w:rFonts w:hint="eastAsia"/>
          <w:b/>
          <w:bCs/>
          <w:color w:val="auto"/>
          <w:highlight w:val="none"/>
          <w:u w:val="none"/>
          <w:lang w:val="en-US" w:eastAsia="zh-CN"/>
        </w:rPr>
        <w:t>5</w:t>
      </w:r>
      <w:r>
        <w:rPr>
          <w:rFonts w:hint="eastAsia"/>
          <w:b/>
          <w:bCs/>
          <w:color w:val="auto"/>
          <w:highlight w:val="none"/>
          <w:u w:val="none"/>
          <w:lang w:eastAsia="zh-CN"/>
        </w:rPr>
        <w:t xml:space="preserve">  </w:t>
      </w:r>
      <w:r>
        <w:rPr>
          <w:rFonts w:hint="eastAsia"/>
          <w:color w:val="auto"/>
          <w:highlight w:val="none"/>
          <w:u w:val="none"/>
        </w:rPr>
        <w:t>木框架支撑结构</w:t>
      </w:r>
      <w:r>
        <w:rPr>
          <w:rFonts w:hint="eastAsia"/>
          <w:color w:val="auto"/>
          <w:highlight w:val="none"/>
          <w:u w:val="none"/>
          <w:lang w:eastAsia="zh-CN"/>
        </w:rPr>
        <w:t xml:space="preserve"> </w:t>
      </w:r>
      <w:r>
        <w:rPr>
          <w:color w:val="auto"/>
          <w:highlight w:val="none"/>
          <w:u w:val="none"/>
        </w:rPr>
        <w:t>wood</w:t>
      </w:r>
      <w:r>
        <w:rPr>
          <w:rFonts w:hint="eastAsia"/>
          <w:color w:val="auto"/>
          <w:highlight w:val="none"/>
          <w:u w:val="none"/>
          <w:lang w:eastAsia="zh-CN"/>
        </w:rPr>
        <w:t xml:space="preserve"> </w:t>
      </w:r>
      <w:r>
        <w:rPr>
          <w:color w:val="auto"/>
          <w:highlight w:val="none"/>
          <w:u w:val="none"/>
        </w:rPr>
        <w:t>post-and-beam</w:t>
      </w:r>
      <w:r>
        <w:rPr>
          <w:rFonts w:hint="eastAsia"/>
          <w:color w:val="auto"/>
          <w:highlight w:val="none"/>
          <w:u w:val="none"/>
          <w:lang w:eastAsia="zh-CN"/>
        </w:rPr>
        <w:t xml:space="preserve"> </w:t>
      </w:r>
      <w:r>
        <w:rPr>
          <w:color w:val="auto"/>
          <w:highlight w:val="none"/>
          <w:u w:val="none"/>
        </w:rPr>
        <w:t>structure</w:t>
      </w:r>
      <w:r>
        <w:rPr>
          <w:rFonts w:hint="eastAsia"/>
          <w:color w:val="auto"/>
          <w:highlight w:val="none"/>
          <w:u w:val="none"/>
          <w:lang w:eastAsia="zh-CN"/>
        </w:rPr>
        <w:t xml:space="preserve"> </w:t>
      </w:r>
      <w:r>
        <w:rPr>
          <w:color w:val="auto"/>
          <w:highlight w:val="none"/>
          <w:u w:val="none"/>
        </w:rPr>
        <w:t>with</w:t>
      </w:r>
      <w:r>
        <w:rPr>
          <w:rFonts w:hint="eastAsia"/>
          <w:color w:val="auto"/>
          <w:highlight w:val="none"/>
          <w:u w:val="none"/>
          <w:lang w:eastAsia="zh-CN"/>
        </w:rPr>
        <w:t xml:space="preserve"> </w:t>
      </w:r>
      <w:r>
        <w:rPr>
          <w:color w:val="auto"/>
          <w:highlight w:val="none"/>
          <w:u w:val="none"/>
        </w:rPr>
        <w:t>bracing</w:t>
      </w:r>
      <w:r>
        <w:rPr>
          <w:rFonts w:hint="eastAsia"/>
          <w:color w:val="auto"/>
          <w:highlight w:val="none"/>
          <w:u w:val="none"/>
          <w:lang w:eastAsia="zh-CN"/>
        </w:rPr>
        <w:t xml:space="preserve"> </w:t>
      </w:r>
      <w:r>
        <w:rPr>
          <w:color w:val="auto"/>
          <w:highlight w:val="none"/>
          <w:u w:val="none"/>
        </w:rPr>
        <w:t>system</w:t>
      </w:r>
    </w:p>
    <w:p w14:paraId="62910714">
      <w:pPr>
        <w:pStyle w:val="4"/>
        <w:ind w:firstLine="480" w:firstLineChars="200"/>
        <w:rPr>
          <w:color w:val="auto"/>
          <w:highlight w:val="none"/>
          <w:u w:val="none"/>
        </w:rPr>
      </w:pPr>
      <w:r>
        <w:rPr>
          <w:rFonts w:hint="eastAsia"/>
          <w:color w:val="auto"/>
          <w:highlight w:val="none"/>
          <w:u w:val="none"/>
        </w:rPr>
        <w:t>采用梁柱作为主要竖向承重构件，以支撑作为主要抗侧力构件的木结构，支撑材料可为木材或其他材料。</w:t>
      </w:r>
    </w:p>
    <w:p w14:paraId="2B01E507">
      <w:pPr>
        <w:pStyle w:val="4"/>
        <w:rPr>
          <w:color w:val="auto"/>
          <w:highlight w:val="none"/>
          <w:u w:val="none"/>
        </w:rPr>
      </w:pPr>
      <w:r>
        <w:rPr>
          <w:b/>
          <w:bCs/>
          <w:color w:val="auto"/>
          <w:highlight w:val="none"/>
          <w:u w:val="none"/>
        </w:rPr>
        <w:t>2.1.</w:t>
      </w:r>
      <w:r>
        <w:rPr>
          <w:rFonts w:hint="eastAsia"/>
          <w:b/>
          <w:bCs/>
          <w:color w:val="auto"/>
          <w:highlight w:val="none"/>
          <w:u w:val="none"/>
          <w:lang w:val="en-US" w:eastAsia="zh-CN"/>
        </w:rPr>
        <w:t>6</w:t>
      </w:r>
      <w:r>
        <w:rPr>
          <w:rFonts w:hint="eastAsia"/>
          <w:b/>
          <w:bCs/>
          <w:color w:val="auto"/>
          <w:highlight w:val="none"/>
          <w:u w:val="none"/>
          <w:lang w:eastAsia="zh-CN"/>
        </w:rPr>
        <w:t xml:space="preserve">  </w:t>
      </w:r>
      <w:r>
        <w:rPr>
          <w:rFonts w:hint="eastAsia"/>
          <w:color w:val="auto"/>
          <w:highlight w:val="none"/>
          <w:u w:val="none"/>
        </w:rPr>
        <w:t>木框架剪力墙结构</w:t>
      </w:r>
      <w:r>
        <w:rPr>
          <w:rFonts w:hint="eastAsia"/>
          <w:color w:val="auto"/>
          <w:highlight w:val="none"/>
          <w:u w:val="none"/>
          <w:lang w:eastAsia="zh-CN"/>
        </w:rPr>
        <w:t xml:space="preserve"> </w:t>
      </w:r>
      <w:r>
        <w:rPr>
          <w:color w:val="auto"/>
          <w:highlight w:val="none"/>
          <w:u w:val="none"/>
        </w:rPr>
        <w:t>post-and-beam</w:t>
      </w:r>
      <w:r>
        <w:rPr>
          <w:rFonts w:hint="eastAsia"/>
          <w:color w:val="auto"/>
          <w:highlight w:val="none"/>
          <w:u w:val="none"/>
          <w:lang w:eastAsia="zh-CN"/>
        </w:rPr>
        <w:t xml:space="preserve"> </w:t>
      </w:r>
      <w:r>
        <w:rPr>
          <w:color w:val="auto"/>
          <w:highlight w:val="none"/>
          <w:u w:val="none"/>
        </w:rPr>
        <w:t>s</w:t>
      </w:r>
      <w:r>
        <w:rPr>
          <w:rFonts w:hint="eastAsia"/>
          <w:color w:val="auto"/>
          <w:highlight w:val="none"/>
          <w:u w:val="none"/>
        </w:rPr>
        <w:t>t</w:t>
      </w:r>
      <w:r>
        <w:rPr>
          <w:color w:val="auto"/>
          <w:highlight w:val="none"/>
          <w:u w:val="none"/>
        </w:rPr>
        <w:t>ructure</w:t>
      </w:r>
      <w:r>
        <w:rPr>
          <w:rFonts w:hint="eastAsia"/>
          <w:color w:val="auto"/>
          <w:highlight w:val="none"/>
          <w:u w:val="none"/>
          <w:lang w:eastAsia="zh-CN"/>
        </w:rPr>
        <w:t xml:space="preserve"> </w:t>
      </w:r>
      <w:r>
        <w:rPr>
          <w:color w:val="auto"/>
          <w:highlight w:val="none"/>
          <w:u w:val="none"/>
        </w:rPr>
        <w:t>with</w:t>
      </w:r>
      <w:r>
        <w:rPr>
          <w:rFonts w:hint="eastAsia"/>
          <w:color w:val="auto"/>
          <w:highlight w:val="none"/>
          <w:u w:val="none"/>
          <w:lang w:eastAsia="zh-CN"/>
        </w:rPr>
        <w:t xml:space="preserve"> </w:t>
      </w:r>
      <w:r>
        <w:rPr>
          <w:color w:val="auto"/>
          <w:highlight w:val="none"/>
          <w:u w:val="none"/>
        </w:rPr>
        <w:t>wood</w:t>
      </w:r>
      <w:r>
        <w:rPr>
          <w:rFonts w:hint="eastAsia"/>
          <w:color w:val="auto"/>
          <w:highlight w:val="none"/>
          <w:u w:val="none"/>
          <w:lang w:eastAsia="zh-CN"/>
        </w:rPr>
        <w:t xml:space="preserve"> </w:t>
      </w:r>
      <w:r>
        <w:rPr>
          <w:color w:val="auto"/>
          <w:highlight w:val="none"/>
          <w:u w:val="none"/>
        </w:rPr>
        <w:t>shear</w:t>
      </w:r>
      <w:r>
        <w:rPr>
          <w:rFonts w:hint="eastAsia"/>
          <w:color w:val="auto"/>
          <w:highlight w:val="none"/>
          <w:u w:val="none"/>
          <w:lang w:eastAsia="zh-CN"/>
        </w:rPr>
        <w:t xml:space="preserve"> </w:t>
      </w:r>
      <w:r>
        <w:rPr>
          <w:color w:val="auto"/>
          <w:highlight w:val="none"/>
          <w:u w:val="none"/>
        </w:rPr>
        <w:t>wall</w:t>
      </w:r>
      <w:r>
        <w:rPr>
          <w:rFonts w:hint="eastAsia"/>
          <w:color w:val="auto"/>
          <w:highlight w:val="none"/>
          <w:u w:val="none"/>
          <w:lang w:eastAsia="zh-CN"/>
        </w:rPr>
        <w:t xml:space="preserve"> </w:t>
      </w:r>
      <w:r>
        <w:rPr>
          <w:color w:val="auto"/>
          <w:highlight w:val="none"/>
          <w:u w:val="none"/>
        </w:rPr>
        <w:t>system</w:t>
      </w:r>
    </w:p>
    <w:p w14:paraId="7CA581C2">
      <w:pPr>
        <w:pStyle w:val="4"/>
        <w:ind w:firstLine="480" w:firstLineChars="200"/>
        <w:rPr>
          <w:color w:val="auto"/>
          <w:highlight w:val="none"/>
          <w:u w:val="none"/>
          <w:lang w:eastAsia="zh-CN"/>
        </w:rPr>
      </w:pPr>
      <w:r>
        <w:rPr>
          <w:rFonts w:hint="eastAsia"/>
          <w:color w:val="auto"/>
          <w:highlight w:val="none"/>
          <w:u w:val="none"/>
          <w:lang w:eastAsia="zh-CN"/>
        </w:rPr>
        <w:t>采用梁柱作为主要竖向承重构件，以剪力墙作为主要抗侧力构件的木结构。剪力墙可采用轻型木结构墙体或正交胶合木墙体。</w:t>
      </w:r>
    </w:p>
    <w:p w14:paraId="58B48F91">
      <w:pPr>
        <w:pStyle w:val="4"/>
        <w:rPr>
          <w:color w:val="auto"/>
          <w:highlight w:val="none"/>
          <w:u w:val="none"/>
        </w:rPr>
      </w:pPr>
      <w:r>
        <w:rPr>
          <w:b/>
          <w:bCs/>
          <w:color w:val="auto"/>
          <w:highlight w:val="none"/>
          <w:u w:val="none"/>
        </w:rPr>
        <w:t>2.1.</w:t>
      </w:r>
      <w:r>
        <w:rPr>
          <w:rFonts w:hint="eastAsia"/>
          <w:b/>
          <w:bCs/>
          <w:color w:val="auto"/>
          <w:highlight w:val="none"/>
          <w:u w:val="none"/>
          <w:lang w:val="en-US" w:eastAsia="zh-CN"/>
        </w:rPr>
        <w:t>7</w:t>
      </w:r>
      <w:r>
        <w:rPr>
          <w:rFonts w:hint="eastAsia"/>
          <w:b/>
          <w:bCs/>
          <w:color w:val="auto"/>
          <w:highlight w:val="none"/>
          <w:u w:val="none"/>
          <w:lang w:eastAsia="zh-CN"/>
        </w:rPr>
        <w:t xml:space="preserve">  </w:t>
      </w:r>
      <w:r>
        <w:rPr>
          <w:rFonts w:hint="eastAsia"/>
          <w:color w:val="auto"/>
          <w:highlight w:val="none"/>
          <w:u w:val="none"/>
        </w:rPr>
        <w:t>正交胶合木剪力墙结构</w:t>
      </w:r>
      <w:r>
        <w:rPr>
          <w:rFonts w:hint="eastAsia"/>
          <w:color w:val="auto"/>
          <w:highlight w:val="none"/>
          <w:u w:val="none"/>
          <w:lang w:eastAsia="zh-CN"/>
        </w:rPr>
        <w:t xml:space="preserve"> </w:t>
      </w:r>
      <w:r>
        <w:rPr>
          <w:color w:val="auto"/>
          <w:highlight w:val="none"/>
          <w:u w:val="none"/>
        </w:rPr>
        <w:t>cross</w:t>
      </w:r>
      <w:r>
        <w:rPr>
          <w:rFonts w:hint="eastAsia"/>
          <w:color w:val="auto"/>
          <w:highlight w:val="none"/>
          <w:u w:val="none"/>
          <w:lang w:eastAsia="zh-CN"/>
        </w:rPr>
        <w:t xml:space="preserve"> </w:t>
      </w:r>
      <w:r>
        <w:rPr>
          <w:color w:val="auto"/>
          <w:highlight w:val="none"/>
          <w:u w:val="none"/>
        </w:rPr>
        <w:t>laminated</w:t>
      </w:r>
      <w:r>
        <w:rPr>
          <w:rFonts w:hint="eastAsia"/>
          <w:color w:val="auto"/>
          <w:highlight w:val="none"/>
          <w:u w:val="none"/>
          <w:lang w:eastAsia="zh-CN"/>
        </w:rPr>
        <w:t xml:space="preserve"> </w:t>
      </w:r>
      <w:r>
        <w:rPr>
          <w:color w:val="auto"/>
          <w:highlight w:val="none"/>
          <w:u w:val="none"/>
        </w:rPr>
        <w:t>timber</w:t>
      </w:r>
      <w:r>
        <w:rPr>
          <w:rFonts w:hint="eastAsia"/>
          <w:color w:val="auto"/>
          <w:highlight w:val="none"/>
          <w:u w:val="none"/>
          <w:lang w:eastAsia="zh-CN"/>
        </w:rPr>
        <w:t xml:space="preserve"> </w:t>
      </w:r>
      <w:r>
        <w:rPr>
          <w:color w:val="auto"/>
          <w:highlight w:val="none"/>
          <w:u w:val="none"/>
        </w:rPr>
        <w:t>shear</w:t>
      </w:r>
      <w:r>
        <w:rPr>
          <w:rFonts w:hint="eastAsia"/>
          <w:color w:val="auto"/>
          <w:highlight w:val="none"/>
          <w:u w:val="none"/>
          <w:lang w:eastAsia="zh-CN"/>
        </w:rPr>
        <w:t xml:space="preserve"> </w:t>
      </w:r>
      <w:r>
        <w:rPr>
          <w:color w:val="auto"/>
          <w:highlight w:val="none"/>
          <w:u w:val="none"/>
        </w:rPr>
        <w:t>wall</w:t>
      </w:r>
      <w:r>
        <w:rPr>
          <w:rFonts w:hint="eastAsia"/>
          <w:color w:val="auto"/>
          <w:highlight w:val="none"/>
          <w:u w:val="none"/>
          <w:lang w:eastAsia="zh-CN"/>
        </w:rPr>
        <w:t xml:space="preserve"> </w:t>
      </w:r>
      <w:r>
        <w:rPr>
          <w:color w:val="auto"/>
          <w:highlight w:val="none"/>
          <w:u w:val="none"/>
        </w:rPr>
        <w:t>structure</w:t>
      </w:r>
    </w:p>
    <w:p w14:paraId="61829ECA">
      <w:pPr>
        <w:pStyle w:val="4"/>
        <w:ind w:firstLine="480" w:firstLineChars="200"/>
        <w:rPr>
          <w:color w:val="auto"/>
          <w:highlight w:val="none"/>
          <w:u w:val="none"/>
        </w:rPr>
      </w:pPr>
      <w:r>
        <w:rPr>
          <w:rFonts w:hint="eastAsia"/>
          <w:color w:val="auto"/>
          <w:highlight w:val="none"/>
          <w:u w:val="none"/>
        </w:rPr>
        <w:t>采用正交胶合木（</w:t>
      </w:r>
      <w:r>
        <w:rPr>
          <w:color w:val="auto"/>
          <w:highlight w:val="none"/>
          <w:u w:val="none"/>
        </w:rPr>
        <w:t>CLT</w:t>
      </w:r>
      <w:r>
        <w:rPr>
          <w:rFonts w:hint="eastAsia"/>
          <w:color w:val="auto"/>
          <w:highlight w:val="none"/>
          <w:u w:val="none"/>
        </w:rPr>
        <w:t>）剪力墙作为主要受力构件的木结构。</w:t>
      </w:r>
    </w:p>
    <w:p w14:paraId="0EF34669">
      <w:pPr>
        <w:pStyle w:val="4"/>
        <w:rPr>
          <w:color w:val="auto"/>
          <w:highlight w:val="none"/>
          <w:u w:val="none"/>
        </w:rPr>
      </w:pPr>
      <w:r>
        <w:rPr>
          <w:b/>
          <w:bCs/>
          <w:color w:val="auto"/>
          <w:highlight w:val="none"/>
          <w:u w:val="none"/>
        </w:rPr>
        <w:t>2.1.</w:t>
      </w:r>
      <w:r>
        <w:rPr>
          <w:rFonts w:hint="eastAsia"/>
          <w:b/>
          <w:bCs/>
          <w:color w:val="auto"/>
          <w:highlight w:val="none"/>
          <w:u w:val="none"/>
          <w:lang w:val="en-US" w:eastAsia="zh-CN"/>
        </w:rPr>
        <w:t>8</w:t>
      </w:r>
      <w:r>
        <w:rPr>
          <w:rFonts w:hint="eastAsia"/>
          <w:b/>
          <w:bCs/>
          <w:color w:val="auto"/>
          <w:highlight w:val="none"/>
          <w:u w:val="none"/>
          <w:lang w:eastAsia="zh-CN"/>
        </w:rPr>
        <w:t xml:space="preserve">  </w:t>
      </w:r>
      <w:r>
        <w:rPr>
          <w:rFonts w:hint="eastAsia"/>
          <w:color w:val="auto"/>
          <w:highlight w:val="none"/>
          <w:u w:val="none"/>
        </w:rPr>
        <w:t>上下混合木结构</w:t>
      </w:r>
      <w:r>
        <w:rPr>
          <w:rFonts w:hint="eastAsia"/>
          <w:color w:val="auto"/>
          <w:highlight w:val="none"/>
          <w:u w:val="none"/>
          <w:lang w:eastAsia="zh-CN"/>
        </w:rPr>
        <w:t xml:space="preserve"> </w:t>
      </w:r>
      <w:r>
        <w:rPr>
          <w:color w:val="auto"/>
          <w:highlight w:val="none"/>
          <w:u w:val="none"/>
        </w:rPr>
        <w:t>vertical</w:t>
      </w:r>
      <w:r>
        <w:rPr>
          <w:rFonts w:hint="eastAsia"/>
          <w:color w:val="auto"/>
          <w:highlight w:val="none"/>
          <w:u w:val="none"/>
          <w:lang w:eastAsia="zh-CN"/>
        </w:rPr>
        <w:t xml:space="preserve"> </w:t>
      </w:r>
      <w:r>
        <w:rPr>
          <w:color w:val="auto"/>
          <w:highlight w:val="none"/>
          <w:u w:val="none"/>
        </w:rPr>
        <w:t>hybrid</w:t>
      </w:r>
      <w:r>
        <w:rPr>
          <w:rFonts w:hint="eastAsia"/>
          <w:color w:val="auto"/>
          <w:highlight w:val="none"/>
          <w:u w:val="none"/>
          <w:lang w:eastAsia="zh-CN"/>
        </w:rPr>
        <w:t xml:space="preserve"> </w:t>
      </w:r>
      <w:r>
        <w:rPr>
          <w:color w:val="auto"/>
          <w:highlight w:val="none"/>
          <w:u w:val="none"/>
        </w:rPr>
        <w:t>timber</w:t>
      </w:r>
      <w:r>
        <w:rPr>
          <w:rFonts w:hint="eastAsia"/>
          <w:color w:val="auto"/>
          <w:highlight w:val="none"/>
          <w:u w:val="none"/>
          <w:lang w:eastAsia="zh-CN"/>
        </w:rPr>
        <w:t xml:space="preserve"> </w:t>
      </w:r>
      <w:r>
        <w:rPr>
          <w:color w:val="auto"/>
          <w:highlight w:val="none"/>
          <w:u w:val="none"/>
        </w:rPr>
        <w:t>structure</w:t>
      </w:r>
    </w:p>
    <w:p w14:paraId="1C6C9E04">
      <w:pPr>
        <w:pStyle w:val="4"/>
        <w:ind w:firstLine="480" w:firstLineChars="200"/>
        <w:rPr>
          <w:color w:val="auto"/>
          <w:highlight w:val="none"/>
          <w:u w:val="none"/>
        </w:rPr>
      </w:pPr>
      <w:r>
        <w:rPr>
          <w:rFonts w:hint="eastAsia"/>
          <w:color w:val="auto"/>
          <w:highlight w:val="none"/>
          <w:u w:val="none"/>
        </w:rPr>
        <w:t>木混合结构中，下部采用混凝土结构或钢结构，上部采用纯木结构的结构体系。</w:t>
      </w:r>
    </w:p>
    <w:p w14:paraId="298D7521">
      <w:pPr>
        <w:pStyle w:val="4"/>
        <w:rPr>
          <w:color w:val="auto"/>
          <w:highlight w:val="none"/>
          <w:u w:val="none"/>
        </w:rPr>
      </w:pPr>
      <w:r>
        <w:rPr>
          <w:b/>
          <w:bCs/>
          <w:color w:val="auto"/>
          <w:highlight w:val="none"/>
          <w:u w:val="none"/>
        </w:rPr>
        <w:t>2.1.</w:t>
      </w:r>
      <w:r>
        <w:rPr>
          <w:rFonts w:hint="eastAsia"/>
          <w:b/>
          <w:bCs/>
          <w:color w:val="auto"/>
          <w:highlight w:val="none"/>
          <w:u w:val="none"/>
          <w:lang w:val="en-US" w:eastAsia="zh-CN"/>
        </w:rPr>
        <w:t>9</w:t>
      </w:r>
      <w:r>
        <w:rPr>
          <w:rFonts w:hint="eastAsia"/>
          <w:b/>
          <w:bCs/>
          <w:color w:val="auto"/>
          <w:highlight w:val="none"/>
          <w:u w:val="none"/>
          <w:lang w:eastAsia="zh-CN"/>
        </w:rPr>
        <w:t xml:space="preserve">  </w:t>
      </w:r>
      <w:r>
        <w:rPr>
          <w:rFonts w:hint="eastAsia"/>
          <w:color w:val="auto"/>
          <w:highlight w:val="none"/>
          <w:u w:val="none"/>
        </w:rPr>
        <w:t>混凝土核心筒木结构</w:t>
      </w:r>
      <w:r>
        <w:rPr>
          <w:rFonts w:hint="eastAsia"/>
          <w:color w:val="auto"/>
          <w:highlight w:val="none"/>
          <w:u w:val="none"/>
          <w:lang w:eastAsia="zh-CN"/>
        </w:rPr>
        <w:t xml:space="preserve"> </w:t>
      </w:r>
      <w:r>
        <w:rPr>
          <w:color w:val="auto"/>
          <w:highlight w:val="none"/>
          <w:u w:val="none"/>
        </w:rPr>
        <w:t>timber</w:t>
      </w:r>
      <w:r>
        <w:rPr>
          <w:rFonts w:hint="eastAsia"/>
          <w:color w:val="auto"/>
          <w:highlight w:val="none"/>
          <w:u w:val="none"/>
          <w:lang w:eastAsia="zh-CN"/>
        </w:rPr>
        <w:t xml:space="preserve"> </w:t>
      </w:r>
      <w:r>
        <w:rPr>
          <w:color w:val="auto"/>
          <w:highlight w:val="none"/>
          <w:u w:val="none"/>
        </w:rPr>
        <w:t>structure</w:t>
      </w:r>
      <w:r>
        <w:rPr>
          <w:rFonts w:hint="eastAsia"/>
          <w:color w:val="auto"/>
          <w:highlight w:val="none"/>
          <w:u w:val="none"/>
          <w:lang w:eastAsia="zh-CN"/>
        </w:rPr>
        <w:t xml:space="preserve"> </w:t>
      </w:r>
      <w:r>
        <w:rPr>
          <w:color w:val="auto"/>
          <w:highlight w:val="none"/>
          <w:u w:val="none"/>
        </w:rPr>
        <w:t>with</w:t>
      </w:r>
      <w:r>
        <w:rPr>
          <w:rFonts w:hint="eastAsia"/>
          <w:color w:val="auto"/>
          <w:highlight w:val="none"/>
          <w:u w:val="none"/>
          <w:lang w:eastAsia="zh-CN"/>
        </w:rPr>
        <w:t xml:space="preserve"> </w:t>
      </w:r>
      <w:r>
        <w:rPr>
          <w:color w:val="auto"/>
          <w:highlight w:val="none"/>
          <w:u w:val="none"/>
        </w:rPr>
        <w:t>concrete</w:t>
      </w:r>
      <w:r>
        <w:rPr>
          <w:rFonts w:hint="eastAsia"/>
          <w:color w:val="auto"/>
          <w:highlight w:val="none"/>
          <w:u w:val="none"/>
          <w:lang w:eastAsia="zh-CN"/>
        </w:rPr>
        <w:t xml:space="preserve"> </w:t>
      </w:r>
      <w:r>
        <w:rPr>
          <w:color w:val="auto"/>
          <w:highlight w:val="none"/>
          <w:u w:val="none"/>
        </w:rPr>
        <w:t>tube</w:t>
      </w:r>
    </w:p>
    <w:p w14:paraId="3A1CDA65">
      <w:pPr>
        <w:pStyle w:val="4"/>
        <w:ind w:firstLine="480" w:firstLineChars="200"/>
        <w:rPr>
          <w:color w:val="auto"/>
          <w:highlight w:val="none"/>
          <w:u w:val="none"/>
        </w:rPr>
      </w:pPr>
      <w:r>
        <w:rPr>
          <w:rFonts w:hint="eastAsia"/>
          <w:color w:val="auto"/>
          <w:highlight w:val="none"/>
          <w:u w:val="none"/>
        </w:rPr>
        <w:t>木混合结构中，主要抗侧力构件采用</w:t>
      </w:r>
      <w:r>
        <w:rPr>
          <w:rFonts w:hint="eastAsia"/>
          <w:color w:val="auto"/>
          <w:highlight w:val="none"/>
          <w:u w:val="none"/>
          <w:lang w:eastAsia="zh-CN"/>
        </w:rPr>
        <w:t>钢筋混凝土</w:t>
      </w:r>
      <w:r>
        <w:rPr>
          <w:rFonts w:hint="eastAsia"/>
          <w:color w:val="auto"/>
          <w:highlight w:val="none"/>
          <w:u w:val="none"/>
        </w:rPr>
        <w:t>核心筒，其余承重构件均采用木质构件的结构体系。</w:t>
      </w:r>
    </w:p>
    <w:p w14:paraId="5BAB1A55">
      <w:pPr>
        <w:pStyle w:val="4"/>
        <w:rPr>
          <w:rFonts w:hint="default"/>
          <w:color w:val="auto"/>
          <w:highlight w:val="none"/>
          <w:u w:val="none"/>
          <w:lang w:val="en-US" w:eastAsia="zh-CN"/>
        </w:rPr>
      </w:pPr>
      <w:r>
        <w:rPr>
          <w:b/>
          <w:bCs/>
          <w:color w:val="auto"/>
          <w:highlight w:val="none"/>
          <w:u w:val="none"/>
        </w:rPr>
        <w:t>2.1.</w:t>
      </w:r>
      <w:r>
        <w:rPr>
          <w:rFonts w:hint="eastAsia"/>
          <w:b/>
          <w:bCs/>
          <w:color w:val="auto"/>
          <w:highlight w:val="none"/>
          <w:u w:val="none"/>
          <w:lang w:val="en-US" w:eastAsia="zh-CN"/>
        </w:rPr>
        <w:t>10</w:t>
      </w:r>
      <w:r>
        <w:rPr>
          <w:rFonts w:hint="eastAsia"/>
          <w:b/>
          <w:bCs/>
          <w:color w:val="auto"/>
          <w:highlight w:val="none"/>
          <w:u w:val="none"/>
          <w:lang w:eastAsia="zh-CN"/>
        </w:rPr>
        <w:t xml:space="preserve">  </w:t>
      </w:r>
      <w:r>
        <w:rPr>
          <w:rFonts w:hint="eastAsia"/>
          <w:color w:val="auto"/>
          <w:highlight w:val="none"/>
          <w:u w:val="none"/>
          <w:lang w:eastAsia="zh-CN"/>
        </w:rPr>
        <w:t>方木</w:t>
      </w:r>
      <w:r>
        <w:rPr>
          <w:rFonts w:hint="eastAsia"/>
          <w:color w:val="auto"/>
          <w:highlight w:val="none"/>
          <w:u w:val="none"/>
          <w:lang w:val="en-US" w:eastAsia="zh-CN"/>
        </w:rPr>
        <w:t xml:space="preserve"> </w:t>
      </w:r>
      <w:r>
        <w:rPr>
          <w:color w:val="auto"/>
          <w:highlight w:val="none"/>
          <w:u w:val="none"/>
        </w:rPr>
        <w:t>square</w:t>
      </w:r>
      <w:r>
        <w:rPr>
          <w:rFonts w:hint="eastAsia"/>
          <w:color w:val="auto"/>
          <w:highlight w:val="none"/>
          <w:u w:val="none"/>
          <w:lang w:val="en-US" w:eastAsia="zh-CN"/>
        </w:rPr>
        <w:t xml:space="preserve"> </w:t>
      </w:r>
      <w:r>
        <w:rPr>
          <w:rFonts w:hint="default"/>
          <w:color w:val="auto"/>
          <w:highlight w:val="none"/>
          <w:u w:val="none"/>
        </w:rPr>
        <w:t>timber</w:t>
      </w:r>
    </w:p>
    <w:p w14:paraId="52114638">
      <w:pPr>
        <w:pStyle w:val="4"/>
        <w:ind w:firstLine="480" w:firstLineChars="200"/>
        <w:rPr>
          <w:color w:val="auto"/>
          <w:highlight w:val="none"/>
          <w:u w:val="none"/>
          <w:lang w:eastAsia="zh-CN"/>
        </w:rPr>
      </w:pPr>
      <w:r>
        <w:rPr>
          <w:rFonts w:hint="eastAsia"/>
          <w:color w:val="auto"/>
          <w:highlight w:val="none"/>
          <w:u w:val="none"/>
          <w:lang w:eastAsia="zh-CN"/>
        </w:rPr>
        <w:t>直角锯切且宽厚比小于3、截面为矩形（包括方形）的锯材。</w:t>
      </w:r>
    </w:p>
    <w:p w14:paraId="22FA6E88">
      <w:pPr>
        <w:pStyle w:val="4"/>
        <w:rPr>
          <w:rFonts w:hint="default"/>
          <w:color w:val="auto"/>
          <w:highlight w:val="none"/>
          <w:u w:val="none"/>
          <w:lang w:val="en-US" w:eastAsia="zh-CN"/>
        </w:rPr>
      </w:pPr>
      <w:r>
        <w:rPr>
          <w:rFonts w:hint="eastAsia"/>
          <w:b/>
          <w:bCs/>
          <w:color w:val="auto"/>
          <w:highlight w:val="none"/>
          <w:u w:val="none"/>
          <w:lang w:eastAsia="zh-CN"/>
        </w:rPr>
        <w:t>2.1.1</w:t>
      </w:r>
      <w:r>
        <w:rPr>
          <w:rFonts w:hint="eastAsia"/>
          <w:b/>
          <w:bCs/>
          <w:color w:val="auto"/>
          <w:highlight w:val="none"/>
          <w:u w:val="none"/>
          <w:lang w:val="en-US" w:eastAsia="zh-CN"/>
        </w:rPr>
        <w:t>1</w:t>
      </w:r>
      <w:r>
        <w:rPr>
          <w:rFonts w:hint="eastAsia"/>
          <w:b/>
          <w:bCs/>
          <w:color w:val="auto"/>
          <w:highlight w:val="none"/>
          <w:u w:val="none"/>
          <w:lang w:eastAsia="zh-CN"/>
        </w:rPr>
        <w:t xml:space="preserve">  </w:t>
      </w:r>
      <w:r>
        <w:rPr>
          <w:rFonts w:hint="eastAsia"/>
          <w:color w:val="auto"/>
          <w:highlight w:val="none"/>
          <w:u w:val="none"/>
          <w:lang w:eastAsia="zh-CN"/>
        </w:rPr>
        <w:t>原木</w:t>
      </w:r>
      <w:r>
        <w:rPr>
          <w:rFonts w:hint="eastAsia"/>
          <w:color w:val="auto"/>
          <w:highlight w:val="none"/>
          <w:u w:val="none"/>
          <w:lang w:val="en-US" w:eastAsia="zh-CN"/>
        </w:rPr>
        <w:t xml:space="preserve"> </w:t>
      </w:r>
      <w:r>
        <w:rPr>
          <w:rFonts w:hint="default" w:ascii="Helvetica" w:hAnsi="Helvetica" w:eastAsia="Helvetica" w:cs="Helvetica"/>
          <w:i w:val="0"/>
          <w:iCs w:val="0"/>
          <w:caps w:val="0"/>
          <w:color w:val="auto"/>
          <w:spacing w:val="0"/>
          <w:sz w:val="21"/>
          <w:szCs w:val="21"/>
          <w:highlight w:val="none"/>
          <w:shd w:val="clear" w:fill="FFFFFF"/>
        </w:rPr>
        <w:t>log</w:t>
      </w:r>
    </w:p>
    <w:p w14:paraId="0992DD69">
      <w:pPr>
        <w:pStyle w:val="4"/>
        <w:ind w:firstLine="480" w:firstLineChars="200"/>
        <w:rPr>
          <w:color w:val="auto"/>
          <w:highlight w:val="none"/>
          <w:u w:val="none"/>
          <w:lang w:eastAsia="zh-CN"/>
        </w:rPr>
      </w:pPr>
      <w:r>
        <w:rPr>
          <w:rFonts w:hint="eastAsia"/>
          <w:color w:val="auto"/>
          <w:highlight w:val="none"/>
          <w:u w:val="none"/>
          <w:lang w:eastAsia="zh-CN"/>
        </w:rPr>
        <w:t>原条长向按尺寸、形状、质量的标准规定或特殊规定截成一定长度的木段</w:t>
      </w:r>
      <w:r>
        <w:rPr>
          <w:color w:val="auto"/>
          <w:highlight w:val="none"/>
          <w:u w:val="none"/>
          <w:lang w:eastAsia="zh-CN"/>
        </w:rPr>
        <w:t>。</w:t>
      </w:r>
    </w:p>
    <w:p w14:paraId="71A894A5">
      <w:pPr>
        <w:pStyle w:val="4"/>
        <w:rPr>
          <w:color w:val="auto"/>
          <w:highlight w:val="none"/>
          <w:u w:val="none"/>
        </w:rPr>
      </w:pPr>
      <w:r>
        <w:rPr>
          <w:rFonts w:hint="eastAsia"/>
          <w:b/>
          <w:bCs/>
          <w:color w:val="auto"/>
          <w:highlight w:val="none"/>
          <w:u w:val="none"/>
          <w:lang w:eastAsia="zh-CN"/>
        </w:rPr>
        <w:t>2.1.1</w:t>
      </w:r>
      <w:r>
        <w:rPr>
          <w:rFonts w:hint="eastAsia"/>
          <w:b/>
          <w:bCs/>
          <w:color w:val="auto"/>
          <w:highlight w:val="none"/>
          <w:u w:val="none"/>
          <w:lang w:val="en-US" w:eastAsia="zh-CN"/>
        </w:rPr>
        <w:t>2</w:t>
      </w:r>
      <w:r>
        <w:rPr>
          <w:rFonts w:hint="eastAsia"/>
          <w:b/>
          <w:bCs/>
          <w:color w:val="auto"/>
          <w:highlight w:val="none"/>
          <w:u w:val="none"/>
          <w:lang w:eastAsia="zh-CN"/>
        </w:rPr>
        <w:t xml:space="preserve">  </w:t>
      </w:r>
      <w:r>
        <w:rPr>
          <w:rFonts w:hint="eastAsia"/>
          <w:color w:val="auto"/>
          <w:highlight w:val="none"/>
          <w:u w:val="none"/>
        </w:rPr>
        <w:t>木材含水率</w:t>
      </w:r>
      <w:r>
        <w:rPr>
          <w:rFonts w:hint="eastAsia"/>
          <w:color w:val="auto"/>
          <w:highlight w:val="none"/>
          <w:u w:val="none"/>
          <w:lang w:eastAsia="zh-CN"/>
        </w:rPr>
        <w:t xml:space="preserve"> </w:t>
      </w:r>
      <w:r>
        <w:rPr>
          <w:color w:val="auto"/>
          <w:highlight w:val="none"/>
          <w:u w:val="none"/>
        </w:rPr>
        <w:t>moisture</w:t>
      </w:r>
      <w:r>
        <w:rPr>
          <w:rFonts w:hint="eastAsia"/>
          <w:color w:val="auto"/>
          <w:highlight w:val="none"/>
          <w:u w:val="none"/>
          <w:lang w:eastAsia="zh-CN"/>
        </w:rPr>
        <w:t xml:space="preserve"> </w:t>
      </w:r>
      <w:r>
        <w:rPr>
          <w:color w:val="auto"/>
          <w:highlight w:val="none"/>
          <w:u w:val="none"/>
        </w:rPr>
        <w:t>content</w:t>
      </w:r>
      <w:r>
        <w:rPr>
          <w:rFonts w:hint="eastAsia"/>
          <w:color w:val="auto"/>
          <w:highlight w:val="none"/>
          <w:u w:val="none"/>
          <w:lang w:eastAsia="zh-CN"/>
        </w:rPr>
        <w:t xml:space="preserve"> </w:t>
      </w:r>
      <w:r>
        <w:rPr>
          <w:color w:val="auto"/>
          <w:highlight w:val="none"/>
          <w:u w:val="none"/>
        </w:rPr>
        <w:t>of</w:t>
      </w:r>
      <w:r>
        <w:rPr>
          <w:rFonts w:hint="eastAsia"/>
          <w:color w:val="auto"/>
          <w:highlight w:val="none"/>
          <w:u w:val="none"/>
          <w:lang w:eastAsia="zh-CN"/>
        </w:rPr>
        <w:t xml:space="preserve"> </w:t>
      </w:r>
      <w:r>
        <w:rPr>
          <w:color w:val="auto"/>
          <w:highlight w:val="none"/>
          <w:u w:val="none"/>
        </w:rPr>
        <w:t>wood</w:t>
      </w:r>
    </w:p>
    <w:p w14:paraId="2D84102D">
      <w:pPr>
        <w:pStyle w:val="4"/>
        <w:ind w:firstLine="480" w:firstLineChars="200"/>
        <w:rPr>
          <w:color w:val="auto"/>
          <w:highlight w:val="none"/>
          <w:u w:val="none"/>
        </w:rPr>
      </w:pPr>
      <w:r>
        <w:rPr>
          <w:rFonts w:hint="eastAsia"/>
          <w:color w:val="auto"/>
          <w:highlight w:val="none"/>
          <w:u w:val="none"/>
        </w:rPr>
        <w:t>木材内所含水分的重量占木材绝干重量的百分比。</w:t>
      </w:r>
    </w:p>
    <w:p w14:paraId="0EBF97BA">
      <w:pPr>
        <w:pStyle w:val="4"/>
        <w:rPr>
          <w:color w:val="auto"/>
          <w:highlight w:val="none"/>
          <w:u w:val="none"/>
        </w:rPr>
      </w:pPr>
      <w:r>
        <w:rPr>
          <w:b/>
          <w:bCs/>
          <w:color w:val="auto"/>
          <w:highlight w:val="none"/>
          <w:u w:val="none"/>
        </w:rPr>
        <w:t>2.1.1</w:t>
      </w:r>
      <w:r>
        <w:rPr>
          <w:rFonts w:hint="eastAsia"/>
          <w:b/>
          <w:bCs/>
          <w:color w:val="auto"/>
          <w:highlight w:val="none"/>
          <w:u w:val="none"/>
          <w:lang w:val="en-US" w:eastAsia="zh-CN"/>
        </w:rPr>
        <w:t>3</w:t>
      </w:r>
      <w:r>
        <w:rPr>
          <w:rFonts w:hint="eastAsia"/>
          <w:b/>
          <w:bCs/>
          <w:color w:val="auto"/>
          <w:highlight w:val="none"/>
          <w:u w:val="none"/>
          <w:lang w:eastAsia="zh-CN"/>
        </w:rPr>
        <w:t xml:space="preserve">  </w:t>
      </w:r>
      <w:r>
        <w:rPr>
          <w:rFonts w:hint="eastAsia"/>
          <w:color w:val="auto"/>
          <w:highlight w:val="none"/>
          <w:u w:val="none"/>
        </w:rPr>
        <w:t>木材防腐剂</w:t>
      </w:r>
      <w:r>
        <w:rPr>
          <w:rFonts w:hint="eastAsia"/>
          <w:color w:val="auto"/>
          <w:highlight w:val="none"/>
          <w:u w:val="none"/>
          <w:lang w:eastAsia="zh-CN"/>
        </w:rPr>
        <w:t xml:space="preserve"> </w:t>
      </w:r>
      <w:r>
        <w:rPr>
          <w:color w:val="auto"/>
          <w:highlight w:val="none"/>
          <w:u w:val="none"/>
        </w:rPr>
        <w:t>wood</w:t>
      </w:r>
      <w:r>
        <w:rPr>
          <w:rFonts w:hint="eastAsia"/>
          <w:color w:val="auto"/>
          <w:highlight w:val="none"/>
          <w:u w:val="none"/>
          <w:lang w:eastAsia="zh-CN"/>
        </w:rPr>
        <w:t xml:space="preserve"> </w:t>
      </w:r>
      <w:r>
        <w:rPr>
          <w:color w:val="auto"/>
          <w:highlight w:val="none"/>
          <w:u w:val="none"/>
        </w:rPr>
        <w:t>preservative</w:t>
      </w:r>
    </w:p>
    <w:p w14:paraId="7BE0E702">
      <w:pPr>
        <w:pStyle w:val="4"/>
        <w:ind w:firstLine="480" w:firstLineChars="200"/>
        <w:rPr>
          <w:rFonts w:hint="eastAsia"/>
          <w:color w:val="auto"/>
          <w:highlight w:val="none"/>
          <w:u w:val="none"/>
          <w:lang w:eastAsia="zh-CN"/>
        </w:rPr>
      </w:pPr>
      <w:r>
        <w:rPr>
          <w:rFonts w:hint="eastAsia"/>
          <w:color w:val="auto"/>
          <w:highlight w:val="none"/>
          <w:u w:val="none"/>
          <w:lang w:eastAsia="zh-CN"/>
        </w:rPr>
        <w:t>可防止或终止木材腐朽、虫害、长霉或变色的化学药剂，可通过加压处理、常压浸泡或涂刷使用。</w:t>
      </w:r>
    </w:p>
    <w:p w14:paraId="0D072DBA">
      <w:pPr>
        <w:rPr>
          <w:color w:val="auto"/>
          <w:highlight w:val="none"/>
          <w:lang w:eastAsia="zh-CN"/>
        </w:rPr>
      </w:pPr>
      <w:r>
        <w:rPr>
          <w:rFonts w:hint="eastAsia"/>
          <w:b/>
          <w:bCs/>
          <w:color w:val="auto"/>
          <w:highlight w:val="none"/>
          <w:lang w:eastAsia="zh-CN"/>
        </w:rPr>
        <w:t>2.1.14</w:t>
      </w:r>
      <w:r>
        <w:rPr>
          <w:rFonts w:hint="eastAsia"/>
          <w:color w:val="auto"/>
          <w:highlight w:val="none"/>
          <w:lang w:eastAsia="zh-CN"/>
        </w:rPr>
        <w:t xml:space="preserve">  轻型木结构light wood frame construction</w:t>
      </w:r>
    </w:p>
    <w:p w14:paraId="78D6DCA3">
      <w:pPr>
        <w:rPr>
          <w:color w:val="auto"/>
          <w:highlight w:val="none"/>
          <w:lang w:eastAsia="zh-CN"/>
        </w:rPr>
      </w:pPr>
      <w:r>
        <w:rPr>
          <w:rFonts w:hint="eastAsia"/>
          <w:color w:val="auto"/>
          <w:highlight w:val="none"/>
          <w:lang w:eastAsia="zh-CN"/>
        </w:rPr>
        <w:t>用规格材、木基结构板或石膏板制作的木构架墙体、楼板和屋盖系统构成的建筑结构。</w:t>
      </w:r>
    </w:p>
    <w:p w14:paraId="6D6C7277">
      <w:pPr>
        <w:rPr>
          <w:color w:val="auto"/>
          <w:highlight w:val="none"/>
          <w:lang w:eastAsia="zh-CN"/>
        </w:rPr>
      </w:pPr>
      <w:r>
        <w:rPr>
          <w:rFonts w:hint="eastAsia"/>
          <w:b/>
          <w:bCs/>
          <w:color w:val="auto"/>
          <w:highlight w:val="none"/>
          <w:lang w:eastAsia="zh-CN"/>
        </w:rPr>
        <w:t>2.1.15</w:t>
      </w:r>
      <w:r>
        <w:rPr>
          <w:rFonts w:hint="eastAsia"/>
          <w:color w:val="auto"/>
          <w:highlight w:val="none"/>
          <w:lang w:eastAsia="zh-CN"/>
        </w:rPr>
        <w:t xml:space="preserve">  方木原木结构</w:t>
      </w:r>
      <w:r>
        <w:rPr>
          <w:color w:val="auto"/>
          <w:highlight w:val="none"/>
          <w:lang w:eastAsia="zh-CN"/>
        </w:rPr>
        <w:t>sawn and log timber structures</w:t>
      </w:r>
    </w:p>
    <w:p w14:paraId="416B4797">
      <w:pPr>
        <w:rPr>
          <w:color w:val="auto"/>
          <w:highlight w:val="none"/>
          <w:lang w:eastAsia="zh-CN"/>
        </w:rPr>
      </w:pPr>
      <w:r>
        <w:rPr>
          <w:rFonts w:hint="eastAsia"/>
          <w:color w:val="auto"/>
          <w:highlight w:val="none"/>
          <w:lang w:eastAsia="zh-CN"/>
        </w:rPr>
        <w:t>承重构件主要采用方木或原木制作的建筑结构。</w:t>
      </w:r>
    </w:p>
    <w:p w14:paraId="30E1E22F">
      <w:pPr>
        <w:rPr>
          <w:color w:val="auto"/>
          <w:highlight w:val="none"/>
          <w:lang w:eastAsia="zh-CN"/>
        </w:rPr>
      </w:pPr>
      <w:r>
        <w:rPr>
          <w:rFonts w:hint="eastAsia"/>
          <w:b/>
          <w:bCs/>
          <w:color w:val="auto"/>
          <w:highlight w:val="none"/>
          <w:lang w:eastAsia="zh-CN"/>
        </w:rPr>
        <w:t>2.1.16</w:t>
      </w:r>
      <w:r>
        <w:rPr>
          <w:rFonts w:hint="eastAsia"/>
          <w:color w:val="auto"/>
          <w:highlight w:val="none"/>
          <w:lang w:eastAsia="zh-CN"/>
        </w:rPr>
        <w:t xml:space="preserve">  胶合木结构glued laminated timber structures</w:t>
      </w:r>
    </w:p>
    <w:p w14:paraId="375DDBF3">
      <w:pPr>
        <w:rPr>
          <w:color w:val="auto"/>
          <w:highlight w:val="none"/>
          <w:lang w:eastAsia="zh-CN"/>
        </w:rPr>
      </w:pPr>
      <w:r>
        <w:rPr>
          <w:rFonts w:hint="eastAsia"/>
          <w:color w:val="auto"/>
          <w:highlight w:val="none"/>
          <w:lang w:eastAsia="zh-CN"/>
        </w:rPr>
        <w:t>承重构件主要采用胶合木制作的建筑结构。也称层板胶合木结构。</w:t>
      </w:r>
    </w:p>
    <w:p w14:paraId="38FAB932">
      <w:pPr>
        <w:rPr>
          <w:color w:val="auto"/>
          <w:highlight w:val="none"/>
          <w:lang w:eastAsia="zh-CN"/>
        </w:rPr>
      </w:pPr>
    </w:p>
    <w:bookmarkEnd w:id="33"/>
    <w:p w14:paraId="1B4C3E73">
      <w:pPr>
        <w:pStyle w:val="3"/>
        <w:spacing w:before="156" w:after="156"/>
        <w:rPr>
          <w:color w:val="auto"/>
          <w:highlight w:val="none"/>
        </w:rPr>
      </w:pPr>
      <w:bookmarkStart w:id="34" w:name="_Toc20744"/>
      <w:bookmarkStart w:id="35" w:name="_Toc32627"/>
      <w:bookmarkStart w:id="36" w:name="_Toc25108"/>
      <w:r>
        <w:rPr>
          <w:color w:val="auto"/>
          <w:highlight w:val="none"/>
        </w:rPr>
        <w:t>2.2</w:t>
      </w:r>
      <w:r>
        <w:rPr>
          <w:rFonts w:hint="eastAsia"/>
          <w:color w:val="auto"/>
          <w:highlight w:val="none"/>
          <w:lang w:eastAsia="zh-CN"/>
        </w:rPr>
        <w:t xml:space="preserve">  </w:t>
      </w:r>
      <w:r>
        <w:rPr>
          <w:rFonts w:hint="eastAsia"/>
          <w:color w:val="auto"/>
          <w:highlight w:val="none"/>
        </w:rPr>
        <w:t>符</w:t>
      </w:r>
      <w:r>
        <w:rPr>
          <w:rFonts w:hint="eastAsia"/>
          <w:color w:val="auto"/>
          <w:highlight w:val="none"/>
          <w:lang w:eastAsia="zh-CN"/>
        </w:rPr>
        <w:t xml:space="preserve">  </w:t>
      </w:r>
      <w:r>
        <w:rPr>
          <w:rFonts w:hint="eastAsia"/>
          <w:color w:val="auto"/>
          <w:highlight w:val="none"/>
        </w:rPr>
        <w:t>号</w:t>
      </w:r>
      <w:bookmarkEnd w:id="34"/>
      <w:bookmarkEnd w:id="35"/>
    </w:p>
    <w:p w14:paraId="7D4C14C7">
      <w:pPr>
        <w:pStyle w:val="4"/>
        <w:autoSpaceDE w:val="0"/>
        <w:autoSpaceDN w:val="0"/>
        <w:rPr>
          <w:color w:val="auto"/>
          <w:highlight w:val="none"/>
          <w:lang w:eastAsia="zh-CN"/>
        </w:rPr>
      </w:pPr>
      <w:r>
        <w:rPr>
          <w:b/>
          <w:bCs/>
          <w:color w:val="auto"/>
          <w:highlight w:val="none"/>
          <w:lang w:eastAsia="zh-CN"/>
        </w:rPr>
        <w:t>2.2.1</w:t>
      </w:r>
      <w:r>
        <w:rPr>
          <w:rFonts w:hint="eastAsia"/>
          <w:b/>
          <w:bCs/>
          <w:color w:val="auto"/>
          <w:highlight w:val="none"/>
          <w:lang w:eastAsia="zh-CN"/>
        </w:rPr>
        <w:t xml:space="preserve">  </w:t>
      </w:r>
      <w:r>
        <w:rPr>
          <w:rFonts w:hint="eastAsia"/>
          <w:color w:val="auto"/>
          <w:highlight w:val="none"/>
          <w:lang w:eastAsia="zh-CN"/>
        </w:rPr>
        <w:t>材料性能或设计指标</w:t>
      </w:r>
    </w:p>
    <w:p w14:paraId="5B9ABDA9">
      <w:pPr>
        <w:autoSpaceDE w:val="0"/>
        <w:autoSpaceDN w:val="0"/>
        <w:ind w:firstLine="840" w:firstLineChars="350"/>
        <w:jc w:val="both"/>
        <w:rPr>
          <w:rFonts w:ascii="宋体" w:hAnsi="宋体"/>
          <w:color w:val="auto"/>
          <w:szCs w:val="21"/>
          <w:highlight w:val="none"/>
          <w:lang w:eastAsia="zh-CN"/>
        </w:rPr>
      </w:pPr>
      <w:r>
        <w:rPr>
          <w:rFonts w:hint="eastAsia" w:ascii="宋体" w:hAnsi="宋体"/>
          <w:color w:val="auto"/>
          <w:szCs w:val="21"/>
          <w:highlight w:val="none"/>
          <w:lang w:eastAsia="zh-CN"/>
        </w:rPr>
        <w:t>ƒ</w:t>
      </w:r>
      <w:r>
        <w:rPr>
          <w:rFonts w:ascii="宋体" w:hAnsi="宋体"/>
          <w:color w:val="auto"/>
          <w:szCs w:val="21"/>
          <w:highlight w:val="none"/>
          <w:lang w:eastAsia="zh-CN"/>
        </w:rPr>
        <w:t>——</w:t>
      </w:r>
      <w:r>
        <w:rPr>
          <w:rFonts w:hint="eastAsia" w:ascii="宋体" w:hAnsi="宋体"/>
          <w:color w:val="auto"/>
          <w:szCs w:val="21"/>
          <w:highlight w:val="none"/>
          <w:lang w:eastAsia="zh-CN"/>
        </w:rPr>
        <w:t>钢材抗弯强度设计值；</w:t>
      </w:r>
    </w:p>
    <w:p w14:paraId="7B894589">
      <w:pPr>
        <w:autoSpaceDE w:val="0"/>
        <w:autoSpaceDN w:val="0"/>
        <w:ind w:firstLine="600" w:firstLineChars="250"/>
        <w:jc w:val="both"/>
        <w:rPr>
          <w:rFonts w:hint="eastAsia"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 xml:space="preserve"> f</m:t>
            </m:r>
            <m:ctrlPr>
              <w:rPr>
                <w:rFonts w:ascii="Cambria Math" w:hAnsi="Cambria Math"/>
                <w:i/>
                <w:color w:val="auto"/>
                <w:szCs w:val="21"/>
                <w:highlight w:val="none"/>
              </w:rPr>
            </m:ctrlPr>
          </m:e>
          <m:sub>
            <m:r>
              <m:rPr/>
              <w:rPr>
                <w:rFonts w:ascii="Cambria Math" w:hAnsi="Cambria Math"/>
                <w:color w:val="auto"/>
                <w:szCs w:val="21"/>
                <w:highlight w:val="none"/>
                <w:lang w:eastAsia="zh-CN"/>
              </w:rPr>
              <m:t>ca</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木材横纹承压强度设计值；</w:t>
      </w:r>
    </w:p>
    <w:p w14:paraId="00A2D3B2">
      <w:pPr>
        <w:autoSpaceDE w:val="0"/>
        <w:autoSpaceDN w:val="0"/>
        <w:ind w:firstLine="600" w:firstLineChars="250"/>
        <w:jc w:val="both"/>
        <w:rPr>
          <w:rFonts w:hint="eastAsia"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 xml:space="preserve"> f</m:t>
            </m:r>
            <m:ctrlPr>
              <w:rPr>
                <w:rFonts w:ascii="Cambria Math" w:hAnsi="Cambria Math"/>
                <w:i/>
                <w:color w:val="auto"/>
                <w:szCs w:val="21"/>
                <w:highlight w:val="none"/>
              </w:rPr>
            </m:ctrlPr>
          </m:e>
          <m:sub>
            <m:r>
              <m:rPr/>
              <w:rPr>
                <w:rFonts w:ascii="Cambria Math" w:hAnsi="Cambria Math"/>
                <w:color w:val="auto"/>
                <w:szCs w:val="21"/>
                <w:highlight w:val="none"/>
                <w:lang w:eastAsia="zh-CN"/>
              </w:rPr>
              <m:t>vd</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采用木基结构板材作面板的剪力墙、楼盖和屋盖的抗剪强度设计值；</w:t>
      </w:r>
    </w:p>
    <w:p w14:paraId="6611452C">
      <w:pPr>
        <w:autoSpaceDE w:val="0"/>
        <w:autoSpaceDN w:val="0"/>
        <w:ind w:firstLine="600" w:firstLineChars="250"/>
        <w:jc w:val="both"/>
        <w:rPr>
          <w:rFonts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 xml:space="preserve"> K</m:t>
            </m:r>
            <m:ctrlPr>
              <w:rPr>
                <w:rFonts w:ascii="Cambria Math" w:hAnsi="Cambria Math"/>
                <w:i/>
                <w:color w:val="auto"/>
                <w:szCs w:val="21"/>
                <w:highlight w:val="none"/>
              </w:rPr>
            </m:ctrlPr>
          </m:e>
          <m:sub>
            <m:r>
              <m:rPr/>
              <w:rPr>
                <w:rFonts w:ascii="Cambria Math" w:hAnsi="Cambria Math"/>
                <w:color w:val="auto"/>
                <w:szCs w:val="21"/>
                <w:highlight w:val="none"/>
                <w:lang w:eastAsia="zh-CN"/>
              </w:rPr>
              <m:t>w</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剪力墙的抗剪刚度；</w:t>
      </w:r>
    </w:p>
    <w:p w14:paraId="14BABF35">
      <w:pPr>
        <w:autoSpaceDE w:val="0"/>
        <w:autoSpaceDN w:val="0"/>
        <w:ind w:firstLine="600" w:firstLineChars="250"/>
        <w:jc w:val="both"/>
        <w:rPr>
          <w:rFonts w:ascii="宋体" w:hAnsi="宋体"/>
          <w:color w:val="auto"/>
          <w:szCs w:val="21"/>
          <w:highlight w:val="none"/>
          <w:lang w:eastAsia="zh-CN"/>
        </w:rPr>
      </w:pPr>
      <m:oMath>
        <m:d>
          <m:dPr>
            <m:begChr m:val="["/>
            <m:endChr m:val="]"/>
            <m:ctrlPr>
              <w:rPr>
                <w:rFonts w:ascii="Cambria Math" w:hAnsi="Cambria Math"/>
                <w:color w:val="auto"/>
                <w:szCs w:val="21"/>
                <w:highlight w:val="none"/>
                <w:lang w:eastAsia="zh-CN"/>
              </w:rPr>
            </m:ctrlPr>
          </m:dPr>
          <m:e>
            <m:r>
              <m:rPr>
                <m:sty m:val="p"/>
              </m:rPr>
              <w:rPr>
                <w:rFonts w:ascii="Cambria Math" w:hAnsi="Cambria Math"/>
                <w:color w:val="auto"/>
                <w:szCs w:val="21"/>
                <w:highlight w:val="none"/>
                <w:lang w:eastAsia="zh-CN"/>
              </w:rPr>
              <m:t>ω</m:t>
            </m:r>
            <m:ctrlPr>
              <w:rPr>
                <w:rFonts w:ascii="Cambria Math" w:hAnsi="Cambria Math"/>
                <w:color w:val="auto"/>
                <w:szCs w:val="21"/>
                <w:highlight w:val="none"/>
                <w:lang w:eastAsia="zh-CN"/>
              </w:rPr>
            </m:ctrlPr>
          </m:e>
        </m:d>
      </m:oMath>
      <w:r>
        <w:rPr>
          <w:rFonts w:ascii="宋体" w:hAnsi="宋体"/>
          <w:color w:val="auto"/>
          <w:szCs w:val="21"/>
          <w:highlight w:val="none"/>
          <w:lang w:eastAsia="zh-CN"/>
        </w:rPr>
        <w:t>——</w:t>
      </w:r>
      <w:r>
        <w:rPr>
          <w:rFonts w:hint="eastAsia" w:ascii="宋体" w:hAnsi="宋体"/>
          <w:color w:val="auto"/>
          <w:szCs w:val="21"/>
          <w:highlight w:val="none"/>
          <w:lang w:eastAsia="zh-CN"/>
        </w:rPr>
        <w:t>受弯构件的挠度限值；</w:t>
      </w:r>
    </w:p>
    <w:p w14:paraId="42830B0D">
      <w:pPr>
        <w:autoSpaceDE w:val="0"/>
        <w:autoSpaceDN w:val="0"/>
        <w:ind w:firstLine="600" w:firstLineChars="250"/>
        <w:jc w:val="both"/>
        <w:rPr>
          <w:rFonts w:ascii="宋体" w:hAnsi="宋体"/>
          <w:color w:val="auto"/>
          <w:szCs w:val="21"/>
          <w:highlight w:val="none"/>
          <w:lang w:eastAsia="zh-CN"/>
        </w:rPr>
      </w:pPr>
      <m:oMath>
        <m:d>
          <m:dPr>
            <m:begChr m:val="["/>
            <m:endChr m:val="]"/>
            <m:ctrlPr>
              <w:rPr>
                <w:rFonts w:ascii="Cambria Math" w:hAnsi="Cambria Math"/>
                <w:color w:val="auto"/>
                <w:szCs w:val="21"/>
                <w:highlight w:val="none"/>
                <w:lang w:eastAsia="zh-CN"/>
              </w:rPr>
            </m:ctrlPr>
          </m:dPr>
          <m:e>
            <m:r>
              <m:rPr>
                <m:sty m:val="p"/>
              </m:rPr>
              <w:rPr>
                <w:rFonts w:ascii="Cambria Math" w:hAnsi="Cambria Math"/>
                <w:color w:val="auto"/>
                <w:szCs w:val="21"/>
                <w:highlight w:val="none"/>
                <w:lang w:eastAsia="zh-CN"/>
              </w:rPr>
              <m:t>λ</m:t>
            </m:r>
            <m:ctrlPr>
              <w:rPr>
                <w:rFonts w:ascii="Cambria Math" w:hAnsi="Cambria Math"/>
                <w:color w:val="auto"/>
                <w:szCs w:val="21"/>
                <w:highlight w:val="none"/>
                <w:lang w:eastAsia="zh-CN"/>
              </w:rPr>
            </m:ctrlPr>
          </m:e>
        </m:d>
      </m:oMath>
      <w:r>
        <w:rPr>
          <w:rFonts w:ascii="宋体" w:hAnsi="宋体"/>
          <w:color w:val="auto"/>
          <w:szCs w:val="21"/>
          <w:highlight w:val="none"/>
          <w:lang w:eastAsia="zh-CN"/>
        </w:rPr>
        <w:t>——</w:t>
      </w:r>
      <w:r>
        <w:rPr>
          <w:rFonts w:hint="eastAsia" w:ascii="宋体" w:hAnsi="宋体"/>
          <w:color w:val="auto"/>
          <w:szCs w:val="21"/>
          <w:highlight w:val="none"/>
          <w:lang w:eastAsia="zh-CN"/>
        </w:rPr>
        <w:t>受压构件的长细比限值。</w:t>
      </w:r>
    </w:p>
    <w:p w14:paraId="6C27F748">
      <w:pPr>
        <w:pStyle w:val="4"/>
        <w:autoSpaceDE w:val="0"/>
        <w:autoSpaceDN w:val="0"/>
        <w:rPr>
          <w:color w:val="auto"/>
          <w:highlight w:val="none"/>
          <w:lang w:eastAsia="zh-CN"/>
        </w:rPr>
      </w:pPr>
      <w:r>
        <w:rPr>
          <w:b/>
          <w:bCs/>
          <w:color w:val="auto"/>
          <w:highlight w:val="none"/>
          <w:lang w:eastAsia="zh-CN"/>
        </w:rPr>
        <w:t>2.2.2</w:t>
      </w:r>
      <w:r>
        <w:rPr>
          <w:rFonts w:hint="eastAsia"/>
          <w:b/>
          <w:bCs/>
          <w:color w:val="auto"/>
          <w:highlight w:val="none"/>
          <w:lang w:eastAsia="zh-CN"/>
        </w:rPr>
        <w:t xml:space="preserve">  </w:t>
      </w:r>
      <w:r>
        <w:rPr>
          <w:rFonts w:hint="eastAsia"/>
          <w:color w:val="auto"/>
          <w:highlight w:val="none"/>
          <w:lang w:eastAsia="zh-CN"/>
        </w:rPr>
        <w:t>作用和作用效应</w:t>
      </w:r>
    </w:p>
    <w:p w14:paraId="483C5602">
      <w:pPr>
        <w:autoSpaceDE w:val="0"/>
        <w:autoSpaceDN w:val="0"/>
        <w:ind w:firstLine="840" w:firstLineChars="350"/>
        <w:jc w:val="both"/>
        <w:rPr>
          <w:rFonts w:ascii="宋体" w:hAnsi="宋体"/>
          <w:color w:val="auto"/>
          <w:szCs w:val="21"/>
          <w:highlight w:val="none"/>
          <w:lang w:eastAsia="zh-CN"/>
        </w:rPr>
      </w:pPr>
      <m:oMath>
        <m:r>
          <m:rPr/>
          <w:rPr>
            <w:rFonts w:ascii="Cambria Math" w:hAnsi="Cambria Math"/>
            <w:color w:val="auto"/>
            <w:szCs w:val="21"/>
            <w:highlight w:val="none"/>
            <w:lang w:eastAsia="zh-CN"/>
          </w:rPr>
          <m:t>N</m:t>
        </m:r>
      </m:oMath>
      <w:r>
        <w:rPr>
          <w:rFonts w:ascii="宋体" w:hAnsi="宋体"/>
          <w:color w:val="auto"/>
          <w:szCs w:val="21"/>
          <w:highlight w:val="none"/>
          <w:lang w:eastAsia="zh-CN"/>
        </w:rPr>
        <w:t>——</w:t>
      </w:r>
      <w:r>
        <w:rPr>
          <w:rFonts w:hint="eastAsia" w:ascii="宋体" w:hAnsi="宋体"/>
          <w:color w:val="auto"/>
          <w:szCs w:val="21"/>
          <w:highlight w:val="none"/>
          <w:lang w:eastAsia="zh-CN"/>
        </w:rPr>
        <w:t>轴向力设计值；</w:t>
      </w:r>
    </w:p>
    <w:p w14:paraId="50ED7129">
      <w:pPr>
        <w:autoSpaceDE w:val="0"/>
        <w:autoSpaceDN w:val="0"/>
        <w:ind w:firstLine="600" w:firstLineChars="250"/>
        <w:jc w:val="both"/>
        <w:rPr>
          <w:rFonts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 xml:space="preserve">  V</m:t>
            </m:r>
            <m:ctrlPr>
              <w:rPr>
                <w:rFonts w:ascii="Cambria Math" w:hAnsi="Cambria Math"/>
                <w:i/>
                <w:color w:val="auto"/>
                <w:szCs w:val="21"/>
                <w:highlight w:val="none"/>
              </w:rPr>
            </m:ctrlPr>
          </m:e>
          <m:sub>
            <m:r>
              <m:rPr/>
              <w:rPr>
                <w:rFonts w:ascii="Cambria Math" w:hAnsi="Cambria Math"/>
                <w:color w:val="auto"/>
                <w:szCs w:val="21"/>
                <w:highlight w:val="none"/>
                <w:lang w:eastAsia="zh-CN"/>
              </w:rPr>
              <m:t>d</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剪力墙、楼盖和屋盖受剪承载力设计值；</w:t>
      </w:r>
    </w:p>
    <w:p w14:paraId="1D738D49">
      <w:pPr>
        <w:pStyle w:val="4"/>
        <w:autoSpaceDE w:val="0"/>
        <w:autoSpaceDN w:val="0"/>
        <w:rPr>
          <w:color w:val="auto"/>
          <w:highlight w:val="none"/>
          <w:lang w:eastAsia="zh-CN"/>
        </w:rPr>
      </w:pPr>
      <w:r>
        <w:rPr>
          <w:b/>
          <w:bCs/>
          <w:color w:val="auto"/>
          <w:highlight w:val="none"/>
          <w:lang w:eastAsia="zh-CN"/>
        </w:rPr>
        <w:t>2.2.3</w:t>
      </w:r>
      <w:r>
        <w:rPr>
          <w:rFonts w:hint="eastAsia"/>
          <w:b/>
          <w:bCs/>
          <w:color w:val="auto"/>
          <w:highlight w:val="none"/>
          <w:lang w:eastAsia="zh-CN"/>
        </w:rPr>
        <w:t xml:space="preserve">  </w:t>
      </w:r>
      <w:r>
        <w:rPr>
          <w:rFonts w:hint="eastAsia"/>
          <w:color w:val="auto"/>
          <w:highlight w:val="none"/>
          <w:lang w:eastAsia="zh-CN"/>
        </w:rPr>
        <w:t>几何参数</w:t>
      </w:r>
    </w:p>
    <w:p w14:paraId="31258702">
      <w:pPr>
        <w:autoSpaceDE w:val="0"/>
        <w:autoSpaceDN w:val="0"/>
        <w:ind w:firstLine="600" w:firstLineChars="250"/>
        <w:jc w:val="both"/>
        <w:rPr>
          <w:rFonts w:hint="eastAsia"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B</m:t>
            </m:r>
            <m:ctrlPr>
              <w:rPr>
                <w:rFonts w:ascii="Cambria Math" w:hAnsi="Cambria Math"/>
                <w:i/>
                <w:color w:val="auto"/>
                <w:szCs w:val="21"/>
                <w:highlight w:val="none"/>
              </w:rPr>
            </m:ctrlPr>
          </m:e>
          <m:sub>
            <m:r>
              <m:rPr/>
              <w:rPr>
                <w:rFonts w:ascii="Cambria Math" w:hAnsi="Cambria Math"/>
                <w:color w:val="auto"/>
                <w:szCs w:val="21"/>
                <w:highlight w:val="none"/>
                <w:lang w:eastAsia="zh-CN"/>
              </w:rPr>
              <m:t>e</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楼盖、屋盖平行于荷载方向的有效宽度；</w:t>
      </w:r>
    </w:p>
    <w:p w14:paraId="1582CC6C">
      <w:pPr>
        <w:autoSpaceDE w:val="0"/>
        <w:autoSpaceDN w:val="0"/>
        <w:ind w:firstLine="600" w:firstLineChars="250"/>
        <w:jc w:val="both"/>
        <w:rPr>
          <w:rFonts w:hint="eastAsia"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ℎ</m:t>
            </m:r>
            <m:ctrlPr>
              <w:rPr>
                <w:rFonts w:ascii="Cambria Math" w:hAnsi="Cambria Math"/>
                <w:i/>
                <w:color w:val="auto"/>
                <w:szCs w:val="21"/>
                <w:highlight w:val="none"/>
              </w:rPr>
            </m:ctrlPr>
          </m:e>
          <m:sub>
            <m:r>
              <m:rPr/>
              <w:rPr>
                <w:rFonts w:ascii="Cambria Math" w:hAnsi="Cambria Math"/>
                <w:color w:val="auto"/>
                <w:szCs w:val="21"/>
                <w:highlight w:val="none"/>
                <w:lang w:eastAsia="zh-CN"/>
              </w:rPr>
              <m:t>w</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剪力墙高度；</w:t>
      </w:r>
    </w:p>
    <w:p w14:paraId="1C39E932">
      <w:pPr>
        <w:autoSpaceDE w:val="0"/>
        <w:autoSpaceDN w:val="0"/>
        <w:ind w:firstLine="720" w:firstLineChars="300"/>
        <w:jc w:val="both"/>
        <w:rPr>
          <w:rFonts w:ascii="宋体" w:hAnsi="宋体"/>
          <w:color w:val="auto"/>
          <w:szCs w:val="21"/>
          <w:highlight w:val="none"/>
          <w:lang w:eastAsia="zh-CN"/>
        </w:rPr>
      </w:pPr>
      <m:oMath>
        <m:r>
          <m:rPr/>
          <w:rPr>
            <w:rFonts w:ascii="Cambria Math" w:hAnsi="Cambria Math"/>
            <w:color w:val="auto"/>
            <w:szCs w:val="21"/>
            <w:highlight w:val="none"/>
            <w:lang w:eastAsia="zh-CN"/>
          </w:rPr>
          <m:t>l</m:t>
        </m:r>
      </m:oMath>
      <w:r>
        <w:rPr>
          <w:rFonts w:ascii="宋体" w:hAnsi="宋体"/>
          <w:color w:val="auto"/>
          <w:szCs w:val="21"/>
          <w:highlight w:val="none"/>
          <w:lang w:eastAsia="zh-CN"/>
        </w:rPr>
        <w:t>——</w:t>
      </w:r>
      <w:r>
        <w:rPr>
          <w:rFonts w:hint="eastAsia" w:ascii="宋体" w:hAnsi="宋体"/>
          <w:color w:val="auto"/>
          <w:szCs w:val="21"/>
          <w:highlight w:val="none"/>
          <w:lang w:eastAsia="zh-CN"/>
        </w:rPr>
        <w:t>构件长度；</w:t>
      </w:r>
    </w:p>
    <w:p w14:paraId="7F1CFB2A">
      <w:pPr>
        <w:autoSpaceDE w:val="0"/>
        <w:autoSpaceDN w:val="0"/>
        <w:ind w:firstLine="600" w:firstLineChars="250"/>
        <w:jc w:val="both"/>
        <w:rPr>
          <w:rFonts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l</m:t>
            </m:r>
            <m:ctrlPr>
              <w:rPr>
                <w:rFonts w:ascii="Cambria Math" w:hAnsi="Cambria Math"/>
                <w:i/>
                <w:color w:val="auto"/>
                <w:szCs w:val="21"/>
                <w:highlight w:val="none"/>
              </w:rPr>
            </m:ctrlPr>
          </m:e>
          <m:sub>
            <m:r>
              <m:rPr/>
              <w:rPr>
                <w:rFonts w:ascii="Cambria Math" w:hAnsi="Cambria Math"/>
                <w:color w:val="auto"/>
                <w:szCs w:val="21"/>
                <w:highlight w:val="none"/>
                <w:lang w:eastAsia="zh-CN"/>
              </w:rPr>
              <m:t>0</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受压构件的计算长度；</w:t>
      </w:r>
    </w:p>
    <w:p w14:paraId="23A1B65D">
      <w:pPr>
        <w:autoSpaceDE w:val="0"/>
        <w:autoSpaceDN w:val="0"/>
        <w:ind w:firstLine="600" w:firstLineChars="250"/>
        <w:jc w:val="both"/>
        <w:rPr>
          <w:rFonts w:ascii="宋体" w:hAnsi="宋体"/>
          <w:color w:val="auto"/>
          <w:szCs w:val="21"/>
          <w:highlight w:val="none"/>
          <w:lang w:eastAsia="zh-CN"/>
        </w:rPr>
      </w:pPr>
      <m:oMath>
        <m:sSub>
          <m:sSubPr>
            <m:ctrlPr>
              <w:rPr>
                <w:rFonts w:ascii="Cambria Math" w:hAnsi="Cambria Math"/>
                <w:i/>
                <w:color w:val="auto"/>
                <w:szCs w:val="21"/>
                <w:highlight w:val="none"/>
              </w:rPr>
            </m:ctrlPr>
          </m:sSubPr>
          <m:e>
            <m:r>
              <m:rPr/>
              <w:rPr>
                <w:rFonts w:ascii="Cambria Math" w:hAnsi="Cambria Math"/>
                <w:color w:val="auto"/>
                <w:szCs w:val="21"/>
                <w:highlight w:val="none"/>
                <w:lang w:eastAsia="zh-CN"/>
              </w:rPr>
              <m:t>l</m:t>
            </m:r>
            <m:ctrlPr>
              <w:rPr>
                <w:rFonts w:ascii="Cambria Math" w:hAnsi="Cambria Math"/>
                <w:i/>
                <w:color w:val="auto"/>
                <w:szCs w:val="21"/>
                <w:highlight w:val="none"/>
              </w:rPr>
            </m:ctrlPr>
          </m:e>
          <m:sub>
            <m:r>
              <m:rPr/>
              <w:rPr>
                <w:rFonts w:ascii="Cambria Math" w:hAnsi="Cambria Math"/>
                <w:color w:val="auto"/>
                <w:szCs w:val="21"/>
                <w:highlight w:val="none"/>
                <w:lang w:eastAsia="zh-CN"/>
              </w:rPr>
              <m:t>e</m:t>
            </m:r>
            <m:ctrlPr>
              <w:rPr>
                <w:rFonts w:ascii="Cambria Math" w:hAnsi="Cambria Math"/>
                <w:i/>
                <w:color w:val="auto"/>
                <w:szCs w:val="21"/>
                <w:highlight w:val="none"/>
              </w:rPr>
            </m:ctrlPr>
          </m:sub>
        </m:sSub>
      </m:oMath>
      <w:r>
        <w:rPr>
          <w:rFonts w:ascii="宋体" w:hAnsi="宋体"/>
          <w:color w:val="auto"/>
          <w:szCs w:val="21"/>
          <w:highlight w:val="none"/>
          <w:lang w:eastAsia="zh-CN"/>
        </w:rPr>
        <w:t>——</w:t>
      </w:r>
      <w:r>
        <w:rPr>
          <w:rFonts w:hint="eastAsia" w:ascii="宋体" w:hAnsi="宋体"/>
          <w:color w:val="auto"/>
          <w:szCs w:val="21"/>
          <w:highlight w:val="none"/>
          <w:lang w:eastAsia="zh-CN"/>
        </w:rPr>
        <w:t>受弯构件的计算长度；</w:t>
      </w:r>
    </w:p>
    <w:p w14:paraId="1C255760">
      <w:pPr>
        <w:autoSpaceDE w:val="0"/>
        <w:autoSpaceDN w:val="0"/>
        <w:ind w:firstLine="720" w:firstLineChars="300"/>
        <w:jc w:val="both"/>
        <w:rPr>
          <w:rFonts w:ascii="宋体" w:hAnsi="宋体"/>
          <w:color w:val="auto"/>
          <w:szCs w:val="21"/>
          <w:highlight w:val="none"/>
          <w:lang w:eastAsia="zh-CN"/>
        </w:rPr>
      </w:pPr>
      <m:oMath>
        <m:r>
          <m:rPr>
            <m:sty m:val="p"/>
          </m:rPr>
          <w:rPr>
            <w:rFonts w:ascii="Cambria Math" w:hAnsi="Cambria Math"/>
            <w:color w:val="auto"/>
            <w:szCs w:val="21"/>
            <w:highlight w:val="none"/>
            <w:lang w:eastAsia="zh-CN"/>
          </w:rPr>
          <m:t>λ</m:t>
        </m:r>
      </m:oMath>
      <w:r>
        <w:rPr>
          <w:rFonts w:ascii="宋体" w:hAnsi="宋体"/>
          <w:color w:val="auto"/>
          <w:szCs w:val="21"/>
          <w:highlight w:val="none"/>
          <w:lang w:eastAsia="zh-CN"/>
        </w:rPr>
        <w:t>——</w:t>
      </w:r>
      <w:r>
        <w:rPr>
          <w:rFonts w:hint="eastAsia" w:ascii="宋体" w:hAnsi="宋体"/>
          <w:color w:val="auto"/>
          <w:szCs w:val="21"/>
          <w:highlight w:val="none"/>
          <w:lang w:eastAsia="zh-CN"/>
        </w:rPr>
        <w:t>受压构件的长细比；</w:t>
      </w:r>
    </w:p>
    <w:p w14:paraId="72CD345E">
      <w:pPr>
        <w:pStyle w:val="2"/>
        <w:spacing w:before="312"/>
        <w:rPr>
          <w:color w:val="auto"/>
          <w:highlight w:val="none"/>
          <w:lang w:eastAsia="zh-CN"/>
        </w:rPr>
      </w:pPr>
      <w:bookmarkStart w:id="37" w:name="_Toc152"/>
      <w:bookmarkStart w:id="38" w:name="_Toc30545"/>
      <w:r>
        <w:rPr>
          <w:rFonts w:hint="eastAsia"/>
          <w:color w:val="auto"/>
          <w:highlight w:val="none"/>
          <w:lang w:eastAsia="zh-CN"/>
        </w:rPr>
        <w:t>3</w:t>
      </w:r>
      <w:bookmarkEnd w:id="20"/>
      <w:bookmarkEnd w:id="21"/>
      <w:bookmarkEnd w:id="22"/>
      <w:bookmarkEnd w:id="23"/>
      <w:r>
        <w:rPr>
          <w:rFonts w:hint="eastAsia"/>
          <w:color w:val="auto"/>
          <w:highlight w:val="none"/>
          <w:lang w:eastAsia="zh-CN"/>
        </w:rPr>
        <w:t xml:space="preserve">  基本规定</w:t>
      </w:r>
      <w:bookmarkEnd w:id="24"/>
      <w:bookmarkEnd w:id="25"/>
      <w:bookmarkEnd w:id="26"/>
      <w:bookmarkEnd w:id="27"/>
      <w:bookmarkEnd w:id="28"/>
      <w:bookmarkEnd w:id="36"/>
      <w:bookmarkEnd w:id="37"/>
      <w:bookmarkEnd w:id="38"/>
    </w:p>
    <w:bookmarkEnd w:id="1"/>
    <w:bookmarkEnd w:id="2"/>
    <w:bookmarkEnd w:id="3"/>
    <w:p w14:paraId="50F2908E">
      <w:pPr>
        <w:pStyle w:val="4"/>
        <w:rPr>
          <w:rFonts w:cs="Times New Roman"/>
          <w:color w:val="auto"/>
          <w:kern w:val="2"/>
          <w:szCs w:val="24"/>
          <w:highlight w:val="none"/>
          <w:u w:val="none"/>
          <w:lang w:eastAsia="zh-CN"/>
        </w:rPr>
      </w:pPr>
      <w:bookmarkStart w:id="39" w:name="_Toc6607"/>
      <w:bookmarkStart w:id="40" w:name="_Toc3469"/>
      <w:bookmarkStart w:id="41" w:name="_Toc5204"/>
      <w:bookmarkStart w:id="42" w:name="_Toc6011"/>
      <w:bookmarkStart w:id="43" w:name="_Toc26505"/>
      <w:bookmarkStart w:id="44" w:name="_Toc4123"/>
      <w:r>
        <w:rPr>
          <w:rFonts w:hint="eastAsia" w:cs="Times New Roman"/>
          <w:b/>
          <w:bCs/>
          <w:color w:val="auto"/>
          <w:kern w:val="2"/>
          <w:szCs w:val="24"/>
          <w:highlight w:val="none"/>
          <w:u w:val="none"/>
          <w:lang w:val="zh-CN" w:eastAsia="zh-CN"/>
        </w:rPr>
        <w:t xml:space="preserve">3.0.1  </w:t>
      </w:r>
      <w:r>
        <w:rPr>
          <w:rFonts w:hint="eastAsia" w:cs="Times New Roman"/>
          <w:color w:val="auto"/>
          <w:kern w:val="2"/>
          <w:szCs w:val="24"/>
          <w:highlight w:val="none"/>
          <w:u w:val="none"/>
          <w:lang w:eastAsia="zh-CN"/>
        </w:rPr>
        <w:t>木结构设计应根据当地气候特征和使用环境，合理规划及设计，合理选用材料、结构方案及构造措施，满足使用功能。</w:t>
      </w:r>
    </w:p>
    <w:p w14:paraId="452E72AF">
      <w:pPr>
        <w:pStyle w:val="50"/>
        <w:ind w:firstLine="480"/>
        <w:rPr>
          <w:color w:val="auto"/>
          <w:highlight w:val="none"/>
          <w:u w:val="none"/>
        </w:rPr>
      </w:pPr>
      <w:r>
        <w:rPr>
          <w:rFonts w:hint="eastAsia"/>
          <w:color w:val="auto"/>
          <w:highlight w:val="none"/>
          <w:u w:val="none"/>
        </w:rPr>
        <w:t>【条文说明】3.0.1：</w:t>
      </w:r>
      <w:r>
        <w:rPr>
          <w:color w:val="auto"/>
          <w:highlight w:val="none"/>
          <w:u w:val="none"/>
        </w:rPr>
        <w:t>木结构设计是一个综合考虑多种因素的过程，其中气候特征和使用环境是两个至关重要的因素。木材的选择、结构方案的确定以及防火、防腐等处理措施，都需要根据当地的气候条件和使用环境的特点进行适当调整。例如，在干燥气候地区，</w:t>
      </w:r>
      <w:r>
        <w:rPr>
          <w:rFonts w:hint="eastAsia"/>
          <w:color w:val="auto"/>
          <w:highlight w:val="none"/>
          <w:u w:val="none"/>
          <w:lang w:eastAsia="zh-CN"/>
        </w:rPr>
        <w:t>主要</w:t>
      </w:r>
      <w:r>
        <w:rPr>
          <w:color w:val="auto"/>
          <w:highlight w:val="none"/>
          <w:u w:val="none"/>
        </w:rPr>
        <w:t>以防止木材因干燥而开裂或变形。而在潮湿环境，则需要考虑木材的防潮处理，以避免木材因吸水而膨胀或腐烂。此外，木结构的连接设计也是关键环节，需要根据受力情况选择合适的连接方式，如螺栓连接、钉连接、木榫连接等，并确保连接处的防腐处理，以提高结构的耐久性和安全性。</w:t>
      </w:r>
    </w:p>
    <w:p w14:paraId="0DEB3692">
      <w:pPr>
        <w:pStyle w:val="50"/>
        <w:ind w:firstLine="480"/>
        <w:rPr>
          <w:color w:val="auto"/>
          <w:highlight w:val="none"/>
          <w:u w:val="none"/>
        </w:rPr>
      </w:pPr>
      <w:r>
        <w:rPr>
          <w:color w:val="auto"/>
          <w:highlight w:val="none"/>
          <w:u w:val="none"/>
        </w:rPr>
        <w:t>木结构的设计还应结合地形地貌进行场地设计与建筑布局，使建筑布局与场地的气候条件和地理环境相适应。这包括对场地的风环境、光环境、热环境、声环境等进行组织和利用，从而创造一个舒适、健康的居住和工作环境。</w:t>
      </w:r>
    </w:p>
    <w:p w14:paraId="50627021">
      <w:pPr>
        <w:pStyle w:val="50"/>
        <w:ind w:firstLine="480"/>
        <w:rPr>
          <w:rFonts w:hint="eastAsia" w:eastAsia="宋体"/>
          <w:color w:val="auto"/>
          <w:highlight w:val="none"/>
          <w:u w:val="none"/>
          <w:lang w:eastAsia="zh-CN"/>
        </w:rPr>
      </w:pPr>
      <w:r>
        <w:rPr>
          <w:rFonts w:hint="eastAsia"/>
          <w:color w:val="auto"/>
          <w:highlight w:val="none"/>
          <w:u w:val="none"/>
        </w:rPr>
        <w:t>因此</w:t>
      </w:r>
      <w:r>
        <w:rPr>
          <w:color w:val="auto"/>
          <w:highlight w:val="none"/>
          <w:u w:val="none"/>
        </w:rPr>
        <w:t>，木结构设计的成功实施需要综合考虑多种因素，包括但不限于木材的选择、结构方案的确定、防火防腐处理</w:t>
      </w:r>
      <w:r>
        <w:rPr>
          <w:rFonts w:hint="eastAsia"/>
          <w:color w:val="auto"/>
          <w:highlight w:val="none"/>
          <w:u w:val="none"/>
          <w:lang w:eastAsia="zh-CN"/>
        </w:rPr>
        <w:t>、</w:t>
      </w:r>
      <w:r>
        <w:rPr>
          <w:color w:val="auto"/>
          <w:highlight w:val="none"/>
          <w:u w:val="none"/>
        </w:rPr>
        <w:t>与环境的和谐共存。通过这些措施，可以确保木结构建筑的安全、耐用，同时也能满足人们对美好生活的追求</w:t>
      </w:r>
      <w:r>
        <w:rPr>
          <w:rFonts w:hint="eastAsia"/>
          <w:color w:val="auto"/>
          <w:highlight w:val="none"/>
          <w:u w:val="none"/>
          <w:lang w:eastAsia="zh-CN"/>
        </w:rPr>
        <w:t>。</w:t>
      </w:r>
    </w:p>
    <w:p w14:paraId="45C695DA">
      <w:pPr>
        <w:rPr>
          <w:color w:val="auto"/>
          <w:highlight w:val="none"/>
          <w:u w:val="none"/>
          <w:lang w:eastAsia="zh-CN"/>
        </w:rPr>
      </w:pPr>
      <w:r>
        <w:rPr>
          <w:color w:val="auto"/>
          <w:highlight w:val="none"/>
          <w:u w:val="none"/>
          <w:lang w:eastAsia="zh-CN"/>
        </w:rPr>
        <w:t>‌</w:t>
      </w:r>
    </w:p>
    <w:p w14:paraId="09A726BD">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3.0.2  </w:t>
      </w:r>
      <w:r>
        <w:rPr>
          <w:rFonts w:hint="eastAsia" w:cs="Times New Roman"/>
          <w:color w:val="auto"/>
          <w:kern w:val="2"/>
          <w:szCs w:val="24"/>
          <w:highlight w:val="none"/>
          <w:u w:val="none"/>
          <w:lang w:eastAsia="zh-CN"/>
        </w:rPr>
        <w:t>木结构建筑应满足强度、稳定性和刚度的要求，并符合现行国家标准对建筑防火、节能、耐久性及隔声的规定。</w:t>
      </w:r>
    </w:p>
    <w:p w14:paraId="31088334">
      <w:pPr>
        <w:pStyle w:val="50"/>
        <w:ind w:firstLine="480"/>
        <w:rPr>
          <w:color w:val="auto"/>
          <w:highlight w:val="none"/>
          <w:u w:val="none"/>
        </w:rPr>
      </w:pPr>
      <w:r>
        <w:rPr>
          <w:rFonts w:hint="eastAsia"/>
          <w:color w:val="auto"/>
          <w:highlight w:val="none"/>
          <w:u w:val="none"/>
        </w:rPr>
        <w:t>【条文说明】3.0.2：木结构建筑在设计、施工和使用过程中，必须遵循一系列标准和规范，以确保建筑的安全性和耐久性。这些规范不仅涉及建筑的结构性能，还包括防火、节能等方面的要求。</w:t>
      </w:r>
    </w:p>
    <w:p w14:paraId="434B86F9">
      <w:pPr>
        <w:rPr>
          <w:color w:val="auto"/>
          <w:highlight w:val="none"/>
          <w:u w:val="none"/>
          <w:lang w:eastAsia="zh-CN"/>
        </w:rPr>
      </w:pPr>
    </w:p>
    <w:p w14:paraId="537C6E14">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3.0.3  </w:t>
      </w:r>
      <w:r>
        <w:rPr>
          <w:rFonts w:hint="eastAsia" w:cs="Times New Roman"/>
          <w:color w:val="auto"/>
          <w:kern w:val="2"/>
          <w:szCs w:val="24"/>
          <w:highlight w:val="none"/>
          <w:u w:val="none"/>
          <w:lang w:eastAsia="zh-CN"/>
        </w:rPr>
        <w:t>木结构建筑应防腐、防虫蛀，确保结构达到预期工作年限，在符合安全和性能要求的同时宜优先采用通用及标准化的结构和构件，减少构件截面的规格，减少制作安装周期。</w:t>
      </w:r>
    </w:p>
    <w:p w14:paraId="0987951E">
      <w:pPr>
        <w:pStyle w:val="50"/>
        <w:ind w:firstLine="480"/>
        <w:rPr>
          <w:color w:val="auto"/>
          <w:highlight w:val="none"/>
          <w:u w:val="none"/>
        </w:rPr>
      </w:pPr>
      <w:r>
        <w:rPr>
          <w:rFonts w:hint="eastAsia"/>
          <w:color w:val="auto"/>
          <w:highlight w:val="none"/>
          <w:u w:val="none"/>
        </w:rPr>
        <w:t>【条文说明】3.0.3：对于木结构建筑，应采取可靠的防腐</w:t>
      </w:r>
      <w:r>
        <w:rPr>
          <w:rFonts w:hint="eastAsia"/>
          <w:color w:val="auto"/>
          <w:highlight w:val="none"/>
          <w:u w:val="none"/>
          <w:lang w:eastAsia="zh-CN"/>
        </w:rPr>
        <w:t>防虫</w:t>
      </w:r>
      <w:r>
        <w:rPr>
          <w:rFonts w:hint="eastAsia"/>
          <w:color w:val="auto"/>
          <w:highlight w:val="none"/>
          <w:u w:val="none"/>
        </w:rPr>
        <w:t>措施，防止木材因环境因素而腐蚀或被虫蛀。保证既能有效防腐、杀虫，对害虫有驱避作用，且对人畜无害，不污染环境‌。</w:t>
      </w:r>
    </w:p>
    <w:p w14:paraId="2827D9A3">
      <w:pPr>
        <w:pStyle w:val="50"/>
        <w:ind w:firstLine="480"/>
        <w:rPr>
          <w:color w:val="auto"/>
          <w:highlight w:val="none"/>
          <w:u w:val="none"/>
        </w:rPr>
      </w:pPr>
      <w:r>
        <w:rPr>
          <w:rFonts w:hint="eastAsia"/>
          <w:color w:val="auto"/>
          <w:highlight w:val="none"/>
          <w:u w:val="none"/>
        </w:rPr>
        <w:t>优先采用通用及标准化的结构和构件，减少构件截面的规格，不仅可以提高生产效率、降低制作安装周期和成本，还能提高工程质量，促进建筑工业化的发展。</w:t>
      </w:r>
    </w:p>
    <w:p w14:paraId="2CF7F0D9">
      <w:pPr>
        <w:rPr>
          <w:color w:val="auto"/>
          <w:highlight w:val="none"/>
          <w:u w:val="none"/>
          <w:lang w:eastAsia="zh-CN"/>
        </w:rPr>
      </w:pPr>
    </w:p>
    <w:p w14:paraId="13214208">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3.0.4  </w:t>
      </w:r>
      <w:r>
        <w:rPr>
          <w:rFonts w:hint="eastAsia" w:cs="Times New Roman"/>
          <w:color w:val="auto"/>
          <w:kern w:val="2"/>
          <w:szCs w:val="24"/>
          <w:highlight w:val="none"/>
          <w:u w:val="none"/>
          <w:lang w:eastAsia="zh-CN"/>
        </w:rPr>
        <w:t>木结构建筑的设计工作年限应符合表3.0.4的要求。</w:t>
      </w:r>
    </w:p>
    <w:p w14:paraId="7F303935">
      <w:pPr>
        <w:pStyle w:val="40"/>
        <w:rPr>
          <w:color w:val="auto"/>
          <w:highlight w:val="none"/>
          <w:u w:val="none"/>
          <w:lang w:eastAsia="zh-CN"/>
        </w:rPr>
      </w:pPr>
      <w:r>
        <w:rPr>
          <w:rFonts w:hint="eastAsia"/>
          <w:color w:val="auto"/>
          <w:highlight w:val="none"/>
          <w:u w:val="none"/>
          <w:lang w:eastAsia="zh-CN"/>
        </w:rPr>
        <w:t>表3.0.4</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76"/>
        <w:gridCol w:w="2946"/>
      </w:tblGrid>
      <w:tr w14:paraId="37F12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tcPr>
          <w:p w14:paraId="64A9ACB6">
            <w:pPr>
              <w:pStyle w:val="43"/>
              <w:rPr>
                <w:color w:val="auto"/>
                <w:highlight w:val="none"/>
                <w:u w:val="none"/>
              </w:rPr>
            </w:pPr>
            <w:r>
              <w:rPr>
                <w:rFonts w:hint="eastAsia"/>
                <w:color w:val="auto"/>
                <w:highlight w:val="none"/>
                <w:u w:val="none"/>
              </w:rPr>
              <w:t>类别</w:t>
            </w:r>
          </w:p>
        </w:tc>
        <w:tc>
          <w:tcPr>
            <w:tcW w:w="0" w:type="auto"/>
            <w:tcBorders>
              <w:tl2br w:val="nil"/>
              <w:tr2bl w:val="nil"/>
            </w:tcBorders>
          </w:tcPr>
          <w:p w14:paraId="14641109">
            <w:pPr>
              <w:pStyle w:val="43"/>
              <w:rPr>
                <w:color w:val="auto"/>
                <w:highlight w:val="none"/>
                <w:u w:val="none"/>
              </w:rPr>
            </w:pPr>
            <w:r>
              <w:rPr>
                <w:rFonts w:hint="eastAsia"/>
                <w:color w:val="auto"/>
                <w:highlight w:val="none"/>
                <w:u w:val="none"/>
              </w:rPr>
              <w:t>设计工作年限</w:t>
            </w:r>
          </w:p>
        </w:tc>
        <w:tc>
          <w:tcPr>
            <w:tcW w:w="0" w:type="auto"/>
            <w:tcBorders>
              <w:tl2br w:val="nil"/>
              <w:tr2bl w:val="nil"/>
            </w:tcBorders>
          </w:tcPr>
          <w:p w14:paraId="3A58FD7A">
            <w:pPr>
              <w:pStyle w:val="43"/>
              <w:rPr>
                <w:color w:val="auto"/>
                <w:highlight w:val="none"/>
                <w:u w:val="none"/>
              </w:rPr>
            </w:pPr>
            <w:r>
              <w:rPr>
                <w:rFonts w:hint="eastAsia"/>
                <w:color w:val="auto"/>
                <w:highlight w:val="none"/>
                <w:u w:val="none"/>
              </w:rPr>
              <w:t>实例</w:t>
            </w:r>
          </w:p>
        </w:tc>
      </w:tr>
      <w:tr w14:paraId="7DDA0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tcPr>
          <w:p w14:paraId="4EC3CFD7">
            <w:pPr>
              <w:pStyle w:val="43"/>
              <w:rPr>
                <w:color w:val="auto"/>
                <w:highlight w:val="none"/>
                <w:u w:val="none"/>
              </w:rPr>
            </w:pPr>
            <w:r>
              <w:rPr>
                <w:rFonts w:hint="eastAsia"/>
                <w:color w:val="auto"/>
                <w:highlight w:val="none"/>
                <w:u w:val="none"/>
              </w:rPr>
              <w:t>1</w:t>
            </w:r>
          </w:p>
        </w:tc>
        <w:tc>
          <w:tcPr>
            <w:tcW w:w="0" w:type="auto"/>
            <w:tcBorders>
              <w:tl2br w:val="nil"/>
              <w:tr2bl w:val="nil"/>
            </w:tcBorders>
          </w:tcPr>
          <w:p w14:paraId="0A177C08">
            <w:pPr>
              <w:pStyle w:val="43"/>
              <w:rPr>
                <w:rFonts w:hint="eastAsia" w:eastAsia="宋体"/>
                <w:color w:val="auto"/>
                <w:highlight w:val="none"/>
                <w:u w:val="none"/>
                <w:lang w:eastAsia="zh-CN"/>
              </w:rPr>
            </w:pPr>
            <w:r>
              <w:rPr>
                <w:rFonts w:hint="eastAsia"/>
                <w:color w:val="auto"/>
                <w:highlight w:val="none"/>
                <w:u w:val="none"/>
              </w:rPr>
              <w:t>5</w:t>
            </w:r>
            <w:r>
              <w:rPr>
                <w:rFonts w:hint="eastAsia"/>
                <w:color w:val="auto"/>
                <w:highlight w:val="none"/>
                <w:u w:val="none"/>
                <w:lang w:eastAsia="zh-CN"/>
              </w:rPr>
              <w:t>年</w:t>
            </w:r>
          </w:p>
        </w:tc>
        <w:tc>
          <w:tcPr>
            <w:tcW w:w="0" w:type="auto"/>
            <w:tcBorders>
              <w:tl2br w:val="nil"/>
              <w:tr2bl w:val="nil"/>
            </w:tcBorders>
          </w:tcPr>
          <w:p w14:paraId="244A77FB">
            <w:pPr>
              <w:pStyle w:val="43"/>
              <w:rPr>
                <w:color w:val="auto"/>
                <w:highlight w:val="none"/>
                <w:u w:val="none"/>
              </w:rPr>
            </w:pPr>
            <w:r>
              <w:rPr>
                <w:rFonts w:hint="eastAsia"/>
                <w:color w:val="auto"/>
                <w:highlight w:val="none"/>
                <w:u w:val="none"/>
              </w:rPr>
              <w:t>临时性建筑</w:t>
            </w:r>
          </w:p>
        </w:tc>
      </w:tr>
      <w:tr w14:paraId="1065D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tcPr>
          <w:p w14:paraId="0FDAB250">
            <w:pPr>
              <w:pStyle w:val="43"/>
              <w:rPr>
                <w:color w:val="auto"/>
                <w:highlight w:val="none"/>
                <w:u w:val="none"/>
              </w:rPr>
            </w:pPr>
            <w:r>
              <w:rPr>
                <w:rFonts w:hint="eastAsia"/>
                <w:color w:val="auto"/>
                <w:highlight w:val="none"/>
                <w:u w:val="none"/>
              </w:rPr>
              <w:t>2</w:t>
            </w:r>
          </w:p>
        </w:tc>
        <w:tc>
          <w:tcPr>
            <w:tcW w:w="0" w:type="auto"/>
            <w:tcBorders>
              <w:tl2br w:val="nil"/>
              <w:tr2bl w:val="nil"/>
            </w:tcBorders>
          </w:tcPr>
          <w:p w14:paraId="1792789A">
            <w:pPr>
              <w:pStyle w:val="43"/>
              <w:rPr>
                <w:rFonts w:hint="eastAsia" w:eastAsia="宋体"/>
                <w:color w:val="auto"/>
                <w:highlight w:val="none"/>
                <w:u w:val="none"/>
                <w:lang w:eastAsia="zh-CN"/>
              </w:rPr>
            </w:pPr>
            <w:r>
              <w:rPr>
                <w:rFonts w:hint="eastAsia"/>
                <w:color w:val="auto"/>
                <w:highlight w:val="none"/>
                <w:u w:val="none"/>
              </w:rPr>
              <w:t>25</w:t>
            </w:r>
            <w:r>
              <w:rPr>
                <w:rFonts w:hint="eastAsia"/>
                <w:color w:val="auto"/>
                <w:highlight w:val="none"/>
                <w:u w:val="none"/>
                <w:lang w:eastAsia="zh-CN"/>
              </w:rPr>
              <w:t>年</w:t>
            </w:r>
          </w:p>
        </w:tc>
        <w:tc>
          <w:tcPr>
            <w:tcW w:w="0" w:type="auto"/>
            <w:tcBorders>
              <w:tl2br w:val="nil"/>
              <w:tr2bl w:val="nil"/>
            </w:tcBorders>
          </w:tcPr>
          <w:p w14:paraId="495D964B">
            <w:pPr>
              <w:pStyle w:val="43"/>
              <w:rPr>
                <w:color w:val="auto"/>
                <w:highlight w:val="none"/>
                <w:u w:val="none"/>
              </w:rPr>
            </w:pPr>
            <w:r>
              <w:rPr>
                <w:rFonts w:hint="eastAsia"/>
                <w:color w:val="auto"/>
                <w:highlight w:val="none"/>
                <w:u w:val="none"/>
              </w:rPr>
              <w:t>易于替换结构构件的建筑</w:t>
            </w:r>
          </w:p>
        </w:tc>
      </w:tr>
      <w:tr w14:paraId="6E29F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tcPr>
          <w:p w14:paraId="24450475">
            <w:pPr>
              <w:pStyle w:val="43"/>
              <w:rPr>
                <w:color w:val="auto"/>
                <w:highlight w:val="none"/>
                <w:u w:val="none"/>
              </w:rPr>
            </w:pPr>
            <w:r>
              <w:rPr>
                <w:rFonts w:hint="eastAsia"/>
                <w:color w:val="auto"/>
                <w:highlight w:val="none"/>
                <w:u w:val="none"/>
              </w:rPr>
              <w:t>3</w:t>
            </w:r>
          </w:p>
        </w:tc>
        <w:tc>
          <w:tcPr>
            <w:tcW w:w="0" w:type="auto"/>
            <w:tcBorders>
              <w:tl2br w:val="nil"/>
              <w:tr2bl w:val="nil"/>
            </w:tcBorders>
          </w:tcPr>
          <w:p w14:paraId="60D855B5">
            <w:pPr>
              <w:pStyle w:val="43"/>
              <w:rPr>
                <w:rFonts w:hint="eastAsia" w:eastAsia="宋体"/>
                <w:color w:val="auto"/>
                <w:highlight w:val="none"/>
                <w:u w:val="none"/>
                <w:lang w:eastAsia="zh-CN"/>
              </w:rPr>
            </w:pPr>
            <w:r>
              <w:rPr>
                <w:rFonts w:hint="eastAsia"/>
                <w:color w:val="auto"/>
                <w:highlight w:val="none"/>
                <w:u w:val="none"/>
              </w:rPr>
              <w:t>50</w:t>
            </w:r>
            <w:r>
              <w:rPr>
                <w:rFonts w:hint="eastAsia"/>
                <w:color w:val="auto"/>
                <w:highlight w:val="none"/>
                <w:u w:val="none"/>
                <w:lang w:eastAsia="zh-CN"/>
              </w:rPr>
              <w:t>年</w:t>
            </w:r>
          </w:p>
        </w:tc>
        <w:tc>
          <w:tcPr>
            <w:tcW w:w="0" w:type="auto"/>
            <w:tcBorders>
              <w:tl2br w:val="nil"/>
              <w:tr2bl w:val="nil"/>
            </w:tcBorders>
          </w:tcPr>
          <w:p w14:paraId="77CED01E">
            <w:pPr>
              <w:pStyle w:val="43"/>
              <w:rPr>
                <w:color w:val="auto"/>
                <w:highlight w:val="none"/>
                <w:u w:val="none"/>
              </w:rPr>
            </w:pPr>
            <w:r>
              <w:rPr>
                <w:rFonts w:hint="eastAsia"/>
                <w:color w:val="auto"/>
                <w:highlight w:val="none"/>
                <w:u w:val="none"/>
              </w:rPr>
              <w:t>普通建筑和构筑物</w:t>
            </w:r>
          </w:p>
        </w:tc>
      </w:tr>
      <w:tr w14:paraId="02455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tcPr>
          <w:p w14:paraId="6876BFE9">
            <w:pPr>
              <w:pStyle w:val="43"/>
              <w:rPr>
                <w:color w:val="auto"/>
                <w:highlight w:val="none"/>
                <w:u w:val="none"/>
              </w:rPr>
            </w:pPr>
            <w:r>
              <w:rPr>
                <w:rFonts w:hint="eastAsia"/>
                <w:color w:val="auto"/>
                <w:highlight w:val="none"/>
                <w:u w:val="none"/>
              </w:rPr>
              <w:t>4</w:t>
            </w:r>
          </w:p>
        </w:tc>
        <w:tc>
          <w:tcPr>
            <w:tcW w:w="0" w:type="auto"/>
            <w:tcBorders>
              <w:tl2br w:val="nil"/>
              <w:tr2bl w:val="nil"/>
            </w:tcBorders>
          </w:tcPr>
          <w:p w14:paraId="12B2D446">
            <w:pPr>
              <w:pStyle w:val="43"/>
              <w:rPr>
                <w:rFonts w:hint="eastAsia" w:eastAsia="宋体"/>
                <w:color w:val="auto"/>
                <w:highlight w:val="none"/>
                <w:u w:val="none"/>
                <w:lang w:eastAsia="zh-CN"/>
              </w:rPr>
            </w:pPr>
            <w:r>
              <w:rPr>
                <w:rFonts w:hint="eastAsia"/>
                <w:color w:val="auto"/>
                <w:highlight w:val="none"/>
                <w:u w:val="none"/>
              </w:rPr>
              <w:t>100</w:t>
            </w:r>
            <w:r>
              <w:rPr>
                <w:rFonts w:hint="eastAsia"/>
                <w:color w:val="auto"/>
                <w:highlight w:val="none"/>
                <w:u w:val="none"/>
                <w:lang w:eastAsia="zh-CN"/>
              </w:rPr>
              <w:t>年</w:t>
            </w:r>
          </w:p>
        </w:tc>
        <w:tc>
          <w:tcPr>
            <w:tcW w:w="0" w:type="auto"/>
            <w:tcBorders>
              <w:tl2br w:val="nil"/>
              <w:tr2bl w:val="nil"/>
            </w:tcBorders>
          </w:tcPr>
          <w:p w14:paraId="706D2016">
            <w:pPr>
              <w:pStyle w:val="43"/>
              <w:rPr>
                <w:color w:val="auto"/>
                <w:highlight w:val="none"/>
                <w:u w:val="none"/>
              </w:rPr>
            </w:pPr>
            <w:r>
              <w:rPr>
                <w:rFonts w:hint="eastAsia"/>
                <w:color w:val="auto"/>
                <w:highlight w:val="none"/>
                <w:u w:val="none"/>
              </w:rPr>
              <w:t>纪念性建筑和特别重要的建筑</w:t>
            </w:r>
          </w:p>
        </w:tc>
      </w:tr>
    </w:tbl>
    <w:p w14:paraId="450F003B">
      <w:pPr>
        <w:pStyle w:val="50"/>
        <w:ind w:firstLine="480"/>
        <w:rPr>
          <w:color w:val="auto"/>
          <w:highlight w:val="none"/>
          <w:u w:val="none"/>
        </w:rPr>
      </w:pPr>
      <w:r>
        <w:rPr>
          <w:rFonts w:hint="eastAsia"/>
          <w:color w:val="auto"/>
          <w:highlight w:val="none"/>
          <w:u w:val="none"/>
        </w:rPr>
        <w:t>【条文说明】3.0.4：该条文明确了木结构建筑（构）物设计工作年限的最低标准。能够承受在正常施工和正常使用过程中可能出现的各种作用，满足结构和结构构件的预定使用要求，材料的耐久性应满足抵抗自身和自然环境双重因素长期破坏作用的能力，达到最低设计工作年限。</w:t>
      </w:r>
    </w:p>
    <w:p w14:paraId="6695D669">
      <w:pPr>
        <w:rPr>
          <w:color w:val="auto"/>
          <w:highlight w:val="none"/>
          <w:u w:val="none"/>
          <w:lang w:eastAsia="zh-CN"/>
        </w:rPr>
      </w:pPr>
    </w:p>
    <w:p w14:paraId="414467ED">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3.0.5  </w:t>
      </w:r>
      <w:r>
        <w:rPr>
          <w:rFonts w:hint="eastAsia" w:cs="Times New Roman"/>
          <w:color w:val="auto"/>
          <w:kern w:val="2"/>
          <w:szCs w:val="24"/>
          <w:highlight w:val="none"/>
          <w:u w:val="none"/>
          <w:lang w:eastAsia="zh-CN"/>
        </w:rPr>
        <w:t xml:space="preserve">根据建筑结构破坏后果的严重程度，建筑结构划分为三个安全等级。设计时应根据具体情况按表3.0.5选用相应的安全等级。 </w:t>
      </w:r>
    </w:p>
    <w:p w14:paraId="72D46F2B">
      <w:pPr>
        <w:pStyle w:val="40"/>
        <w:rPr>
          <w:color w:val="auto"/>
          <w:highlight w:val="none"/>
          <w:u w:val="none"/>
          <w:lang w:eastAsia="zh-CN"/>
        </w:rPr>
      </w:pPr>
      <w:r>
        <w:rPr>
          <w:rFonts w:hint="eastAsia"/>
          <w:color w:val="auto"/>
          <w:highlight w:val="none"/>
          <w:u w:val="none"/>
          <w:lang w:eastAsia="zh-CN"/>
        </w:rPr>
        <w:t xml:space="preserve">表3.0.5  建筑结构的安全等级  </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293"/>
        <w:gridCol w:w="1294"/>
      </w:tblGrid>
      <w:tr w14:paraId="64123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tcBorders>
              <w:tl2br w:val="nil"/>
              <w:tr2bl w:val="nil"/>
            </w:tcBorders>
          </w:tcPr>
          <w:p w14:paraId="1D0F7AD0">
            <w:pPr>
              <w:pStyle w:val="43"/>
              <w:rPr>
                <w:color w:val="auto"/>
                <w:highlight w:val="none"/>
                <w:u w:val="none"/>
              </w:rPr>
            </w:pPr>
            <w:r>
              <w:rPr>
                <w:rFonts w:hint="eastAsia"/>
                <w:color w:val="auto"/>
                <w:highlight w:val="none"/>
                <w:u w:val="none"/>
              </w:rPr>
              <w:t>安全等级</w:t>
            </w:r>
          </w:p>
        </w:tc>
        <w:tc>
          <w:tcPr>
            <w:tcW w:w="1293" w:type="dxa"/>
            <w:tcBorders>
              <w:tl2br w:val="nil"/>
              <w:tr2bl w:val="nil"/>
            </w:tcBorders>
          </w:tcPr>
          <w:p w14:paraId="783395D3">
            <w:pPr>
              <w:pStyle w:val="43"/>
              <w:rPr>
                <w:color w:val="auto"/>
                <w:highlight w:val="none"/>
                <w:u w:val="none"/>
              </w:rPr>
            </w:pPr>
            <w:r>
              <w:rPr>
                <w:rFonts w:hint="eastAsia"/>
                <w:color w:val="auto"/>
                <w:highlight w:val="none"/>
                <w:u w:val="none"/>
              </w:rPr>
              <w:t>破坏后果</w:t>
            </w:r>
          </w:p>
        </w:tc>
        <w:tc>
          <w:tcPr>
            <w:tcW w:w="1294" w:type="dxa"/>
            <w:tcBorders>
              <w:tl2br w:val="nil"/>
              <w:tr2bl w:val="nil"/>
            </w:tcBorders>
          </w:tcPr>
          <w:p w14:paraId="33F3BBA7">
            <w:pPr>
              <w:pStyle w:val="43"/>
              <w:rPr>
                <w:color w:val="auto"/>
                <w:highlight w:val="none"/>
                <w:u w:val="none"/>
              </w:rPr>
            </w:pPr>
            <w:r>
              <w:rPr>
                <w:rFonts w:hint="eastAsia"/>
                <w:color w:val="auto"/>
                <w:highlight w:val="none"/>
                <w:u w:val="none"/>
              </w:rPr>
              <w:t>建筑物类型</w:t>
            </w:r>
          </w:p>
        </w:tc>
      </w:tr>
      <w:tr w14:paraId="639C6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tcBorders>
              <w:tl2br w:val="nil"/>
              <w:tr2bl w:val="nil"/>
            </w:tcBorders>
          </w:tcPr>
          <w:p w14:paraId="779B4478">
            <w:pPr>
              <w:pStyle w:val="43"/>
              <w:rPr>
                <w:color w:val="auto"/>
                <w:highlight w:val="none"/>
                <w:u w:val="none"/>
              </w:rPr>
            </w:pPr>
            <w:r>
              <w:rPr>
                <w:rFonts w:hint="eastAsia"/>
                <w:color w:val="auto"/>
                <w:highlight w:val="none"/>
                <w:u w:val="none"/>
              </w:rPr>
              <w:t>一级</w:t>
            </w:r>
          </w:p>
        </w:tc>
        <w:tc>
          <w:tcPr>
            <w:tcW w:w="1293" w:type="dxa"/>
            <w:tcBorders>
              <w:tl2br w:val="nil"/>
              <w:tr2bl w:val="nil"/>
            </w:tcBorders>
          </w:tcPr>
          <w:p w14:paraId="0EEE8BD3">
            <w:pPr>
              <w:pStyle w:val="43"/>
              <w:rPr>
                <w:color w:val="auto"/>
                <w:highlight w:val="none"/>
                <w:u w:val="none"/>
              </w:rPr>
            </w:pPr>
            <w:r>
              <w:rPr>
                <w:rFonts w:hint="eastAsia"/>
                <w:color w:val="auto"/>
                <w:highlight w:val="none"/>
                <w:u w:val="none"/>
              </w:rPr>
              <w:t>很严重</w:t>
            </w:r>
          </w:p>
        </w:tc>
        <w:tc>
          <w:tcPr>
            <w:tcW w:w="1294" w:type="dxa"/>
            <w:tcBorders>
              <w:tl2br w:val="nil"/>
              <w:tr2bl w:val="nil"/>
            </w:tcBorders>
          </w:tcPr>
          <w:p w14:paraId="2D531EDE">
            <w:pPr>
              <w:pStyle w:val="43"/>
              <w:rPr>
                <w:color w:val="auto"/>
                <w:highlight w:val="none"/>
                <w:u w:val="none"/>
              </w:rPr>
            </w:pPr>
            <w:r>
              <w:rPr>
                <w:rFonts w:hint="eastAsia"/>
                <w:color w:val="auto"/>
                <w:highlight w:val="none"/>
                <w:u w:val="none"/>
              </w:rPr>
              <w:t>重要建筑</w:t>
            </w:r>
          </w:p>
        </w:tc>
      </w:tr>
      <w:tr w14:paraId="17C97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tcBorders>
              <w:tl2br w:val="nil"/>
              <w:tr2bl w:val="nil"/>
            </w:tcBorders>
          </w:tcPr>
          <w:p w14:paraId="48283B48">
            <w:pPr>
              <w:pStyle w:val="43"/>
              <w:rPr>
                <w:color w:val="auto"/>
                <w:highlight w:val="none"/>
                <w:u w:val="none"/>
              </w:rPr>
            </w:pPr>
            <w:r>
              <w:rPr>
                <w:rFonts w:hint="eastAsia"/>
                <w:color w:val="auto"/>
                <w:highlight w:val="none"/>
                <w:u w:val="none"/>
              </w:rPr>
              <w:t>二级</w:t>
            </w:r>
          </w:p>
        </w:tc>
        <w:tc>
          <w:tcPr>
            <w:tcW w:w="1293" w:type="dxa"/>
            <w:tcBorders>
              <w:tl2br w:val="nil"/>
              <w:tr2bl w:val="nil"/>
            </w:tcBorders>
          </w:tcPr>
          <w:p w14:paraId="0C6DBF72">
            <w:pPr>
              <w:pStyle w:val="43"/>
              <w:rPr>
                <w:color w:val="auto"/>
                <w:highlight w:val="none"/>
                <w:u w:val="none"/>
              </w:rPr>
            </w:pPr>
            <w:r>
              <w:rPr>
                <w:rFonts w:hint="eastAsia"/>
                <w:color w:val="auto"/>
                <w:highlight w:val="none"/>
                <w:u w:val="none"/>
              </w:rPr>
              <w:t>严重</w:t>
            </w:r>
          </w:p>
        </w:tc>
        <w:tc>
          <w:tcPr>
            <w:tcW w:w="1294" w:type="dxa"/>
            <w:tcBorders>
              <w:tl2br w:val="nil"/>
              <w:tr2bl w:val="nil"/>
            </w:tcBorders>
          </w:tcPr>
          <w:p w14:paraId="3CA54DE7">
            <w:pPr>
              <w:pStyle w:val="43"/>
              <w:rPr>
                <w:color w:val="auto"/>
                <w:highlight w:val="none"/>
                <w:u w:val="none"/>
              </w:rPr>
            </w:pPr>
            <w:r>
              <w:rPr>
                <w:rFonts w:hint="eastAsia"/>
                <w:color w:val="auto"/>
                <w:highlight w:val="none"/>
                <w:u w:val="none"/>
              </w:rPr>
              <w:t>一般建筑</w:t>
            </w:r>
          </w:p>
        </w:tc>
      </w:tr>
      <w:tr w14:paraId="34465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tcBorders>
              <w:tl2br w:val="nil"/>
              <w:tr2bl w:val="nil"/>
            </w:tcBorders>
          </w:tcPr>
          <w:p w14:paraId="626CED04">
            <w:pPr>
              <w:pStyle w:val="43"/>
              <w:rPr>
                <w:color w:val="auto"/>
                <w:highlight w:val="none"/>
                <w:u w:val="none"/>
              </w:rPr>
            </w:pPr>
            <w:r>
              <w:rPr>
                <w:rFonts w:hint="eastAsia"/>
                <w:color w:val="auto"/>
                <w:highlight w:val="none"/>
                <w:u w:val="none"/>
              </w:rPr>
              <w:t>三级</w:t>
            </w:r>
          </w:p>
        </w:tc>
        <w:tc>
          <w:tcPr>
            <w:tcW w:w="1293" w:type="dxa"/>
            <w:tcBorders>
              <w:tl2br w:val="nil"/>
              <w:tr2bl w:val="nil"/>
            </w:tcBorders>
          </w:tcPr>
          <w:p w14:paraId="1B1AD8DB">
            <w:pPr>
              <w:pStyle w:val="43"/>
              <w:rPr>
                <w:color w:val="auto"/>
                <w:highlight w:val="none"/>
                <w:u w:val="none"/>
              </w:rPr>
            </w:pPr>
            <w:r>
              <w:rPr>
                <w:rFonts w:hint="eastAsia"/>
                <w:color w:val="auto"/>
                <w:highlight w:val="none"/>
                <w:u w:val="none"/>
              </w:rPr>
              <w:t>不严重</w:t>
            </w:r>
          </w:p>
        </w:tc>
        <w:tc>
          <w:tcPr>
            <w:tcW w:w="1294" w:type="dxa"/>
            <w:tcBorders>
              <w:tl2br w:val="nil"/>
              <w:tr2bl w:val="nil"/>
            </w:tcBorders>
          </w:tcPr>
          <w:p w14:paraId="42239D8D">
            <w:pPr>
              <w:pStyle w:val="43"/>
              <w:rPr>
                <w:color w:val="auto"/>
                <w:highlight w:val="none"/>
                <w:u w:val="none"/>
              </w:rPr>
            </w:pPr>
            <w:r>
              <w:rPr>
                <w:rFonts w:hint="eastAsia"/>
                <w:color w:val="auto"/>
                <w:highlight w:val="none"/>
                <w:u w:val="none"/>
              </w:rPr>
              <w:t>次要建筑</w:t>
            </w:r>
          </w:p>
        </w:tc>
      </w:tr>
    </w:tbl>
    <w:p w14:paraId="1CCE9386">
      <w:pPr>
        <w:pStyle w:val="43"/>
        <w:jc w:val="left"/>
        <w:rPr>
          <w:color w:val="auto"/>
          <w:highlight w:val="none"/>
          <w:u w:val="none"/>
        </w:rPr>
      </w:pPr>
      <w:r>
        <w:rPr>
          <w:rFonts w:hint="eastAsia"/>
          <w:color w:val="auto"/>
          <w:highlight w:val="none"/>
          <w:u w:val="none"/>
        </w:rPr>
        <w:t>注：对有特殊要求的建筑物、文物建筑和优秀历史建筑，其安全等级可根据具体情况另行确定。</w:t>
      </w:r>
    </w:p>
    <w:p w14:paraId="7B024920">
      <w:pPr>
        <w:pStyle w:val="50"/>
        <w:ind w:firstLine="480"/>
        <w:rPr>
          <w:color w:val="auto"/>
          <w:highlight w:val="none"/>
          <w:u w:val="none"/>
        </w:rPr>
      </w:pPr>
      <w:r>
        <w:rPr>
          <w:rFonts w:hint="eastAsia"/>
          <w:color w:val="auto"/>
          <w:highlight w:val="none"/>
          <w:u w:val="none"/>
        </w:rPr>
        <w:t>【条文说明】3.0.5：这种分类有助于在设计阶段根据建筑的重要性来确定其结构的安全标准和防护措施，以确保建筑物的安全性和可靠性。同时，同一建筑物内的各种结构构件应与整个结构采用相同的安全等级，但根据结构的重要程度和综合经济效果，允许对部分结构构件进行适当调整‌。</w:t>
      </w:r>
    </w:p>
    <w:p w14:paraId="3222F483">
      <w:pPr>
        <w:rPr>
          <w:color w:val="auto"/>
          <w:highlight w:val="none"/>
          <w:u w:val="none"/>
          <w:lang w:eastAsia="zh-CN"/>
        </w:rPr>
      </w:pPr>
    </w:p>
    <w:p w14:paraId="61DDC3E5">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3.0.6  </w:t>
      </w:r>
      <w:r>
        <w:rPr>
          <w:rFonts w:hint="eastAsia" w:cs="Times New Roman"/>
          <w:color w:val="auto"/>
          <w:kern w:val="2"/>
          <w:szCs w:val="24"/>
          <w:highlight w:val="none"/>
          <w:u w:val="none"/>
          <w:lang w:eastAsia="zh-CN"/>
        </w:rPr>
        <w:t xml:space="preserve">木结构建筑物中各类结构构件的安全等级，宜与整个结构的安全等级相同，对其中部分结构构件的安全等级，可根据重要程度适当调整，但不应低于三级。  </w:t>
      </w:r>
    </w:p>
    <w:p w14:paraId="5F463C80">
      <w:pPr>
        <w:pStyle w:val="50"/>
        <w:ind w:firstLine="480"/>
        <w:rPr>
          <w:color w:val="auto"/>
          <w:highlight w:val="none"/>
          <w:u w:val="none"/>
        </w:rPr>
      </w:pPr>
      <w:r>
        <w:rPr>
          <w:rFonts w:hint="eastAsia"/>
          <w:color w:val="auto"/>
          <w:highlight w:val="none"/>
          <w:u w:val="none"/>
        </w:rPr>
        <w:t>【条文说明】3.0.6：建筑物中结构构件的安全等级的设置是为了确保建筑物的整体安全性和稳定性，根据建筑物的类型、重要程度以及使用年限等因素进行适当调整，但调整后的安全等级不得低于三级，以确保人民生命财产的安全‌。</w:t>
      </w:r>
    </w:p>
    <w:p w14:paraId="2CDD7DEC">
      <w:pPr>
        <w:rPr>
          <w:color w:val="auto"/>
          <w:highlight w:val="none"/>
          <w:u w:val="none"/>
          <w:lang w:eastAsia="zh-CN"/>
        </w:rPr>
      </w:pPr>
    </w:p>
    <w:p w14:paraId="7C9AAA2D">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3.0.7  </w:t>
      </w:r>
      <w:r>
        <w:rPr>
          <w:rFonts w:hint="eastAsia" w:cs="Times New Roman"/>
          <w:color w:val="auto"/>
          <w:kern w:val="2"/>
          <w:szCs w:val="24"/>
          <w:highlight w:val="none"/>
          <w:u w:val="none"/>
          <w:lang w:eastAsia="zh-CN"/>
        </w:rPr>
        <w:t xml:space="preserve">木结构体系的抗震设防类别应根据现行国家标准《建筑抗震设防分类标准》GB 50223的规定确定。  </w:t>
      </w:r>
    </w:p>
    <w:p w14:paraId="4623A4C1">
      <w:pPr>
        <w:rPr>
          <w:color w:val="auto"/>
          <w:highlight w:val="none"/>
          <w:u w:val="none"/>
          <w:lang w:eastAsia="zh-CN"/>
        </w:rPr>
      </w:pPr>
    </w:p>
    <w:p w14:paraId="31A3FC83">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3.0.8  </w:t>
      </w:r>
      <w:r>
        <w:rPr>
          <w:rFonts w:hint="eastAsia" w:cs="Times New Roman"/>
          <w:color w:val="auto"/>
          <w:kern w:val="2"/>
          <w:szCs w:val="24"/>
          <w:highlight w:val="none"/>
          <w:u w:val="none"/>
          <w:lang w:eastAsia="zh-CN"/>
        </w:rPr>
        <w:t>建筑节能设计应按现行国家规范《建筑节能与可再生能源利用通用规范》GB55015及现行广西地方标准《居住建筑节能设计标准》DBJ/T 45</w:t>
      </w:r>
      <w:r>
        <w:rPr>
          <w:rFonts w:hint="eastAsia" w:cs="Times New Roman"/>
          <w:color w:val="auto"/>
          <w:kern w:val="2"/>
          <w:szCs w:val="24"/>
          <w:highlight w:val="none"/>
          <w:u w:val="none"/>
          <w:lang w:val="en-US" w:eastAsia="zh-CN"/>
        </w:rPr>
        <w:t>-095</w:t>
      </w:r>
      <w:r>
        <w:rPr>
          <w:rFonts w:hint="eastAsia" w:cs="Times New Roman"/>
          <w:color w:val="auto"/>
          <w:kern w:val="2"/>
          <w:szCs w:val="24"/>
          <w:highlight w:val="none"/>
          <w:u w:val="none"/>
          <w:lang w:eastAsia="zh-CN"/>
        </w:rPr>
        <w:t>、《公共建筑节能设计标准》DBJ/T 45</w:t>
      </w:r>
      <w:r>
        <w:rPr>
          <w:rFonts w:hint="eastAsia" w:cs="Times New Roman"/>
          <w:color w:val="auto"/>
          <w:kern w:val="2"/>
          <w:szCs w:val="24"/>
          <w:highlight w:val="none"/>
          <w:u w:val="none"/>
          <w:lang w:val="en-US" w:eastAsia="zh-CN"/>
        </w:rPr>
        <w:t>-096</w:t>
      </w:r>
      <w:r>
        <w:rPr>
          <w:rFonts w:hint="eastAsia" w:cs="Times New Roman"/>
          <w:color w:val="auto"/>
          <w:kern w:val="2"/>
          <w:szCs w:val="24"/>
          <w:highlight w:val="none"/>
          <w:u w:val="none"/>
          <w:lang w:eastAsia="zh-CN"/>
        </w:rPr>
        <w:t xml:space="preserve">中的规定执行。  </w:t>
      </w:r>
    </w:p>
    <w:p w14:paraId="5091B01D">
      <w:pPr>
        <w:pStyle w:val="50"/>
        <w:ind w:firstLine="480"/>
        <w:rPr>
          <w:color w:val="auto"/>
          <w:highlight w:val="none"/>
          <w:u w:val="none"/>
        </w:rPr>
      </w:pPr>
      <w:r>
        <w:rPr>
          <w:rFonts w:hint="eastAsia"/>
          <w:color w:val="auto"/>
          <w:highlight w:val="none"/>
          <w:u w:val="none"/>
        </w:rPr>
        <w:t>【条文说明】3.0.8：木结构建筑也须遵循一系列节能规范，旨在提高能源资源利用效率，推动可再生能源利用，降低建筑碳排放</w:t>
      </w:r>
      <w:r>
        <w:rPr>
          <w:color w:val="auto"/>
          <w:highlight w:val="none"/>
          <w:u w:val="none"/>
        </w:rPr>
        <w:t>‌。</w:t>
      </w:r>
    </w:p>
    <w:p w14:paraId="1E556AF5">
      <w:pPr>
        <w:rPr>
          <w:color w:val="auto"/>
          <w:highlight w:val="none"/>
          <w:u w:val="none"/>
          <w:lang w:eastAsia="zh-CN"/>
        </w:rPr>
      </w:pPr>
    </w:p>
    <w:p w14:paraId="2CE08BCD">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3.0.9  </w:t>
      </w:r>
      <w:r>
        <w:rPr>
          <w:rFonts w:hint="eastAsia" w:cs="Times New Roman"/>
          <w:color w:val="auto"/>
          <w:kern w:val="2"/>
          <w:szCs w:val="24"/>
          <w:highlight w:val="none"/>
          <w:u w:val="none"/>
          <w:lang w:eastAsia="zh-CN"/>
        </w:rPr>
        <w:t>木结构的重要性系数应符合现行国家标准《木结构设计标准》GB 50005的规定。</w:t>
      </w:r>
    </w:p>
    <w:p w14:paraId="43BDA265">
      <w:pPr>
        <w:pStyle w:val="50"/>
        <w:ind w:firstLine="480"/>
        <w:rPr>
          <w:color w:val="auto"/>
          <w:highlight w:val="none"/>
          <w:u w:val="none"/>
        </w:rPr>
      </w:pPr>
      <w:r>
        <w:rPr>
          <w:rFonts w:hint="eastAsia"/>
          <w:color w:val="auto"/>
          <w:highlight w:val="none"/>
          <w:u w:val="none"/>
        </w:rPr>
        <w:t>【条文说明】3.0.9：木结构的重要性系数是根据设计工作年限来确定的，以确保木结构在工作期内能够保持足够的安全性。这一点在多个规范和标准中得到了明确的规定和说明，为木结构的设计和评估提供了重要的指导原则‌。</w:t>
      </w:r>
    </w:p>
    <w:p w14:paraId="62086394">
      <w:pPr>
        <w:rPr>
          <w:color w:val="auto"/>
          <w:highlight w:val="none"/>
          <w:u w:val="none"/>
          <w:lang w:eastAsia="zh-CN"/>
        </w:rPr>
      </w:pPr>
    </w:p>
    <w:p w14:paraId="0DE9B2BC">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3.0.10  </w:t>
      </w:r>
      <w:r>
        <w:rPr>
          <w:rFonts w:hint="eastAsia" w:cs="Times New Roman"/>
          <w:color w:val="auto"/>
          <w:kern w:val="2"/>
          <w:szCs w:val="24"/>
          <w:highlight w:val="none"/>
          <w:u w:val="none"/>
          <w:lang w:eastAsia="zh-CN"/>
        </w:rPr>
        <w:t>木结构在规定的设计工作年限内应具有足够的可靠度。</w:t>
      </w:r>
    </w:p>
    <w:p w14:paraId="13E59B6A">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3.0.11  </w:t>
      </w:r>
      <w:r>
        <w:rPr>
          <w:rFonts w:hint="eastAsia" w:cs="Times New Roman"/>
          <w:color w:val="auto"/>
          <w:kern w:val="2"/>
          <w:szCs w:val="24"/>
          <w:highlight w:val="none"/>
          <w:u w:val="none"/>
          <w:lang w:eastAsia="zh-CN"/>
        </w:rPr>
        <w:t>对于无防火保护的承重柱、梁和屋顶承重构件，其防火设计和验算应符合现行国家标准《胶合木结构技术规范》GB/T 50708 的规定。</w:t>
      </w:r>
    </w:p>
    <w:p w14:paraId="5FB24381">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3.0.12  </w:t>
      </w:r>
      <w:r>
        <w:rPr>
          <w:rFonts w:hint="eastAsia" w:cs="Times New Roman"/>
          <w:color w:val="auto"/>
          <w:kern w:val="2"/>
          <w:szCs w:val="24"/>
          <w:highlight w:val="none"/>
          <w:u w:val="none"/>
          <w:lang w:eastAsia="zh-CN"/>
        </w:rPr>
        <w:t>木结构的构件计算、连接计算及构造要求应符合现行国家标准《木结构设计标准》GB 50005及相关现行国家规范标准的规定。</w:t>
      </w:r>
    </w:p>
    <w:p w14:paraId="74E468AB">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3.0.13  </w:t>
      </w:r>
      <w:r>
        <w:rPr>
          <w:rFonts w:hint="eastAsia" w:cs="Times New Roman"/>
          <w:color w:val="auto"/>
          <w:kern w:val="2"/>
          <w:szCs w:val="24"/>
          <w:highlight w:val="none"/>
          <w:u w:val="none"/>
          <w:lang w:eastAsia="zh-CN"/>
        </w:rPr>
        <w:t>木结构中的钢构件计算、金属连接计算及构造要求应符合现行国家标准《钢结构设计规范》GB 50017的规定。</w:t>
      </w:r>
    </w:p>
    <w:p w14:paraId="110DAD00">
      <w:pPr>
        <w:rPr>
          <w:color w:val="auto"/>
          <w:highlight w:val="none"/>
          <w:u w:val="none"/>
          <w:lang w:eastAsia="zh-CN"/>
        </w:rPr>
      </w:pPr>
    </w:p>
    <w:p w14:paraId="20F19D7E">
      <w:pPr>
        <w:pStyle w:val="4"/>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 xml:space="preserve">3.0.14  </w:t>
      </w:r>
      <w:r>
        <w:rPr>
          <w:rFonts w:hint="eastAsia" w:cs="Times New Roman"/>
          <w:color w:val="auto"/>
          <w:kern w:val="2"/>
          <w:szCs w:val="24"/>
          <w:highlight w:val="none"/>
          <w:u w:val="none"/>
          <w:lang w:eastAsia="zh-CN"/>
        </w:rPr>
        <w:t>木结构建筑应采取安全有效的防灾减灾措施，提高建筑的韧性。</w:t>
      </w:r>
    </w:p>
    <w:p w14:paraId="6287C6C2">
      <w:pPr>
        <w:pStyle w:val="50"/>
        <w:ind w:firstLine="480"/>
        <w:rPr>
          <w:color w:val="auto"/>
          <w:highlight w:val="none"/>
          <w:u w:val="none"/>
        </w:rPr>
      </w:pPr>
      <w:r>
        <w:rPr>
          <w:rFonts w:hint="eastAsia"/>
          <w:color w:val="auto"/>
          <w:highlight w:val="none"/>
          <w:u w:val="none"/>
        </w:rPr>
        <w:t>【条文说明】3.0.14：木结构建筑有其独特的优势，这些优势主要体现在其自重轻、木材的弹性特性、结构稳定性以及便于施救工作的展开等方面。其劣势也不容忽视，主要包括不耐火、白蚁侵蚀、雨水腐蚀、成材的木料紧缺、施工和维</w:t>
      </w:r>
      <w:r>
        <w:rPr>
          <w:rFonts w:hint="eastAsia"/>
          <w:color w:val="auto"/>
          <w:highlight w:val="none"/>
          <w:u w:val="none"/>
          <w:lang w:eastAsia="zh-CN"/>
        </w:rPr>
        <w:t>护成本</w:t>
      </w:r>
      <w:r>
        <w:rPr>
          <w:rFonts w:hint="eastAsia"/>
          <w:color w:val="auto"/>
          <w:highlight w:val="none"/>
          <w:u w:val="none"/>
        </w:rPr>
        <w:t>护成本较高、复杂的建筑空间实现难度较大。此外，木结构建筑在面对自然灾害如地震时，虽然具有一定的抗震性能，但也会遭受一定的损失，如屋顶瓦件的滑落、屋脊折断、装饰件的损坏等。因此，在选择木结构建筑时，需要综合考虑其劣势，并采取相应的预防和保护措施，以提高建筑的韧性。</w:t>
      </w:r>
    </w:p>
    <w:p w14:paraId="14AE8A59">
      <w:pPr>
        <w:rPr>
          <w:color w:val="auto"/>
          <w:highlight w:val="none"/>
          <w:u w:val="none"/>
          <w:lang w:eastAsia="zh-CN"/>
        </w:rPr>
      </w:pPr>
    </w:p>
    <w:p w14:paraId="716E96C0">
      <w:pPr>
        <w:rPr>
          <w:rFonts w:cs="Times New Roman"/>
          <w:color w:val="auto"/>
          <w:kern w:val="2"/>
          <w:szCs w:val="24"/>
          <w:highlight w:val="none"/>
          <w:u w:val="none"/>
          <w:lang w:eastAsia="zh-CN"/>
        </w:rPr>
      </w:pPr>
      <w:r>
        <w:rPr>
          <w:rFonts w:hint="eastAsia" w:cs="Times New Roman"/>
          <w:b/>
          <w:bCs/>
          <w:color w:val="auto"/>
          <w:kern w:val="2"/>
          <w:szCs w:val="24"/>
          <w:highlight w:val="none"/>
          <w:u w:val="none"/>
          <w:lang w:eastAsia="zh-CN"/>
        </w:rPr>
        <w:t>3.0.15</w:t>
      </w:r>
      <w:r>
        <w:rPr>
          <w:rFonts w:hint="eastAsia" w:cs="Times New Roman"/>
          <w:color w:val="auto"/>
          <w:kern w:val="2"/>
          <w:szCs w:val="24"/>
          <w:highlight w:val="none"/>
          <w:u w:val="none"/>
          <w:lang w:eastAsia="zh-CN"/>
        </w:rPr>
        <w:t xml:space="preserve">  木结构建筑周边应至少设置一条消防车道，且符合下列规定：</w:t>
      </w:r>
    </w:p>
    <w:p w14:paraId="24C55522">
      <w:pPr>
        <w:ind w:firstLine="480" w:firstLineChars="200"/>
        <w:rPr>
          <w:rFonts w:cs="Times New Roman"/>
          <w:color w:val="auto"/>
          <w:kern w:val="2"/>
          <w:szCs w:val="24"/>
          <w:highlight w:val="none"/>
          <w:u w:val="none"/>
          <w:lang w:eastAsia="zh-CN"/>
        </w:rPr>
      </w:pPr>
      <w:r>
        <w:rPr>
          <w:rFonts w:hint="eastAsia" w:cs="Times New Roman"/>
          <w:color w:val="auto"/>
          <w:kern w:val="2"/>
          <w:szCs w:val="24"/>
          <w:highlight w:val="none"/>
          <w:u w:val="none"/>
          <w:lang w:eastAsia="zh-CN"/>
        </w:rPr>
        <w:t>1  宜设置在建筑所处位置常年主导风向的上风侧；</w:t>
      </w:r>
    </w:p>
    <w:p w14:paraId="0749216A">
      <w:pPr>
        <w:ind w:firstLine="480" w:firstLineChars="200"/>
        <w:rPr>
          <w:rFonts w:cs="Times New Roman"/>
          <w:color w:val="auto"/>
          <w:kern w:val="2"/>
          <w:szCs w:val="24"/>
          <w:highlight w:val="none"/>
          <w:u w:val="none"/>
          <w:lang w:eastAsia="zh-CN"/>
        </w:rPr>
      </w:pPr>
      <w:r>
        <w:rPr>
          <w:rFonts w:hint="eastAsia" w:cs="Times New Roman"/>
          <w:color w:val="auto"/>
          <w:kern w:val="2"/>
          <w:szCs w:val="24"/>
          <w:highlight w:val="none"/>
          <w:u w:val="none"/>
          <w:lang w:eastAsia="zh-CN"/>
        </w:rPr>
        <w:t>2  消防扑救对应范围内的道路坡度不应大于3% ；</w:t>
      </w:r>
    </w:p>
    <w:p w14:paraId="4D1681E8">
      <w:pPr>
        <w:ind w:firstLine="480" w:firstLineChars="200"/>
        <w:rPr>
          <w:rFonts w:cs="Times New Roman"/>
          <w:color w:val="auto"/>
          <w:kern w:val="2"/>
          <w:szCs w:val="24"/>
          <w:highlight w:val="none"/>
          <w:u w:val="none"/>
          <w:lang w:eastAsia="zh-CN"/>
        </w:rPr>
      </w:pPr>
      <w:r>
        <w:rPr>
          <w:rFonts w:hint="eastAsia" w:cs="Times New Roman"/>
          <w:color w:val="auto"/>
          <w:kern w:val="2"/>
          <w:szCs w:val="24"/>
          <w:highlight w:val="none"/>
          <w:u w:val="none"/>
          <w:lang w:eastAsia="zh-CN"/>
        </w:rPr>
        <w:t>3  与消防救援窗对应的消防车道与建筑物的间距应为5～10米。</w:t>
      </w:r>
    </w:p>
    <w:p w14:paraId="54484101">
      <w:pPr>
        <w:pStyle w:val="50"/>
        <w:ind w:firstLine="480"/>
        <w:rPr>
          <w:color w:val="auto"/>
          <w:highlight w:val="none"/>
          <w:u w:val="none"/>
        </w:rPr>
      </w:pPr>
      <w:r>
        <w:rPr>
          <w:rFonts w:hint="eastAsia"/>
          <w:color w:val="auto"/>
          <w:highlight w:val="none"/>
          <w:u w:val="none"/>
        </w:rPr>
        <w:t>【条文说明】3.0.15：该条文规定了对于木结构建筑设置消防车道的最低要求，同时还需满足《建筑防火通用规范》GB55037中对于不同高度不同类型建筑物消防车道的设置要求。</w:t>
      </w:r>
    </w:p>
    <w:p w14:paraId="761318DE">
      <w:pPr>
        <w:pStyle w:val="50"/>
        <w:ind w:firstLine="480"/>
        <w:rPr>
          <w:color w:val="auto"/>
          <w:highlight w:val="none"/>
          <w:u w:val="none"/>
        </w:rPr>
      </w:pPr>
      <w:r>
        <w:rPr>
          <w:rFonts w:hint="eastAsia"/>
          <w:color w:val="auto"/>
          <w:highlight w:val="none"/>
          <w:u w:val="none"/>
        </w:rPr>
        <w:t>1  在有条件的情况下，建议消防车道应设置在建筑所处位置常年主导风向的上风侧，降低木结构建筑火灾对消防救援的不利影响。</w:t>
      </w:r>
    </w:p>
    <w:p w14:paraId="04B5248F">
      <w:pPr>
        <w:pStyle w:val="50"/>
        <w:ind w:firstLine="480"/>
        <w:rPr>
          <w:color w:val="auto"/>
          <w:highlight w:val="none"/>
          <w:u w:val="none"/>
        </w:rPr>
      </w:pPr>
      <w:r>
        <w:rPr>
          <w:rFonts w:hint="eastAsia"/>
          <w:color w:val="auto"/>
          <w:highlight w:val="none"/>
          <w:u w:val="none"/>
        </w:rPr>
        <w:t>2  这一规定旨在确保消防车辆在执行救援任务时能够稳定、安全地进入和操作，从而提高救援效率，减少因道路坡度过大而可能导致的操作困难或安全隐患。此外，考虑到消防车作为重型车辆的特性，其路面需要能够承受重型车辆的冲击，这也是在设计时需要考虑的重要因素。因此，为了保障消防车的通行和救援工作的顺利进行，消防扑救对应范围内的道路坡度应严格控制在3%以下。</w:t>
      </w:r>
    </w:p>
    <w:p w14:paraId="09190147">
      <w:pPr>
        <w:pStyle w:val="50"/>
        <w:ind w:firstLine="480"/>
        <w:rPr>
          <w:color w:val="auto"/>
          <w:highlight w:val="none"/>
          <w:u w:val="none"/>
        </w:rPr>
      </w:pPr>
      <w:r>
        <w:rPr>
          <w:rFonts w:hint="eastAsia"/>
          <w:color w:val="auto"/>
          <w:highlight w:val="none"/>
          <w:u w:val="none"/>
        </w:rPr>
        <w:t>3  这一规定旨在确保消防车辆能够安全、有效地接近建筑物，以便在紧急情况下进行救援操作。</w:t>
      </w:r>
    </w:p>
    <w:p w14:paraId="14185B7F">
      <w:pPr>
        <w:pStyle w:val="50"/>
        <w:ind w:firstLine="480"/>
        <w:rPr>
          <w:color w:val="auto"/>
          <w:highlight w:val="none"/>
          <w:u w:val="none"/>
        </w:rPr>
      </w:pPr>
      <w:r>
        <w:rPr>
          <w:rFonts w:hint="eastAsia"/>
          <w:color w:val="auto"/>
          <w:highlight w:val="none"/>
          <w:u w:val="none"/>
        </w:rPr>
        <w:t>以上这些要求确保了消防车辆在执行任务时能够有足够的空间进行操作，从而提高救援效率，减少潜在的风险。此外，消防车道的设置还应考虑到建筑物的性质、高度以及周围的地理环境，以确保在紧急情况下能够迅速有效地进行救援。</w:t>
      </w:r>
      <w:r>
        <w:rPr>
          <w:rFonts w:ascii="Arial" w:hAnsi="Arial" w:eastAsia="Arial" w:cs="Arial"/>
          <w:color w:val="auto"/>
          <w:szCs w:val="21"/>
          <w:highlight w:val="none"/>
          <w:u w:val="none"/>
          <w:shd w:val="clear" w:color="auto" w:fill="FFFFFF"/>
        </w:rPr>
        <w:t>‌‌</w:t>
      </w:r>
    </w:p>
    <w:bookmarkEnd w:id="39"/>
    <w:bookmarkEnd w:id="40"/>
    <w:bookmarkEnd w:id="41"/>
    <w:bookmarkEnd w:id="42"/>
    <w:bookmarkEnd w:id="43"/>
    <w:bookmarkEnd w:id="44"/>
    <w:p w14:paraId="2CD9DA7E">
      <w:pPr>
        <w:pStyle w:val="2"/>
        <w:spacing w:before="312"/>
        <w:rPr>
          <w:color w:val="auto"/>
          <w:highlight w:val="none"/>
          <w:lang w:eastAsia="zh-CN"/>
        </w:rPr>
      </w:pPr>
      <w:bookmarkStart w:id="45" w:name="_Toc15893"/>
      <w:bookmarkStart w:id="46" w:name="_Toc27886"/>
      <w:bookmarkStart w:id="47" w:name="_Toc29173"/>
      <w:bookmarkStart w:id="48" w:name="_Toc9273"/>
      <w:r>
        <w:rPr>
          <w:rFonts w:hint="eastAsia"/>
          <w:color w:val="auto"/>
          <w:highlight w:val="none"/>
          <w:lang w:eastAsia="zh-CN"/>
        </w:rPr>
        <w:t>4  材  料</w:t>
      </w:r>
      <w:bookmarkEnd w:id="45"/>
      <w:bookmarkEnd w:id="46"/>
      <w:bookmarkEnd w:id="47"/>
      <w:bookmarkEnd w:id="48"/>
    </w:p>
    <w:p w14:paraId="00190533">
      <w:pPr>
        <w:pStyle w:val="3"/>
        <w:spacing w:before="156" w:after="156"/>
        <w:rPr>
          <w:color w:val="auto"/>
          <w:highlight w:val="none"/>
          <w:lang w:eastAsia="zh-CN"/>
        </w:rPr>
      </w:pPr>
      <w:bookmarkStart w:id="49" w:name="_Toc21169"/>
      <w:bookmarkStart w:id="50" w:name="_Toc20181"/>
      <w:bookmarkStart w:id="51" w:name="_Toc29831"/>
      <w:bookmarkStart w:id="52" w:name="_Toc10100"/>
      <w:bookmarkStart w:id="53" w:name="_Toc29307"/>
      <w:bookmarkStart w:id="54" w:name="_Toc13007"/>
      <w:bookmarkStart w:id="55" w:name="_Toc495"/>
      <w:bookmarkStart w:id="56" w:name="_Toc27646"/>
      <w:bookmarkStart w:id="57" w:name="_Toc20086"/>
      <w:bookmarkStart w:id="58" w:name="_Toc4889"/>
      <w:bookmarkStart w:id="59" w:name="_Toc10424"/>
      <w:bookmarkStart w:id="60" w:name="_Toc30218"/>
      <w:bookmarkStart w:id="61" w:name="_Toc6568"/>
      <w:r>
        <w:rPr>
          <w:rFonts w:hint="eastAsia"/>
          <w:color w:val="auto"/>
          <w:highlight w:val="none"/>
          <w:lang w:eastAsia="zh-CN"/>
        </w:rPr>
        <w:t>4.</w:t>
      </w:r>
      <w:r>
        <w:rPr>
          <w:color w:val="auto"/>
          <w:highlight w:val="none"/>
          <w:lang w:eastAsia="zh-CN"/>
        </w:rPr>
        <w:t>1</w:t>
      </w:r>
      <w:bookmarkEnd w:id="49"/>
      <w:bookmarkEnd w:id="50"/>
      <w:bookmarkEnd w:id="51"/>
      <w:bookmarkEnd w:id="52"/>
      <w:bookmarkEnd w:id="53"/>
      <w:bookmarkEnd w:id="54"/>
      <w:bookmarkEnd w:id="55"/>
      <w:bookmarkEnd w:id="56"/>
      <w:bookmarkEnd w:id="57"/>
      <w:r>
        <w:rPr>
          <w:rFonts w:hint="eastAsia"/>
          <w:color w:val="auto"/>
          <w:highlight w:val="none"/>
          <w:lang w:eastAsia="zh-CN"/>
        </w:rPr>
        <w:t xml:space="preserve">  结构用木材</w:t>
      </w:r>
      <w:bookmarkEnd w:id="58"/>
      <w:bookmarkEnd w:id="59"/>
      <w:bookmarkEnd w:id="60"/>
      <w:bookmarkEnd w:id="61"/>
    </w:p>
    <w:p w14:paraId="75344CA6">
      <w:pPr>
        <w:pStyle w:val="4"/>
        <w:rPr>
          <w:rFonts w:cs="Times New Roman"/>
          <w:bCs/>
          <w:color w:val="auto"/>
          <w:kern w:val="2"/>
          <w:szCs w:val="24"/>
          <w:highlight w:val="none"/>
          <w:lang w:eastAsia="zh-CN"/>
        </w:rPr>
      </w:pPr>
      <w:r>
        <w:rPr>
          <w:rFonts w:hint="eastAsia" w:cs="Times New Roman"/>
          <w:b/>
          <w:bCs/>
          <w:color w:val="auto"/>
          <w:kern w:val="2"/>
          <w:szCs w:val="24"/>
          <w:highlight w:val="none"/>
          <w:lang w:eastAsia="zh-CN"/>
        </w:rPr>
        <w:t>4.</w:t>
      </w:r>
      <w:r>
        <w:rPr>
          <w:rFonts w:cs="Times New Roman"/>
          <w:b/>
          <w:bCs/>
          <w:color w:val="auto"/>
          <w:kern w:val="2"/>
          <w:szCs w:val="24"/>
          <w:highlight w:val="none"/>
          <w:lang w:eastAsia="zh-CN"/>
        </w:rPr>
        <w:t>1</w:t>
      </w:r>
      <w:r>
        <w:rPr>
          <w:rFonts w:hint="eastAsia" w:cs="Times New Roman"/>
          <w:b/>
          <w:bCs/>
          <w:color w:val="auto"/>
          <w:kern w:val="2"/>
          <w:szCs w:val="24"/>
          <w:highlight w:val="none"/>
          <w:lang w:eastAsia="zh-CN"/>
        </w:rPr>
        <w:t>.</w:t>
      </w:r>
      <w:r>
        <w:rPr>
          <w:rFonts w:cs="Times New Roman"/>
          <w:b/>
          <w:bCs/>
          <w:color w:val="auto"/>
          <w:kern w:val="2"/>
          <w:szCs w:val="24"/>
          <w:highlight w:val="none"/>
          <w:lang w:eastAsia="zh-CN"/>
        </w:rPr>
        <w:t>1</w:t>
      </w:r>
      <w:r>
        <w:rPr>
          <w:rFonts w:hint="eastAsia" w:cs="Times New Roman"/>
          <w:b/>
          <w:bCs/>
          <w:color w:val="auto"/>
          <w:kern w:val="2"/>
          <w:szCs w:val="24"/>
          <w:highlight w:val="none"/>
          <w:lang w:eastAsia="zh-CN"/>
        </w:rPr>
        <w:t xml:space="preserve">  </w:t>
      </w:r>
      <w:r>
        <w:rPr>
          <w:rFonts w:hint="eastAsia" w:cs="Times New Roman"/>
          <w:bCs/>
          <w:color w:val="auto"/>
          <w:kern w:val="2"/>
          <w:szCs w:val="24"/>
          <w:highlight w:val="none"/>
          <w:lang w:eastAsia="zh-CN"/>
        </w:rPr>
        <w:t>承重结构用木材可采用原木、方木、板材、规格材、</w:t>
      </w:r>
      <w:r>
        <w:rPr>
          <w:rFonts w:hint="eastAsia" w:cs="Times New Roman"/>
          <w:bCs/>
          <w:color w:val="auto"/>
          <w:kern w:val="2"/>
          <w:szCs w:val="24"/>
          <w:highlight w:val="none"/>
          <w:lang w:val="en-US" w:eastAsia="zh-CN"/>
        </w:rPr>
        <w:t>重组木、</w:t>
      </w:r>
      <w:r>
        <w:rPr>
          <w:rFonts w:hint="eastAsia" w:cs="Times New Roman"/>
          <w:bCs/>
          <w:color w:val="auto"/>
          <w:kern w:val="2"/>
          <w:szCs w:val="24"/>
          <w:highlight w:val="none"/>
          <w:lang w:eastAsia="zh-CN"/>
        </w:rPr>
        <w:t>层板胶合木、结构复合木材和木基结构板。</w:t>
      </w:r>
    </w:p>
    <w:p w14:paraId="60A59CEB">
      <w:pPr>
        <w:pStyle w:val="4"/>
        <w:rPr>
          <w:rFonts w:hint="eastAsia" w:cs="Times New Roman"/>
          <w:bCs/>
          <w:color w:val="auto"/>
          <w:kern w:val="2"/>
          <w:szCs w:val="24"/>
          <w:highlight w:val="none"/>
          <w:lang w:eastAsia="zh-CN"/>
        </w:rPr>
      </w:pPr>
      <w:r>
        <w:rPr>
          <w:rFonts w:hint="eastAsia" w:cs="Times New Roman"/>
          <w:b/>
          <w:color w:val="auto"/>
          <w:kern w:val="2"/>
          <w:szCs w:val="24"/>
          <w:highlight w:val="none"/>
          <w:lang w:eastAsia="zh-CN"/>
        </w:rPr>
        <w:t xml:space="preserve">4.1.2  </w:t>
      </w:r>
      <w:r>
        <w:rPr>
          <w:rFonts w:hint="eastAsia" w:cs="Times New Roman"/>
          <w:bCs/>
          <w:color w:val="auto"/>
          <w:kern w:val="2"/>
          <w:szCs w:val="24"/>
          <w:highlight w:val="none"/>
          <w:lang w:eastAsia="zh-CN"/>
        </w:rPr>
        <w:t>木结构采用的木材应具有明确的材质等级或强度等级；构件设计应根据构件的主要用途选用相应的材质等级，且所选用的材质等级应符合现行国家标准《木结构设计标准》GB 50005的规定。</w:t>
      </w:r>
    </w:p>
    <w:p w14:paraId="37158AF7">
      <w:pPr>
        <w:pStyle w:val="4"/>
        <w:rPr>
          <w:rFonts w:cs="Times New Roman"/>
          <w:bCs/>
          <w:color w:val="auto"/>
          <w:kern w:val="2"/>
          <w:szCs w:val="24"/>
          <w:highlight w:val="none"/>
          <w:lang w:eastAsia="zh-CN"/>
        </w:rPr>
      </w:pPr>
      <w:r>
        <w:rPr>
          <w:rFonts w:hint="eastAsia" w:cs="Times New Roman"/>
          <w:b/>
          <w:bCs w:val="0"/>
          <w:color w:val="auto"/>
          <w:kern w:val="2"/>
          <w:szCs w:val="24"/>
          <w:highlight w:val="none"/>
          <w:lang w:eastAsia="zh-CN"/>
        </w:rPr>
        <w:t xml:space="preserve">4.1.3 </w:t>
      </w:r>
      <w:r>
        <w:rPr>
          <w:rFonts w:hint="eastAsia" w:cs="Times New Roman"/>
          <w:bCs/>
          <w:color w:val="auto"/>
          <w:szCs w:val="24"/>
          <w:highlight w:val="none"/>
        </w:rPr>
        <w:t>结构用木材的强度设计指标应根据木构件的尺寸、使用条件、结构设计工作年限等因素进行调整，</w:t>
      </w:r>
      <w:r>
        <w:rPr>
          <w:rFonts w:hint="eastAsia" w:cs="Times New Roman"/>
          <w:bCs/>
          <w:color w:val="auto"/>
          <w:szCs w:val="24"/>
          <w:highlight w:val="none"/>
          <w:lang w:val="en-US" w:eastAsia="zh-CN"/>
        </w:rPr>
        <w:t>其</w:t>
      </w:r>
      <w:r>
        <w:rPr>
          <w:rFonts w:hint="eastAsia" w:cs="Times New Roman"/>
          <w:bCs/>
          <w:color w:val="auto"/>
          <w:szCs w:val="24"/>
          <w:highlight w:val="none"/>
        </w:rPr>
        <w:t>产品质量和强度设计指标应符合现行国家标准</w:t>
      </w:r>
      <w:r>
        <w:rPr>
          <w:rFonts w:hint="eastAsia" w:cs="Times New Roman"/>
          <w:bCs/>
          <w:color w:val="auto"/>
          <w:kern w:val="2"/>
          <w:szCs w:val="24"/>
          <w:highlight w:val="none"/>
          <w:lang w:eastAsia="zh-CN"/>
        </w:rPr>
        <w:t>《木结构设计标准》GB 50005</w:t>
      </w:r>
      <w:r>
        <w:rPr>
          <w:rFonts w:hint="eastAsia" w:cs="Times New Roman"/>
          <w:bCs/>
          <w:color w:val="auto"/>
          <w:szCs w:val="24"/>
          <w:highlight w:val="none"/>
        </w:rPr>
        <w:t>、《胶合木结构技术规范》GB/T 50708 和《结构用集成材》GB/T</w:t>
      </w:r>
      <w:r>
        <w:rPr>
          <w:rFonts w:hint="eastAsia" w:cs="Times New Roman"/>
          <w:bCs/>
          <w:color w:val="auto"/>
          <w:szCs w:val="24"/>
          <w:highlight w:val="none"/>
          <w:lang w:val="en-US" w:eastAsia="zh-CN"/>
        </w:rPr>
        <w:t xml:space="preserve"> </w:t>
      </w:r>
      <w:r>
        <w:rPr>
          <w:rFonts w:hint="eastAsia" w:cs="Times New Roman"/>
          <w:bCs/>
          <w:color w:val="auto"/>
          <w:szCs w:val="24"/>
          <w:highlight w:val="none"/>
        </w:rPr>
        <w:t>26899的规定。</w:t>
      </w:r>
    </w:p>
    <w:p w14:paraId="6710C0A1">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4.1.4  </w:t>
      </w:r>
      <w:r>
        <w:rPr>
          <w:rFonts w:hint="eastAsia" w:cs="Times New Roman"/>
          <w:bCs/>
          <w:color w:val="auto"/>
          <w:kern w:val="2"/>
          <w:szCs w:val="24"/>
          <w:highlight w:val="none"/>
          <w:lang w:eastAsia="zh-CN"/>
        </w:rPr>
        <w:t>结构用木材的强度设计值应符合下列规定：</w:t>
      </w:r>
    </w:p>
    <w:p w14:paraId="508A1240">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结构用木材的强度设计值应通过强度标准值和抗力分项系数确定，并应计入荷载持续作用时间对木材强度的影响；</w:t>
      </w:r>
    </w:p>
    <w:p w14:paraId="59F04E8E">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抗力分项系数应根据目标可靠指标和木材强度变异系数进行确定。</w:t>
      </w:r>
    </w:p>
    <w:p w14:paraId="59CBC632">
      <w:pPr>
        <w:pStyle w:val="4"/>
        <w:rPr>
          <w:rFonts w:hint="eastAsia" w:eastAsia="宋体"/>
          <w:color w:val="auto"/>
          <w:highlight w:val="none"/>
          <w:lang w:eastAsia="zh-CN"/>
        </w:rPr>
      </w:pPr>
      <w:r>
        <w:rPr>
          <w:rFonts w:hint="eastAsia" w:cs="Times New Roman"/>
          <w:b/>
          <w:color w:val="auto"/>
          <w:kern w:val="2"/>
          <w:szCs w:val="24"/>
          <w:highlight w:val="none"/>
          <w:lang w:eastAsia="zh-CN"/>
        </w:rPr>
        <w:t>4.1.</w:t>
      </w:r>
      <w:r>
        <w:rPr>
          <w:rFonts w:hint="eastAsia" w:cs="Times New Roman"/>
          <w:b/>
          <w:color w:val="auto"/>
          <w:kern w:val="2"/>
          <w:szCs w:val="24"/>
          <w:highlight w:val="none"/>
          <w:lang w:val="en-US" w:eastAsia="zh-CN"/>
        </w:rPr>
        <w:t>5</w:t>
      </w:r>
      <w:r>
        <w:rPr>
          <w:rFonts w:hint="eastAsia" w:cs="Times New Roman"/>
          <w:b/>
          <w:color w:val="auto"/>
          <w:kern w:val="2"/>
          <w:szCs w:val="24"/>
          <w:highlight w:val="none"/>
          <w:lang w:eastAsia="zh-CN"/>
        </w:rPr>
        <w:t xml:space="preserve">  </w:t>
      </w:r>
      <w:r>
        <w:rPr>
          <w:rFonts w:hint="eastAsia"/>
          <w:color w:val="auto"/>
          <w:highlight w:val="none"/>
        </w:rPr>
        <w:t>广西确定的树种目测分级规格材的强度标准值和弹性模量标准值应按</w:t>
      </w:r>
      <w:r>
        <w:rPr>
          <w:rFonts w:hint="eastAsia"/>
          <w:color w:val="auto"/>
          <w:highlight w:val="none"/>
          <w:lang w:eastAsia="zh-CN"/>
        </w:rPr>
        <w:t>表</w:t>
      </w:r>
      <w:r>
        <w:rPr>
          <w:rFonts w:hint="eastAsia"/>
          <w:color w:val="auto"/>
          <w:highlight w:val="none"/>
          <w:lang w:val="en-US" w:eastAsia="zh-CN"/>
        </w:rPr>
        <w:t>4.1.5</w:t>
      </w:r>
      <w:r>
        <w:rPr>
          <w:rFonts w:hint="eastAsia"/>
          <w:color w:val="auto"/>
          <w:highlight w:val="none"/>
        </w:rPr>
        <w:t>的规定取值。广西主要木材材料性能应符合</w:t>
      </w:r>
      <w:r>
        <w:rPr>
          <w:rFonts w:hint="eastAsia"/>
          <w:color w:val="auto"/>
          <w:highlight w:val="none"/>
          <w:lang w:val="en-US" w:eastAsia="zh-CN"/>
        </w:rPr>
        <w:t>附录A</w:t>
      </w:r>
      <w:r>
        <w:rPr>
          <w:rFonts w:hint="eastAsia"/>
          <w:color w:val="auto"/>
          <w:highlight w:val="none"/>
        </w:rPr>
        <w:t>的规定取值</w:t>
      </w:r>
      <w:r>
        <w:rPr>
          <w:rFonts w:hint="eastAsia"/>
          <w:color w:val="auto"/>
          <w:highlight w:val="none"/>
          <w:lang w:eastAsia="zh-CN"/>
        </w:rPr>
        <w:t>。</w:t>
      </w:r>
    </w:p>
    <w:p w14:paraId="7BC2B4D1">
      <w:pPr>
        <w:pStyle w:val="40"/>
        <w:bidi w:val="0"/>
        <w:rPr>
          <w:rFonts w:hint="eastAsia"/>
          <w:color w:val="auto"/>
          <w:highlight w:val="none"/>
          <w:lang w:eastAsia="zh-CN"/>
        </w:rPr>
      </w:pPr>
      <w:r>
        <w:rPr>
          <w:rFonts w:hint="eastAsia"/>
          <w:color w:val="auto"/>
          <w:highlight w:val="none"/>
          <w:lang w:eastAsia="zh-CN"/>
        </w:rPr>
        <w:t>表</w:t>
      </w:r>
      <w:r>
        <w:rPr>
          <w:rFonts w:hint="eastAsia"/>
          <w:color w:val="auto"/>
          <w:highlight w:val="none"/>
          <w:lang w:val="en-US" w:eastAsia="zh-CN"/>
        </w:rPr>
        <w:t>4</w:t>
      </w:r>
      <w:r>
        <w:rPr>
          <w:rFonts w:hint="eastAsia"/>
          <w:color w:val="auto"/>
          <w:highlight w:val="none"/>
          <w:lang w:eastAsia="zh-CN"/>
        </w:rPr>
        <w:t>.1.</w:t>
      </w:r>
      <w:r>
        <w:rPr>
          <w:rFonts w:hint="eastAsia"/>
          <w:color w:val="auto"/>
          <w:highlight w:val="none"/>
          <w:lang w:val="en-US" w:eastAsia="zh-CN"/>
        </w:rPr>
        <w:t>5</w:t>
      </w:r>
      <w:r>
        <w:rPr>
          <w:rFonts w:hint="eastAsia"/>
          <w:color w:val="auto"/>
          <w:highlight w:val="none"/>
          <w:lang w:eastAsia="zh-CN"/>
        </w:rPr>
        <w:t xml:space="preserve">  广西树种结构用材规格材的强度标准值和弹性模量标准值</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095"/>
        <w:gridCol w:w="1612"/>
        <w:gridCol w:w="1283"/>
        <w:gridCol w:w="1456"/>
        <w:gridCol w:w="1471"/>
        <w:gridCol w:w="2088"/>
      </w:tblGrid>
      <w:tr w14:paraId="2E17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Merge w:val="restart"/>
            <w:vAlign w:val="center"/>
          </w:tcPr>
          <w:p w14:paraId="66F58A83">
            <w:pPr>
              <w:pStyle w:val="43"/>
              <w:bidi w:val="0"/>
              <w:rPr>
                <w:color w:val="auto"/>
                <w:highlight w:val="none"/>
              </w:rPr>
            </w:pPr>
            <w:r>
              <w:rPr>
                <w:rFonts w:hint="default"/>
                <w:color w:val="auto"/>
                <w:highlight w:val="none"/>
              </w:rPr>
              <w:t>树种名称</w:t>
            </w:r>
          </w:p>
        </w:tc>
        <w:tc>
          <w:tcPr>
            <w:tcW w:w="543" w:type="pct"/>
            <w:vMerge w:val="restart"/>
            <w:vAlign w:val="center"/>
          </w:tcPr>
          <w:p w14:paraId="493B3F7D">
            <w:pPr>
              <w:pStyle w:val="43"/>
              <w:bidi w:val="0"/>
              <w:rPr>
                <w:color w:val="auto"/>
                <w:highlight w:val="none"/>
              </w:rPr>
            </w:pPr>
            <w:r>
              <w:rPr>
                <w:rFonts w:hint="default"/>
                <w:color w:val="auto"/>
                <w:highlight w:val="none"/>
              </w:rPr>
              <w:t>材质等级</w:t>
            </w:r>
          </w:p>
        </w:tc>
        <w:tc>
          <w:tcPr>
            <w:tcW w:w="799" w:type="pct"/>
            <w:vMerge w:val="restart"/>
            <w:vAlign w:val="center"/>
          </w:tcPr>
          <w:p w14:paraId="6D2D9997">
            <w:pPr>
              <w:pStyle w:val="43"/>
              <w:bidi w:val="0"/>
              <w:rPr>
                <w:color w:val="auto"/>
                <w:highlight w:val="none"/>
              </w:rPr>
            </w:pPr>
            <w:r>
              <w:rPr>
                <w:rFonts w:hint="default"/>
                <w:color w:val="auto"/>
                <w:highlight w:val="none"/>
              </w:rPr>
              <w:t>截面最大尺寸（</w:t>
            </w:r>
            <w:r>
              <w:rPr>
                <w:rFonts w:hint="eastAsia"/>
                <w:color w:val="auto"/>
                <w:highlight w:val="none"/>
                <w:lang w:val="en-US" w:eastAsia="zh-CN"/>
              </w:rPr>
              <w:t>mm</w:t>
            </w:r>
            <w:r>
              <w:rPr>
                <w:rFonts w:hint="default"/>
                <w:color w:val="auto"/>
                <w:highlight w:val="none"/>
              </w:rPr>
              <w:t>）</w:t>
            </w:r>
          </w:p>
        </w:tc>
        <w:tc>
          <w:tcPr>
            <w:tcW w:w="2087" w:type="pct"/>
            <w:gridSpan w:val="3"/>
            <w:vAlign w:val="center"/>
          </w:tcPr>
          <w:p w14:paraId="3F4F4FE6">
            <w:pPr>
              <w:pStyle w:val="43"/>
              <w:bidi w:val="0"/>
              <w:rPr>
                <w:color w:val="auto"/>
                <w:highlight w:val="none"/>
              </w:rPr>
            </w:pPr>
            <w:r>
              <w:rPr>
                <w:rFonts w:hint="default"/>
                <w:color w:val="auto"/>
                <w:highlight w:val="none"/>
              </w:rPr>
              <w:t>强度标准值（N/</w:t>
            </w:r>
            <w:r>
              <w:rPr>
                <w:rFonts w:hint="eastAsia"/>
                <w:color w:val="auto"/>
                <w:highlight w:val="none"/>
                <w:lang w:val="en-US" w:eastAsia="zh-CN"/>
              </w:rPr>
              <w:t>mm</w:t>
            </w:r>
            <w:r>
              <w:rPr>
                <w:rFonts w:hint="default"/>
                <w:color w:val="auto"/>
                <w:highlight w:val="none"/>
                <w:vertAlign w:val="superscript"/>
              </w:rPr>
              <w:t>2</w:t>
            </w:r>
            <w:r>
              <w:rPr>
                <w:rFonts w:hint="default"/>
                <w:color w:val="auto"/>
                <w:highlight w:val="none"/>
              </w:rPr>
              <w:t>）</w:t>
            </w:r>
          </w:p>
        </w:tc>
        <w:tc>
          <w:tcPr>
            <w:tcW w:w="1035" w:type="pct"/>
            <w:vMerge w:val="restart"/>
            <w:vAlign w:val="center"/>
          </w:tcPr>
          <w:p w14:paraId="1F98EDCF">
            <w:pPr>
              <w:pStyle w:val="43"/>
              <w:bidi w:val="0"/>
              <w:rPr>
                <w:color w:val="auto"/>
                <w:highlight w:val="none"/>
              </w:rPr>
            </w:pPr>
            <w:r>
              <w:rPr>
                <w:rFonts w:hint="default"/>
                <w:color w:val="auto"/>
                <w:highlight w:val="none"/>
              </w:rPr>
              <w:t>弹性模量标准值</w:t>
            </w:r>
          </w:p>
          <w:p w14:paraId="54895DC7">
            <w:pPr>
              <w:pStyle w:val="43"/>
              <w:bidi w:val="0"/>
              <w:rPr>
                <w:color w:val="auto"/>
                <w:highlight w:val="none"/>
              </w:rPr>
            </w:pPr>
            <w:r>
              <w:rPr>
                <w:rFonts w:hint="default"/>
                <w:color w:val="auto"/>
                <w:highlight w:val="none"/>
              </w:rPr>
              <w:t>E</w:t>
            </w:r>
            <w:r>
              <w:rPr>
                <w:rFonts w:hint="default"/>
                <w:color w:val="auto"/>
                <w:highlight w:val="none"/>
                <w:vertAlign w:val="subscript"/>
              </w:rPr>
              <w:t>k</w:t>
            </w:r>
            <w:r>
              <w:rPr>
                <w:rFonts w:hint="default"/>
                <w:color w:val="auto"/>
                <w:highlight w:val="none"/>
              </w:rPr>
              <w:t>（N/</w:t>
            </w:r>
            <w:r>
              <w:rPr>
                <w:rFonts w:hint="eastAsia"/>
                <w:color w:val="auto"/>
                <w:highlight w:val="none"/>
                <w:lang w:val="en-US" w:eastAsia="zh-CN"/>
              </w:rPr>
              <w:t>mm</w:t>
            </w:r>
            <w:r>
              <w:rPr>
                <w:rFonts w:hint="default"/>
                <w:color w:val="auto"/>
                <w:highlight w:val="none"/>
                <w:vertAlign w:val="superscript"/>
              </w:rPr>
              <w:t>2</w:t>
            </w:r>
            <w:r>
              <w:rPr>
                <w:rFonts w:hint="default"/>
                <w:color w:val="auto"/>
                <w:highlight w:val="none"/>
              </w:rPr>
              <w:t>）</w:t>
            </w:r>
          </w:p>
        </w:tc>
      </w:tr>
      <w:tr w14:paraId="739A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34" w:type="pct"/>
            <w:vMerge w:val="continue"/>
            <w:vAlign w:val="center"/>
          </w:tcPr>
          <w:p w14:paraId="070D13A8">
            <w:pPr>
              <w:pStyle w:val="43"/>
              <w:bidi w:val="0"/>
              <w:rPr>
                <w:color w:val="auto"/>
                <w:highlight w:val="none"/>
              </w:rPr>
            </w:pPr>
          </w:p>
        </w:tc>
        <w:tc>
          <w:tcPr>
            <w:tcW w:w="543" w:type="pct"/>
            <w:vMerge w:val="continue"/>
            <w:vAlign w:val="center"/>
          </w:tcPr>
          <w:p w14:paraId="668F8435">
            <w:pPr>
              <w:pStyle w:val="43"/>
              <w:bidi w:val="0"/>
              <w:rPr>
                <w:color w:val="auto"/>
                <w:highlight w:val="none"/>
              </w:rPr>
            </w:pPr>
          </w:p>
        </w:tc>
        <w:tc>
          <w:tcPr>
            <w:tcW w:w="799" w:type="pct"/>
            <w:vMerge w:val="continue"/>
            <w:vAlign w:val="center"/>
          </w:tcPr>
          <w:p w14:paraId="08A304B4">
            <w:pPr>
              <w:pStyle w:val="43"/>
              <w:bidi w:val="0"/>
              <w:rPr>
                <w:color w:val="auto"/>
                <w:highlight w:val="none"/>
              </w:rPr>
            </w:pPr>
          </w:p>
        </w:tc>
        <w:tc>
          <w:tcPr>
            <w:tcW w:w="636" w:type="pct"/>
            <w:vAlign w:val="center"/>
          </w:tcPr>
          <w:p w14:paraId="2C1CFFD0">
            <w:pPr>
              <w:pStyle w:val="43"/>
              <w:bidi w:val="0"/>
              <w:rPr>
                <w:color w:val="auto"/>
                <w:highlight w:val="none"/>
              </w:rPr>
            </w:pPr>
            <w:r>
              <w:rPr>
                <w:rFonts w:hint="default"/>
                <w:color w:val="auto"/>
                <w:highlight w:val="none"/>
              </w:rPr>
              <w:t>抗弯</w:t>
            </w:r>
          </w:p>
          <w:p w14:paraId="13457F9A">
            <w:pPr>
              <w:pStyle w:val="43"/>
              <w:bidi w:val="0"/>
              <w:rPr>
                <w:color w:val="auto"/>
                <w:highlight w:val="none"/>
              </w:rPr>
            </w:pPr>
            <w:r>
              <w:rPr>
                <w:rFonts w:hint="default"/>
                <w:color w:val="auto"/>
                <w:highlight w:val="none"/>
              </w:rPr>
              <w:t>ƒ</w:t>
            </w:r>
            <w:r>
              <w:rPr>
                <w:rFonts w:hint="default"/>
                <w:color w:val="auto"/>
                <w:highlight w:val="none"/>
                <w:vertAlign w:val="subscript"/>
              </w:rPr>
              <w:t>mk</w:t>
            </w:r>
          </w:p>
        </w:tc>
        <w:tc>
          <w:tcPr>
            <w:tcW w:w="722" w:type="pct"/>
            <w:vAlign w:val="center"/>
          </w:tcPr>
          <w:p w14:paraId="674DBA41">
            <w:pPr>
              <w:pStyle w:val="43"/>
              <w:bidi w:val="0"/>
              <w:rPr>
                <w:color w:val="auto"/>
                <w:highlight w:val="none"/>
              </w:rPr>
            </w:pPr>
            <w:r>
              <w:rPr>
                <w:rFonts w:hint="default"/>
                <w:color w:val="auto"/>
                <w:highlight w:val="none"/>
              </w:rPr>
              <w:t>顺纹抗压</w:t>
            </w:r>
          </w:p>
          <w:p w14:paraId="283F5217">
            <w:pPr>
              <w:pStyle w:val="43"/>
              <w:bidi w:val="0"/>
              <w:rPr>
                <w:color w:val="auto"/>
                <w:highlight w:val="none"/>
              </w:rPr>
            </w:pPr>
            <w:r>
              <w:rPr>
                <w:rFonts w:hint="default"/>
                <w:color w:val="auto"/>
                <w:highlight w:val="none"/>
              </w:rPr>
              <w:t>ƒ</w:t>
            </w:r>
            <w:r>
              <w:rPr>
                <w:rFonts w:hint="default"/>
                <w:color w:val="auto"/>
                <w:highlight w:val="none"/>
                <w:vertAlign w:val="subscript"/>
              </w:rPr>
              <w:t>ck</w:t>
            </w:r>
          </w:p>
        </w:tc>
        <w:tc>
          <w:tcPr>
            <w:tcW w:w="728" w:type="pct"/>
            <w:vAlign w:val="center"/>
          </w:tcPr>
          <w:p w14:paraId="2030E519">
            <w:pPr>
              <w:pStyle w:val="43"/>
              <w:bidi w:val="0"/>
              <w:rPr>
                <w:color w:val="auto"/>
                <w:highlight w:val="none"/>
              </w:rPr>
            </w:pPr>
            <w:r>
              <w:rPr>
                <w:rFonts w:hint="default"/>
                <w:color w:val="auto"/>
                <w:highlight w:val="none"/>
              </w:rPr>
              <w:t>顺纹抗拉</w:t>
            </w:r>
          </w:p>
          <w:p w14:paraId="42E2D64B">
            <w:pPr>
              <w:pStyle w:val="43"/>
              <w:bidi w:val="0"/>
              <w:rPr>
                <w:color w:val="auto"/>
                <w:highlight w:val="none"/>
              </w:rPr>
            </w:pPr>
            <w:r>
              <w:rPr>
                <w:rFonts w:hint="default"/>
                <w:color w:val="auto"/>
                <w:highlight w:val="none"/>
              </w:rPr>
              <w:t>ƒ</w:t>
            </w:r>
            <w:r>
              <w:rPr>
                <w:rFonts w:hint="default"/>
                <w:color w:val="auto"/>
                <w:highlight w:val="none"/>
                <w:vertAlign w:val="subscript"/>
              </w:rPr>
              <w:t>tk</w:t>
            </w:r>
          </w:p>
        </w:tc>
        <w:tc>
          <w:tcPr>
            <w:tcW w:w="1035" w:type="pct"/>
            <w:vMerge w:val="continue"/>
            <w:vAlign w:val="center"/>
          </w:tcPr>
          <w:p w14:paraId="2682C771">
            <w:pPr>
              <w:pStyle w:val="43"/>
              <w:bidi w:val="0"/>
              <w:rPr>
                <w:color w:val="auto"/>
                <w:highlight w:val="none"/>
              </w:rPr>
            </w:pPr>
          </w:p>
        </w:tc>
      </w:tr>
      <w:tr w14:paraId="798F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20460C3F">
            <w:pPr>
              <w:pStyle w:val="43"/>
              <w:bidi w:val="0"/>
              <w:rPr>
                <w:color w:val="auto"/>
                <w:highlight w:val="none"/>
              </w:rPr>
            </w:pPr>
            <w:r>
              <w:rPr>
                <w:rFonts w:hint="default"/>
                <w:color w:val="auto"/>
                <w:highlight w:val="none"/>
              </w:rPr>
              <w:t>杉木</w:t>
            </w:r>
          </w:p>
        </w:tc>
        <w:tc>
          <w:tcPr>
            <w:tcW w:w="543" w:type="pct"/>
            <w:vAlign w:val="center"/>
          </w:tcPr>
          <w:p w14:paraId="4C676576">
            <w:pPr>
              <w:pStyle w:val="43"/>
              <w:bidi w:val="0"/>
              <w:rPr>
                <w:color w:val="auto"/>
                <w:highlight w:val="none"/>
              </w:rPr>
            </w:pPr>
            <w:r>
              <w:rPr>
                <w:rFonts w:hint="default"/>
                <w:color w:val="auto"/>
                <w:highlight w:val="none"/>
              </w:rPr>
              <w:t>Ⅰ</w:t>
            </w:r>
            <w:r>
              <w:rPr>
                <w:rFonts w:hint="default"/>
                <w:color w:val="auto"/>
                <w:highlight w:val="none"/>
                <w:vertAlign w:val="subscript"/>
              </w:rPr>
              <w:t>C</w:t>
            </w:r>
          </w:p>
          <w:p w14:paraId="6327B6A6">
            <w:pPr>
              <w:pStyle w:val="43"/>
              <w:bidi w:val="0"/>
              <w:rPr>
                <w:color w:val="auto"/>
                <w:highlight w:val="none"/>
              </w:rPr>
            </w:pPr>
            <w:r>
              <w:rPr>
                <w:rFonts w:hint="default"/>
                <w:color w:val="auto"/>
                <w:highlight w:val="none"/>
              </w:rPr>
              <w:t>Ⅱ</w:t>
            </w:r>
            <w:r>
              <w:rPr>
                <w:rFonts w:hint="default"/>
                <w:color w:val="auto"/>
                <w:highlight w:val="none"/>
                <w:vertAlign w:val="subscript"/>
              </w:rPr>
              <w:t>C</w:t>
            </w:r>
          </w:p>
          <w:p w14:paraId="2D5C257F">
            <w:pPr>
              <w:pStyle w:val="43"/>
              <w:bidi w:val="0"/>
              <w:rPr>
                <w:color w:val="auto"/>
                <w:highlight w:val="none"/>
              </w:rPr>
            </w:pPr>
            <w:r>
              <w:rPr>
                <w:rFonts w:hint="default"/>
                <w:color w:val="auto"/>
                <w:highlight w:val="none"/>
              </w:rPr>
              <w:t>Ⅲ</w:t>
            </w:r>
            <w:r>
              <w:rPr>
                <w:rFonts w:hint="default"/>
                <w:color w:val="auto"/>
                <w:highlight w:val="none"/>
                <w:vertAlign w:val="subscript"/>
              </w:rPr>
              <w:t>C</w:t>
            </w:r>
          </w:p>
        </w:tc>
        <w:tc>
          <w:tcPr>
            <w:tcW w:w="799" w:type="pct"/>
            <w:vAlign w:val="center"/>
          </w:tcPr>
          <w:p w14:paraId="67ED6264">
            <w:pPr>
              <w:pStyle w:val="43"/>
              <w:bidi w:val="0"/>
              <w:rPr>
                <w:color w:val="auto"/>
                <w:highlight w:val="none"/>
              </w:rPr>
            </w:pPr>
            <w:r>
              <w:rPr>
                <w:rFonts w:hint="default"/>
                <w:color w:val="auto"/>
                <w:highlight w:val="none"/>
              </w:rPr>
              <w:t>285</w:t>
            </w:r>
          </w:p>
        </w:tc>
        <w:tc>
          <w:tcPr>
            <w:tcW w:w="636" w:type="pct"/>
            <w:vAlign w:val="center"/>
          </w:tcPr>
          <w:p w14:paraId="05A8FAE8">
            <w:pPr>
              <w:pStyle w:val="43"/>
              <w:bidi w:val="0"/>
              <w:rPr>
                <w:color w:val="auto"/>
                <w:highlight w:val="none"/>
              </w:rPr>
            </w:pPr>
            <w:r>
              <w:rPr>
                <w:rFonts w:hint="default"/>
                <w:color w:val="auto"/>
                <w:highlight w:val="none"/>
              </w:rPr>
              <w:t>15.2</w:t>
            </w:r>
          </w:p>
          <w:p w14:paraId="68BA744A">
            <w:pPr>
              <w:pStyle w:val="43"/>
              <w:bidi w:val="0"/>
              <w:rPr>
                <w:color w:val="auto"/>
                <w:highlight w:val="none"/>
              </w:rPr>
            </w:pPr>
            <w:r>
              <w:rPr>
                <w:rFonts w:hint="default"/>
                <w:color w:val="auto"/>
                <w:highlight w:val="none"/>
              </w:rPr>
              <w:t>13.5</w:t>
            </w:r>
          </w:p>
          <w:p w14:paraId="0619EE9E">
            <w:pPr>
              <w:pStyle w:val="43"/>
              <w:bidi w:val="0"/>
              <w:rPr>
                <w:color w:val="auto"/>
                <w:highlight w:val="none"/>
              </w:rPr>
            </w:pPr>
            <w:r>
              <w:rPr>
                <w:rFonts w:hint="default"/>
                <w:color w:val="auto"/>
                <w:highlight w:val="none"/>
              </w:rPr>
              <w:t>13.5</w:t>
            </w:r>
          </w:p>
        </w:tc>
        <w:tc>
          <w:tcPr>
            <w:tcW w:w="722" w:type="pct"/>
            <w:vAlign w:val="center"/>
          </w:tcPr>
          <w:p w14:paraId="1F92B2C5">
            <w:pPr>
              <w:pStyle w:val="43"/>
              <w:bidi w:val="0"/>
              <w:rPr>
                <w:color w:val="auto"/>
                <w:highlight w:val="none"/>
              </w:rPr>
            </w:pPr>
            <w:r>
              <w:rPr>
                <w:rFonts w:hint="default"/>
                <w:color w:val="auto"/>
                <w:highlight w:val="none"/>
              </w:rPr>
              <w:t>15.6</w:t>
            </w:r>
          </w:p>
          <w:p w14:paraId="215CD7F6">
            <w:pPr>
              <w:pStyle w:val="43"/>
              <w:bidi w:val="0"/>
              <w:rPr>
                <w:color w:val="auto"/>
                <w:highlight w:val="none"/>
              </w:rPr>
            </w:pPr>
            <w:r>
              <w:rPr>
                <w:rFonts w:hint="default"/>
                <w:color w:val="auto"/>
                <w:highlight w:val="none"/>
              </w:rPr>
              <w:t>14.9</w:t>
            </w:r>
          </w:p>
          <w:p w14:paraId="679B3845">
            <w:pPr>
              <w:pStyle w:val="43"/>
              <w:bidi w:val="0"/>
              <w:rPr>
                <w:color w:val="auto"/>
                <w:highlight w:val="none"/>
              </w:rPr>
            </w:pPr>
            <w:r>
              <w:rPr>
                <w:rFonts w:hint="default"/>
                <w:color w:val="auto"/>
                <w:highlight w:val="none"/>
              </w:rPr>
              <w:t>14.8</w:t>
            </w:r>
          </w:p>
        </w:tc>
        <w:tc>
          <w:tcPr>
            <w:tcW w:w="728" w:type="pct"/>
            <w:vAlign w:val="center"/>
          </w:tcPr>
          <w:p w14:paraId="57571F18">
            <w:pPr>
              <w:pStyle w:val="43"/>
              <w:bidi w:val="0"/>
              <w:rPr>
                <w:color w:val="auto"/>
                <w:highlight w:val="none"/>
              </w:rPr>
            </w:pPr>
            <w:r>
              <w:rPr>
                <w:rFonts w:hint="default"/>
                <w:color w:val="auto"/>
                <w:highlight w:val="none"/>
              </w:rPr>
              <w:t>11.6</w:t>
            </w:r>
          </w:p>
          <w:p w14:paraId="6C0FF18F">
            <w:pPr>
              <w:pStyle w:val="43"/>
              <w:bidi w:val="0"/>
              <w:rPr>
                <w:color w:val="auto"/>
                <w:highlight w:val="none"/>
              </w:rPr>
            </w:pPr>
            <w:r>
              <w:rPr>
                <w:rFonts w:hint="default"/>
                <w:color w:val="auto"/>
                <w:highlight w:val="none"/>
              </w:rPr>
              <w:t>10.3</w:t>
            </w:r>
          </w:p>
          <w:p w14:paraId="6B298DD4">
            <w:pPr>
              <w:pStyle w:val="43"/>
              <w:bidi w:val="0"/>
              <w:rPr>
                <w:color w:val="auto"/>
                <w:highlight w:val="none"/>
              </w:rPr>
            </w:pPr>
            <w:r>
              <w:rPr>
                <w:rFonts w:hint="default"/>
                <w:color w:val="auto"/>
                <w:highlight w:val="none"/>
              </w:rPr>
              <w:t>9.4</w:t>
            </w:r>
          </w:p>
        </w:tc>
        <w:tc>
          <w:tcPr>
            <w:tcW w:w="1035" w:type="pct"/>
            <w:vAlign w:val="center"/>
          </w:tcPr>
          <w:p w14:paraId="3D0A9F4F">
            <w:pPr>
              <w:pStyle w:val="43"/>
              <w:bidi w:val="0"/>
              <w:rPr>
                <w:color w:val="auto"/>
                <w:highlight w:val="none"/>
              </w:rPr>
            </w:pPr>
            <w:r>
              <w:rPr>
                <w:rFonts w:hint="default"/>
                <w:color w:val="auto"/>
                <w:highlight w:val="none"/>
              </w:rPr>
              <w:t>6100</w:t>
            </w:r>
          </w:p>
          <w:p w14:paraId="52D668DA">
            <w:pPr>
              <w:pStyle w:val="43"/>
              <w:bidi w:val="0"/>
              <w:rPr>
                <w:color w:val="auto"/>
                <w:highlight w:val="none"/>
              </w:rPr>
            </w:pPr>
            <w:r>
              <w:rPr>
                <w:rFonts w:hint="default"/>
                <w:color w:val="auto"/>
                <w:highlight w:val="none"/>
              </w:rPr>
              <w:t>5700</w:t>
            </w:r>
          </w:p>
          <w:p w14:paraId="681DB1AF">
            <w:pPr>
              <w:pStyle w:val="43"/>
              <w:bidi w:val="0"/>
              <w:rPr>
                <w:color w:val="auto"/>
                <w:highlight w:val="none"/>
              </w:rPr>
            </w:pPr>
            <w:r>
              <w:rPr>
                <w:rFonts w:hint="default"/>
                <w:color w:val="auto"/>
                <w:highlight w:val="none"/>
              </w:rPr>
              <w:t>5700</w:t>
            </w:r>
          </w:p>
        </w:tc>
      </w:tr>
      <w:tr w14:paraId="0D82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vAlign w:val="center"/>
          </w:tcPr>
          <w:p w14:paraId="3CC6ECED">
            <w:pPr>
              <w:pStyle w:val="43"/>
              <w:bidi w:val="0"/>
              <w:rPr>
                <w:color w:val="auto"/>
                <w:highlight w:val="none"/>
              </w:rPr>
            </w:pPr>
            <w:r>
              <w:rPr>
                <w:rFonts w:hint="default"/>
                <w:color w:val="auto"/>
                <w:highlight w:val="none"/>
              </w:rPr>
              <w:t>马尾松</w:t>
            </w:r>
          </w:p>
        </w:tc>
        <w:tc>
          <w:tcPr>
            <w:tcW w:w="543" w:type="pct"/>
            <w:vAlign w:val="center"/>
          </w:tcPr>
          <w:p w14:paraId="28CBAEBD">
            <w:pPr>
              <w:pStyle w:val="43"/>
              <w:bidi w:val="0"/>
              <w:rPr>
                <w:color w:val="auto"/>
                <w:highlight w:val="none"/>
              </w:rPr>
            </w:pPr>
            <w:r>
              <w:rPr>
                <w:rFonts w:hint="default"/>
                <w:color w:val="auto"/>
                <w:highlight w:val="none"/>
              </w:rPr>
              <w:t>Ⅰ</w:t>
            </w:r>
            <w:r>
              <w:rPr>
                <w:rFonts w:hint="default"/>
                <w:color w:val="auto"/>
                <w:highlight w:val="none"/>
                <w:vertAlign w:val="subscript"/>
              </w:rPr>
              <w:t>C</w:t>
            </w:r>
          </w:p>
          <w:p w14:paraId="3E222E97">
            <w:pPr>
              <w:pStyle w:val="43"/>
              <w:bidi w:val="0"/>
              <w:rPr>
                <w:color w:val="auto"/>
                <w:highlight w:val="none"/>
              </w:rPr>
            </w:pPr>
            <w:r>
              <w:rPr>
                <w:rFonts w:hint="default"/>
                <w:color w:val="auto"/>
                <w:highlight w:val="none"/>
              </w:rPr>
              <w:t>Ⅱ</w:t>
            </w:r>
            <w:r>
              <w:rPr>
                <w:rFonts w:hint="default"/>
                <w:color w:val="auto"/>
                <w:highlight w:val="none"/>
                <w:vertAlign w:val="subscript"/>
              </w:rPr>
              <w:t>C</w:t>
            </w:r>
          </w:p>
          <w:p w14:paraId="3763D978">
            <w:pPr>
              <w:pStyle w:val="43"/>
              <w:bidi w:val="0"/>
              <w:rPr>
                <w:color w:val="auto"/>
                <w:highlight w:val="none"/>
              </w:rPr>
            </w:pPr>
            <w:r>
              <w:rPr>
                <w:rFonts w:hint="default"/>
                <w:color w:val="auto"/>
                <w:highlight w:val="none"/>
              </w:rPr>
              <w:t>Ⅲ</w:t>
            </w:r>
            <w:r>
              <w:rPr>
                <w:rFonts w:hint="default"/>
                <w:color w:val="auto"/>
                <w:highlight w:val="none"/>
                <w:vertAlign w:val="subscript"/>
              </w:rPr>
              <w:t>C</w:t>
            </w:r>
          </w:p>
          <w:p w14:paraId="16DC75EE">
            <w:pPr>
              <w:pStyle w:val="43"/>
              <w:bidi w:val="0"/>
              <w:rPr>
                <w:color w:val="auto"/>
                <w:highlight w:val="none"/>
              </w:rPr>
            </w:pPr>
            <w:r>
              <w:rPr>
                <w:rFonts w:hint="default"/>
                <w:color w:val="auto"/>
                <w:highlight w:val="none"/>
              </w:rPr>
              <w:t>Ⅳ</w:t>
            </w:r>
            <w:r>
              <w:rPr>
                <w:rFonts w:hint="default"/>
                <w:color w:val="auto"/>
                <w:highlight w:val="none"/>
                <w:vertAlign w:val="subscript"/>
              </w:rPr>
              <w:t>C</w:t>
            </w:r>
          </w:p>
        </w:tc>
        <w:tc>
          <w:tcPr>
            <w:tcW w:w="799" w:type="pct"/>
            <w:vAlign w:val="center"/>
          </w:tcPr>
          <w:p w14:paraId="7F7D416A">
            <w:pPr>
              <w:pStyle w:val="43"/>
              <w:bidi w:val="0"/>
              <w:rPr>
                <w:color w:val="auto"/>
                <w:highlight w:val="none"/>
              </w:rPr>
            </w:pPr>
            <w:r>
              <w:rPr>
                <w:rFonts w:hint="default"/>
                <w:color w:val="auto"/>
                <w:highlight w:val="none"/>
              </w:rPr>
              <w:t>285</w:t>
            </w:r>
          </w:p>
        </w:tc>
        <w:tc>
          <w:tcPr>
            <w:tcW w:w="636" w:type="pct"/>
            <w:vAlign w:val="center"/>
          </w:tcPr>
          <w:p w14:paraId="49E1F7B5">
            <w:pPr>
              <w:pStyle w:val="43"/>
              <w:bidi w:val="0"/>
              <w:rPr>
                <w:color w:val="auto"/>
                <w:highlight w:val="none"/>
              </w:rPr>
            </w:pPr>
            <w:r>
              <w:rPr>
                <w:rFonts w:hint="default"/>
                <w:color w:val="auto"/>
                <w:highlight w:val="none"/>
              </w:rPr>
              <w:t>17.6</w:t>
            </w:r>
          </w:p>
          <w:p w14:paraId="0EBCDDE6">
            <w:pPr>
              <w:pStyle w:val="43"/>
              <w:bidi w:val="0"/>
              <w:rPr>
                <w:color w:val="auto"/>
                <w:highlight w:val="none"/>
              </w:rPr>
            </w:pPr>
            <w:r>
              <w:rPr>
                <w:rFonts w:hint="default"/>
                <w:color w:val="auto"/>
                <w:highlight w:val="none"/>
              </w:rPr>
              <w:t>11.2</w:t>
            </w:r>
          </w:p>
          <w:p w14:paraId="44B2690E">
            <w:pPr>
              <w:pStyle w:val="43"/>
              <w:bidi w:val="0"/>
              <w:rPr>
                <w:color w:val="auto"/>
                <w:highlight w:val="none"/>
              </w:rPr>
            </w:pPr>
            <w:r>
              <w:rPr>
                <w:rFonts w:hint="default"/>
                <w:color w:val="auto"/>
                <w:highlight w:val="none"/>
              </w:rPr>
              <w:t>11.2</w:t>
            </w:r>
          </w:p>
          <w:p w14:paraId="41163F87">
            <w:pPr>
              <w:pStyle w:val="43"/>
              <w:bidi w:val="0"/>
              <w:rPr>
                <w:color w:val="auto"/>
                <w:highlight w:val="none"/>
              </w:rPr>
            </w:pPr>
            <w:r>
              <w:rPr>
                <w:rFonts w:hint="default"/>
                <w:color w:val="auto"/>
                <w:highlight w:val="none"/>
              </w:rPr>
              <w:t>9.6</w:t>
            </w:r>
          </w:p>
        </w:tc>
        <w:tc>
          <w:tcPr>
            <w:tcW w:w="722" w:type="pct"/>
            <w:vAlign w:val="center"/>
          </w:tcPr>
          <w:p w14:paraId="593CBFE9">
            <w:pPr>
              <w:pStyle w:val="43"/>
              <w:bidi w:val="0"/>
              <w:rPr>
                <w:color w:val="auto"/>
                <w:highlight w:val="none"/>
              </w:rPr>
            </w:pPr>
            <w:r>
              <w:rPr>
                <w:rFonts w:hint="default"/>
                <w:color w:val="auto"/>
                <w:highlight w:val="none"/>
              </w:rPr>
              <w:t>22.5</w:t>
            </w:r>
          </w:p>
          <w:p w14:paraId="05F21306">
            <w:pPr>
              <w:pStyle w:val="43"/>
              <w:bidi w:val="0"/>
              <w:rPr>
                <w:color w:val="auto"/>
                <w:highlight w:val="none"/>
              </w:rPr>
            </w:pPr>
            <w:r>
              <w:rPr>
                <w:rFonts w:hint="default"/>
                <w:color w:val="auto"/>
                <w:highlight w:val="none"/>
              </w:rPr>
              <w:t>18.9</w:t>
            </w:r>
          </w:p>
          <w:p w14:paraId="0B8B0CA3">
            <w:pPr>
              <w:pStyle w:val="43"/>
              <w:bidi w:val="0"/>
              <w:rPr>
                <w:color w:val="auto"/>
                <w:highlight w:val="none"/>
              </w:rPr>
            </w:pPr>
            <w:r>
              <w:rPr>
                <w:rFonts w:hint="default"/>
                <w:color w:val="auto"/>
                <w:highlight w:val="none"/>
              </w:rPr>
              <w:t>16.9</w:t>
            </w:r>
          </w:p>
          <w:p w14:paraId="30841261">
            <w:pPr>
              <w:pStyle w:val="43"/>
              <w:bidi w:val="0"/>
              <w:rPr>
                <w:color w:val="auto"/>
                <w:highlight w:val="none"/>
              </w:rPr>
            </w:pPr>
            <w:r>
              <w:rPr>
                <w:rFonts w:hint="default"/>
                <w:color w:val="auto"/>
                <w:highlight w:val="none"/>
              </w:rPr>
              <w:t>14.0</w:t>
            </w:r>
          </w:p>
        </w:tc>
        <w:tc>
          <w:tcPr>
            <w:tcW w:w="728" w:type="pct"/>
            <w:vAlign w:val="center"/>
          </w:tcPr>
          <w:p w14:paraId="318F3926">
            <w:pPr>
              <w:pStyle w:val="43"/>
              <w:bidi w:val="0"/>
              <w:rPr>
                <w:color w:val="auto"/>
                <w:highlight w:val="none"/>
              </w:rPr>
            </w:pPr>
            <w:r>
              <w:rPr>
                <w:rFonts w:hint="default"/>
                <w:color w:val="auto"/>
                <w:highlight w:val="none"/>
              </w:rPr>
              <w:t>10.5</w:t>
            </w:r>
          </w:p>
          <w:p w14:paraId="4DEE5D8D">
            <w:pPr>
              <w:pStyle w:val="43"/>
              <w:bidi w:val="0"/>
              <w:rPr>
                <w:color w:val="auto"/>
                <w:highlight w:val="none"/>
              </w:rPr>
            </w:pPr>
            <w:r>
              <w:rPr>
                <w:rFonts w:hint="default"/>
                <w:color w:val="auto"/>
                <w:highlight w:val="none"/>
              </w:rPr>
              <w:t>7.6</w:t>
            </w:r>
          </w:p>
          <w:p w14:paraId="3DE9372C">
            <w:pPr>
              <w:pStyle w:val="43"/>
              <w:bidi w:val="0"/>
              <w:rPr>
                <w:color w:val="auto"/>
                <w:highlight w:val="none"/>
              </w:rPr>
            </w:pPr>
            <w:r>
              <w:rPr>
                <w:rFonts w:hint="default"/>
                <w:color w:val="auto"/>
                <w:highlight w:val="none"/>
              </w:rPr>
              <w:t>4.9</w:t>
            </w:r>
          </w:p>
          <w:p w14:paraId="57EB9CDA">
            <w:pPr>
              <w:pStyle w:val="43"/>
              <w:bidi w:val="0"/>
              <w:rPr>
                <w:color w:val="auto"/>
                <w:highlight w:val="none"/>
              </w:rPr>
            </w:pPr>
            <w:r>
              <w:rPr>
                <w:rFonts w:hint="default"/>
                <w:color w:val="auto"/>
                <w:highlight w:val="none"/>
              </w:rPr>
              <w:t>3.5</w:t>
            </w:r>
          </w:p>
        </w:tc>
        <w:tc>
          <w:tcPr>
            <w:tcW w:w="1035" w:type="pct"/>
            <w:vAlign w:val="center"/>
          </w:tcPr>
          <w:p w14:paraId="3D3C0F9D">
            <w:pPr>
              <w:pStyle w:val="43"/>
              <w:bidi w:val="0"/>
              <w:rPr>
                <w:color w:val="auto"/>
                <w:highlight w:val="none"/>
              </w:rPr>
            </w:pPr>
            <w:r>
              <w:rPr>
                <w:rFonts w:hint="default"/>
                <w:color w:val="auto"/>
                <w:highlight w:val="none"/>
              </w:rPr>
              <w:t>8600</w:t>
            </w:r>
          </w:p>
          <w:p w14:paraId="4BFA0920">
            <w:pPr>
              <w:pStyle w:val="43"/>
              <w:bidi w:val="0"/>
              <w:rPr>
                <w:color w:val="auto"/>
                <w:highlight w:val="none"/>
              </w:rPr>
            </w:pPr>
            <w:r>
              <w:rPr>
                <w:rFonts w:hint="default"/>
                <w:color w:val="auto"/>
                <w:highlight w:val="none"/>
              </w:rPr>
              <w:t>7400</w:t>
            </w:r>
          </w:p>
          <w:p w14:paraId="703E57F8">
            <w:pPr>
              <w:pStyle w:val="43"/>
              <w:bidi w:val="0"/>
              <w:rPr>
                <w:color w:val="auto"/>
                <w:highlight w:val="none"/>
              </w:rPr>
            </w:pPr>
            <w:r>
              <w:rPr>
                <w:rFonts w:hint="default"/>
                <w:color w:val="auto"/>
                <w:highlight w:val="none"/>
              </w:rPr>
              <w:t>7400</w:t>
            </w:r>
          </w:p>
          <w:p w14:paraId="492C2657">
            <w:pPr>
              <w:pStyle w:val="43"/>
              <w:bidi w:val="0"/>
              <w:rPr>
                <w:color w:val="auto"/>
                <w:highlight w:val="none"/>
              </w:rPr>
            </w:pPr>
            <w:r>
              <w:rPr>
                <w:rFonts w:hint="default"/>
                <w:color w:val="auto"/>
                <w:highlight w:val="none"/>
              </w:rPr>
              <w:t>7000</w:t>
            </w:r>
          </w:p>
        </w:tc>
      </w:tr>
    </w:tbl>
    <w:p w14:paraId="40D019B5">
      <w:pPr>
        <w:pStyle w:val="4"/>
        <w:rPr>
          <w:rFonts w:cs="Times New Roman"/>
          <w:bCs/>
          <w:color w:val="auto"/>
          <w:kern w:val="2"/>
          <w:szCs w:val="24"/>
          <w:highlight w:val="none"/>
          <w:lang w:eastAsia="zh-CN"/>
        </w:rPr>
      </w:pPr>
      <w:r>
        <w:rPr>
          <w:rFonts w:hint="eastAsia" w:cs="Times New Roman"/>
          <w:bCs/>
          <w:color w:val="auto"/>
          <w:kern w:val="2"/>
          <w:szCs w:val="24"/>
          <w:highlight w:val="none"/>
          <w:lang w:val="en-US" w:eastAsia="zh-CN"/>
        </w:rPr>
        <w:t>4.1.</w:t>
      </w:r>
      <w:r>
        <w:rPr>
          <w:rFonts w:hint="eastAsia" w:cs="Times New Roman"/>
          <w:b/>
          <w:color w:val="auto"/>
          <w:kern w:val="2"/>
          <w:szCs w:val="24"/>
          <w:highlight w:val="none"/>
          <w:lang w:val="en-US" w:eastAsia="zh-CN"/>
        </w:rPr>
        <w:t xml:space="preserve">6 </w:t>
      </w:r>
      <w:r>
        <w:rPr>
          <w:rFonts w:hint="eastAsia" w:cs="Times New Roman"/>
          <w:bCs/>
          <w:color w:val="auto"/>
          <w:kern w:val="2"/>
          <w:szCs w:val="24"/>
          <w:highlight w:val="none"/>
          <w:lang w:val="en-US" w:eastAsia="zh-CN"/>
        </w:rPr>
        <w:t xml:space="preserve"> </w:t>
      </w:r>
      <w:r>
        <w:rPr>
          <w:rFonts w:hint="eastAsia" w:cs="Times New Roman"/>
          <w:bCs/>
          <w:color w:val="auto"/>
          <w:kern w:val="2"/>
          <w:szCs w:val="24"/>
          <w:highlight w:val="none"/>
          <w:lang w:eastAsia="zh-CN"/>
        </w:rPr>
        <w:t>在木结构工程中使用进口木材应符合下列规定：</w:t>
      </w:r>
    </w:p>
    <w:p w14:paraId="6778149F">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应选择天然缺陷和干燥缺陷少、耐腐性较好的树种；</w:t>
      </w:r>
    </w:p>
    <w:p w14:paraId="148C54C4">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应有经过认可的认证标识；</w:t>
      </w:r>
    </w:p>
    <w:p w14:paraId="14352A83">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3  应符合国家对木材进口的动物植物检疫的相关规定；</w:t>
      </w:r>
    </w:p>
    <w:p w14:paraId="537410EC">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4  应有中文标识，并应按国别、等级、规格分批堆放，不应混淆；储存期间应防止霉变、腐朽和虫蛀；</w:t>
      </w:r>
    </w:p>
    <w:p w14:paraId="0DBEE638">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5  首次在我国使用的树种应经试验确定物理力学性能后按本标准要求使用。</w:t>
      </w:r>
    </w:p>
    <w:p w14:paraId="130B5E20">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4.1.</w:t>
      </w:r>
      <w:r>
        <w:rPr>
          <w:rFonts w:hint="eastAsia" w:cs="Times New Roman"/>
          <w:b/>
          <w:color w:val="auto"/>
          <w:kern w:val="2"/>
          <w:szCs w:val="24"/>
          <w:highlight w:val="none"/>
          <w:lang w:val="en-US" w:eastAsia="zh-CN"/>
        </w:rPr>
        <w:t>7</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在木结构中使用木基结构板、结构复合木材和工字形木搁栅，应符合下列规定：</w:t>
      </w:r>
    </w:p>
    <w:p w14:paraId="3A20001B">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用作屋面板、楼面板和墙面板的木基结构板应符合国家现行标准《木结构覆板用胶合板》GB/T 22349、《定向刨花板》LY/T 1580的相关规定。</w:t>
      </w:r>
    </w:p>
    <w:p w14:paraId="2CF7F42A">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用作梁或柱的结构复合木材的强度应满足设计要求。</w:t>
      </w:r>
    </w:p>
    <w:p w14:paraId="7F339C48">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3  对于用作楼盖和屋盖的工字形木搁栅应符合现行国家标准《建筑结构用木工字梁》GB/T 28985的相关规定。</w:t>
      </w:r>
    </w:p>
    <w:p w14:paraId="64AB0C44">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4.1.</w:t>
      </w:r>
      <w:r>
        <w:rPr>
          <w:rFonts w:hint="eastAsia" w:cs="Times New Roman"/>
          <w:b/>
          <w:color w:val="auto"/>
          <w:kern w:val="2"/>
          <w:szCs w:val="24"/>
          <w:highlight w:val="none"/>
          <w:lang w:val="en-US" w:eastAsia="zh-CN"/>
        </w:rPr>
        <w:t>8</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胶合木层板应采用目测分级或机械分级，并宜采用针叶材树种制作。除普通胶合木层板的材质等级标准应符合现行国家标准《木结构设计标准》GB 50005的规定外，其他胶合木层板分级的选材标准应符合现行国家标准《胶合木结构技术规范》GB/T 50708及《结构用集成材》GB/T 26899的相关规定。</w:t>
      </w:r>
    </w:p>
    <w:p w14:paraId="0CB3B823">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4.1.</w:t>
      </w:r>
      <w:r>
        <w:rPr>
          <w:rFonts w:hint="eastAsia" w:cs="Times New Roman"/>
          <w:b/>
          <w:color w:val="auto"/>
          <w:kern w:val="2"/>
          <w:szCs w:val="24"/>
          <w:highlight w:val="none"/>
          <w:lang w:val="en-US" w:eastAsia="zh-CN"/>
        </w:rPr>
        <w:t>9</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制作构件时，木材含水率应符合下列规定：</w:t>
      </w:r>
    </w:p>
    <w:p w14:paraId="5044854D">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板材、规格材和工厂加工的方木不应大于19%；</w:t>
      </w:r>
    </w:p>
    <w:p w14:paraId="72323F96">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方木、原木受拉构件的连接板不应大于18%；</w:t>
      </w:r>
    </w:p>
    <w:p w14:paraId="742B3869">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3  作为连接件，不应大于15%；</w:t>
      </w:r>
    </w:p>
    <w:p w14:paraId="262C777C">
      <w:pPr>
        <w:pStyle w:val="4"/>
        <w:ind w:firstLine="480" w:firstLineChars="200"/>
        <w:rPr>
          <w:rFonts w:hint="eastAsia" w:cs="Times New Roman"/>
          <w:bCs/>
          <w:color w:val="auto"/>
          <w:kern w:val="2"/>
          <w:szCs w:val="24"/>
          <w:highlight w:val="none"/>
          <w:lang w:eastAsia="zh-CN"/>
        </w:rPr>
      </w:pPr>
      <w:r>
        <w:rPr>
          <w:rFonts w:hint="eastAsia" w:cs="Times New Roman"/>
          <w:bCs/>
          <w:color w:val="auto"/>
          <w:kern w:val="2"/>
          <w:szCs w:val="24"/>
          <w:highlight w:val="none"/>
          <w:lang w:eastAsia="zh-CN"/>
        </w:rPr>
        <w:t>4  重组木应为6~15% 。</w:t>
      </w:r>
    </w:p>
    <w:p w14:paraId="29E27BC5">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val="en-US" w:eastAsia="zh-CN"/>
        </w:rPr>
        <w:t xml:space="preserve">5  </w:t>
      </w:r>
      <w:r>
        <w:rPr>
          <w:rFonts w:hint="eastAsia" w:cs="Times New Roman"/>
          <w:bCs/>
          <w:color w:val="auto"/>
          <w:kern w:val="2"/>
          <w:szCs w:val="24"/>
          <w:highlight w:val="none"/>
          <w:lang w:eastAsia="zh-CN"/>
        </w:rPr>
        <w:t>胶合木层板和正交胶合木层板应为8%～15%，且同一构件各层木板间的含水率差别不应大于5%；</w:t>
      </w:r>
    </w:p>
    <w:p w14:paraId="7493A1D5">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val="en-US" w:eastAsia="zh-CN"/>
        </w:rPr>
        <w:t>6</w:t>
      </w:r>
      <w:r>
        <w:rPr>
          <w:rFonts w:hint="eastAsia" w:cs="Times New Roman"/>
          <w:bCs/>
          <w:color w:val="auto"/>
          <w:kern w:val="2"/>
          <w:szCs w:val="24"/>
          <w:highlight w:val="none"/>
          <w:lang w:eastAsia="zh-CN"/>
        </w:rPr>
        <w:t xml:space="preserve">  井干式木结构构件采用原木制作时不应大于25%；采用方木制作时不应大于20%；采用胶合原木木材制作时不应大于18% 。</w:t>
      </w:r>
    </w:p>
    <w:p w14:paraId="448B0E9B">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4.1.</w:t>
      </w:r>
      <w:r>
        <w:rPr>
          <w:rFonts w:hint="eastAsia" w:cs="Times New Roman"/>
          <w:b/>
          <w:color w:val="auto"/>
          <w:kern w:val="2"/>
          <w:szCs w:val="24"/>
          <w:highlight w:val="none"/>
          <w:lang w:val="en-US" w:eastAsia="zh-CN"/>
        </w:rPr>
        <w:t>10</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现场制作的方木或原木构件的木材含水率不应大于25% 。当受条件限制，使用含水率大于25%的木材制作原木或方木结构时，应符合下列规定：</w:t>
      </w:r>
    </w:p>
    <w:p w14:paraId="0B1BB192">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计算和构造应符合本标准有关湿材的规定；</w:t>
      </w:r>
    </w:p>
    <w:p w14:paraId="45F76C1F">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桁架受拉腹杆宜采用可进行长短调整的圆钢；</w:t>
      </w:r>
    </w:p>
    <w:p w14:paraId="7F11E3C1">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3  桁架下弦宜选用型钢或圆钢；当采用木下弦时，宜采用原木或破心下料（图4.1.10）的方木；</w:t>
      </w:r>
    </w:p>
    <w:p w14:paraId="0F20E699">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4  不应使用湿材制作板材结构及受拉构件的连接板；</w:t>
      </w:r>
    </w:p>
    <w:p w14:paraId="165EC518">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5  在房屋或构筑物建成后，应加强结构的检查和维护，结构的检查和维护按现行国家标准《木结构设计标准》GB 50005的规定进行。</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56"/>
        <w:gridCol w:w="3057"/>
      </w:tblGrid>
      <w:tr w14:paraId="1447A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56" w:type="dxa"/>
          </w:tcPr>
          <w:p w14:paraId="29BF93EB">
            <w:pPr>
              <w:jc w:val="both"/>
              <w:rPr>
                <w:color w:val="auto"/>
                <w:highlight w:val="none"/>
                <w:lang w:eastAsia="zh-CN"/>
              </w:rPr>
            </w:pPr>
            <w:r>
              <w:rPr>
                <w:color w:val="auto"/>
                <w:highlight w:val="none"/>
                <w:lang w:eastAsia="zh-CN"/>
              </w:rPr>
              <w:drawing>
                <wp:anchor distT="0" distB="0" distL="0" distR="0" simplePos="0" relativeHeight="251665408" behindDoc="0" locked="0" layoutInCell="1" allowOverlap="1">
                  <wp:simplePos x="0" y="0"/>
                  <wp:positionH relativeFrom="column">
                    <wp:posOffset>215265</wp:posOffset>
                  </wp:positionH>
                  <wp:positionV relativeFrom="paragraph">
                    <wp:posOffset>53340</wp:posOffset>
                  </wp:positionV>
                  <wp:extent cx="1096645" cy="904875"/>
                  <wp:effectExtent l="0" t="0" r="8255" b="9525"/>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cstate="print"/>
                          <a:srcRect r="51625" b="36213"/>
                          <a:stretch>
                            <a:fillRect/>
                          </a:stretch>
                        </pic:blipFill>
                        <pic:spPr>
                          <a:xfrm>
                            <a:off x="0" y="0"/>
                            <a:ext cx="1096645" cy="904875"/>
                          </a:xfrm>
                          <a:prstGeom prst="rect">
                            <a:avLst/>
                          </a:prstGeom>
                        </pic:spPr>
                      </pic:pic>
                    </a:graphicData>
                  </a:graphic>
                </wp:anchor>
              </w:drawing>
            </w:r>
          </w:p>
        </w:tc>
        <w:tc>
          <w:tcPr>
            <w:tcW w:w="3057" w:type="dxa"/>
          </w:tcPr>
          <w:p w14:paraId="6185F5FD">
            <w:pPr>
              <w:jc w:val="both"/>
              <w:rPr>
                <w:color w:val="auto"/>
                <w:highlight w:val="none"/>
                <w:lang w:eastAsia="zh-CN"/>
              </w:rPr>
            </w:pPr>
            <w:r>
              <w:rPr>
                <w:color w:val="auto"/>
                <w:highlight w:val="none"/>
                <w:lang w:eastAsia="zh-CN"/>
              </w:rPr>
              <w:drawing>
                <wp:anchor distT="0" distB="0" distL="0" distR="0" simplePos="0" relativeHeight="251666432" behindDoc="0" locked="0" layoutInCell="1" allowOverlap="1">
                  <wp:simplePos x="0" y="0"/>
                  <wp:positionH relativeFrom="column">
                    <wp:posOffset>455930</wp:posOffset>
                  </wp:positionH>
                  <wp:positionV relativeFrom="paragraph">
                    <wp:posOffset>53340</wp:posOffset>
                  </wp:positionV>
                  <wp:extent cx="960755" cy="904875"/>
                  <wp:effectExtent l="0" t="0" r="10795" b="9525"/>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4" cstate="print"/>
                          <a:srcRect l="52297" r="5322" b="36213"/>
                          <a:stretch>
                            <a:fillRect/>
                          </a:stretch>
                        </pic:blipFill>
                        <pic:spPr>
                          <a:xfrm>
                            <a:off x="0" y="0"/>
                            <a:ext cx="960755" cy="904875"/>
                          </a:xfrm>
                          <a:prstGeom prst="rect">
                            <a:avLst/>
                          </a:prstGeom>
                        </pic:spPr>
                      </pic:pic>
                    </a:graphicData>
                  </a:graphic>
                </wp:anchor>
              </w:drawing>
            </w:r>
          </w:p>
        </w:tc>
      </w:tr>
      <w:tr w14:paraId="5978C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56" w:type="dxa"/>
          </w:tcPr>
          <w:p w14:paraId="4CE5FB7A">
            <w:pPr>
              <w:pStyle w:val="43"/>
              <w:rPr>
                <w:color w:val="auto"/>
                <w:highlight w:val="none"/>
              </w:rPr>
            </w:pPr>
            <w:r>
              <w:rPr>
                <w:rFonts w:hint="eastAsia"/>
                <w:color w:val="auto"/>
                <w:highlight w:val="none"/>
              </w:rPr>
              <w:t>（a）</w:t>
            </w:r>
          </w:p>
        </w:tc>
        <w:tc>
          <w:tcPr>
            <w:tcW w:w="3057" w:type="dxa"/>
          </w:tcPr>
          <w:p w14:paraId="0BA3A685">
            <w:pPr>
              <w:pStyle w:val="43"/>
              <w:rPr>
                <w:color w:val="auto"/>
                <w:highlight w:val="none"/>
              </w:rPr>
            </w:pPr>
            <w:r>
              <w:rPr>
                <w:rFonts w:hint="eastAsia"/>
                <w:color w:val="auto"/>
                <w:highlight w:val="none"/>
              </w:rPr>
              <w:t>（b）</w:t>
            </w:r>
          </w:p>
        </w:tc>
      </w:tr>
      <w:tr w14:paraId="310C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gridSpan w:val="2"/>
          </w:tcPr>
          <w:p w14:paraId="45F5ABBC">
            <w:pPr>
              <w:pStyle w:val="44"/>
              <w:ind w:firstLine="170"/>
              <w:rPr>
                <w:color w:val="auto"/>
                <w:highlight w:val="none"/>
              </w:rPr>
            </w:pPr>
            <w:r>
              <w:rPr>
                <w:rFonts w:hint="eastAsia"/>
                <w:color w:val="auto"/>
                <w:highlight w:val="none"/>
              </w:rPr>
              <w:t xml:space="preserve">图4.1.10  </w:t>
            </w:r>
            <w:r>
              <w:rPr>
                <w:rFonts w:hint="eastAsia"/>
                <w:color w:val="auto"/>
                <w:highlight w:val="none"/>
                <w:lang w:val="en-US" w:eastAsia="zh-CN"/>
              </w:rPr>
              <w:t>破</w:t>
            </w:r>
            <w:r>
              <w:rPr>
                <w:rFonts w:hint="eastAsia"/>
                <w:color w:val="auto"/>
                <w:highlight w:val="none"/>
              </w:rPr>
              <w:t>心下料的木方</w:t>
            </w:r>
          </w:p>
        </w:tc>
      </w:tr>
    </w:tbl>
    <w:p w14:paraId="468BBBA7">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4.1.1</w:t>
      </w:r>
      <w:r>
        <w:rPr>
          <w:rFonts w:hint="eastAsia" w:cs="Times New Roman"/>
          <w:b/>
          <w:color w:val="auto"/>
          <w:kern w:val="2"/>
          <w:szCs w:val="24"/>
          <w:highlight w:val="none"/>
          <w:lang w:val="en-US" w:eastAsia="zh-CN"/>
        </w:rPr>
        <w:t>1</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结构用胶粘剂类型应满足使用环境要求，且其胶合性能应满足设计要求的强度和耐久性指标。</w:t>
      </w:r>
    </w:p>
    <w:p w14:paraId="3EC4C102">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4.1.1</w:t>
      </w:r>
      <w:r>
        <w:rPr>
          <w:rFonts w:hint="eastAsia" w:cs="Times New Roman"/>
          <w:b/>
          <w:color w:val="auto"/>
          <w:kern w:val="2"/>
          <w:szCs w:val="24"/>
          <w:highlight w:val="none"/>
          <w:lang w:val="en-US" w:eastAsia="zh-CN"/>
        </w:rPr>
        <w:t>2</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木结构增强或加固中使用的纤维、基体材料及界面黏结性能应满足强度、耐久性和环境温湿度要求。</w:t>
      </w:r>
    </w:p>
    <w:p w14:paraId="2DDEF950">
      <w:pPr>
        <w:pStyle w:val="3"/>
        <w:spacing w:before="156" w:after="156"/>
        <w:rPr>
          <w:color w:val="auto"/>
          <w:highlight w:val="none"/>
          <w:lang w:eastAsia="zh-CN"/>
        </w:rPr>
      </w:pPr>
      <w:bookmarkStart w:id="62" w:name="_Toc25880"/>
      <w:bookmarkStart w:id="63" w:name="_Toc6891"/>
      <w:bookmarkStart w:id="64" w:name="_Toc29388"/>
      <w:bookmarkStart w:id="65" w:name="_Toc22485"/>
      <w:r>
        <w:rPr>
          <w:rFonts w:hint="eastAsia"/>
          <w:color w:val="auto"/>
          <w:highlight w:val="none"/>
          <w:lang w:eastAsia="zh-CN"/>
        </w:rPr>
        <w:t>4.2  钢材与金属连接件</w:t>
      </w:r>
      <w:bookmarkEnd w:id="62"/>
      <w:bookmarkEnd w:id="63"/>
      <w:bookmarkEnd w:id="64"/>
      <w:bookmarkEnd w:id="65"/>
    </w:p>
    <w:p w14:paraId="29FE676C">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4.2.1  </w:t>
      </w:r>
      <w:r>
        <w:rPr>
          <w:rFonts w:hint="eastAsia" w:cs="Times New Roman"/>
          <w:bCs/>
          <w:color w:val="auto"/>
          <w:kern w:val="2"/>
          <w:szCs w:val="24"/>
          <w:highlight w:val="none"/>
          <w:lang w:eastAsia="zh-CN"/>
        </w:rPr>
        <w:t>木结构中采用的钢材应符合下列规定：</w:t>
      </w:r>
    </w:p>
    <w:p w14:paraId="4CF1E6DF">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钢材应具有抗拉强度、屈服强度、断后伸长率和碳、硫、磷含量的合格保证；</w:t>
      </w:r>
    </w:p>
    <w:p w14:paraId="3E6515BD">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需要验算疲劳的焊接结构用钢材应具有冲击韧性合格保证；</w:t>
      </w:r>
    </w:p>
    <w:p w14:paraId="0C7E32A4">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3  设计要求厚度方向抗层状撕裂性能的钢材应具有断面收缩率合格保证；</w:t>
      </w:r>
    </w:p>
    <w:p w14:paraId="28A84320">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4  进行抗震设计时，钢材的屈强比和断后伸长率应满足钢结构塑性设计的要求。</w:t>
      </w:r>
    </w:p>
    <w:p w14:paraId="267086D5">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4.2.2  </w:t>
      </w:r>
      <w:r>
        <w:rPr>
          <w:rFonts w:hint="eastAsia" w:cs="Times New Roman"/>
          <w:bCs/>
          <w:color w:val="auto"/>
          <w:kern w:val="2"/>
          <w:szCs w:val="24"/>
          <w:highlight w:val="none"/>
          <w:lang w:eastAsia="zh-CN"/>
        </w:rPr>
        <w:t>承重木结构中使用的钢材宜采用Q235钢、Q345钢、Q390钢或Q420钢，并应符合现行国家标准《碳素结构钢》GB/T 700和《低合金高强度结构钢》GB/T 1591的规定。当采用国外进口金属连接件时，应提供产品质量合格证书，并应符合设计要求且应对其材料进行复验。</w:t>
      </w:r>
    </w:p>
    <w:p w14:paraId="72B74FC8">
      <w:pPr>
        <w:pStyle w:val="4"/>
        <w:rPr>
          <w:rFonts w:cs="Times New Roman"/>
          <w:bCs/>
          <w:color w:val="auto"/>
          <w:kern w:val="2"/>
          <w:szCs w:val="24"/>
          <w:highlight w:val="none"/>
          <w:lang w:eastAsia="zh-CN"/>
        </w:rPr>
      </w:pPr>
      <w:bookmarkStart w:id="66" w:name="_Toc25551"/>
      <w:bookmarkStart w:id="67" w:name="_Toc18600"/>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3</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普通螺栓应符合现行国家标准《六角头螺栓》GB/T 5782和《六角头螺栓 C级》GB/T 5780的规定。</w:t>
      </w:r>
    </w:p>
    <w:p w14:paraId="7BFDB412">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4</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高强螺栓应符合现行国家标准《钢结构用高强度大六角头螺栓》GB/T 1228、《钢结构用高强度大六角螺母》GB/T 1229、《钢结构用高强度垫圈》GB/T 1230、《钢结构用高强度大六角头螺栓、大六角头螺母、垫圈技术条件》GB/T 1231、《钢结构用扭剪型高强度螺栓连接副》GB/T 3632的规定。</w:t>
      </w:r>
    </w:p>
    <w:p w14:paraId="613B337C">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5</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锚栓宜采用Q235钢或Q345钢。</w:t>
      </w:r>
    </w:p>
    <w:p w14:paraId="1A9A4097">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6</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钢钉应符合现行国家标准《钢钉》GB/T 27704的规定。</w:t>
      </w:r>
    </w:p>
    <w:p w14:paraId="1406B89E">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7</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焊条应符合现行国家标准《非合金钢及细晶粒钢焊条》GB/T 5117和《热强钢焊条》GB/T 5118的规定，采用的焊条型号应与金属构件或金属连接件的钢材力学性能相适应。</w:t>
      </w:r>
    </w:p>
    <w:p w14:paraId="6711D9BB">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8</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金属连接件应经防腐蚀处理或采用不锈钢产品。与经防腐处理的木材直接接触的金属连接件应避免防腐剂引起的腐蚀。</w:t>
      </w:r>
    </w:p>
    <w:p w14:paraId="5E9FA847">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w:t>
      </w:r>
      <w:r>
        <w:rPr>
          <w:rFonts w:hint="eastAsia" w:cs="Times New Roman"/>
          <w:b/>
          <w:color w:val="auto"/>
          <w:kern w:val="2"/>
          <w:szCs w:val="24"/>
          <w:highlight w:val="none"/>
          <w:lang w:val="en-US" w:eastAsia="zh-CN"/>
        </w:rPr>
        <w:t>9</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金属齿板应由镀锌薄钢板制作。镀锌应在齿板制造前进行，镀锌层重量不低于275g/</w:t>
      </w:r>
      <w:r>
        <w:rPr>
          <w:rFonts w:hint="eastAsia" w:cs="Times New Roman"/>
          <w:bCs/>
          <w:color w:val="auto"/>
          <w:szCs w:val="24"/>
          <w:highlight w:val="none"/>
        </w:rPr>
        <w:t>m</w:t>
      </w:r>
      <w:r>
        <w:rPr>
          <w:rFonts w:hint="eastAsia" w:cs="Times New Roman"/>
          <w:bCs/>
          <w:color w:val="auto"/>
          <w:szCs w:val="24"/>
          <w:highlight w:val="none"/>
          <w:vertAlign w:val="superscript"/>
        </w:rPr>
        <w:t>2</w:t>
      </w:r>
      <w:r>
        <w:rPr>
          <w:rFonts w:hint="eastAsia" w:cs="Times New Roman"/>
          <w:bCs/>
          <w:color w:val="auto"/>
          <w:kern w:val="2"/>
          <w:szCs w:val="24"/>
          <w:highlight w:val="none"/>
          <w:lang w:eastAsia="zh-CN"/>
        </w:rPr>
        <w:t>。钢板可采用Q235碳素结构钢和Q345低合金高强度结构钢。</w:t>
      </w:r>
    </w:p>
    <w:p w14:paraId="1873105F">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4.2.1</w:t>
      </w:r>
      <w:r>
        <w:rPr>
          <w:rFonts w:hint="eastAsia" w:cs="Times New Roman"/>
          <w:b/>
          <w:color w:val="auto"/>
          <w:kern w:val="2"/>
          <w:szCs w:val="24"/>
          <w:highlight w:val="none"/>
          <w:lang w:val="en-US" w:eastAsia="zh-CN"/>
        </w:rPr>
        <w:t>0</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处于外露环境并对耐腐蚀有特殊要求的或受腐蚀性气态和固态介质作用的钢构件，宜采用耐候钢，并应符合现行国家标准《耐候结构钢》GB/T 4171的规定。</w:t>
      </w:r>
    </w:p>
    <w:p w14:paraId="6D91F9A0">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4.2.1</w:t>
      </w:r>
      <w:r>
        <w:rPr>
          <w:rFonts w:hint="eastAsia" w:cs="Times New Roman"/>
          <w:b/>
          <w:color w:val="auto"/>
          <w:kern w:val="2"/>
          <w:szCs w:val="24"/>
          <w:highlight w:val="none"/>
          <w:lang w:val="en-US" w:eastAsia="zh-CN"/>
        </w:rPr>
        <w:t>1</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外露的金属连接件可采取涂刷防火涂料等防火措施。</w:t>
      </w:r>
    </w:p>
    <w:p w14:paraId="687B254A">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4.2.1</w:t>
      </w:r>
      <w:r>
        <w:rPr>
          <w:rFonts w:hint="eastAsia" w:cs="Times New Roman"/>
          <w:b/>
          <w:color w:val="auto"/>
          <w:kern w:val="2"/>
          <w:szCs w:val="24"/>
          <w:highlight w:val="none"/>
          <w:lang w:val="en-US" w:eastAsia="zh-CN"/>
        </w:rPr>
        <w:t>2</w:t>
      </w:r>
      <w:r>
        <w:rPr>
          <w:rFonts w:hint="eastAsia" w:cs="Times New Roman"/>
          <w:b/>
          <w:color w:val="auto"/>
          <w:kern w:val="2"/>
          <w:szCs w:val="24"/>
          <w:highlight w:val="none"/>
          <w:lang w:eastAsia="zh-CN"/>
        </w:rPr>
        <w:t xml:space="preserve">  </w:t>
      </w:r>
      <w:r>
        <w:rPr>
          <w:rFonts w:hint="eastAsia" w:cs="Times New Roman"/>
          <w:bCs/>
          <w:color w:val="auto"/>
          <w:kern w:val="2"/>
          <w:szCs w:val="24"/>
          <w:highlight w:val="none"/>
          <w:lang w:eastAsia="zh-CN"/>
        </w:rPr>
        <w:t>混凝土强度等级、受力钢筋及其性能应符合国家现行标准《混凝土结构设计规范》GB 50010的规定。</w:t>
      </w:r>
    </w:p>
    <w:p w14:paraId="4B6524EA">
      <w:pPr>
        <w:pStyle w:val="3"/>
        <w:spacing w:before="156" w:after="156"/>
        <w:rPr>
          <w:color w:val="auto"/>
          <w:highlight w:val="none"/>
          <w:lang w:eastAsia="zh-CN"/>
        </w:rPr>
      </w:pPr>
      <w:bookmarkStart w:id="68" w:name="_Toc27892"/>
      <w:bookmarkStart w:id="69" w:name="_Toc18709"/>
      <w:r>
        <w:rPr>
          <w:rFonts w:hint="eastAsia"/>
          <w:color w:val="auto"/>
          <w:highlight w:val="none"/>
          <w:lang w:eastAsia="zh-CN"/>
        </w:rPr>
        <w:t>4.3  其他材料</w:t>
      </w:r>
      <w:bookmarkEnd w:id="66"/>
      <w:bookmarkEnd w:id="67"/>
      <w:bookmarkEnd w:id="68"/>
      <w:bookmarkEnd w:id="69"/>
    </w:p>
    <w:p w14:paraId="43AA39F5">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4.3.1  </w:t>
      </w:r>
      <w:r>
        <w:rPr>
          <w:rFonts w:hint="eastAsia" w:cs="Times New Roman"/>
          <w:bCs/>
          <w:color w:val="auto"/>
          <w:kern w:val="2"/>
          <w:szCs w:val="24"/>
          <w:highlight w:val="none"/>
          <w:lang w:eastAsia="zh-CN"/>
        </w:rPr>
        <w:t>建筑材料的选用应符合下列规定：</w:t>
      </w:r>
    </w:p>
    <w:p w14:paraId="07CD827C">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1  宜采用广西林业主管部门推荐使用的新型建筑材料；</w:t>
      </w:r>
    </w:p>
    <w:p w14:paraId="2899040A">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2  建筑材料有害物质和放射性核素限值应符合国家现行有关标准的规定；</w:t>
      </w:r>
    </w:p>
    <w:p w14:paraId="4B5F86ED">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3  宜采用热工性能良好的建筑材料；</w:t>
      </w:r>
    </w:p>
    <w:p w14:paraId="08BF40B2">
      <w:pPr>
        <w:pStyle w:val="4"/>
        <w:ind w:firstLine="480" w:firstLineChars="200"/>
        <w:rPr>
          <w:rFonts w:cs="Times New Roman"/>
          <w:bCs/>
          <w:color w:val="auto"/>
          <w:kern w:val="2"/>
          <w:szCs w:val="24"/>
          <w:highlight w:val="none"/>
          <w:lang w:eastAsia="zh-CN"/>
        </w:rPr>
      </w:pPr>
      <w:r>
        <w:rPr>
          <w:rFonts w:hint="eastAsia" w:cs="Times New Roman"/>
          <w:bCs/>
          <w:color w:val="auto"/>
          <w:kern w:val="2"/>
          <w:szCs w:val="24"/>
          <w:highlight w:val="none"/>
          <w:lang w:eastAsia="zh-CN"/>
        </w:rPr>
        <w:t>4  宜选择耐久性好的建筑材料。</w:t>
      </w:r>
    </w:p>
    <w:p w14:paraId="46319BAC">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4.3.2  </w:t>
      </w:r>
      <w:r>
        <w:rPr>
          <w:rFonts w:hint="eastAsia" w:cs="Times New Roman"/>
          <w:bCs/>
          <w:color w:val="auto"/>
          <w:kern w:val="2"/>
          <w:szCs w:val="24"/>
          <w:highlight w:val="none"/>
          <w:lang w:eastAsia="zh-CN"/>
        </w:rPr>
        <w:t>木结构建筑宜采用岩棉、矿渣棉、玻璃棉</w:t>
      </w:r>
      <w:r>
        <w:rPr>
          <w:rFonts w:hint="eastAsia" w:cs="Times New Roman"/>
          <w:bCs/>
          <w:color w:val="auto"/>
          <w:kern w:val="2"/>
          <w:szCs w:val="24"/>
          <w:highlight w:val="none"/>
          <w:lang w:val="en-US" w:eastAsia="zh-CN"/>
        </w:rPr>
        <w:t>等</w:t>
      </w:r>
      <w:r>
        <w:rPr>
          <w:rFonts w:hint="eastAsia" w:cs="Times New Roman"/>
          <w:bCs/>
          <w:color w:val="auto"/>
          <w:kern w:val="2"/>
          <w:szCs w:val="24"/>
          <w:highlight w:val="none"/>
          <w:lang w:eastAsia="zh-CN"/>
        </w:rPr>
        <w:t>保温材料和隔声吸声材料，也可按设计要求采用其他具有保温和隔声吸声功能的材料。</w:t>
      </w:r>
    </w:p>
    <w:p w14:paraId="289C2C0D">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4.3.3  </w:t>
      </w:r>
      <w:r>
        <w:rPr>
          <w:rFonts w:hint="eastAsia" w:cs="Times New Roman"/>
          <w:bCs/>
          <w:color w:val="auto"/>
          <w:kern w:val="2"/>
          <w:szCs w:val="24"/>
          <w:highlight w:val="none"/>
          <w:lang w:eastAsia="zh-CN"/>
        </w:rPr>
        <w:t>装饰装修材料的品种、规格和质量应符合现行国家标准《民用建筑工程室内环境污染控制规范》GB 50325、《建筑内部装修设计防火规范》GB 50222、《建筑设计防火规范》GB 50016和《建筑装饰装修工程质量验收规范》GB 50210的规定。</w:t>
      </w:r>
    </w:p>
    <w:p w14:paraId="354C6EC7">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4.3.4  </w:t>
      </w:r>
      <w:r>
        <w:rPr>
          <w:rFonts w:hint="eastAsia" w:cs="Times New Roman"/>
          <w:bCs/>
          <w:color w:val="auto"/>
          <w:kern w:val="2"/>
          <w:szCs w:val="24"/>
          <w:highlight w:val="none"/>
          <w:lang w:eastAsia="zh-CN"/>
        </w:rPr>
        <w:t>防火封堵材料应符合现行国家标准《防火封堵材料》GB 23864和《建筑用阻燃密封胶》GB/T 24267的规定。</w:t>
      </w:r>
    </w:p>
    <w:p w14:paraId="6CC9EE49">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4.3.5  </w:t>
      </w:r>
      <w:r>
        <w:rPr>
          <w:rFonts w:hint="eastAsia" w:cs="Times New Roman"/>
          <w:bCs/>
          <w:color w:val="auto"/>
          <w:kern w:val="2"/>
          <w:szCs w:val="24"/>
          <w:highlight w:val="none"/>
          <w:lang w:eastAsia="zh-CN"/>
        </w:rPr>
        <w:t>木结构建筑选用的产品、工程木制品等应符合国家现行</w:t>
      </w:r>
      <w:r>
        <w:rPr>
          <w:rFonts w:hint="eastAsia" w:cs="Times New Roman"/>
          <w:bCs/>
          <w:color w:val="auto"/>
          <w:kern w:val="2"/>
          <w:szCs w:val="24"/>
          <w:highlight w:val="none"/>
          <w:lang w:eastAsia="zh-CN"/>
        </w:rPr>
        <w:t>有关标准的规定。</w:t>
      </w:r>
    </w:p>
    <w:p w14:paraId="09A89265">
      <w:pPr>
        <w:rPr>
          <w:color w:val="auto"/>
          <w:highlight w:val="none"/>
          <w:lang w:eastAsia="zh-CN"/>
        </w:rPr>
      </w:pPr>
    </w:p>
    <w:p w14:paraId="20DF4631">
      <w:pPr>
        <w:rPr>
          <w:color w:val="auto"/>
          <w:highlight w:val="none"/>
          <w:lang w:eastAsia="zh-CN"/>
        </w:rPr>
      </w:pPr>
    </w:p>
    <w:p w14:paraId="4D5A268B">
      <w:pPr>
        <w:pStyle w:val="2"/>
        <w:spacing w:before="312"/>
        <w:rPr>
          <w:strike/>
          <w:color w:val="auto"/>
          <w:highlight w:val="none"/>
          <w:lang w:eastAsia="zh-CN"/>
        </w:rPr>
      </w:pPr>
      <w:bookmarkStart w:id="70" w:name="_Toc28240"/>
      <w:bookmarkStart w:id="71" w:name="_Toc17188"/>
      <w:bookmarkStart w:id="72" w:name="_Toc16863"/>
      <w:bookmarkStart w:id="73" w:name="_Toc7277"/>
      <w:r>
        <w:rPr>
          <w:rFonts w:hint="eastAsia"/>
          <w:color w:val="auto"/>
          <w:highlight w:val="none"/>
          <w:lang w:eastAsia="zh-CN"/>
        </w:rPr>
        <w:t>5  结构设计</w:t>
      </w:r>
      <w:bookmarkEnd w:id="70"/>
      <w:bookmarkEnd w:id="71"/>
      <w:bookmarkEnd w:id="72"/>
      <w:bookmarkEnd w:id="73"/>
    </w:p>
    <w:p w14:paraId="048AB97B">
      <w:pPr>
        <w:pStyle w:val="3"/>
        <w:spacing w:before="156" w:after="156"/>
        <w:rPr>
          <w:color w:val="auto"/>
          <w:highlight w:val="none"/>
          <w:lang w:eastAsia="zh-CN"/>
        </w:rPr>
      </w:pPr>
      <w:bookmarkStart w:id="74" w:name="_Toc28871"/>
      <w:bookmarkStart w:id="75" w:name="_Toc631"/>
      <w:bookmarkStart w:id="76" w:name="_Toc30699"/>
      <w:bookmarkStart w:id="77" w:name="_Toc28108"/>
      <w:r>
        <w:rPr>
          <w:rFonts w:hint="eastAsia"/>
          <w:color w:val="auto"/>
          <w:highlight w:val="none"/>
          <w:lang w:eastAsia="zh-CN"/>
        </w:rPr>
        <w:t>5.</w:t>
      </w:r>
      <w:r>
        <w:rPr>
          <w:color w:val="auto"/>
          <w:highlight w:val="none"/>
          <w:lang w:eastAsia="zh-CN"/>
        </w:rPr>
        <w:t>1</w:t>
      </w:r>
      <w:r>
        <w:rPr>
          <w:rFonts w:hint="eastAsia"/>
          <w:color w:val="auto"/>
          <w:highlight w:val="none"/>
          <w:lang w:eastAsia="zh-CN"/>
        </w:rPr>
        <w:t xml:space="preserve">  一般规定</w:t>
      </w:r>
      <w:bookmarkEnd w:id="74"/>
      <w:bookmarkEnd w:id="75"/>
      <w:bookmarkEnd w:id="76"/>
      <w:bookmarkEnd w:id="77"/>
    </w:p>
    <w:p w14:paraId="36CE431A">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5.1.1  </w:t>
      </w:r>
      <w:r>
        <w:rPr>
          <w:rFonts w:hint="eastAsia" w:cs="Times New Roman"/>
          <w:bCs/>
          <w:color w:val="auto"/>
          <w:kern w:val="2"/>
          <w:szCs w:val="24"/>
          <w:highlight w:val="none"/>
          <w:lang w:eastAsia="zh-CN"/>
        </w:rPr>
        <w:t>木结构及其构件的安全等级不应小于三级。当结构构件、部件与结构的安全等级不一致时，应在设计文件中明确标明。</w:t>
      </w:r>
    </w:p>
    <w:p w14:paraId="627D0790">
      <w:pPr>
        <w:pStyle w:val="4"/>
        <w:rPr>
          <w:rFonts w:cs="Times New Roman"/>
          <w:bCs/>
          <w:color w:val="auto"/>
          <w:kern w:val="2"/>
          <w:szCs w:val="24"/>
          <w:highlight w:val="none"/>
          <w:lang w:eastAsia="zh-CN"/>
        </w:rPr>
      </w:pPr>
      <w:r>
        <w:rPr>
          <w:rFonts w:hint="eastAsia" w:cs="Times New Roman"/>
          <w:b/>
          <w:color w:val="auto"/>
          <w:kern w:val="2"/>
          <w:szCs w:val="24"/>
          <w:highlight w:val="none"/>
          <w:lang w:eastAsia="zh-CN"/>
        </w:rPr>
        <w:t xml:space="preserve">5.1.2  </w:t>
      </w:r>
      <w:r>
        <w:rPr>
          <w:rFonts w:hint="eastAsia" w:cs="Times New Roman"/>
          <w:bCs/>
          <w:color w:val="auto"/>
          <w:kern w:val="2"/>
          <w:szCs w:val="24"/>
          <w:highlight w:val="none"/>
          <w:lang w:eastAsia="zh-CN"/>
        </w:rPr>
        <w:t>木结构设计工作年限应符合下列规定：</w:t>
      </w:r>
    </w:p>
    <w:p w14:paraId="19465F80">
      <w:pPr>
        <w:pStyle w:val="4"/>
        <w:ind w:firstLine="360" w:firstLineChars="150"/>
        <w:rPr>
          <w:rFonts w:cs="Times New Roman"/>
          <w:bCs/>
          <w:color w:val="auto"/>
          <w:kern w:val="2"/>
          <w:szCs w:val="24"/>
          <w:highlight w:val="none"/>
          <w:lang w:eastAsia="zh-CN"/>
        </w:rPr>
      </w:pPr>
      <w:r>
        <w:rPr>
          <w:rFonts w:hint="eastAsia" w:cs="Times New Roman"/>
          <w:bCs/>
          <w:color w:val="auto"/>
          <w:kern w:val="2"/>
          <w:szCs w:val="24"/>
          <w:highlight w:val="none"/>
          <w:lang w:eastAsia="zh-CN"/>
        </w:rPr>
        <w:t>1  建（构）筑物结构不应小于50年；</w:t>
      </w:r>
    </w:p>
    <w:p w14:paraId="01D4F763">
      <w:pPr>
        <w:pStyle w:val="4"/>
        <w:ind w:firstLine="360" w:firstLineChars="150"/>
        <w:rPr>
          <w:rFonts w:cs="Times New Roman"/>
          <w:bCs/>
          <w:color w:val="auto"/>
          <w:kern w:val="2"/>
          <w:szCs w:val="24"/>
          <w:highlight w:val="none"/>
          <w:lang w:eastAsia="zh-CN"/>
        </w:rPr>
      </w:pPr>
      <w:r>
        <w:rPr>
          <w:rFonts w:hint="eastAsia" w:cs="Times New Roman"/>
          <w:bCs/>
          <w:color w:val="auto"/>
          <w:kern w:val="2"/>
          <w:szCs w:val="24"/>
          <w:highlight w:val="none"/>
          <w:lang w:eastAsia="zh-CN"/>
        </w:rPr>
        <w:t>2  易于替换的结构构件、部件不应小于25年；</w:t>
      </w:r>
    </w:p>
    <w:p w14:paraId="03E7FC4A">
      <w:pPr>
        <w:pStyle w:val="4"/>
        <w:ind w:firstLine="360" w:firstLineChars="150"/>
        <w:rPr>
          <w:rFonts w:cs="Times New Roman"/>
          <w:bCs/>
          <w:color w:val="auto"/>
          <w:kern w:val="2"/>
          <w:szCs w:val="24"/>
          <w:highlight w:val="none"/>
          <w:lang w:eastAsia="zh-CN"/>
        </w:rPr>
      </w:pPr>
      <w:r>
        <w:rPr>
          <w:rFonts w:hint="eastAsia" w:cs="Times New Roman"/>
          <w:bCs/>
          <w:color w:val="auto"/>
          <w:kern w:val="2"/>
          <w:szCs w:val="24"/>
          <w:highlight w:val="none"/>
          <w:lang w:eastAsia="zh-CN"/>
        </w:rPr>
        <w:t>3  当木结构构件、部件设计工作年限低于结构的设计工作年限时，应在设计文件中明确标明，且应采用易于更换的连接构造。</w:t>
      </w:r>
    </w:p>
    <w:p w14:paraId="315B8F51">
      <w:pPr>
        <w:pStyle w:val="4"/>
        <w:rPr>
          <w:color w:val="auto"/>
          <w:highlight w:val="none"/>
          <w:lang w:eastAsia="zh-CN"/>
        </w:rPr>
      </w:pPr>
      <w:r>
        <w:rPr>
          <w:rFonts w:hint="eastAsia" w:cs="Times New Roman"/>
          <w:b/>
          <w:color w:val="auto"/>
          <w:kern w:val="2"/>
          <w:szCs w:val="24"/>
          <w:highlight w:val="none"/>
          <w:lang w:eastAsia="zh-CN"/>
        </w:rPr>
        <w:t xml:space="preserve">5.1.3  </w:t>
      </w:r>
      <w:r>
        <w:rPr>
          <w:rFonts w:hint="eastAsia"/>
          <w:color w:val="auto"/>
          <w:highlight w:val="none"/>
          <w:lang w:eastAsia="zh-CN"/>
        </w:rPr>
        <w:t>在设计工作年限内，木结构性能应符合下列规定：</w:t>
      </w:r>
    </w:p>
    <w:p w14:paraId="26156AD8">
      <w:pPr>
        <w:pStyle w:val="4"/>
        <w:ind w:firstLine="360" w:firstLineChars="150"/>
        <w:rPr>
          <w:color w:val="auto"/>
          <w:highlight w:val="none"/>
          <w:lang w:eastAsia="zh-CN"/>
        </w:rPr>
      </w:pPr>
      <w:r>
        <w:rPr>
          <w:rFonts w:hint="eastAsia"/>
          <w:color w:val="auto"/>
          <w:highlight w:val="none"/>
          <w:lang w:eastAsia="zh-CN"/>
        </w:rPr>
        <w:t>1  能够承受在正常施工和正常使用过程中可能出现的各种作用；</w:t>
      </w:r>
    </w:p>
    <w:p w14:paraId="4C38343B">
      <w:pPr>
        <w:pStyle w:val="4"/>
        <w:ind w:firstLine="360" w:firstLineChars="150"/>
        <w:rPr>
          <w:color w:val="auto"/>
          <w:highlight w:val="none"/>
          <w:lang w:eastAsia="zh-CN"/>
        </w:rPr>
      </w:pPr>
      <w:r>
        <w:rPr>
          <w:rFonts w:hint="eastAsia"/>
          <w:color w:val="auto"/>
          <w:highlight w:val="none"/>
          <w:lang w:eastAsia="zh-CN"/>
        </w:rPr>
        <w:t>2  能够满足结构和结构构件的预定使用要求；</w:t>
      </w:r>
    </w:p>
    <w:p w14:paraId="5537511B">
      <w:pPr>
        <w:pStyle w:val="4"/>
        <w:ind w:firstLine="360" w:firstLineChars="150"/>
        <w:rPr>
          <w:color w:val="auto"/>
          <w:highlight w:val="none"/>
          <w:lang w:eastAsia="zh-CN"/>
        </w:rPr>
      </w:pPr>
      <w:r>
        <w:rPr>
          <w:rFonts w:hint="eastAsia"/>
          <w:color w:val="auto"/>
          <w:highlight w:val="none"/>
          <w:lang w:eastAsia="zh-CN"/>
        </w:rPr>
        <w:t>3  材料的耐久性应满足抵抗自身和自然环境双重因素长期破坏作用的能力；</w:t>
      </w:r>
    </w:p>
    <w:p w14:paraId="2538B598">
      <w:pPr>
        <w:pStyle w:val="4"/>
        <w:ind w:firstLine="360" w:firstLineChars="150"/>
        <w:rPr>
          <w:color w:val="auto"/>
          <w:highlight w:val="none"/>
          <w:lang w:eastAsia="zh-CN"/>
        </w:rPr>
      </w:pPr>
      <w:r>
        <w:rPr>
          <w:rFonts w:hint="eastAsia"/>
          <w:color w:val="auto"/>
          <w:highlight w:val="none"/>
          <w:lang w:eastAsia="zh-CN"/>
        </w:rPr>
        <w:t>4  当发生火灾时，结构应在规定的时间内保持足够的承载力和整体稳固性；</w:t>
      </w:r>
    </w:p>
    <w:p w14:paraId="211D3AD4">
      <w:pPr>
        <w:pStyle w:val="4"/>
        <w:ind w:firstLine="360" w:firstLineChars="150"/>
        <w:rPr>
          <w:color w:val="auto"/>
          <w:highlight w:val="none"/>
          <w:lang w:eastAsia="zh-CN"/>
        </w:rPr>
      </w:pPr>
      <w:r>
        <w:rPr>
          <w:rFonts w:hint="eastAsia"/>
          <w:color w:val="auto"/>
          <w:highlight w:val="none"/>
          <w:lang w:eastAsia="zh-CN"/>
        </w:rPr>
        <w:t>5  当发生可能遭遇的爆炸、撞击、罕遇地震、人为错误等偶然事件时，结构应保持整体稳固性</w:t>
      </w:r>
      <w:r>
        <w:rPr>
          <w:color w:val="auto"/>
          <w:highlight w:val="none"/>
          <w:lang w:eastAsia="zh-CN"/>
        </w:rPr>
        <w:t>。</w:t>
      </w:r>
    </w:p>
    <w:p w14:paraId="4E5FECF2">
      <w:pPr>
        <w:pStyle w:val="4"/>
        <w:bidi w:val="0"/>
        <w:rPr>
          <w:color w:val="auto"/>
          <w:highlight w:val="none"/>
          <w:lang w:eastAsia="zh-CN"/>
        </w:rPr>
      </w:pPr>
      <w:r>
        <w:rPr>
          <w:rFonts w:hint="eastAsia"/>
          <w:b/>
          <w:bCs/>
          <w:color w:val="auto"/>
          <w:highlight w:val="none"/>
          <w:lang w:eastAsia="zh-CN"/>
        </w:rPr>
        <w:t xml:space="preserve">5.1.4  </w:t>
      </w:r>
      <w:r>
        <w:rPr>
          <w:rFonts w:hint="eastAsia"/>
          <w:color w:val="auto"/>
          <w:highlight w:val="none"/>
          <w:lang w:eastAsia="zh-CN"/>
        </w:rPr>
        <w:t>在设计工作年限内，木结构性能应符合下列规定：</w:t>
      </w:r>
    </w:p>
    <w:p w14:paraId="1414F3F1">
      <w:pPr>
        <w:pStyle w:val="4"/>
        <w:bidi w:val="0"/>
        <w:ind w:firstLine="480" w:firstLineChars="200"/>
        <w:rPr>
          <w:color w:val="auto"/>
          <w:highlight w:val="none"/>
          <w:lang w:eastAsia="zh-CN"/>
        </w:rPr>
      </w:pPr>
      <w:r>
        <w:rPr>
          <w:rFonts w:hint="eastAsia"/>
          <w:color w:val="auto"/>
          <w:highlight w:val="none"/>
          <w:lang w:eastAsia="zh-CN"/>
        </w:rPr>
        <w:t>1  未经技术鉴定或设计许可，不应改变设计规定的功能和使用条件；</w:t>
      </w:r>
    </w:p>
    <w:p w14:paraId="5AD02B5C">
      <w:pPr>
        <w:pStyle w:val="4"/>
        <w:bidi w:val="0"/>
        <w:ind w:firstLine="480" w:firstLineChars="200"/>
        <w:rPr>
          <w:color w:val="auto"/>
          <w:highlight w:val="none"/>
          <w:lang w:eastAsia="zh-CN"/>
        </w:rPr>
      </w:pPr>
      <w:r>
        <w:rPr>
          <w:rFonts w:hint="eastAsia"/>
          <w:color w:val="auto"/>
          <w:highlight w:val="none"/>
          <w:lang w:eastAsia="zh-CN"/>
        </w:rPr>
        <w:t>2  对可能影响主体结构安全性和耐久性的事项，应建立定期检测、维护制度；</w:t>
      </w:r>
    </w:p>
    <w:p w14:paraId="5C5B61DD">
      <w:pPr>
        <w:pStyle w:val="4"/>
        <w:bidi w:val="0"/>
        <w:ind w:firstLine="480" w:firstLineChars="200"/>
        <w:rPr>
          <w:color w:val="auto"/>
          <w:highlight w:val="none"/>
          <w:lang w:eastAsia="zh-CN"/>
        </w:rPr>
      </w:pPr>
      <w:r>
        <w:rPr>
          <w:rFonts w:hint="eastAsia"/>
          <w:color w:val="auto"/>
          <w:highlight w:val="none"/>
          <w:lang w:eastAsia="zh-CN"/>
        </w:rPr>
        <w:t>3  按设计规定必须更换的构件、节点、支座、锚具、部件等应及时进行更换；</w:t>
      </w:r>
    </w:p>
    <w:p w14:paraId="4DF8FBBC">
      <w:pPr>
        <w:pStyle w:val="4"/>
        <w:bidi w:val="0"/>
        <w:ind w:firstLine="480" w:firstLineChars="200"/>
        <w:rPr>
          <w:color w:val="auto"/>
          <w:highlight w:val="none"/>
          <w:lang w:eastAsia="zh-CN"/>
        </w:rPr>
      </w:pPr>
      <w:r>
        <w:rPr>
          <w:rFonts w:hint="eastAsia"/>
          <w:color w:val="auto"/>
          <w:highlight w:val="none"/>
          <w:lang w:eastAsia="zh-CN"/>
        </w:rPr>
        <w:t>4  构件表面的防护层，应按规定进行维护或更换；</w:t>
      </w:r>
    </w:p>
    <w:p w14:paraId="6D324624">
      <w:pPr>
        <w:pStyle w:val="4"/>
        <w:bidi w:val="0"/>
        <w:ind w:firstLine="480" w:firstLineChars="200"/>
        <w:rPr>
          <w:color w:val="auto"/>
          <w:highlight w:val="none"/>
          <w:lang w:eastAsia="zh-CN"/>
        </w:rPr>
      </w:pPr>
      <w:r>
        <w:rPr>
          <w:rFonts w:hint="eastAsia"/>
          <w:color w:val="auto"/>
          <w:highlight w:val="none"/>
          <w:lang w:eastAsia="zh-CN"/>
        </w:rPr>
        <w:t>5  结构及构件、节点及支座等出现可见的变形和耐久性缺陷时，应及时进行修复加固；</w:t>
      </w:r>
    </w:p>
    <w:p w14:paraId="42A2586A">
      <w:pPr>
        <w:pStyle w:val="4"/>
        <w:bidi w:val="0"/>
        <w:ind w:firstLine="480" w:firstLineChars="200"/>
        <w:rPr>
          <w:color w:val="auto"/>
          <w:highlight w:val="none"/>
          <w:lang w:eastAsia="zh-CN"/>
        </w:rPr>
      </w:pPr>
      <w:r>
        <w:rPr>
          <w:rFonts w:hint="eastAsia"/>
          <w:color w:val="auto"/>
          <w:highlight w:val="none"/>
          <w:lang w:eastAsia="zh-CN"/>
        </w:rPr>
        <w:t>6  遇设防地震及以上地震灾害、火灾后，应对整体结构进行鉴定，并应按鉴定意见进行处理后方可继续使用。</w:t>
      </w:r>
    </w:p>
    <w:p w14:paraId="1E7829F5">
      <w:pPr>
        <w:pStyle w:val="4"/>
        <w:bidi w:val="0"/>
        <w:rPr>
          <w:rFonts w:hint="eastAsia"/>
          <w:color w:val="auto"/>
          <w:highlight w:val="none"/>
          <w:lang w:eastAsia="zh-CN"/>
        </w:rPr>
      </w:pPr>
      <w:r>
        <w:rPr>
          <w:rFonts w:hint="eastAsia"/>
          <w:b/>
          <w:bCs/>
          <w:color w:val="auto"/>
          <w:highlight w:val="none"/>
          <w:lang w:eastAsia="zh-CN"/>
        </w:rPr>
        <w:t xml:space="preserve">5.1.5  </w:t>
      </w:r>
      <w:r>
        <w:rPr>
          <w:rFonts w:hint="eastAsia"/>
          <w:color w:val="auto"/>
          <w:highlight w:val="none"/>
          <w:lang w:eastAsia="zh-CN"/>
        </w:rPr>
        <w:t>木结构工程的设计、施工、监理、检测、监督等工作应统一计量标准；木结构施工时，应对各施工工序阶段的结构承载力和稳定性进行验算。</w:t>
      </w:r>
    </w:p>
    <w:p w14:paraId="224BAD99">
      <w:pPr>
        <w:pStyle w:val="3"/>
        <w:spacing w:before="156" w:after="156"/>
        <w:rPr>
          <w:color w:val="auto"/>
          <w:highlight w:val="none"/>
          <w:lang w:eastAsia="zh-CN"/>
        </w:rPr>
      </w:pPr>
      <w:bookmarkStart w:id="78" w:name="_Toc13762"/>
      <w:bookmarkStart w:id="79" w:name="_Toc7350"/>
      <w:bookmarkStart w:id="80" w:name="_Toc5482"/>
      <w:r>
        <w:rPr>
          <w:rFonts w:hint="eastAsia"/>
          <w:color w:val="auto"/>
          <w:highlight w:val="none"/>
          <w:lang w:eastAsia="zh-CN"/>
        </w:rPr>
        <w:t>5.2</w:t>
      </w:r>
      <w:r>
        <w:rPr>
          <w:rFonts w:hint="eastAsia"/>
          <w:color w:val="auto"/>
          <w:highlight w:val="none"/>
          <w:lang w:val="en-US" w:eastAsia="zh-CN"/>
        </w:rPr>
        <w:t xml:space="preserve">  </w:t>
      </w:r>
      <w:r>
        <w:rPr>
          <w:rFonts w:hint="eastAsia"/>
          <w:color w:val="auto"/>
          <w:highlight w:val="none"/>
          <w:lang w:eastAsia="zh-CN"/>
        </w:rPr>
        <w:t>荷载和地震作用</w:t>
      </w:r>
      <w:bookmarkEnd w:id="78"/>
      <w:bookmarkEnd w:id="79"/>
      <w:bookmarkEnd w:id="80"/>
    </w:p>
    <w:p w14:paraId="48CC3C8B">
      <w:pPr>
        <w:pStyle w:val="4"/>
        <w:bidi w:val="0"/>
        <w:rPr>
          <w:color w:val="auto"/>
          <w:highlight w:val="none"/>
          <w:lang w:eastAsia="zh-CN"/>
        </w:rPr>
      </w:pPr>
      <w:r>
        <w:rPr>
          <w:rFonts w:hint="eastAsia"/>
          <w:b/>
          <w:bCs/>
          <w:color w:val="auto"/>
          <w:highlight w:val="none"/>
          <w:lang w:eastAsia="zh-CN"/>
        </w:rPr>
        <w:t xml:space="preserve">5.2.1 </w:t>
      </w:r>
      <w:r>
        <w:rPr>
          <w:rFonts w:hint="eastAsia"/>
          <w:color w:val="auto"/>
          <w:highlight w:val="none"/>
          <w:lang w:eastAsia="zh-CN"/>
        </w:rPr>
        <w:t xml:space="preserve"> 现代木建筑结构体系时应考虑永久荷载、可变荷载、施工荷载、地震作用等荷载和作用，按承载能力极限状态和正常使用极限状态分别进行荷载（效应）组合，并应取各自的最不利的效应组合进行设计。</w:t>
      </w:r>
    </w:p>
    <w:p w14:paraId="11474496">
      <w:pPr>
        <w:pStyle w:val="4"/>
        <w:bidi w:val="0"/>
        <w:rPr>
          <w:color w:val="auto"/>
          <w:highlight w:val="none"/>
          <w:lang w:eastAsia="zh-CN"/>
        </w:rPr>
      </w:pPr>
      <w:r>
        <w:rPr>
          <w:rFonts w:hint="eastAsia"/>
          <w:b/>
          <w:bCs/>
          <w:color w:val="auto"/>
          <w:highlight w:val="none"/>
          <w:lang w:eastAsia="zh-CN"/>
        </w:rPr>
        <w:t xml:space="preserve">5.2.2  </w:t>
      </w:r>
      <w:r>
        <w:rPr>
          <w:rFonts w:hint="eastAsia"/>
          <w:color w:val="auto"/>
          <w:highlight w:val="none"/>
          <w:lang w:eastAsia="zh-CN"/>
        </w:rPr>
        <w:t>现代木结构的楼（屋）面、墙面的恒荷载及活荷载等应按现行国家标准《建筑结构荷载规范》GB 50009的有关规定采用。当有特殊要求时，可按实际使用要求采用活荷载，但不应小于现行国家标准《建筑结构荷载规范》GB 50009的有关规定取值。</w:t>
      </w:r>
    </w:p>
    <w:p w14:paraId="6EF2AB28">
      <w:pPr>
        <w:pStyle w:val="4"/>
        <w:bidi w:val="0"/>
        <w:rPr>
          <w:color w:val="auto"/>
          <w:highlight w:val="none"/>
          <w:lang w:eastAsia="zh-CN"/>
        </w:rPr>
      </w:pPr>
      <w:r>
        <w:rPr>
          <w:rFonts w:hint="eastAsia"/>
          <w:b/>
          <w:bCs/>
          <w:color w:val="auto"/>
          <w:highlight w:val="none"/>
          <w:lang w:eastAsia="zh-CN"/>
        </w:rPr>
        <w:t xml:space="preserve">5.2.3  </w:t>
      </w:r>
      <w:r>
        <w:rPr>
          <w:rFonts w:hint="eastAsia"/>
          <w:color w:val="auto"/>
          <w:highlight w:val="none"/>
          <w:lang w:eastAsia="zh-CN"/>
        </w:rPr>
        <w:t>施工中采用的施工设备，应根据具体情况确定对结构产生的施工荷载。施工荷载的分项系数不应小于1.0。</w:t>
      </w:r>
    </w:p>
    <w:p w14:paraId="5BF5D038">
      <w:pPr>
        <w:pStyle w:val="4"/>
        <w:bidi w:val="0"/>
        <w:rPr>
          <w:color w:val="auto"/>
          <w:highlight w:val="none"/>
          <w:lang w:eastAsia="zh-CN"/>
        </w:rPr>
      </w:pPr>
      <w:r>
        <w:rPr>
          <w:rFonts w:hint="eastAsia"/>
          <w:b/>
          <w:bCs/>
          <w:color w:val="auto"/>
          <w:highlight w:val="none"/>
          <w:lang w:eastAsia="zh-CN"/>
        </w:rPr>
        <w:t xml:space="preserve">5.2.4  </w:t>
      </w:r>
      <w:r>
        <w:rPr>
          <w:rFonts w:hint="eastAsia"/>
          <w:color w:val="auto"/>
          <w:highlight w:val="none"/>
          <w:lang w:eastAsia="zh-CN"/>
        </w:rPr>
        <w:t>计算构件内力时，楼面及屋面活荷载可取为各跨满载，楼面活荷载大于4kN/㎡时宜考虑楼面活荷载的不利布置。</w:t>
      </w:r>
    </w:p>
    <w:p w14:paraId="3947B6F5">
      <w:pPr>
        <w:pStyle w:val="4"/>
        <w:bidi w:val="0"/>
        <w:rPr>
          <w:color w:val="auto"/>
          <w:highlight w:val="none"/>
          <w:lang w:eastAsia="zh-CN"/>
        </w:rPr>
      </w:pPr>
      <w:r>
        <w:rPr>
          <w:rFonts w:hint="eastAsia"/>
          <w:b/>
          <w:bCs/>
          <w:color w:val="auto"/>
          <w:highlight w:val="none"/>
          <w:lang w:eastAsia="zh-CN"/>
        </w:rPr>
        <w:t xml:space="preserve">5.2.5  </w:t>
      </w:r>
      <w:r>
        <w:rPr>
          <w:rFonts w:hint="eastAsia"/>
          <w:color w:val="auto"/>
          <w:highlight w:val="none"/>
          <w:lang w:eastAsia="zh-CN"/>
        </w:rPr>
        <w:t>木结构的楼（屋）顶的雪荷载应按现行国家标准《建筑结构荷载规范》GB 50009的有关规定采用。当有特殊要求时，可按实际使用要求采用荷载，但不应小于现行国家标准《建筑结构荷载规范》GB 50009的有关规定取值。</w:t>
      </w:r>
    </w:p>
    <w:p w14:paraId="668D4703">
      <w:pPr>
        <w:pStyle w:val="4"/>
        <w:bidi w:val="0"/>
        <w:rPr>
          <w:color w:val="auto"/>
          <w:highlight w:val="none"/>
          <w:lang w:eastAsia="zh-CN"/>
        </w:rPr>
      </w:pPr>
      <w:r>
        <w:rPr>
          <w:rFonts w:hint="eastAsia"/>
          <w:b/>
          <w:bCs/>
          <w:color w:val="auto"/>
          <w:highlight w:val="none"/>
          <w:lang w:eastAsia="zh-CN"/>
        </w:rPr>
        <w:t xml:space="preserve">5.2.6  </w:t>
      </w:r>
      <w:r>
        <w:rPr>
          <w:rFonts w:hint="eastAsia"/>
          <w:color w:val="auto"/>
          <w:highlight w:val="none"/>
          <w:lang w:eastAsia="zh-CN"/>
        </w:rPr>
        <w:t>基本风压应按现行国家标准《建筑结构荷载规范》GB 50009的规定采用。对于建筑高度大于20 m的木结构建筑，当采用承载力极限状态进行设计时，基本风压值应乘以1.1倍的增大系数。</w:t>
      </w:r>
    </w:p>
    <w:p w14:paraId="180C14DA">
      <w:pPr>
        <w:pStyle w:val="4"/>
        <w:bidi w:val="0"/>
        <w:rPr>
          <w:color w:val="auto"/>
          <w:highlight w:val="none"/>
          <w:lang w:eastAsia="zh-CN"/>
        </w:rPr>
      </w:pPr>
      <w:r>
        <w:rPr>
          <w:rFonts w:hint="eastAsia"/>
          <w:b/>
          <w:bCs/>
          <w:color w:val="auto"/>
          <w:highlight w:val="none"/>
          <w:lang w:eastAsia="zh-CN"/>
        </w:rPr>
        <w:t xml:space="preserve">5.2.7  </w:t>
      </w:r>
      <w:r>
        <w:rPr>
          <w:rFonts w:hint="eastAsia"/>
          <w:color w:val="auto"/>
          <w:highlight w:val="none"/>
          <w:lang w:eastAsia="zh-CN"/>
        </w:rPr>
        <w:t>风荷载体形系数</w:t>
      </w:r>
      <m:oMath>
        <m:r>
          <m:rPr>
            <m:sty m:val="p"/>
          </m:rPr>
          <w:rPr>
            <w:rFonts w:ascii="Cambria Math" w:hAnsi="Cambria Math"/>
            <w:color w:val="auto"/>
            <w:highlight w:val="none"/>
            <w:lang w:eastAsia="zh-CN"/>
          </w:rPr>
          <m:t>μs</m:t>
        </m:r>
      </m:oMath>
      <w:r>
        <w:rPr>
          <w:rFonts w:hint="eastAsia"/>
          <w:color w:val="auto"/>
          <w:highlight w:val="none"/>
          <w:lang w:eastAsia="zh-CN"/>
        </w:rPr>
        <w:t>应按现行国家标准《建筑结构荷载规范》GB50009的规定取值。</w:t>
      </w:r>
    </w:p>
    <w:p w14:paraId="7B99DB7C">
      <w:pPr>
        <w:pStyle w:val="4"/>
        <w:bidi w:val="0"/>
        <w:rPr>
          <w:color w:val="auto"/>
          <w:highlight w:val="none"/>
          <w:lang w:eastAsia="zh-CN"/>
        </w:rPr>
      </w:pPr>
      <w:r>
        <w:rPr>
          <w:rFonts w:hint="eastAsia"/>
          <w:b/>
          <w:bCs/>
          <w:color w:val="auto"/>
          <w:highlight w:val="none"/>
          <w:lang w:eastAsia="zh-CN"/>
        </w:rPr>
        <w:t xml:space="preserve">5.2.8  </w:t>
      </w:r>
      <w:r>
        <w:rPr>
          <w:rFonts w:hint="eastAsia"/>
          <w:color w:val="auto"/>
          <w:highlight w:val="none"/>
          <w:lang w:eastAsia="zh-CN"/>
        </w:rPr>
        <w:t>木结构构件进行抗风设计，风荷载作用面积应取垂直于风向的最大投影面积。</w:t>
      </w:r>
    </w:p>
    <w:p w14:paraId="332DF1F4">
      <w:pPr>
        <w:pStyle w:val="4"/>
        <w:bidi w:val="0"/>
        <w:rPr>
          <w:color w:val="auto"/>
          <w:highlight w:val="none"/>
          <w:lang w:eastAsia="zh-CN"/>
        </w:rPr>
      </w:pPr>
      <w:r>
        <w:rPr>
          <w:rFonts w:hint="eastAsia"/>
          <w:b/>
          <w:bCs/>
          <w:color w:val="auto"/>
          <w:highlight w:val="none"/>
        </w:rPr>
        <w:t>5.</w:t>
      </w:r>
      <w:r>
        <w:rPr>
          <w:rFonts w:hint="eastAsia"/>
          <w:b/>
          <w:bCs/>
          <w:color w:val="auto"/>
          <w:highlight w:val="none"/>
          <w:lang w:eastAsia="zh-CN"/>
        </w:rPr>
        <w:t>2</w:t>
      </w:r>
      <w:r>
        <w:rPr>
          <w:rFonts w:hint="eastAsia"/>
          <w:b/>
          <w:bCs/>
          <w:color w:val="auto"/>
          <w:highlight w:val="none"/>
        </w:rPr>
        <w:t>.</w:t>
      </w:r>
      <w:r>
        <w:rPr>
          <w:rFonts w:hint="eastAsia"/>
          <w:b/>
          <w:bCs/>
          <w:color w:val="auto"/>
          <w:highlight w:val="none"/>
          <w:lang w:eastAsia="zh-CN"/>
        </w:rPr>
        <w:t>9</w:t>
      </w:r>
      <w:r>
        <w:rPr>
          <w:rFonts w:hint="eastAsia"/>
          <w:b/>
          <w:bCs/>
          <w:color w:val="auto"/>
          <w:highlight w:val="none"/>
        </w:rPr>
        <w:t xml:space="preserve">  </w:t>
      </w:r>
      <w:r>
        <w:rPr>
          <w:rFonts w:hint="eastAsia"/>
          <w:color w:val="auto"/>
          <w:highlight w:val="none"/>
        </w:rPr>
        <w:t>木结构建筑的抗震设防分类和设防标准应符合国家现行标准《建筑工程抗震设防分类标准》GB 50223的</w:t>
      </w:r>
      <w:r>
        <w:rPr>
          <w:rFonts w:hint="eastAsia"/>
          <w:color w:val="auto"/>
          <w:highlight w:val="none"/>
          <w:lang w:eastAsia="zh-CN"/>
        </w:rPr>
        <w:t>有关</w:t>
      </w:r>
      <w:r>
        <w:rPr>
          <w:rFonts w:hint="eastAsia"/>
          <w:color w:val="auto"/>
          <w:highlight w:val="none"/>
        </w:rPr>
        <w:t>规定。</w:t>
      </w:r>
    </w:p>
    <w:p w14:paraId="04F101E5">
      <w:pPr>
        <w:pStyle w:val="4"/>
        <w:bidi w:val="0"/>
        <w:rPr>
          <w:color w:val="auto"/>
          <w:highlight w:val="none"/>
        </w:rPr>
      </w:pPr>
      <w:r>
        <w:rPr>
          <w:rFonts w:hint="eastAsia"/>
          <w:b/>
          <w:bCs/>
          <w:color w:val="auto"/>
          <w:highlight w:val="none"/>
        </w:rPr>
        <w:t>5.</w:t>
      </w:r>
      <w:r>
        <w:rPr>
          <w:rFonts w:hint="eastAsia"/>
          <w:b/>
          <w:bCs/>
          <w:color w:val="auto"/>
          <w:highlight w:val="none"/>
          <w:lang w:eastAsia="zh-CN"/>
        </w:rPr>
        <w:t>2</w:t>
      </w:r>
      <w:r>
        <w:rPr>
          <w:rFonts w:hint="eastAsia"/>
          <w:b/>
          <w:bCs/>
          <w:color w:val="auto"/>
          <w:highlight w:val="none"/>
        </w:rPr>
        <w:t>.</w:t>
      </w:r>
      <w:r>
        <w:rPr>
          <w:rFonts w:hint="eastAsia"/>
          <w:b/>
          <w:bCs/>
          <w:color w:val="auto"/>
          <w:highlight w:val="none"/>
          <w:lang w:eastAsia="zh-CN"/>
        </w:rPr>
        <w:t>10</w:t>
      </w:r>
      <w:r>
        <w:rPr>
          <w:rFonts w:hint="eastAsia"/>
          <w:b/>
          <w:bCs/>
          <w:color w:val="auto"/>
          <w:highlight w:val="none"/>
        </w:rPr>
        <w:t xml:space="preserve">  </w:t>
      </w:r>
      <w:r>
        <w:rPr>
          <w:rFonts w:hint="eastAsia"/>
          <w:color w:val="auto"/>
          <w:highlight w:val="none"/>
        </w:rPr>
        <w:t>木结构建筑的地震影响系数应根据烈度、场地类别、设计地震分组和结构自振周期以及阻尼比按现行国家标准《建筑抗震设计规范》GB 50011 的相关规定确定。</w:t>
      </w:r>
    </w:p>
    <w:p w14:paraId="3BC3112C">
      <w:pPr>
        <w:pStyle w:val="4"/>
        <w:bidi w:val="0"/>
        <w:rPr>
          <w:color w:val="auto"/>
          <w:highlight w:val="none"/>
        </w:rPr>
      </w:pPr>
      <w:r>
        <w:rPr>
          <w:rFonts w:hint="eastAsia"/>
          <w:b/>
          <w:bCs/>
          <w:color w:val="auto"/>
          <w:highlight w:val="none"/>
        </w:rPr>
        <w:t>5.</w:t>
      </w:r>
      <w:r>
        <w:rPr>
          <w:rFonts w:hint="eastAsia"/>
          <w:b/>
          <w:bCs/>
          <w:color w:val="auto"/>
          <w:highlight w:val="none"/>
          <w:lang w:eastAsia="zh-CN"/>
        </w:rPr>
        <w:t>2</w:t>
      </w:r>
      <w:r>
        <w:rPr>
          <w:rFonts w:hint="eastAsia"/>
          <w:b/>
          <w:bCs/>
          <w:color w:val="auto"/>
          <w:highlight w:val="none"/>
        </w:rPr>
        <w:t>.</w:t>
      </w:r>
      <w:r>
        <w:rPr>
          <w:rFonts w:hint="eastAsia"/>
          <w:b/>
          <w:bCs/>
          <w:color w:val="auto"/>
          <w:highlight w:val="none"/>
          <w:lang w:eastAsia="zh-CN"/>
        </w:rPr>
        <w:t>11</w:t>
      </w:r>
      <w:r>
        <w:rPr>
          <w:rFonts w:hint="eastAsia"/>
          <w:b/>
          <w:bCs/>
          <w:color w:val="auto"/>
          <w:highlight w:val="none"/>
        </w:rPr>
        <w:t xml:space="preserve">  </w:t>
      </w:r>
      <w:r>
        <w:rPr>
          <w:rFonts w:hint="eastAsia"/>
          <w:color w:val="auto"/>
          <w:highlight w:val="none"/>
        </w:rPr>
        <w:t>地震作用计算应符合下列规定：</w:t>
      </w:r>
    </w:p>
    <w:p w14:paraId="011F607F">
      <w:pPr>
        <w:pStyle w:val="4"/>
        <w:bidi w:val="0"/>
        <w:ind w:firstLine="480" w:firstLineChars="200"/>
        <w:rPr>
          <w:color w:val="auto"/>
          <w:highlight w:val="none"/>
        </w:rPr>
      </w:pPr>
      <w:r>
        <w:rPr>
          <w:rFonts w:hint="eastAsia"/>
          <w:color w:val="auto"/>
          <w:highlight w:val="none"/>
        </w:rPr>
        <w:t>1  应在结构两个主轴方向分别计算水平地震作用；各方向的水平地震作用应由该方向抗侧力构件承担；对于有斜交抗侧力构件的结构，当相交角度大于15°时，应分别计算各抗侧力构件方向的水平地震作用；</w:t>
      </w:r>
    </w:p>
    <w:p w14:paraId="1AB3CC2F">
      <w:pPr>
        <w:pStyle w:val="4"/>
        <w:bidi w:val="0"/>
        <w:ind w:firstLine="480" w:firstLineChars="200"/>
        <w:rPr>
          <w:color w:val="auto"/>
          <w:highlight w:val="none"/>
        </w:rPr>
      </w:pPr>
      <w:r>
        <w:rPr>
          <w:rFonts w:hint="eastAsia"/>
          <w:color w:val="auto"/>
          <w:highlight w:val="none"/>
        </w:rPr>
        <w:t>2  质量与刚度分布明显不对称、不均匀的结构，应计算双向水平地震作用下的扭转影响；其他情况，应计算单向水平地震作用下的扭转影响；</w:t>
      </w:r>
    </w:p>
    <w:p w14:paraId="69564699">
      <w:pPr>
        <w:pStyle w:val="4"/>
        <w:bidi w:val="0"/>
        <w:ind w:firstLine="480" w:firstLineChars="200"/>
        <w:rPr>
          <w:color w:val="auto"/>
          <w:highlight w:val="none"/>
        </w:rPr>
      </w:pPr>
      <w:r>
        <w:rPr>
          <w:rFonts w:hint="eastAsia"/>
          <w:color w:val="auto"/>
          <w:highlight w:val="none"/>
        </w:rPr>
        <w:t>3  当抗震设防烈度不低于7度（0.15g）时，大跨度、长悬臂结构应考虑竖向地震作用。</w:t>
      </w:r>
    </w:p>
    <w:p w14:paraId="4E03983F">
      <w:pPr>
        <w:pStyle w:val="4"/>
        <w:bidi w:val="0"/>
        <w:rPr>
          <w:color w:val="auto"/>
          <w:highlight w:val="none"/>
        </w:rPr>
      </w:pPr>
      <w:r>
        <w:rPr>
          <w:rFonts w:hint="eastAsia"/>
          <w:b/>
          <w:bCs/>
          <w:color w:val="auto"/>
          <w:highlight w:val="none"/>
        </w:rPr>
        <w:t>5.</w:t>
      </w:r>
      <w:r>
        <w:rPr>
          <w:rFonts w:hint="eastAsia"/>
          <w:b/>
          <w:bCs/>
          <w:color w:val="auto"/>
          <w:highlight w:val="none"/>
          <w:lang w:eastAsia="zh-CN"/>
        </w:rPr>
        <w:t>2</w:t>
      </w:r>
      <w:r>
        <w:rPr>
          <w:rFonts w:hint="eastAsia"/>
          <w:b/>
          <w:bCs/>
          <w:color w:val="auto"/>
          <w:highlight w:val="none"/>
        </w:rPr>
        <w:t>.</w:t>
      </w:r>
      <w:r>
        <w:rPr>
          <w:rFonts w:hint="eastAsia"/>
          <w:b/>
          <w:bCs/>
          <w:color w:val="auto"/>
          <w:highlight w:val="none"/>
          <w:lang w:eastAsia="zh-CN"/>
        </w:rPr>
        <w:t>12</w:t>
      </w:r>
      <w:r>
        <w:rPr>
          <w:rFonts w:hint="eastAsia"/>
          <w:b/>
          <w:bCs/>
          <w:color w:val="auto"/>
          <w:highlight w:val="none"/>
        </w:rPr>
        <w:t xml:space="preserve">  </w:t>
      </w:r>
      <w:r>
        <w:rPr>
          <w:rFonts w:hint="eastAsia"/>
          <w:color w:val="auto"/>
          <w:highlight w:val="none"/>
        </w:rPr>
        <w:t>木结构建筑应根据不同情况采用下列地震作用计算方法：</w:t>
      </w:r>
    </w:p>
    <w:p w14:paraId="3B8E7838">
      <w:pPr>
        <w:pStyle w:val="4"/>
        <w:bidi w:val="0"/>
        <w:ind w:firstLine="480" w:firstLineChars="200"/>
        <w:rPr>
          <w:color w:val="auto"/>
          <w:highlight w:val="none"/>
        </w:rPr>
      </w:pPr>
      <w:r>
        <w:rPr>
          <w:rFonts w:hint="eastAsia"/>
          <w:color w:val="auto"/>
          <w:highlight w:val="none"/>
        </w:rPr>
        <w:t>1  木结构建筑宜采用振型分解反应谱法；对质量和刚度不对称、不均匀的木结构建筑应采用考虑扭转耦联振动影响的振型分解反应谱法。</w:t>
      </w:r>
    </w:p>
    <w:p w14:paraId="3E0C2379">
      <w:pPr>
        <w:pStyle w:val="4"/>
        <w:bidi w:val="0"/>
        <w:ind w:firstLine="480" w:firstLineChars="200"/>
        <w:rPr>
          <w:color w:val="auto"/>
          <w:highlight w:val="none"/>
        </w:rPr>
      </w:pPr>
      <w:r>
        <w:rPr>
          <w:rFonts w:hint="eastAsia"/>
          <w:color w:val="auto"/>
          <w:highlight w:val="none"/>
        </w:rPr>
        <w:t>2  高度不超过20 m、以剪切变形为主且质量和刚度沿高度分布比较均匀的木结构建筑，可采用底部剪力法。</w:t>
      </w:r>
    </w:p>
    <w:p w14:paraId="792B15CE">
      <w:pPr>
        <w:pStyle w:val="4"/>
        <w:bidi w:val="0"/>
        <w:rPr>
          <w:color w:val="auto"/>
          <w:highlight w:val="none"/>
          <w:lang w:eastAsia="zh-CN"/>
        </w:rPr>
      </w:pPr>
      <w:r>
        <w:rPr>
          <w:rFonts w:hint="eastAsia"/>
          <w:b/>
          <w:bCs/>
          <w:color w:val="auto"/>
          <w:highlight w:val="none"/>
          <w:lang w:eastAsia="zh-CN"/>
        </w:rPr>
        <w:t xml:space="preserve">5.2.13  </w:t>
      </w:r>
      <w:r>
        <w:rPr>
          <w:rFonts w:hint="eastAsia"/>
          <w:color w:val="auto"/>
          <w:highlight w:val="none"/>
          <w:lang w:eastAsia="zh-CN"/>
        </w:rPr>
        <w:t>抗震设计时，当木框架支撑结构和木框架剪力墙结构中各层框架总剪力小于底部总剪力的20%时，各层框架所承担的地震剪力的取值不应小于下列规定中的较小值：</w:t>
      </w:r>
    </w:p>
    <w:p w14:paraId="3E36493B">
      <w:pPr>
        <w:pStyle w:val="4"/>
        <w:bidi w:val="0"/>
        <w:ind w:firstLine="480" w:firstLineChars="200"/>
        <w:rPr>
          <w:color w:val="auto"/>
          <w:highlight w:val="none"/>
          <w:lang w:eastAsia="zh-CN"/>
        </w:rPr>
      </w:pPr>
      <w:r>
        <w:rPr>
          <w:rFonts w:hint="eastAsia"/>
          <w:color w:val="auto"/>
          <w:highlight w:val="none"/>
          <w:lang w:eastAsia="zh-CN"/>
        </w:rPr>
        <w:t>1  结构底部总剪力的25%；</w:t>
      </w:r>
    </w:p>
    <w:p w14:paraId="2B59B0A8">
      <w:pPr>
        <w:pStyle w:val="4"/>
        <w:bidi w:val="0"/>
        <w:ind w:firstLine="480" w:firstLineChars="200"/>
        <w:rPr>
          <w:color w:val="auto"/>
          <w:highlight w:val="none"/>
          <w:lang w:eastAsia="zh-CN"/>
        </w:rPr>
      </w:pPr>
      <w:r>
        <w:rPr>
          <w:rFonts w:hint="eastAsia"/>
          <w:color w:val="auto"/>
          <w:highlight w:val="none"/>
          <w:lang w:eastAsia="zh-CN"/>
        </w:rPr>
        <w:t>2  框架部分各楼层地震剪力最大值的1.8倍。</w:t>
      </w:r>
    </w:p>
    <w:p w14:paraId="6536EBE5">
      <w:pPr>
        <w:pStyle w:val="4"/>
        <w:bidi w:val="0"/>
        <w:rPr>
          <w:rFonts w:hint="eastAsia"/>
          <w:color w:val="auto"/>
          <w:highlight w:val="none"/>
          <w:lang w:eastAsia="zh-CN"/>
        </w:rPr>
      </w:pPr>
      <w:r>
        <w:rPr>
          <w:rFonts w:hint="eastAsia"/>
          <w:b/>
          <w:bCs/>
          <w:color w:val="auto"/>
          <w:highlight w:val="none"/>
          <w:lang w:eastAsia="zh-CN"/>
        </w:rPr>
        <w:t xml:space="preserve">5.2.14  </w:t>
      </w:r>
      <w:r>
        <w:rPr>
          <w:rFonts w:hint="eastAsia"/>
          <w:color w:val="auto"/>
          <w:highlight w:val="none"/>
          <w:lang w:eastAsia="zh-CN"/>
        </w:rPr>
        <w:t>当上部为木结构、下部为其他结构的木混合结构连接处进行强度、局部承压和抗拉拔作用的抗震计算时，应将地震作用引起的侧向力和倾覆力矩乘以不小于1.2的放大系数。</w:t>
      </w:r>
    </w:p>
    <w:p w14:paraId="769ECF28">
      <w:pPr>
        <w:rPr>
          <w:rFonts w:hint="eastAsia"/>
          <w:color w:val="auto"/>
          <w:highlight w:val="none"/>
          <w:lang w:eastAsia="zh-CN"/>
        </w:rPr>
      </w:pPr>
    </w:p>
    <w:p w14:paraId="132AED40">
      <w:pPr>
        <w:pStyle w:val="3"/>
        <w:spacing w:before="156" w:after="156"/>
        <w:rPr>
          <w:color w:val="auto"/>
          <w:highlight w:val="none"/>
          <w:lang w:eastAsia="zh-CN"/>
        </w:rPr>
      </w:pPr>
      <w:bookmarkStart w:id="81" w:name="_Toc27153"/>
      <w:bookmarkStart w:id="82" w:name="_Toc10812"/>
      <w:bookmarkStart w:id="83" w:name="_Toc4493"/>
      <w:r>
        <w:rPr>
          <w:rFonts w:hint="eastAsia"/>
          <w:color w:val="auto"/>
          <w:highlight w:val="none"/>
          <w:lang w:eastAsia="zh-CN"/>
        </w:rPr>
        <w:t>5.3  结构体系</w:t>
      </w:r>
      <w:bookmarkEnd w:id="81"/>
      <w:bookmarkEnd w:id="82"/>
      <w:bookmarkEnd w:id="83"/>
    </w:p>
    <w:p w14:paraId="33D6B9D4">
      <w:pPr>
        <w:pStyle w:val="4"/>
        <w:bidi w:val="0"/>
        <w:rPr>
          <w:color w:val="auto"/>
          <w:highlight w:val="none"/>
        </w:rPr>
      </w:pPr>
      <w:r>
        <w:rPr>
          <w:rFonts w:hint="eastAsia"/>
          <w:b/>
          <w:bCs/>
          <w:color w:val="auto"/>
          <w:highlight w:val="none"/>
        </w:rPr>
        <w:t>5.</w:t>
      </w:r>
      <w:r>
        <w:rPr>
          <w:rFonts w:hint="eastAsia"/>
          <w:b/>
          <w:bCs/>
          <w:color w:val="auto"/>
          <w:highlight w:val="none"/>
          <w:lang w:eastAsia="zh-CN"/>
        </w:rPr>
        <w:t>3</w:t>
      </w:r>
      <w:r>
        <w:rPr>
          <w:rFonts w:hint="eastAsia"/>
          <w:b/>
          <w:bCs/>
          <w:color w:val="auto"/>
          <w:highlight w:val="none"/>
        </w:rPr>
        <w:t>.</w:t>
      </w:r>
      <w:r>
        <w:rPr>
          <w:rFonts w:hint="eastAsia"/>
          <w:b/>
          <w:bCs/>
          <w:color w:val="auto"/>
          <w:highlight w:val="none"/>
          <w:lang w:eastAsia="zh-CN"/>
        </w:rPr>
        <w:t>1</w:t>
      </w:r>
      <w:r>
        <w:rPr>
          <w:rFonts w:hint="eastAsia"/>
          <w:b/>
          <w:bCs/>
          <w:color w:val="auto"/>
          <w:highlight w:val="none"/>
        </w:rPr>
        <w:t xml:space="preserve">  </w:t>
      </w:r>
      <w:r>
        <w:rPr>
          <w:rFonts w:hint="eastAsia"/>
          <w:color w:val="auto"/>
          <w:highlight w:val="none"/>
        </w:rPr>
        <w:t>纯木结构建筑的结构体系按照所用承重材料划分可分为方木原木结构、胶合木结构等。</w:t>
      </w:r>
    </w:p>
    <w:p w14:paraId="59FBCA21">
      <w:pPr>
        <w:pStyle w:val="50"/>
        <w:bidi w:val="0"/>
        <w:rPr>
          <w:rFonts w:hint="eastAsia"/>
          <w:color w:val="auto"/>
          <w:highlight w:val="none"/>
        </w:rPr>
      </w:pPr>
      <w:r>
        <w:rPr>
          <w:rFonts w:hint="eastAsia"/>
          <w:color w:val="auto"/>
          <w:highlight w:val="none"/>
        </w:rPr>
        <w:t>【条文说明】木结构常用承重材料有原木、方木、板材、规格材、层板胶合木、结构复合木材和木基结构板，本规程主要根据是否采用改良木材作为结构材进行划分。在改良木材建造的结构中，胶合木结构使用范围较广泛，可以通过当前的工业技术，改良天然木材的材性，相比对树种要求较高的方木原木结构，胶合木可以充分利用小径木及木材余料，制成工程木产品，用于尺寸更大，外观更多种类的结构构件。在广西当地，还可以发挥速生树种较多的优势，制成重组木，用于结构构件。另外，考虑到轻型木结构作为一种可以综合运用多种结构材，且应用较为广泛的结构形式，本规程仍将结构设计部分章节划分为方木原木结构、胶合木结构、轻型木结构三个章节方便</w:t>
      </w:r>
      <w:r>
        <w:rPr>
          <w:rFonts w:hint="eastAsia"/>
          <w:color w:val="auto"/>
          <w:highlight w:val="none"/>
          <w:lang w:eastAsia="zh-CN"/>
        </w:rPr>
        <w:t>设计</w:t>
      </w:r>
      <w:r>
        <w:rPr>
          <w:rFonts w:hint="eastAsia"/>
          <w:color w:val="auto"/>
          <w:highlight w:val="none"/>
        </w:rPr>
        <w:t>使用。</w:t>
      </w:r>
    </w:p>
    <w:p w14:paraId="135DD0AE">
      <w:pPr>
        <w:rPr>
          <w:color w:val="auto"/>
          <w:highlight w:val="none"/>
        </w:rPr>
      </w:pPr>
    </w:p>
    <w:p w14:paraId="687EBCF2">
      <w:pPr>
        <w:pStyle w:val="4"/>
        <w:bidi w:val="0"/>
        <w:rPr>
          <w:color w:val="auto"/>
          <w:highlight w:val="none"/>
        </w:rPr>
      </w:pPr>
      <w:r>
        <w:rPr>
          <w:rFonts w:hint="eastAsia"/>
          <w:b/>
          <w:bCs/>
          <w:color w:val="auto"/>
          <w:highlight w:val="none"/>
        </w:rPr>
        <w:t>5.</w:t>
      </w:r>
      <w:r>
        <w:rPr>
          <w:rFonts w:hint="eastAsia"/>
          <w:b/>
          <w:bCs/>
          <w:color w:val="auto"/>
          <w:highlight w:val="none"/>
          <w:lang w:eastAsia="zh-CN"/>
        </w:rPr>
        <w:t>3</w:t>
      </w:r>
      <w:r>
        <w:rPr>
          <w:rFonts w:hint="eastAsia"/>
          <w:b/>
          <w:bCs/>
          <w:color w:val="auto"/>
          <w:highlight w:val="none"/>
        </w:rPr>
        <w:t>.</w:t>
      </w:r>
      <w:r>
        <w:rPr>
          <w:rFonts w:hint="eastAsia"/>
          <w:b/>
          <w:bCs/>
          <w:color w:val="auto"/>
          <w:highlight w:val="none"/>
          <w:lang w:eastAsia="zh-CN"/>
        </w:rPr>
        <w:t>2</w:t>
      </w:r>
      <w:r>
        <w:rPr>
          <w:rFonts w:hint="eastAsia"/>
          <w:b/>
          <w:bCs/>
          <w:color w:val="auto"/>
          <w:highlight w:val="none"/>
        </w:rPr>
        <w:t xml:space="preserve">  </w:t>
      </w:r>
      <w:r>
        <w:rPr>
          <w:rFonts w:hint="eastAsia"/>
          <w:color w:val="auto"/>
          <w:highlight w:val="none"/>
        </w:rPr>
        <w:t>纯木结构建筑根据受力形式划分结构类型，可划分为轻型木结构、木框架支撑结构、木框架剪力墙结构、正胶合木剪力墙结构。</w:t>
      </w:r>
    </w:p>
    <w:p w14:paraId="1DDEA36E">
      <w:pPr>
        <w:pStyle w:val="50"/>
        <w:bidi w:val="0"/>
        <w:rPr>
          <w:rFonts w:hint="eastAsia"/>
          <w:color w:val="auto"/>
          <w:highlight w:val="none"/>
        </w:rPr>
      </w:pPr>
      <w:r>
        <w:rPr>
          <w:rFonts w:hint="eastAsia"/>
          <w:color w:val="auto"/>
          <w:highlight w:val="none"/>
        </w:rPr>
        <w:t>【条文说明】本条文参考《多高层木结构建筑技术标准》GBT51226的表述，根据木结构的受力形式划分结构体系。</w:t>
      </w:r>
    </w:p>
    <w:p w14:paraId="47D66770">
      <w:pPr>
        <w:rPr>
          <w:rFonts w:hint="eastAsia"/>
          <w:color w:val="auto"/>
          <w:highlight w:val="none"/>
        </w:rPr>
      </w:pPr>
    </w:p>
    <w:p w14:paraId="19AD1D73">
      <w:pPr>
        <w:pStyle w:val="4"/>
        <w:bidi w:val="0"/>
        <w:rPr>
          <w:color w:val="auto"/>
          <w:highlight w:val="none"/>
          <w:lang w:eastAsia="zh-CN"/>
        </w:rPr>
      </w:pPr>
      <w:r>
        <w:rPr>
          <w:rFonts w:hint="eastAsia"/>
          <w:b/>
          <w:bCs/>
          <w:color w:val="auto"/>
          <w:highlight w:val="none"/>
        </w:rPr>
        <w:t>5.</w:t>
      </w:r>
      <w:r>
        <w:rPr>
          <w:rFonts w:hint="eastAsia"/>
          <w:b/>
          <w:bCs/>
          <w:color w:val="auto"/>
          <w:highlight w:val="none"/>
          <w:lang w:eastAsia="zh-CN"/>
        </w:rPr>
        <w:t>3</w:t>
      </w:r>
      <w:r>
        <w:rPr>
          <w:rFonts w:hint="eastAsia"/>
          <w:b/>
          <w:bCs/>
          <w:color w:val="auto"/>
          <w:highlight w:val="none"/>
        </w:rPr>
        <w:t>.</w:t>
      </w:r>
      <w:r>
        <w:rPr>
          <w:rFonts w:hint="eastAsia"/>
          <w:b/>
          <w:bCs/>
          <w:color w:val="auto"/>
          <w:highlight w:val="none"/>
          <w:lang w:eastAsia="zh-CN"/>
        </w:rPr>
        <w:t>3</w:t>
      </w:r>
      <w:r>
        <w:rPr>
          <w:rFonts w:hint="eastAsia"/>
          <w:b/>
          <w:bCs/>
          <w:color w:val="auto"/>
          <w:highlight w:val="none"/>
        </w:rPr>
        <w:t xml:space="preserve">  </w:t>
      </w:r>
      <w:r>
        <w:rPr>
          <w:rFonts w:hint="eastAsia"/>
          <w:color w:val="auto"/>
          <w:highlight w:val="none"/>
        </w:rPr>
        <w:t>木结构建筑结构体系的选用，在满足建筑及工艺需求前提下，应综合考虑结构合理性、环境条件、节约投资和资源、材料供应、制作安装便利性等因素</w:t>
      </w:r>
      <w:r>
        <w:rPr>
          <w:rFonts w:hint="eastAsia"/>
          <w:color w:val="auto"/>
          <w:highlight w:val="none"/>
          <w:lang w:eastAsia="zh-CN"/>
        </w:rPr>
        <w:t>。</w:t>
      </w:r>
    </w:p>
    <w:p w14:paraId="1AD53951">
      <w:pPr>
        <w:pStyle w:val="50"/>
        <w:bidi w:val="0"/>
        <w:rPr>
          <w:color w:val="auto"/>
          <w:highlight w:val="none"/>
          <w:lang w:eastAsia="zh-CN"/>
        </w:rPr>
      </w:pPr>
      <w:r>
        <w:rPr>
          <w:rFonts w:hint="eastAsia"/>
          <w:color w:val="auto"/>
          <w:highlight w:val="none"/>
          <w:lang w:eastAsia="zh-CN"/>
        </w:rPr>
        <w:t>【条文说明】5.3.3  本条为选择木结构体系时需要遵循的基本原则。</w:t>
      </w:r>
    </w:p>
    <w:p w14:paraId="0BCBDF65">
      <w:pPr>
        <w:pStyle w:val="50"/>
        <w:bidi w:val="0"/>
        <w:rPr>
          <w:color w:val="auto"/>
          <w:highlight w:val="none"/>
          <w:lang w:eastAsia="zh-CN"/>
        </w:rPr>
      </w:pPr>
      <w:r>
        <w:rPr>
          <w:rFonts w:hint="eastAsia"/>
          <w:color w:val="auto"/>
          <w:highlight w:val="none"/>
          <w:lang w:eastAsia="zh-CN"/>
        </w:rPr>
        <w:t xml:space="preserve">    1  结构体系的选择不只是单一的结构合理性问题，同时受到建筑及工艺要求、经济性、结构材料和施工条件的制约，是一个综合的技术经济问题，应全面考虑确定；</w:t>
      </w:r>
    </w:p>
    <w:p w14:paraId="3F8A8695">
      <w:pPr>
        <w:pStyle w:val="50"/>
        <w:bidi w:val="0"/>
        <w:rPr>
          <w:rFonts w:hint="eastAsia"/>
          <w:color w:val="auto"/>
          <w:highlight w:val="none"/>
          <w:lang w:eastAsia="zh-CN"/>
        </w:rPr>
      </w:pPr>
      <w:r>
        <w:rPr>
          <w:rFonts w:hint="eastAsia"/>
          <w:color w:val="auto"/>
          <w:highlight w:val="none"/>
          <w:lang w:eastAsia="zh-CN"/>
        </w:rPr>
        <w:t>2  成熟结构体系是在长期工程实践基础上形成的，有利于保证设计质量。现代木结构工程材料具有诸多优越性，结构设计提供了更多的自由度，但仍必须进行更为深入的分析，必要时需结合试验研究加以验证。</w:t>
      </w:r>
    </w:p>
    <w:p w14:paraId="0DC07F94">
      <w:pPr>
        <w:rPr>
          <w:color w:val="auto"/>
          <w:highlight w:val="none"/>
          <w:lang w:eastAsia="zh-CN"/>
        </w:rPr>
      </w:pPr>
    </w:p>
    <w:p w14:paraId="27F1C028">
      <w:pPr>
        <w:pStyle w:val="4"/>
        <w:rPr>
          <w:color w:val="auto"/>
          <w:szCs w:val="21"/>
          <w:highlight w:val="none"/>
          <w:lang w:eastAsia="zh-CN"/>
        </w:rPr>
      </w:pPr>
      <w:r>
        <w:rPr>
          <w:rFonts w:hint="eastAsia"/>
          <w:b/>
          <w:bCs/>
          <w:color w:val="auto"/>
          <w:szCs w:val="21"/>
          <w:highlight w:val="none"/>
          <w:lang w:eastAsia="zh-CN"/>
        </w:rPr>
        <w:t>5.3.4</w:t>
      </w:r>
      <w:r>
        <w:rPr>
          <w:rFonts w:hint="eastAsia"/>
          <w:color w:val="auto"/>
          <w:szCs w:val="21"/>
          <w:highlight w:val="none"/>
          <w:lang w:eastAsia="zh-CN"/>
        </w:rPr>
        <w:t xml:space="preserve">  木结构建筑的结构体系可采用纯木结构体系和木混合结构体系，并应符合下列规定：</w:t>
      </w:r>
    </w:p>
    <w:p w14:paraId="724F64BA">
      <w:pPr>
        <w:pStyle w:val="4"/>
        <w:ind w:firstLine="361" w:firstLineChars="150"/>
        <w:rPr>
          <w:color w:val="auto"/>
          <w:szCs w:val="21"/>
          <w:highlight w:val="none"/>
          <w:lang w:eastAsia="zh-CN"/>
        </w:rPr>
      </w:pPr>
      <w:r>
        <w:rPr>
          <w:b/>
          <w:bCs/>
          <w:color w:val="auto"/>
          <w:szCs w:val="21"/>
          <w:highlight w:val="none"/>
          <w:lang w:eastAsia="zh-CN"/>
        </w:rPr>
        <w:t>1</w:t>
      </w:r>
      <w:r>
        <w:rPr>
          <w:rFonts w:hint="eastAsia"/>
          <w:color w:val="auto"/>
          <w:szCs w:val="21"/>
          <w:highlight w:val="none"/>
          <w:lang w:eastAsia="zh-CN"/>
        </w:rPr>
        <w:t xml:space="preserve">  当采用上下</w:t>
      </w:r>
      <w:r>
        <w:rPr>
          <w:rFonts w:hint="eastAsia"/>
          <w:color w:val="auto"/>
          <w:highlight w:val="none"/>
          <w:lang w:eastAsia="zh-CN"/>
        </w:rPr>
        <w:t>混合</w:t>
      </w:r>
      <w:r>
        <w:rPr>
          <w:rFonts w:hint="eastAsia"/>
          <w:color w:val="auto"/>
          <w:szCs w:val="21"/>
          <w:highlight w:val="none"/>
          <w:lang w:eastAsia="zh-CN"/>
        </w:rPr>
        <w:t>木结构时，底部结构应采用钢筋混凝土结构或钢结构，底部结构的层数应符合表</w:t>
      </w:r>
      <w:r>
        <w:rPr>
          <w:color w:val="auto"/>
          <w:szCs w:val="21"/>
          <w:highlight w:val="none"/>
          <w:lang w:eastAsia="zh-CN"/>
        </w:rPr>
        <w:t>5</w:t>
      </w:r>
      <w:r>
        <w:rPr>
          <w:rFonts w:hint="eastAsia"/>
          <w:color w:val="auto"/>
          <w:szCs w:val="21"/>
          <w:highlight w:val="none"/>
          <w:lang w:eastAsia="zh-CN"/>
        </w:rPr>
        <w:t>.3.4</w:t>
      </w:r>
      <w:r>
        <w:rPr>
          <w:color w:val="auto"/>
          <w:szCs w:val="21"/>
          <w:highlight w:val="none"/>
          <w:lang w:eastAsia="zh-CN"/>
        </w:rPr>
        <w:t>-1</w:t>
      </w:r>
      <w:r>
        <w:rPr>
          <w:rFonts w:hint="eastAsia"/>
          <w:color w:val="auto"/>
          <w:szCs w:val="21"/>
          <w:highlight w:val="none"/>
          <w:lang w:eastAsia="zh-CN"/>
        </w:rPr>
        <w:t>的规定。</w:t>
      </w:r>
    </w:p>
    <w:p w14:paraId="403A9661">
      <w:pPr>
        <w:pStyle w:val="40"/>
        <w:ind w:firstLine="198"/>
        <w:rPr>
          <w:color w:val="auto"/>
          <w:sz w:val="21"/>
          <w:szCs w:val="21"/>
          <w:highlight w:val="none"/>
          <w:lang w:eastAsia="zh-CN"/>
        </w:rPr>
      </w:pPr>
      <w:r>
        <w:rPr>
          <w:rFonts w:hint="eastAsia"/>
          <w:color w:val="auto"/>
          <w:sz w:val="21"/>
          <w:szCs w:val="21"/>
          <w:highlight w:val="none"/>
          <w:lang w:eastAsia="zh-CN"/>
        </w:rPr>
        <w:t>表5.3.4-1  上下混合木结构的下部结构允许层数</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8"/>
      </w:tblGrid>
      <w:tr w14:paraId="121B2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Merge w:val="restart"/>
            <w:tcBorders>
              <w:tl2br w:val="nil"/>
              <w:tr2bl w:val="nil"/>
            </w:tcBorders>
            <w:vAlign w:val="center"/>
          </w:tcPr>
          <w:p w14:paraId="5CED4624">
            <w:pPr>
              <w:pStyle w:val="43"/>
              <w:rPr>
                <w:color w:val="auto"/>
                <w:highlight w:val="none"/>
              </w:rPr>
            </w:pPr>
            <w:r>
              <w:rPr>
                <w:rFonts w:hint="eastAsia"/>
                <w:color w:val="auto"/>
                <w:highlight w:val="none"/>
              </w:rPr>
              <w:t>底部结构</w:t>
            </w:r>
          </w:p>
        </w:tc>
        <w:tc>
          <w:tcPr>
            <w:tcW w:w="2268" w:type="dxa"/>
            <w:gridSpan w:val="2"/>
            <w:tcBorders>
              <w:tl2br w:val="nil"/>
              <w:tr2bl w:val="nil"/>
            </w:tcBorders>
            <w:vAlign w:val="center"/>
          </w:tcPr>
          <w:p w14:paraId="55990910">
            <w:pPr>
              <w:pStyle w:val="43"/>
              <w:rPr>
                <w:color w:val="auto"/>
                <w:highlight w:val="none"/>
              </w:rPr>
            </w:pPr>
            <w:r>
              <w:rPr>
                <w:rFonts w:hint="eastAsia"/>
                <w:color w:val="auto"/>
                <w:highlight w:val="none"/>
              </w:rPr>
              <w:t>抗震设防烈度</w:t>
            </w:r>
          </w:p>
        </w:tc>
      </w:tr>
      <w:tr w14:paraId="176FD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Merge w:val="continue"/>
            <w:tcBorders>
              <w:tl2br w:val="nil"/>
              <w:tr2bl w:val="nil"/>
            </w:tcBorders>
            <w:vAlign w:val="center"/>
          </w:tcPr>
          <w:p w14:paraId="46B1901C">
            <w:pPr>
              <w:pStyle w:val="43"/>
              <w:rPr>
                <w:color w:val="auto"/>
                <w:highlight w:val="none"/>
              </w:rPr>
            </w:pPr>
          </w:p>
        </w:tc>
        <w:tc>
          <w:tcPr>
            <w:tcW w:w="2268" w:type="dxa"/>
            <w:tcBorders>
              <w:tl2br w:val="nil"/>
              <w:tr2bl w:val="nil"/>
            </w:tcBorders>
            <w:vAlign w:val="center"/>
          </w:tcPr>
          <w:p w14:paraId="13C4A6EF">
            <w:pPr>
              <w:pStyle w:val="43"/>
              <w:rPr>
                <w:color w:val="auto"/>
                <w:highlight w:val="none"/>
              </w:rPr>
            </w:pPr>
            <w:r>
              <w:rPr>
                <w:color w:val="auto"/>
                <w:highlight w:val="none"/>
              </w:rPr>
              <w:t>6</w:t>
            </w:r>
            <w:r>
              <w:rPr>
                <w:rFonts w:hint="eastAsia"/>
                <w:color w:val="auto"/>
                <w:highlight w:val="none"/>
              </w:rPr>
              <w:t>度</w:t>
            </w:r>
          </w:p>
        </w:tc>
        <w:tc>
          <w:tcPr>
            <w:tcW w:w="2268" w:type="dxa"/>
            <w:tcBorders>
              <w:tl2br w:val="nil"/>
              <w:tr2bl w:val="nil"/>
            </w:tcBorders>
            <w:vAlign w:val="center"/>
          </w:tcPr>
          <w:p w14:paraId="665A0479">
            <w:pPr>
              <w:pStyle w:val="43"/>
              <w:rPr>
                <w:color w:val="auto"/>
                <w:highlight w:val="none"/>
              </w:rPr>
            </w:pPr>
            <w:r>
              <w:rPr>
                <w:color w:val="auto"/>
                <w:highlight w:val="none"/>
              </w:rPr>
              <w:t>7</w:t>
            </w:r>
            <w:r>
              <w:rPr>
                <w:rFonts w:hint="eastAsia"/>
                <w:color w:val="auto"/>
                <w:highlight w:val="none"/>
              </w:rPr>
              <w:t>度</w:t>
            </w:r>
          </w:p>
        </w:tc>
      </w:tr>
      <w:tr w14:paraId="6A4F9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Borders>
              <w:tl2br w:val="nil"/>
              <w:tr2bl w:val="nil"/>
            </w:tcBorders>
            <w:vAlign w:val="center"/>
          </w:tcPr>
          <w:p w14:paraId="17DC3007">
            <w:pPr>
              <w:pStyle w:val="43"/>
              <w:rPr>
                <w:color w:val="auto"/>
                <w:highlight w:val="none"/>
              </w:rPr>
            </w:pPr>
            <w:r>
              <w:rPr>
                <w:rFonts w:hint="eastAsia"/>
                <w:color w:val="auto"/>
                <w:highlight w:val="none"/>
              </w:rPr>
              <w:t>混凝土框架、钢框架</w:t>
            </w:r>
          </w:p>
        </w:tc>
        <w:tc>
          <w:tcPr>
            <w:tcW w:w="2268" w:type="dxa"/>
            <w:tcBorders>
              <w:tl2br w:val="nil"/>
              <w:tr2bl w:val="nil"/>
            </w:tcBorders>
            <w:vAlign w:val="center"/>
          </w:tcPr>
          <w:p w14:paraId="13BB79F0">
            <w:pPr>
              <w:pStyle w:val="43"/>
              <w:rPr>
                <w:color w:val="auto"/>
                <w:highlight w:val="none"/>
              </w:rPr>
            </w:pPr>
            <w:r>
              <w:rPr>
                <w:color w:val="auto"/>
                <w:highlight w:val="none"/>
              </w:rPr>
              <w:t>2</w:t>
            </w:r>
          </w:p>
        </w:tc>
        <w:tc>
          <w:tcPr>
            <w:tcW w:w="2268" w:type="dxa"/>
            <w:tcBorders>
              <w:tl2br w:val="nil"/>
              <w:tr2bl w:val="nil"/>
            </w:tcBorders>
            <w:vAlign w:val="center"/>
          </w:tcPr>
          <w:p w14:paraId="6867E5E6">
            <w:pPr>
              <w:pStyle w:val="43"/>
              <w:rPr>
                <w:color w:val="auto"/>
                <w:highlight w:val="none"/>
              </w:rPr>
            </w:pPr>
            <w:r>
              <w:rPr>
                <w:color w:val="auto"/>
                <w:highlight w:val="none"/>
              </w:rPr>
              <w:t>2</w:t>
            </w:r>
          </w:p>
        </w:tc>
      </w:tr>
      <w:tr w14:paraId="2161C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Borders>
              <w:tl2br w:val="nil"/>
              <w:tr2bl w:val="nil"/>
            </w:tcBorders>
            <w:vAlign w:val="center"/>
          </w:tcPr>
          <w:p w14:paraId="0FBD9643">
            <w:pPr>
              <w:pStyle w:val="43"/>
              <w:rPr>
                <w:color w:val="auto"/>
                <w:highlight w:val="none"/>
              </w:rPr>
            </w:pPr>
            <w:r>
              <w:rPr>
                <w:rFonts w:hint="eastAsia"/>
                <w:color w:val="auto"/>
                <w:highlight w:val="none"/>
              </w:rPr>
              <w:t>混凝土剪力墙</w:t>
            </w:r>
          </w:p>
        </w:tc>
        <w:tc>
          <w:tcPr>
            <w:tcW w:w="2268" w:type="dxa"/>
            <w:tcBorders>
              <w:tl2br w:val="nil"/>
              <w:tr2bl w:val="nil"/>
            </w:tcBorders>
            <w:vAlign w:val="center"/>
          </w:tcPr>
          <w:p w14:paraId="6950DA51">
            <w:pPr>
              <w:pStyle w:val="43"/>
              <w:rPr>
                <w:color w:val="auto"/>
                <w:highlight w:val="none"/>
              </w:rPr>
            </w:pPr>
            <w:r>
              <w:rPr>
                <w:color w:val="auto"/>
                <w:highlight w:val="none"/>
              </w:rPr>
              <w:t>2</w:t>
            </w:r>
          </w:p>
        </w:tc>
        <w:tc>
          <w:tcPr>
            <w:tcW w:w="2268" w:type="dxa"/>
            <w:tcBorders>
              <w:tl2br w:val="nil"/>
              <w:tr2bl w:val="nil"/>
            </w:tcBorders>
            <w:vAlign w:val="center"/>
          </w:tcPr>
          <w:p w14:paraId="127A8340">
            <w:pPr>
              <w:pStyle w:val="43"/>
              <w:rPr>
                <w:color w:val="auto"/>
                <w:highlight w:val="none"/>
              </w:rPr>
            </w:pPr>
            <w:r>
              <w:rPr>
                <w:color w:val="auto"/>
                <w:highlight w:val="none"/>
              </w:rPr>
              <w:t>2</w:t>
            </w:r>
          </w:p>
        </w:tc>
      </w:tr>
    </w:tbl>
    <w:p w14:paraId="7CD272C5">
      <w:pPr>
        <w:widowControl/>
        <w:adjustRightInd w:val="0"/>
        <w:snapToGrid w:val="0"/>
        <w:spacing w:line="324" w:lineRule="auto"/>
        <w:rPr>
          <w:color w:val="auto"/>
          <w:szCs w:val="21"/>
          <w:highlight w:val="none"/>
        </w:rPr>
      </w:pPr>
    </w:p>
    <w:p w14:paraId="5FCCD741">
      <w:pPr>
        <w:pStyle w:val="4"/>
        <w:ind w:firstLine="361" w:firstLineChars="150"/>
        <w:rPr>
          <w:color w:val="auto"/>
          <w:szCs w:val="21"/>
          <w:highlight w:val="none"/>
          <w:lang w:eastAsia="zh-CN"/>
        </w:rPr>
      </w:pPr>
      <w:r>
        <w:rPr>
          <w:b/>
          <w:bCs/>
          <w:color w:val="auto"/>
          <w:szCs w:val="21"/>
          <w:highlight w:val="none"/>
          <w:lang w:eastAsia="zh-CN"/>
        </w:rPr>
        <w:t>2</w:t>
      </w:r>
      <w:r>
        <w:rPr>
          <w:rFonts w:hint="eastAsia"/>
          <w:color w:val="auto"/>
          <w:szCs w:val="21"/>
          <w:highlight w:val="none"/>
          <w:lang w:eastAsia="zh-CN"/>
        </w:rPr>
        <w:t xml:space="preserve">  当抗震设防</w:t>
      </w:r>
      <w:r>
        <w:rPr>
          <w:rFonts w:hint="eastAsia"/>
          <w:color w:val="auto"/>
          <w:highlight w:val="none"/>
          <w:lang w:eastAsia="zh-CN"/>
        </w:rPr>
        <w:t>类别</w:t>
      </w:r>
      <w:r>
        <w:rPr>
          <w:rFonts w:hint="eastAsia"/>
          <w:color w:val="auto"/>
          <w:szCs w:val="21"/>
          <w:highlight w:val="none"/>
          <w:lang w:eastAsia="zh-CN"/>
        </w:rPr>
        <w:t>为甲、乙类建筑以及高度大于</w:t>
      </w:r>
      <w:r>
        <w:rPr>
          <w:color w:val="auto"/>
          <w:szCs w:val="21"/>
          <w:highlight w:val="none"/>
          <w:lang w:eastAsia="zh-CN"/>
        </w:rPr>
        <w:t>24</w:t>
      </w:r>
      <w:r>
        <w:rPr>
          <w:rFonts w:hint="eastAsia"/>
          <w:color w:val="auto"/>
          <w:szCs w:val="21"/>
          <w:highlight w:val="none"/>
          <w:lang w:eastAsia="zh-CN"/>
        </w:rPr>
        <w:t xml:space="preserve"> </w:t>
      </w:r>
      <w:r>
        <w:rPr>
          <w:color w:val="auto"/>
          <w:szCs w:val="21"/>
          <w:highlight w:val="none"/>
          <w:lang w:eastAsia="zh-CN"/>
        </w:rPr>
        <w:t>m</w:t>
      </w:r>
      <w:r>
        <w:rPr>
          <w:rFonts w:hint="eastAsia"/>
          <w:color w:val="auto"/>
          <w:szCs w:val="21"/>
          <w:highlight w:val="none"/>
          <w:lang w:eastAsia="zh-CN"/>
        </w:rPr>
        <w:t>的丙类建筑，不应采用单跨木框架结构。</w:t>
      </w:r>
    </w:p>
    <w:p w14:paraId="37F63CBA">
      <w:pPr>
        <w:pStyle w:val="4"/>
        <w:ind w:firstLine="361" w:firstLineChars="150"/>
        <w:rPr>
          <w:color w:val="auto"/>
          <w:szCs w:val="21"/>
          <w:highlight w:val="none"/>
          <w:lang w:eastAsia="zh-CN"/>
        </w:rPr>
      </w:pPr>
      <w:r>
        <w:rPr>
          <w:b/>
          <w:bCs/>
          <w:color w:val="auto"/>
          <w:szCs w:val="21"/>
          <w:highlight w:val="none"/>
          <w:lang w:eastAsia="zh-CN"/>
        </w:rPr>
        <w:t>3</w:t>
      </w:r>
      <w:r>
        <w:rPr>
          <w:rFonts w:hint="eastAsia"/>
          <w:color w:val="auto"/>
          <w:szCs w:val="21"/>
          <w:highlight w:val="none"/>
          <w:lang w:eastAsia="zh-CN"/>
        </w:rPr>
        <w:t xml:space="preserve">  各种乙类、丙类建筑结构体系造用的结构类型、总层数和总高度应符合表5.3.4</w:t>
      </w:r>
      <w:r>
        <w:rPr>
          <w:color w:val="auto"/>
          <w:szCs w:val="21"/>
          <w:highlight w:val="none"/>
          <w:lang w:eastAsia="zh-CN"/>
        </w:rPr>
        <w:t>-2</w:t>
      </w:r>
      <w:r>
        <w:rPr>
          <w:rFonts w:hint="eastAsia"/>
          <w:color w:val="auto"/>
          <w:szCs w:val="21"/>
          <w:highlight w:val="none"/>
          <w:lang w:eastAsia="zh-CN"/>
        </w:rPr>
        <w:t>的规定。甲类建筑应按本地区抗震设防烈度提高</w:t>
      </w:r>
      <w:r>
        <w:rPr>
          <w:color w:val="auto"/>
          <w:szCs w:val="21"/>
          <w:highlight w:val="none"/>
          <w:lang w:eastAsia="zh-CN"/>
        </w:rPr>
        <w:t>1</w:t>
      </w:r>
      <w:r>
        <w:rPr>
          <w:rFonts w:hint="eastAsia"/>
          <w:color w:val="auto"/>
          <w:szCs w:val="21"/>
          <w:highlight w:val="none"/>
          <w:lang w:eastAsia="zh-CN"/>
        </w:rPr>
        <w:t>度后符合表5.3.4</w:t>
      </w:r>
      <w:r>
        <w:rPr>
          <w:color w:val="auto"/>
          <w:szCs w:val="21"/>
          <w:highlight w:val="none"/>
          <w:lang w:eastAsia="zh-CN"/>
        </w:rPr>
        <w:t>-2</w:t>
      </w:r>
      <w:r>
        <w:rPr>
          <w:rFonts w:hint="eastAsia"/>
          <w:color w:val="auto"/>
          <w:szCs w:val="21"/>
          <w:highlight w:val="none"/>
          <w:lang w:eastAsia="zh-CN"/>
        </w:rPr>
        <w:t>的规定。</w:t>
      </w:r>
    </w:p>
    <w:p w14:paraId="445E50B4">
      <w:pPr>
        <w:pStyle w:val="40"/>
        <w:ind w:firstLine="198"/>
        <w:rPr>
          <w:color w:val="auto"/>
          <w:sz w:val="21"/>
          <w:szCs w:val="21"/>
          <w:highlight w:val="none"/>
          <w:lang w:eastAsia="zh-CN"/>
        </w:rPr>
      </w:pPr>
      <w:r>
        <w:rPr>
          <w:rFonts w:hint="eastAsia"/>
          <w:color w:val="auto"/>
          <w:sz w:val="21"/>
          <w:szCs w:val="21"/>
          <w:highlight w:val="none"/>
          <w:lang w:eastAsia="zh-CN"/>
        </w:rPr>
        <w:t>表5.3.4-2  多层木结构建筑适用结构类型、总层数和总高度</w:t>
      </w:r>
    </w:p>
    <w:tbl>
      <w:tblPr>
        <w:tblStyle w:val="1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961"/>
        <w:gridCol w:w="2316"/>
        <w:gridCol w:w="1296"/>
        <w:gridCol w:w="1298"/>
        <w:gridCol w:w="1296"/>
        <w:gridCol w:w="1298"/>
      </w:tblGrid>
      <w:tr w14:paraId="02F33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restart"/>
            <w:tcBorders>
              <w:tl2br w:val="nil"/>
              <w:tr2bl w:val="nil"/>
            </w:tcBorders>
            <w:vAlign w:val="center"/>
          </w:tcPr>
          <w:p w14:paraId="3BFB7620">
            <w:pPr>
              <w:pStyle w:val="43"/>
              <w:rPr>
                <w:color w:val="auto"/>
                <w:highlight w:val="none"/>
              </w:rPr>
            </w:pPr>
            <w:r>
              <w:rPr>
                <w:rFonts w:hint="eastAsia"/>
                <w:color w:val="auto"/>
                <w:highlight w:val="none"/>
              </w:rPr>
              <w:t>结构体系</w:t>
            </w:r>
          </w:p>
        </w:tc>
        <w:tc>
          <w:tcPr>
            <w:tcW w:w="1276" w:type="pct"/>
            <w:vMerge w:val="restart"/>
            <w:tcBorders>
              <w:tl2br w:val="nil"/>
              <w:tr2bl w:val="nil"/>
            </w:tcBorders>
            <w:vAlign w:val="center"/>
          </w:tcPr>
          <w:p w14:paraId="2529AB5B">
            <w:pPr>
              <w:pStyle w:val="43"/>
              <w:rPr>
                <w:color w:val="auto"/>
                <w:highlight w:val="none"/>
              </w:rPr>
            </w:pPr>
            <w:r>
              <w:rPr>
                <w:rFonts w:hint="eastAsia"/>
                <w:color w:val="auto"/>
                <w:highlight w:val="none"/>
              </w:rPr>
              <w:t>木结构类型</w:t>
            </w:r>
          </w:p>
        </w:tc>
        <w:tc>
          <w:tcPr>
            <w:tcW w:w="2858" w:type="pct"/>
            <w:gridSpan w:val="4"/>
            <w:tcBorders>
              <w:tl2br w:val="nil"/>
              <w:tr2bl w:val="nil"/>
            </w:tcBorders>
            <w:vAlign w:val="center"/>
          </w:tcPr>
          <w:p w14:paraId="0E1E9722">
            <w:pPr>
              <w:pStyle w:val="43"/>
              <w:rPr>
                <w:color w:val="auto"/>
                <w:highlight w:val="none"/>
              </w:rPr>
            </w:pPr>
            <w:r>
              <w:rPr>
                <w:rFonts w:hint="eastAsia"/>
                <w:color w:val="auto"/>
                <w:highlight w:val="none"/>
              </w:rPr>
              <w:t>抗震设防烈度</w:t>
            </w:r>
          </w:p>
        </w:tc>
      </w:tr>
      <w:tr w14:paraId="5C5EF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continue"/>
            <w:tcBorders>
              <w:tl2br w:val="nil"/>
              <w:tr2bl w:val="nil"/>
            </w:tcBorders>
            <w:vAlign w:val="center"/>
          </w:tcPr>
          <w:p w14:paraId="0693AA6E">
            <w:pPr>
              <w:pStyle w:val="43"/>
              <w:rPr>
                <w:color w:val="auto"/>
                <w:highlight w:val="none"/>
              </w:rPr>
            </w:pPr>
          </w:p>
        </w:tc>
        <w:tc>
          <w:tcPr>
            <w:tcW w:w="1276" w:type="pct"/>
            <w:vMerge w:val="continue"/>
            <w:tcBorders>
              <w:tl2br w:val="nil"/>
              <w:tr2bl w:val="nil"/>
            </w:tcBorders>
            <w:vAlign w:val="center"/>
          </w:tcPr>
          <w:p w14:paraId="7EA4329A">
            <w:pPr>
              <w:pStyle w:val="43"/>
              <w:rPr>
                <w:color w:val="auto"/>
                <w:highlight w:val="none"/>
              </w:rPr>
            </w:pPr>
          </w:p>
        </w:tc>
        <w:tc>
          <w:tcPr>
            <w:tcW w:w="1429" w:type="pct"/>
            <w:gridSpan w:val="2"/>
            <w:tcBorders>
              <w:tl2br w:val="nil"/>
              <w:tr2bl w:val="nil"/>
            </w:tcBorders>
            <w:vAlign w:val="center"/>
          </w:tcPr>
          <w:p w14:paraId="07FD2731">
            <w:pPr>
              <w:pStyle w:val="43"/>
              <w:rPr>
                <w:color w:val="auto"/>
                <w:highlight w:val="none"/>
              </w:rPr>
            </w:pPr>
            <w:r>
              <w:rPr>
                <w:rFonts w:hint="eastAsia"/>
                <w:color w:val="auto"/>
                <w:highlight w:val="none"/>
              </w:rPr>
              <w:t>6度</w:t>
            </w:r>
          </w:p>
        </w:tc>
        <w:tc>
          <w:tcPr>
            <w:tcW w:w="1429" w:type="pct"/>
            <w:gridSpan w:val="2"/>
            <w:tcBorders>
              <w:tl2br w:val="nil"/>
              <w:tr2bl w:val="nil"/>
            </w:tcBorders>
            <w:vAlign w:val="center"/>
          </w:tcPr>
          <w:p w14:paraId="7D7A34D5">
            <w:pPr>
              <w:pStyle w:val="43"/>
              <w:rPr>
                <w:color w:val="auto"/>
                <w:highlight w:val="none"/>
              </w:rPr>
            </w:pPr>
            <w:r>
              <w:rPr>
                <w:rFonts w:hint="eastAsia"/>
                <w:color w:val="auto"/>
                <w:highlight w:val="none"/>
              </w:rPr>
              <w:t>7度</w:t>
            </w:r>
          </w:p>
        </w:tc>
      </w:tr>
      <w:tr w14:paraId="6ED84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continue"/>
            <w:tcBorders>
              <w:tl2br w:val="nil"/>
              <w:tr2bl w:val="nil"/>
            </w:tcBorders>
            <w:vAlign w:val="center"/>
          </w:tcPr>
          <w:p w14:paraId="64D24F3B">
            <w:pPr>
              <w:pStyle w:val="43"/>
              <w:rPr>
                <w:color w:val="auto"/>
                <w:highlight w:val="none"/>
              </w:rPr>
            </w:pPr>
          </w:p>
        </w:tc>
        <w:tc>
          <w:tcPr>
            <w:tcW w:w="1276" w:type="pct"/>
            <w:vMerge w:val="continue"/>
            <w:tcBorders>
              <w:tl2br w:val="nil"/>
              <w:tr2bl w:val="nil"/>
            </w:tcBorders>
            <w:vAlign w:val="center"/>
          </w:tcPr>
          <w:p w14:paraId="5ED56323">
            <w:pPr>
              <w:pStyle w:val="43"/>
              <w:rPr>
                <w:color w:val="auto"/>
                <w:highlight w:val="none"/>
              </w:rPr>
            </w:pPr>
          </w:p>
        </w:tc>
        <w:tc>
          <w:tcPr>
            <w:tcW w:w="714" w:type="pct"/>
            <w:tcBorders>
              <w:tl2br w:val="nil"/>
              <w:tr2bl w:val="nil"/>
            </w:tcBorders>
            <w:vAlign w:val="center"/>
          </w:tcPr>
          <w:p w14:paraId="722F7407">
            <w:pPr>
              <w:pStyle w:val="43"/>
              <w:rPr>
                <w:color w:val="auto"/>
                <w:highlight w:val="none"/>
              </w:rPr>
            </w:pPr>
            <w:r>
              <w:rPr>
                <w:rFonts w:hint="eastAsia"/>
                <w:color w:val="auto"/>
                <w:highlight w:val="none"/>
              </w:rPr>
              <w:t>高度（m）</w:t>
            </w:r>
          </w:p>
        </w:tc>
        <w:tc>
          <w:tcPr>
            <w:tcW w:w="715" w:type="pct"/>
            <w:tcBorders>
              <w:tl2br w:val="nil"/>
              <w:tr2bl w:val="nil"/>
            </w:tcBorders>
            <w:vAlign w:val="center"/>
          </w:tcPr>
          <w:p w14:paraId="48A4329F">
            <w:pPr>
              <w:pStyle w:val="43"/>
              <w:rPr>
                <w:color w:val="auto"/>
                <w:highlight w:val="none"/>
              </w:rPr>
            </w:pPr>
            <w:r>
              <w:rPr>
                <w:rFonts w:hint="eastAsia"/>
                <w:color w:val="auto"/>
                <w:highlight w:val="none"/>
              </w:rPr>
              <w:t>层数</w:t>
            </w:r>
          </w:p>
        </w:tc>
        <w:tc>
          <w:tcPr>
            <w:tcW w:w="714" w:type="pct"/>
            <w:tcBorders>
              <w:tl2br w:val="nil"/>
              <w:tr2bl w:val="nil"/>
            </w:tcBorders>
            <w:vAlign w:val="center"/>
          </w:tcPr>
          <w:p w14:paraId="7110823E">
            <w:pPr>
              <w:pStyle w:val="43"/>
              <w:rPr>
                <w:color w:val="auto"/>
                <w:highlight w:val="none"/>
              </w:rPr>
            </w:pPr>
            <w:r>
              <w:rPr>
                <w:rFonts w:hint="eastAsia"/>
                <w:color w:val="auto"/>
                <w:highlight w:val="none"/>
              </w:rPr>
              <w:t>高度（m）</w:t>
            </w:r>
          </w:p>
        </w:tc>
        <w:tc>
          <w:tcPr>
            <w:tcW w:w="715" w:type="pct"/>
            <w:tcBorders>
              <w:tl2br w:val="nil"/>
              <w:tr2bl w:val="nil"/>
            </w:tcBorders>
            <w:vAlign w:val="center"/>
          </w:tcPr>
          <w:p w14:paraId="69AAB07B">
            <w:pPr>
              <w:pStyle w:val="43"/>
              <w:rPr>
                <w:color w:val="auto"/>
                <w:highlight w:val="none"/>
              </w:rPr>
            </w:pPr>
            <w:r>
              <w:rPr>
                <w:rFonts w:hint="eastAsia"/>
                <w:color w:val="auto"/>
                <w:highlight w:val="none"/>
              </w:rPr>
              <w:t>层数</w:t>
            </w:r>
          </w:p>
        </w:tc>
      </w:tr>
      <w:tr w14:paraId="2CD01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restart"/>
            <w:tcBorders>
              <w:tl2br w:val="nil"/>
              <w:tr2bl w:val="nil"/>
            </w:tcBorders>
            <w:vAlign w:val="center"/>
          </w:tcPr>
          <w:p w14:paraId="2B2F2781">
            <w:pPr>
              <w:pStyle w:val="43"/>
              <w:rPr>
                <w:color w:val="auto"/>
                <w:highlight w:val="none"/>
              </w:rPr>
            </w:pPr>
            <w:r>
              <w:rPr>
                <w:rFonts w:hint="eastAsia"/>
                <w:color w:val="auto"/>
                <w:highlight w:val="none"/>
              </w:rPr>
              <w:t>纯木结构</w:t>
            </w:r>
          </w:p>
        </w:tc>
        <w:tc>
          <w:tcPr>
            <w:tcW w:w="1276" w:type="pct"/>
            <w:tcBorders>
              <w:tl2br w:val="nil"/>
              <w:tr2bl w:val="nil"/>
            </w:tcBorders>
            <w:vAlign w:val="center"/>
          </w:tcPr>
          <w:p w14:paraId="6C0EB727">
            <w:pPr>
              <w:pStyle w:val="43"/>
              <w:rPr>
                <w:color w:val="auto"/>
                <w:highlight w:val="none"/>
              </w:rPr>
            </w:pPr>
            <w:r>
              <w:rPr>
                <w:rFonts w:hint="eastAsia"/>
                <w:color w:val="auto"/>
                <w:highlight w:val="none"/>
              </w:rPr>
              <w:t>轻型木结构</w:t>
            </w:r>
          </w:p>
        </w:tc>
        <w:tc>
          <w:tcPr>
            <w:tcW w:w="714" w:type="pct"/>
            <w:tcBorders>
              <w:tl2br w:val="nil"/>
              <w:tr2bl w:val="nil"/>
            </w:tcBorders>
            <w:vAlign w:val="center"/>
          </w:tcPr>
          <w:p w14:paraId="05205230">
            <w:pPr>
              <w:pStyle w:val="43"/>
              <w:rPr>
                <w:color w:val="auto"/>
                <w:highlight w:val="none"/>
              </w:rPr>
            </w:pPr>
            <w:r>
              <w:rPr>
                <w:rFonts w:hint="eastAsia"/>
                <w:color w:val="auto"/>
                <w:highlight w:val="none"/>
              </w:rPr>
              <w:t>20</w:t>
            </w:r>
          </w:p>
        </w:tc>
        <w:tc>
          <w:tcPr>
            <w:tcW w:w="715" w:type="pct"/>
            <w:tcBorders>
              <w:tl2br w:val="nil"/>
              <w:tr2bl w:val="nil"/>
            </w:tcBorders>
            <w:vAlign w:val="center"/>
          </w:tcPr>
          <w:p w14:paraId="2E931EFD">
            <w:pPr>
              <w:pStyle w:val="43"/>
              <w:rPr>
                <w:color w:val="auto"/>
                <w:highlight w:val="none"/>
              </w:rPr>
            </w:pPr>
            <w:r>
              <w:rPr>
                <w:rFonts w:hint="eastAsia"/>
                <w:color w:val="auto"/>
                <w:highlight w:val="none"/>
              </w:rPr>
              <w:t>6</w:t>
            </w:r>
          </w:p>
        </w:tc>
        <w:tc>
          <w:tcPr>
            <w:tcW w:w="714" w:type="pct"/>
            <w:tcBorders>
              <w:tl2br w:val="nil"/>
              <w:tr2bl w:val="nil"/>
            </w:tcBorders>
            <w:vAlign w:val="center"/>
          </w:tcPr>
          <w:p w14:paraId="7FF11EAF">
            <w:pPr>
              <w:pStyle w:val="43"/>
              <w:rPr>
                <w:color w:val="auto"/>
                <w:highlight w:val="none"/>
              </w:rPr>
            </w:pPr>
            <w:r>
              <w:rPr>
                <w:rFonts w:hint="eastAsia"/>
                <w:color w:val="auto"/>
                <w:highlight w:val="none"/>
              </w:rPr>
              <w:t>20</w:t>
            </w:r>
          </w:p>
        </w:tc>
        <w:tc>
          <w:tcPr>
            <w:tcW w:w="715" w:type="pct"/>
            <w:tcBorders>
              <w:tl2br w:val="nil"/>
              <w:tr2bl w:val="nil"/>
            </w:tcBorders>
            <w:vAlign w:val="center"/>
          </w:tcPr>
          <w:p w14:paraId="47798ED4">
            <w:pPr>
              <w:pStyle w:val="43"/>
              <w:rPr>
                <w:color w:val="auto"/>
                <w:highlight w:val="none"/>
              </w:rPr>
            </w:pPr>
            <w:r>
              <w:rPr>
                <w:rFonts w:hint="eastAsia"/>
                <w:color w:val="auto"/>
                <w:highlight w:val="none"/>
              </w:rPr>
              <w:t>6</w:t>
            </w:r>
          </w:p>
        </w:tc>
      </w:tr>
      <w:tr w14:paraId="025DF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continue"/>
            <w:tcBorders>
              <w:tl2br w:val="nil"/>
              <w:tr2bl w:val="nil"/>
            </w:tcBorders>
            <w:vAlign w:val="center"/>
          </w:tcPr>
          <w:p w14:paraId="6B1A4F0A">
            <w:pPr>
              <w:pStyle w:val="43"/>
              <w:rPr>
                <w:color w:val="auto"/>
                <w:highlight w:val="none"/>
              </w:rPr>
            </w:pPr>
          </w:p>
        </w:tc>
        <w:tc>
          <w:tcPr>
            <w:tcW w:w="1276" w:type="pct"/>
            <w:tcBorders>
              <w:tl2br w:val="nil"/>
              <w:tr2bl w:val="nil"/>
            </w:tcBorders>
            <w:vAlign w:val="center"/>
          </w:tcPr>
          <w:p w14:paraId="60D558BB">
            <w:pPr>
              <w:pStyle w:val="43"/>
              <w:rPr>
                <w:color w:val="auto"/>
                <w:highlight w:val="none"/>
              </w:rPr>
            </w:pPr>
            <w:r>
              <w:rPr>
                <w:rFonts w:hint="eastAsia"/>
                <w:color w:val="auto"/>
                <w:highlight w:val="none"/>
              </w:rPr>
              <w:t>木框架支撑结构</w:t>
            </w:r>
          </w:p>
        </w:tc>
        <w:tc>
          <w:tcPr>
            <w:tcW w:w="714" w:type="pct"/>
            <w:tcBorders>
              <w:tl2br w:val="nil"/>
              <w:tr2bl w:val="nil"/>
            </w:tcBorders>
            <w:vAlign w:val="center"/>
          </w:tcPr>
          <w:p w14:paraId="03E5CB93">
            <w:pPr>
              <w:pStyle w:val="43"/>
              <w:rPr>
                <w:color w:val="auto"/>
                <w:highlight w:val="none"/>
              </w:rPr>
            </w:pPr>
            <w:r>
              <w:rPr>
                <w:rFonts w:hint="eastAsia"/>
                <w:color w:val="auto"/>
                <w:highlight w:val="none"/>
              </w:rPr>
              <w:t>20</w:t>
            </w:r>
          </w:p>
        </w:tc>
        <w:tc>
          <w:tcPr>
            <w:tcW w:w="715" w:type="pct"/>
            <w:tcBorders>
              <w:tl2br w:val="nil"/>
              <w:tr2bl w:val="nil"/>
            </w:tcBorders>
            <w:vAlign w:val="center"/>
          </w:tcPr>
          <w:p w14:paraId="0566ED9D">
            <w:pPr>
              <w:pStyle w:val="43"/>
              <w:rPr>
                <w:color w:val="auto"/>
                <w:highlight w:val="none"/>
              </w:rPr>
            </w:pPr>
            <w:r>
              <w:rPr>
                <w:rFonts w:hint="eastAsia"/>
                <w:color w:val="auto"/>
                <w:highlight w:val="none"/>
              </w:rPr>
              <w:t>6</w:t>
            </w:r>
          </w:p>
        </w:tc>
        <w:tc>
          <w:tcPr>
            <w:tcW w:w="714" w:type="pct"/>
            <w:tcBorders>
              <w:tl2br w:val="nil"/>
              <w:tr2bl w:val="nil"/>
            </w:tcBorders>
            <w:vAlign w:val="center"/>
          </w:tcPr>
          <w:p w14:paraId="0F7F6D5F">
            <w:pPr>
              <w:pStyle w:val="43"/>
              <w:rPr>
                <w:color w:val="auto"/>
                <w:highlight w:val="none"/>
              </w:rPr>
            </w:pPr>
            <w:r>
              <w:rPr>
                <w:rFonts w:hint="eastAsia"/>
                <w:color w:val="auto"/>
                <w:highlight w:val="none"/>
              </w:rPr>
              <w:t>17</w:t>
            </w:r>
          </w:p>
        </w:tc>
        <w:tc>
          <w:tcPr>
            <w:tcW w:w="715" w:type="pct"/>
            <w:tcBorders>
              <w:tl2br w:val="nil"/>
              <w:tr2bl w:val="nil"/>
            </w:tcBorders>
            <w:vAlign w:val="center"/>
          </w:tcPr>
          <w:p w14:paraId="717E376D">
            <w:pPr>
              <w:pStyle w:val="43"/>
              <w:rPr>
                <w:color w:val="auto"/>
                <w:highlight w:val="none"/>
              </w:rPr>
            </w:pPr>
            <w:r>
              <w:rPr>
                <w:rFonts w:hint="eastAsia"/>
                <w:color w:val="auto"/>
                <w:highlight w:val="none"/>
              </w:rPr>
              <w:t>5</w:t>
            </w:r>
          </w:p>
        </w:tc>
      </w:tr>
      <w:tr w14:paraId="2CC74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continue"/>
            <w:tcBorders>
              <w:tl2br w:val="nil"/>
              <w:tr2bl w:val="nil"/>
            </w:tcBorders>
            <w:vAlign w:val="center"/>
          </w:tcPr>
          <w:p w14:paraId="42D22131">
            <w:pPr>
              <w:pStyle w:val="43"/>
              <w:rPr>
                <w:color w:val="auto"/>
                <w:highlight w:val="none"/>
              </w:rPr>
            </w:pPr>
          </w:p>
        </w:tc>
        <w:tc>
          <w:tcPr>
            <w:tcW w:w="1276" w:type="pct"/>
            <w:tcBorders>
              <w:tl2br w:val="nil"/>
              <w:tr2bl w:val="nil"/>
            </w:tcBorders>
            <w:vAlign w:val="center"/>
          </w:tcPr>
          <w:p w14:paraId="5979F395">
            <w:pPr>
              <w:pStyle w:val="43"/>
              <w:rPr>
                <w:color w:val="auto"/>
                <w:highlight w:val="none"/>
              </w:rPr>
            </w:pPr>
            <w:r>
              <w:rPr>
                <w:rFonts w:hint="eastAsia"/>
                <w:color w:val="auto"/>
                <w:highlight w:val="none"/>
              </w:rPr>
              <w:t>木框架剪力墙结构</w:t>
            </w:r>
          </w:p>
        </w:tc>
        <w:tc>
          <w:tcPr>
            <w:tcW w:w="714" w:type="pct"/>
            <w:tcBorders>
              <w:tl2br w:val="nil"/>
              <w:tr2bl w:val="nil"/>
            </w:tcBorders>
            <w:vAlign w:val="center"/>
          </w:tcPr>
          <w:p w14:paraId="5AF43BC7">
            <w:pPr>
              <w:pStyle w:val="43"/>
              <w:rPr>
                <w:color w:val="auto"/>
                <w:highlight w:val="none"/>
              </w:rPr>
            </w:pPr>
            <w:r>
              <w:rPr>
                <w:rFonts w:hint="eastAsia"/>
                <w:color w:val="auto"/>
                <w:highlight w:val="none"/>
              </w:rPr>
              <w:t>32</w:t>
            </w:r>
          </w:p>
        </w:tc>
        <w:tc>
          <w:tcPr>
            <w:tcW w:w="715" w:type="pct"/>
            <w:tcBorders>
              <w:tl2br w:val="nil"/>
              <w:tr2bl w:val="nil"/>
            </w:tcBorders>
            <w:vAlign w:val="center"/>
          </w:tcPr>
          <w:p w14:paraId="11C31A90">
            <w:pPr>
              <w:pStyle w:val="43"/>
              <w:rPr>
                <w:color w:val="auto"/>
                <w:highlight w:val="none"/>
              </w:rPr>
            </w:pPr>
            <w:r>
              <w:rPr>
                <w:rFonts w:hint="eastAsia"/>
                <w:color w:val="auto"/>
                <w:highlight w:val="none"/>
              </w:rPr>
              <w:t>10</w:t>
            </w:r>
          </w:p>
        </w:tc>
        <w:tc>
          <w:tcPr>
            <w:tcW w:w="714" w:type="pct"/>
            <w:tcBorders>
              <w:tl2br w:val="nil"/>
              <w:tr2bl w:val="nil"/>
            </w:tcBorders>
            <w:vAlign w:val="center"/>
          </w:tcPr>
          <w:p w14:paraId="04144919">
            <w:pPr>
              <w:pStyle w:val="43"/>
              <w:rPr>
                <w:color w:val="auto"/>
                <w:highlight w:val="none"/>
              </w:rPr>
            </w:pPr>
            <w:r>
              <w:rPr>
                <w:rFonts w:hint="eastAsia"/>
                <w:color w:val="auto"/>
                <w:highlight w:val="none"/>
              </w:rPr>
              <w:t>28</w:t>
            </w:r>
          </w:p>
        </w:tc>
        <w:tc>
          <w:tcPr>
            <w:tcW w:w="715" w:type="pct"/>
            <w:tcBorders>
              <w:tl2br w:val="nil"/>
              <w:tr2bl w:val="nil"/>
            </w:tcBorders>
            <w:vAlign w:val="center"/>
          </w:tcPr>
          <w:p w14:paraId="71CBB2FA">
            <w:pPr>
              <w:pStyle w:val="43"/>
              <w:rPr>
                <w:color w:val="auto"/>
                <w:highlight w:val="none"/>
              </w:rPr>
            </w:pPr>
            <w:r>
              <w:rPr>
                <w:rFonts w:hint="eastAsia"/>
                <w:color w:val="auto"/>
                <w:highlight w:val="none"/>
              </w:rPr>
              <w:t>8</w:t>
            </w:r>
          </w:p>
        </w:tc>
      </w:tr>
      <w:tr w14:paraId="1CD1E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gridSpan w:val="2"/>
            <w:vMerge w:val="continue"/>
            <w:tcBorders>
              <w:tl2br w:val="nil"/>
              <w:tr2bl w:val="nil"/>
            </w:tcBorders>
            <w:vAlign w:val="center"/>
          </w:tcPr>
          <w:p w14:paraId="09866AAA">
            <w:pPr>
              <w:pStyle w:val="43"/>
              <w:rPr>
                <w:color w:val="auto"/>
                <w:highlight w:val="none"/>
              </w:rPr>
            </w:pPr>
          </w:p>
        </w:tc>
        <w:tc>
          <w:tcPr>
            <w:tcW w:w="1276" w:type="pct"/>
            <w:tcBorders>
              <w:tl2br w:val="nil"/>
              <w:tr2bl w:val="nil"/>
            </w:tcBorders>
            <w:vAlign w:val="center"/>
          </w:tcPr>
          <w:p w14:paraId="68CA62A3">
            <w:pPr>
              <w:pStyle w:val="43"/>
              <w:rPr>
                <w:color w:val="auto"/>
                <w:highlight w:val="none"/>
              </w:rPr>
            </w:pPr>
            <w:r>
              <w:rPr>
                <w:rFonts w:hint="eastAsia"/>
                <w:color w:val="auto"/>
                <w:highlight w:val="none"/>
              </w:rPr>
              <w:t>正交胶合木剪力墙结构</w:t>
            </w:r>
          </w:p>
        </w:tc>
        <w:tc>
          <w:tcPr>
            <w:tcW w:w="714" w:type="pct"/>
            <w:tcBorders>
              <w:tl2br w:val="nil"/>
              <w:tr2bl w:val="nil"/>
            </w:tcBorders>
            <w:vAlign w:val="center"/>
          </w:tcPr>
          <w:p w14:paraId="3AB26E74">
            <w:pPr>
              <w:pStyle w:val="43"/>
              <w:rPr>
                <w:color w:val="auto"/>
                <w:highlight w:val="none"/>
              </w:rPr>
            </w:pPr>
            <w:r>
              <w:rPr>
                <w:rFonts w:hint="eastAsia"/>
                <w:color w:val="auto"/>
                <w:highlight w:val="none"/>
              </w:rPr>
              <w:t>40</w:t>
            </w:r>
          </w:p>
        </w:tc>
        <w:tc>
          <w:tcPr>
            <w:tcW w:w="715" w:type="pct"/>
            <w:tcBorders>
              <w:tl2br w:val="nil"/>
              <w:tr2bl w:val="nil"/>
            </w:tcBorders>
            <w:vAlign w:val="center"/>
          </w:tcPr>
          <w:p w14:paraId="5CC81C79">
            <w:pPr>
              <w:pStyle w:val="43"/>
              <w:rPr>
                <w:color w:val="auto"/>
                <w:highlight w:val="none"/>
              </w:rPr>
            </w:pPr>
            <w:r>
              <w:rPr>
                <w:rFonts w:hint="eastAsia"/>
                <w:color w:val="auto"/>
                <w:highlight w:val="none"/>
              </w:rPr>
              <w:t>12</w:t>
            </w:r>
          </w:p>
        </w:tc>
        <w:tc>
          <w:tcPr>
            <w:tcW w:w="714" w:type="pct"/>
            <w:tcBorders>
              <w:tl2br w:val="nil"/>
              <w:tr2bl w:val="nil"/>
            </w:tcBorders>
            <w:vAlign w:val="center"/>
          </w:tcPr>
          <w:p w14:paraId="4C829827">
            <w:pPr>
              <w:pStyle w:val="43"/>
              <w:rPr>
                <w:color w:val="auto"/>
                <w:highlight w:val="none"/>
              </w:rPr>
            </w:pPr>
            <w:r>
              <w:rPr>
                <w:rFonts w:hint="eastAsia"/>
                <w:color w:val="auto"/>
                <w:highlight w:val="none"/>
              </w:rPr>
              <w:t>32</w:t>
            </w:r>
          </w:p>
        </w:tc>
        <w:tc>
          <w:tcPr>
            <w:tcW w:w="715" w:type="pct"/>
            <w:tcBorders>
              <w:tl2br w:val="nil"/>
              <w:tr2bl w:val="nil"/>
            </w:tcBorders>
            <w:vAlign w:val="center"/>
          </w:tcPr>
          <w:p w14:paraId="170B023E">
            <w:pPr>
              <w:pStyle w:val="43"/>
              <w:rPr>
                <w:color w:val="auto"/>
                <w:highlight w:val="none"/>
              </w:rPr>
            </w:pPr>
            <w:r>
              <w:rPr>
                <w:rFonts w:hint="eastAsia"/>
                <w:color w:val="auto"/>
                <w:highlight w:val="none"/>
              </w:rPr>
              <w:t>10</w:t>
            </w:r>
          </w:p>
        </w:tc>
      </w:tr>
      <w:tr w14:paraId="1C4C8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restart"/>
            <w:tcBorders>
              <w:tl2br w:val="nil"/>
              <w:tr2bl w:val="nil"/>
            </w:tcBorders>
            <w:vAlign w:val="center"/>
          </w:tcPr>
          <w:p w14:paraId="0B52EC4E">
            <w:pPr>
              <w:pStyle w:val="43"/>
              <w:rPr>
                <w:color w:val="auto"/>
                <w:highlight w:val="none"/>
              </w:rPr>
            </w:pPr>
            <w:r>
              <w:rPr>
                <w:rFonts w:hint="eastAsia"/>
                <w:color w:val="auto"/>
                <w:highlight w:val="none"/>
              </w:rPr>
              <w:t>木混合结构</w:t>
            </w:r>
          </w:p>
        </w:tc>
        <w:tc>
          <w:tcPr>
            <w:tcW w:w="530" w:type="pct"/>
            <w:vMerge w:val="restart"/>
            <w:tcBorders>
              <w:tl2br w:val="nil"/>
              <w:tr2bl w:val="nil"/>
            </w:tcBorders>
            <w:vAlign w:val="center"/>
          </w:tcPr>
          <w:p w14:paraId="38EB0F1B">
            <w:pPr>
              <w:pStyle w:val="43"/>
              <w:rPr>
                <w:color w:val="auto"/>
                <w:highlight w:val="none"/>
              </w:rPr>
            </w:pPr>
            <w:r>
              <w:rPr>
                <w:rFonts w:hint="eastAsia"/>
                <w:color w:val="auto"/>
                <w:highlight w:val="none"/>
              </w:rPr>
              <w:t>上下混合木结构</w:t>
            </w:r>
          </w:p>
        </w:tc>
        <w:tc>
          <w:tcPr>
            <w:tcW w:w="1276" w:type="pct"/>
            <w:tcBorders>
              <w:tl2br w:val="nil"/>
              <w:tr2bl w:val="nil"/>
            </w:tcBorders>
            <w:vAlign w:val="center"/>
          </w:tcPr>
          <w:p w14:paraId="0A020764">
            <w:pPr>
              <w:pStyle w:val="43"/>
              <w:rPr>
                <w:color w:val="auto"/>
                <w:highlight w:val="none"/>
              </w:rPr>
            </w:pPr>
            <w:r>
              <w:rPr>
                <w:rFonts w:hint="eastAsia"/>
                <w:color w:val="auto"/>
                <w:highlight w:val="none"/>
              </w:rPr>
              <w:t>上部轻型木结构</w:t>
            </w:r>
          </w:p>
        </w:tc>
        <w:tc>
          <w:tcPr>
            <w:tcW w:w="714" w:type="pct"/>
            <w:tcBorders>
              <w:tl2br w:val="nil"/>
              <w:tr2bl w:val="nil"/>
            </w:tcBorders>
            <w:vAlign w:val="center"/>
          </w:tcPr>
          <w:p w14:paraId="594FCA65">
            <w:pPr>
              <w:pStyle w:val="43"/>
              <w:rPr>
                <w:color w:val="auto"/>
                <w:highlight w:val="none"/>
              </w:rPr>
            </w:pPr>
            <w:r>
              <w:rPr>
                <w:rFonts w:hint="eastAsia"/>
                <w:color w:val="auto"/>
                <w:highlight w:val="none"/>
              </w:rPr>
              <w:t>23</w:t>
            </w:r>
          </w:p>
        </w:tc>
        <w:tc>
          <w:tcPr>
            <w:tcW w:w="715" w:type="pct"/>
            <w:tcBorders>
              <w:tl2br w:val="nil"/>
              <w:tr2bl w:val="nil"/>
            </w:tcBorders>
            <w:vAlign w:val="center"/>
          </w:tcPr>
          <w:p w14:paraId="4610EB25">
            <w:pPr>
              <w:pStyle w:val="43"/>
              <w:rPr>
                <w:color w:val="auto"/>
                <w:highlight w:val="none"/>
              </w:rPr>
            </w:pPr>
            <w:r>
              <w:rPr>
                <w:rFonts w:hint="eastAsia"/>
                <w:color w:val="auto"/>
                <w:highlight w:val="none"/>
              </w:rPr>
              <w:t>7</w:t>
            </w:r>
          </w:p>
        </w:tc>
        <w:tc>
          <w:tcPr>
            <w:tcW w:w="714" w:type="pct"/>
            <w:tcBorders>
              <w:tl2br w:val="nil"/>
              <w:tr2bl w:val="nil"/>
            </w:tcBorders>
            <w:vAlign w:val="center"/>
          </w:tcPr>
          <w:p w14:paraId="0E24FFE1">
            <w:pPr>
              <w:pStyle w:val="43"/>
              <w:rPr>
                <w:color w:val="auto"/>
                <w:highlight w:val="none"/>
              </w:rPr>
            </w:pPr>
            <w:r>
              <w:rPr>
                <w:rFonts w:hint="eastAsia"/>
                <w:color w:val="auto"/>
                <w:highlight w:val="none"/>
              </w:rPr>
              <w:t>23</w:t>
            </w:r>
          </w:p>
        </w:tc>
        <w:tc>
          <w:tcPr>
            <w:tcW w:w="715" w:type="pct"/>
            <w:tcBorders>
              <w:tl2br w:val="nil"/>
              <w:tr2bl w:val="nil"/>
            </w:tcBorders>
            <w:vAlign w:val="center"/>
          </w:tcPr>
          <w:p w14:paraId="25A6700A">
            <w:pPr>
              <w:pStyle w:val="43"/>
              <w:rPr>
                <w:color w:val="auto"/>
                <w:highlight w:val="none"/>
              </w:rPr>
            </w:pPr>
            <w:r>
              <w:rPr>
                <w:rFonts w:hint="eastAsia"/>
                <w:color w:val="auto"/>
                <w:highlight w:val="none"/>
              </w:rPr>
              <w:t>7</w:t>
            </w:r>
          </w:p>
        </w:tc>
      </w:tr>
      <w:tr w14:paraId="77104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continue"/>
            <w:tcBorders>
              <w:tl2br w:val="nil"/>
              <w:tr2bl w:val="nil"/>
            </w:tcBorders>
            <w:vAlign w:val="center"/>
          </w:tcPr>
          <w:p w14:paraId="4F9C929B">
            <w:pPr>
              <w:pStyle w:val="43"/>
              <w:rPr>
                <w:color w:val="auto"/>
                <w:highlight w:val="none"/>
              </w:rPr>
            </w:pPr>
          </w:p>
        </w:tc>
        <w:tc>
          <w:tcPr>
            <w:tcW w:w="530" w:type="pct"/>
            <w:vMerge w:val="continue"/>
            <w:tcBorders>
              <w:tl2br w:val="nil"/>
              <w:tr2bl w:val="nil"/>
            </w:tcBorders>
            <w:vAlign w:val="center"/>
          </w:tcPr>
          <w:p w14:paraId="5149B456">
            <w:pPr>
              <w:pStyle w:val="43"/>
              <w:rPr>
                <w:color w:val="auto"/>
                <w:highlight w:val="none"/>
              </w:rPr>
            </w:pPr>
          </w:p>
        </w:tc>
        <w:tc>
          <w:tcPr>
            <w:tcW w:w="1276" w:type="pct"/>
            <w:tcBorders>
              <w:tl2br w:val="nil"/>
              <w:tr2bl w:val="nil"/>
            </w:tcBorders>
            <w:vAlign w:val="center"/>
          </w:tcPr>
          <w:p w14:paraId="3C73D9AA">
            <w:pPr>
              <w:pStyle w:val="43"/>
              <w:rPr>
                <w:color w:val="auto"/>
                <w:highlight w:val="none"/>
              </w:rPr>
            </w:pPr>
            <w:r>
              <w:rPr>
                <w:rFonts w:hint="eastAsia"/>
                <w:color w:val="auto"/>
                <w:highlight w:val="none"/>
              </w:rPr>
              <w:t>上部木框架支撑结构</w:t>
            </w:r>
          </w:p>
        </w:tc>
        <w:tc>
          <w:tcPr>
            <w:tcW w:w="714" w:type="pct"/>
            <w:tcBorders>
              <w:tl2br w:val="nil"/>
              <w:tr2bl w:val="nil"/>
            </w:tcBorders>
            <w:vAlign w:val="center"/>
          </w:tcPr>
          <w:p w14:paraId="45FAA605">
            <w:pPr>
              <w:pStyle w:val="43"/>
              <w:rPr>
                <w:color w:val="auto"/>
                <w:highlight w:val="none"/>
              </w:rPr>
            </w:pPr>
            <w:r>
              <w:rPr>
                <w:rFonts w:hint="eastAsia"/>
                <w:color w:val="auto"/>
                <w:highlight w:val="none"/>
              </w:rPr>
              <w:t>23</w:t>
            </w:r>
          </w:p>
        </w:tc>
        <w:tc>
          <w:tcPr>
            <w:tcW w:w="715" w:type="pct"/>
            <w:tcBorders>
              <w:tl2br w:val="nil"/>
              <w:tr2bl w:val="nil"/>
            </w:tcBorders>
            <w:vAlign w:val="center"/>
          </w:tcPr>
          <w:p w14:paraId="0231688C">
            <w:pPr>
              <w:pStyle w:val="43"/>
              <w:rPr>
                <w:color w:val="auto"/>
                <w:highlight w:val="none"/>
              </w:rPr>
            </w:pPr>
            <w:r>
              <w:rPr>
                <w:rFonts w:hint="eastAsia"/>
                <w:color w:val="auto"/>
                <w:highlight w:val="none"/>
              </w:rPr>
              <w:t>7</w:t>
            </w:r>
          </w:p>
        </w:tc>
        <w:tc>
          <w:tcPr>
            <w:tcW w:w="714" w:type="pct"/>
            <w:tcBorders>
              <w:tl2br w:val="nil"/>
              <w:tr2bl w:val="nil"/>
            </w:tcBorders>
            <w:vAlign w:val="center"/>
          </w:tcPr>
          <w:p w14:paraId="7D407DF9">
            <w:pPr>
              <w:pStyle w:val="43"/>
              <w:rPr>
                <w:color w:val="auto"/>
                <w:highlight w:val="none"/>
              </w:rPr>
            </w:pPr>
            <w:r>
              <w:rPr>
                <w:rFonts w:hint="eastAsia"/>
                <w:color w:val="auto"/>
                <w:highlight w:val="none"/>
              </w:rPr>
              <w:t>20</w:t>
            </w:r>
          </w:p>
        </w:tc>
        <w:tc>
          <w:tcPr>
            <w:tcW w:w="715" w:type="pct"/>
            <w:tcBorders>
              <w:tl2br w:val="nil"/>
              <w:tr2bl w:val="nil"/>
            </w:tcBorders>
            <w:vAlign w:val="center"/>
          </w:tcPr>
          <w:p w14:paraId="31C6D4F8">
            <w:pPr>
              <w:pStyle w:val="43"/>
              <w:rPr>
                <w:color w:val="auto"/>
                <w:highlight w:val="none"/>
              </w:rPr>
            </w:pPr>
            <w:r>
              <w:rPr>
                <w:rFonts w:hint="eastAsia"/>
                <w:color w:val="auto"/>
                <w:highlight w:val="none"/>
              </w:rPr>
              <w:t>6</w:t>
            </w:r>
          </w:p>
        </w:tc>
      </w:tr>
      <w:tr w14:paraId="1E92F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continue"/>
            <w:tcBorders>
              <w:tl2br w:val="nil"/>
              <w:tr2bl w:val="nil"/>
            </w:tcBorders>
            <w:vAlign w:val="center"/>
          </w:tcPr>
          <w:p w14:paraId="3FE7ED03">
            <w:pPr>
              <w:pStyle w:val="43"/>
              <w:rPr>
                <w:color w:val="auto"/>
                <w:highlight w:val="none"/>
              </w:rPr>
            </w:pPr>
          </w:p>
        </w:tc>
        <w:tc>
          <w:tcPr>
            <w:tcW w:w="530" w:type="pct"/>
            <w:vMerge w:val="continue"/>
            <w:tcBorders>
              <w:tl2br w:val="nil"/>
              <w:tr2bl w:val="nil"/>
            </w:tcBorders>
            <w:vAlign w:val="center"/>
          </w:tcPr>
          <w:p w14:paraId="4E1138C9">
            <w:pPr>
              <w:pStyle w:val="43"/>
              <w:rPr>
                <w:color w:val="auto"/>
                <w:highlight w:val="none"/>
              </w:rPr>
            </w:pPr>
          </w:p>
        </w:tc>
        <w:tc>
          <w:tcPr>
            <w:tcW w:w="1276" w:type="pct"/>
            <w:tcBorders>
              <w:tl2br w:val="nil"/>
              <w:tr2bl w:val="nil"/>
            </w:tcBorders>
            <w:vAlign w:val="center"/>
          </w:tcPr>
          <w:p w14:paraId="0D512B4E">
            <w:pPr>
              <w:pStyle w:val="43"/>
              <w:rPr>
                <w:color w:val="auto"/>
                <w:highlight w:val="none"/>
              </w:rPr>
            </w:pPr>
            <w:r>
              <w:rPr>
                <w:rFonts w:hint="eastAsia"/>
                <w:color w:val="auto"/>
                <w:highlight w:val="none"/>
              </w:rPr>
              <w:t>上部木框架剪力墙结构</w:t>
            </w:r>
          </w:p>
        </w:tc>
        <w:tc>
          <w:tcPr>
            <w:tcW w:w="714" w:type="pct"/>
            <w:tcBorders>
              <w:tl2br w:val="nil"/>
              <w:tr2bl w:val="nil"/>
            </w:tcBorders>
            <w:vAlign w:val="center"/>
          </w:tcPr>
          <w:p w14:paraId="3F8C0EDD">
            <w:pPr>
              <w:pStyle w:val="43"/>
              <w:rPr>
                <w:color w:val="auto"/>
                <w:highlight w:val="none"/>
              </w:rPr>
            </w:pPr>
            <w:r>
              <w:rPr>
                <w:rFonts w:hint="eastAsia"/>
                <w:color w:val="auto"/>
                <w:highlight w:val="none"/>
              </w:rPr>
              <w:t>35</w:t>
            </w:r>
          </w:p>
        </w:tc>
        <w:tc>
          <w:tcPr>
            <w:tcW w:w="715" w:type="pct"/>
            <w:tcBorders>
              <w:tl2br w:val="nil"/>
              <w:tr2bl w:val="nil"/>
            </w:tcBorders>
            <w:vAlign w:val="center"/>
          </w:tcPr>
          <w:p w14:paraId="31D8EE05">
            <w:pPr>
              <w:pStyle w:val="43"/>
              <w:rPr>
                <w:color w:val="auto"/>
                <w:highlight w:val="none"/>
              </w:rPr>
            </w:pPr>
            <w:r>
              <w:rPr>
                <w:rFonts w:hint="eastAsia"/>
                <w:color w:val="auto"/>
                <w:highlight w:val="none"/>
              </w:rPr>
              <w:t>11</w:t>
            </w:r>
          </w:p>
        </w:tc>
        <w:tc>
          <w:tcPr>
            <w:tcW w:w="714" w:type="pct"/>
            <w:tcBorders>
              <w:tl2br w:val="nil"/>
              <w:tr2bl w:val="nil"/>
            </w:tcBorders>
            <w:vAlign w:val="center"/>
          </w:tcPr>
          <w:p w14:paraId="2F2D45E8">
            <w:pPr>
              <w:pStyle w:val="43"/>
              <w:rPr>
                <w:color w:val="auto"/>
                <w:highlight w:val="none"/>
              </w:rPr>
            </w:pPr>
            <w:r>
              <w:rPr>
                <w:rFonts w:hint="eastAsia"/>
                <w:color w:val="auto"/>
                <w:highlight w:val="none"/>
              </w:rPr>
              <w:t>31</w:t>
            </w:r>
          </w:p>
        </w:tc>
        <w:tc>
          <w:tcPr>
            <w:tcW w:w="715" w:type="pct"/>
            <w:tcBorders>
              <w:tl2br w:val="nil"/>
              <w:tr2bl w:val="nil"/>
            </w:tcBorders>
            <w:vAlign w:val="center"/>
          </w:tcPr>
          <w:p w14:paraId="28E7A4FD">
            <w:pPr>
              <w:pStyle w:val="43"/>
              <w:rPr>
                <w:color w:val="auto"/>
                <w:highlight w:val="none"/>
              </w:rPr>
            </w:pPr>
            <w:r>
              <w:rPr>
                <w:rFonts w:hint="eastAsia"/>
                <w:color w:val="auto"/>
                <w:highlight w:val="none"/>
              </w:rPr>
              <w:t>9</w:t>
            </w:r>
          </w:p>
        </w:tc>
      </w:tr>
      <w:tr w14:paraId="2208A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5" w:type="pct"/>
            <w:vMerge w:val="continue"/>
            <w:tcBorders>
              <w:tl2br w:val="nil"/>
              <w:tr2bl w:val="nil"/>
            </w:tcBorders>
            <w:vAlign w:val="center"/>
          </w:tcPr>
          <w:p w14:paraId="59DCAD27">
            <w:pPr>
              <w:pStyle w:val="43"/>
              <w:rPr>
                <w:color w:val="auto"/>
                <w:highlight w:val="none"/>
              </w:rPr>
            </w:pPr>
          </w:p>
        </w:tc>
        <w:tc>
          <w:tcPr>
            <w:tcW w:w="530" w:type="pct"/>
            <w:vMerge w:val="continue"/>
            <w:tcBorders>
              <w:tl2br w:val="nil"/>
              <w:tr2bl w:val="nil"/>
            </w:tcBorders>
            <w:vAlign w:val="center"/>
          </w:tcPr>
          <w:p w14:paraId="1B58A366">
            <w:pPr>
              <w:pStyle w:val="43"/>
              <w:rPr>
                <w:color w:val="auto"/>
                <w:highlight w:val="none"/>
              </w:rPr>
            </w:pPr>
          </w:p>
        </w:tc>
        <w:tc>
          <w:tcPr>
            <w:tcW w:w="1276" w:type="pct"/>
            <w:tcBorders>
              <w:tl2br w:val="nil"/>
              <w:tr2bl w:val="nil"/>
            </w:tcBorders>
            <w:vAlign w:val="center"/>
          </w:tcPr>
          <w:p w14:paraId="69381FE1">
            <w:pPr>
              <w:pStyle w:val="43"/>
              <w:rPr>
                <w:color w:val="auto"/>
                <w:highlight w:val="none"/>
              </w:rPr>
            </w:pPr>
            <w:r>
              <w:rPr>
                <w:rFonts w:hint="eastAsia"/>
                <w:color w:val="auto"/>
                <w:highlight w:val="none"/>
              </w:rPr>
              <w:t>上部正交胶合木剪力墙结构</w:t>
            </w:r>
          </w:p>
        </w:tc>
        <w:tc>
          <w:tcPr>
            <w:tcW w:w="714" w:type="pct"/>
            <w:tcBorders>
              <w:tl2br w:val="nil"/>
              <w:tr2bl w:val="nil"/>
            </w:tcBorders>
            <w:vAlign w:val="center"/>
          </w:tcPr>
          <w:p w14:paraId="287B9D6F">
            <w:pPr>
              <w:pStyle w:val="43"/>
              <w:rPr>
                <w:color w:val="auto"/>
                <w:highlight w:val="none"/>
              </w:rPr>
            </w:pPr>
            <w:r>
              <w:rPr>
                <w:rFonts w:hint="eastAsia"/>
                <w:color w:val="auto"/>
                <w:highlight w:val="none"/>
              </w:rPr>
              <w:t>43</w:t>
            </w:r>
          </w:p>
        </w:tc>
        <w:tc>
          <w:tcPr>
            <w:tcW w:w="715" w:type="pct"/>
            <w:tcBorders>
              <w:tl2br w:val="nil"/>
              <w:tr2bl w:val="nil"/>
            </w:tcBorders>
            <w:vAlign w:val="center"/>
          </w:tcPr>
          <w:p w14:paraId="3BC65335">
            <w:pPr>
              <w:pStyle w:val="43"/>
              <w:rPr>
                <w:color w:val="auto"/>
                <w:highlight w:val="none"/>
              </w:rPr>
            </w:pPr>
            <w:r>
              <w:rPr>
                <w:rFonts w:hint="eastAsia"/>
                <w:color w:val="auto"/>
                <w:highlight w:val="none"/>
              </w:rPr>
              <w:t>13</w:t>
            </w:r>
          </w:p>
        </w:tc>
        <w:tc>
          <w:tcPr>
            <w:tcW w:w="714" w:type="pct"/>
            <w:tcBorders>
              <w:tl2br w:val="nil"/>
              <w:tr2bl w:val="nil"/>
            </w:tcBorders>
            <w:vAlign w:val="center"/>
          </w:tcPr>
          <w:p w14:paraId="66161F9F">
            <w:pPr>
              <w:pStyle w:val="43"/>
              <w:rPr>
                <w:color w:val="auto"/>
                <w:highlight w:val="none"/>
              </w:rPr>
            </w:pPr>
            <w:r>
              <w:rPr>
                <w:rFonts w:hint="eastAsia"/>
                <w:color w:val="auto"/>
                <w:highlight w:val="none"/>
              </w:rPr>
              <w:t>35</w:t>
            </w:r>
          </w:p>
        </w:tc>
        <w:tc>
          <w:tcPr>
            <w:tcW w:w="715" w:type="pct"/>
            <w:tcBorders>
              <w:tl2br w:val="nil"/>
              <w:tr2bl w:val="nil"/>
            </w:tcBorders>
            <w:vAlign w:val="center"/>
          </w:tcPr>
          <w:p w14:paraId="172FB168">
            <w:pPr>
              <w:pStyle w:val="43"/>
              <w:rPr>
                <w:color w:val="auto"/>
                <w:highlight w:val="none"/>
              </w:rPr>
            </w:pPr>
            <w:r>
              <w:rPr>
                <w:rFonts w:hint="eastAsia"/>
                <w:color w:val="auto"/>
                <w:highlight w:val="none"/>
              </w:rPr>
              <w:t>11</w:t>
            </w:r>
          </w:p>
        </w:tc>
      </w:tr>
    </w:tbl>
    <w:p w14:paraId="3B20E7A9">
      <w:pPr>
        <w:pStyle w:val="43"/>
        <w:jc w:val="left"/>
        <w:rPr>
          <w:color w:val="auto"/>
          <w:highlight w:val="none"/>
        </w:rPr>
      </w:pPr>
      <w:r>
        <w:rPr>
          <w:rFonts w:hint="eastAsia"/>
          <w:color w:val="auto"/>
          <w:highlight w:val="none"/>
        </w:rPr>
        <w:t>注：1、房屋高度指室外地面到主要屋面板板面的高度，不包括局部突出屋顶部分；</w:t>
      </w:r>
    </w:p>
    <w:p w14:paraId="70CEA893">
      <w:pPr>
        <w:pStyle w:val="43"/>
        <w:ind w:firstLine="420" w:firstLineChars="200"/>
        <w:jc w:val="left"/>
        <w:rPr>
          <w:color w:val="auto"/>
          <w:highlight w:val="none"/>
        </w:rPr>
      </w:pPr>
      <w:r>
        <w:rPr>
          <w:rFonts w:hint="eastAsia"/>
          <w:color w:val="auto"/>
          <w:highlight w:val="none"/>
        </w:rPr>
        <w:t>2、木混合结构高度与层数是指建筑的总高度和总层数；</w:t>
      </w:r>
    </w:p>
    <w:p w14:paraId="1A5E96F6">
      <w:pPr>
        <w:pStyle w:val="43"/>
        <w:ind w:firstLine="420" w:firstLineChars="200"/>
        <w:jc w:val="left"/>
        <w:rPr>
          <w:color w:val="auto"/>
          <w:highlight w:val="none"/>
        </w:rPr>
      </w:pPr>
      <w:r>
        <w:rPr>
          <w:rFonts w:hint="eastAsia"/>
          <w:color w:val="auto"/>
          <w:highlight w:val="none"/>
        </w:rPr>
        <w:t>3、超过表内高度的房屋，应进行专门研究和论证，并应采取有效的加强措施。</w:t>
      </w:r>
    </w:p>
    <w:p w14:paraId="09F001A0">
      <w:pPr>
        <w:pStyle w:val="50"/>
        <w:bidi w:val="0"/>
        <w:rPr>
          <w:rFonts w:hint="eastAsia"/>
          <w:color w:val="auto"/>
          <w:highlight w:val="none"/>
          <w:lang w:eastAsia="zh-CN"/>
        </w:rPr>
      </w:pPr>
      <w:r>
        <w:rPr>
          <w:rFonts w:hint="eastAsia"/>
          <w:color w:val="auto"/>
          <w:highlight w:val="none"/>
          <w:lang w:eastAsia="zh-CN"/>
        </w:rPr>
        <w:t>【条文说明】5.3.4 木结构建筑抗震设防分类划分应符合现行国家标准《建筑工程抗震设防分类标准》GB 50223-的规定。本表仅列出该结构形式的适用高度，如超出本规程适用高度时应按《多高层木结构建筑技术标准》GB/T 51226中的规定进行设计。考虑到本规程的地区适用范围，仅列出抗震设防烈度为6度、7度时木结构结构体系要求。</w:t>
      </w:r>
    </w:p>
    <w:p w14:paraId="614EDE0C">
      <w:pPr>
        <w:rPr>
          <w:color w:val="auto"/>
          <w:highlight w:val="none"/>
          <w:lang w:eastAsia="zh-CN"/>
        </w:rPr>
      </w:pPr>
    </w:p>
    <w:p w14:paraId="4E992975">
      <w:pPr>
        <w:pStyle w:val="4"/>
        <w:rPr>
          <w:color w:val="auto"/>
          <w:highlight w:val="none"/>
          <w:lang w:eastAsia="zh-CN"/>
        </w:rPr>
      </w:pPr>
      <w:r>
        <w:rPr>
          <w:rFonts w:hint="eastAsia"/>
          <w:b/>
          <w:bCs/>
          <w:color w:val="auto"/>
          <w:highlight w:val="none"/>
          <w:lang w:eastAsia="zh-CN"/>
        </w:rPr>
        <w:t xml:space="preserve">5.3.5  </w:t>
      </w:r>
      <w:r>
        <w:rPr>
          <w:rFonts w:hint="eastAsia"/>
          <w:color w:val="auto"/>
          <w:highlight w:val="none"/>
          <w:lang w:eastAsia="zh-CN"/>
        </w:rPr>
        <w:t>施工过程对主体结构的受力和变形有较大影响时，应进行施工阶段验算。</w:t>
      </w:r>
    </w:p>
    <w:p w14:paraId="080BAC53">
      <w:pPr>
        <w:pStyle w:val="50"/>
        <w:bidi w:val="0"/>
        <w:rPr>
          <w:rFonts w:hint="eastAsia"/>
          <w:color w:val="auto"/>
          <w:highlight w:val="none"/>
        </w:rPr>
      </w:pPr>
      <w:r>
        <w:rPr>
          <w:rFonts w:hint="eastAsia"/>
          <w:color w:val="auto"/>
          <w:highlight w:val="none"/>
        </w:rPr>
        <w:t>【条文说明】5.3.5  结构刚度是随着结构的建造过程逐步形成的，荷载也是分步作用在刚度逐步形成的结构上，其内力分布与将全部荷载一次性施加在最终成形结构上进行受力分析的结果有一定的差异，结构分析中，应充分考虑这些因素，必要时进行施工模拟分析。</w:t>
      </w:r>
    </w:p>
    <w:p w14:paraId="36832A0F">
      <w:pPr>
        <w:rPr>
          <w:color w:val="auto"/>
          <w:highlight w:val="none"/>
        </w:rPr>
      </w:pPr>
    </w:p>
    <w:p w14:paraId="065812A8">
      <w:pPr>
        <w:pStyle w:val="4"/>
        <w:rPr>
          <w:color w:val="auto"/>
          <w:szCs w:val="21"/>
          <w:highlight w:val="none"/>
          <w:lang w:eastAsia="zh-CN"/>
        </w:rPr>
      </w:pPr>
      <w:r>
        <w:rPr>
          <w:rFonts w:hint="eastAsia"/>
          <w:b/>
          <w:bCs/>
          <w:color w:val="auto"/>
          <w:szCs w:val="21"/>
          <w:highlight w:val="none"/>
          <w:lang w:eastAsia="zh-CN"/>
        </w:rPr>
        <w:t>5.3.6</w:t>
      </w:r>
      <w:r>
        <w:rPr>
          <w:rFonts w:hint="eastAsia"/>
          <w:color w:val="auto"/>
          <w:szCs w:val="21"/>
          <w:highlight w:val="none"/>
          <w:lang w:eastAsia="zh-CN"/>
        </w:rPr>
        <w:t xml:space="preserve">  </w:t>
      </w:r>
      <w:r>
        <w:rPr>
          <w:rFonts w:hint="eastAsia"/>
          <w:color w:val="auto"/>
          <w:highlight w:val="none"/>
          <w:lang w:eastAsia="zh-CN"/>
        </w:rPr>
        <w:t>木结构</w:t>
      </w:r>
      <w:r>
        <w:rPr>
          <w:rFonts w:hint="eastAsia"/>
          <w:color w:val="auto"/>
          <w:szCs w:val="21"/>
          <w:highlight w:val="none"/>
          <w:lang w:eastAsia="zh-CN"/>
        </w:rPr>
        <w:t>建筑的高宽比不宜大于表5.3.6的规定。</w:t>
      </w:r>
    </w:p>
    <w:p w14:paraId="796857FE">
      <w:pPr>
        <w:pStyle w:val="40"/>
        <w:ind w:firstLine="198"/>
        <w:rPr>
          <w:color w:val="auto"/>
          <w:sz w:val="21"/>
          <w:szCs w:val="21"/>
          <w:highlight w:val="none"/>
          <w:lang w:eastAsia="zh-CN"/>
        </w:rPr>
      </w:pPr>
      <w:r>
        <w:rPr>
          <w:rFonts w:hint="eastAsia"/>
          <w:color w:val="auto"/>
          <w:sz w:val="21"/>
          <w:szCs w:val="21"/>
          <w:highlight w:val="none"/>
          <w:lang w:eastAsia="zh-CN"/>
        </w:rPr>
        <w:t>表5.3.6  高层木结构建筑的高宽比限值</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759"/>
        <w:gridCol w:w="2759"/>
      </w:tblGrid>
      <w:tr w14:paraId="4AD8C9AF">
        <w:tblPrEx>
          <w:tblCellMar>
            <w:top w:w="0" w:type="dxa"/>
            <w:left w:w="108" w:type="dxa"/>
            <w:bottom w:w="0" w:type="dxa"/>
            <w:right w:w="108" w:type="dxa"/>
          </w:tblCellMar>
        </w:tblPrEx>
        <w:trPr>
          <w:jc w:val="center"/>
        </w:trPr>
        <w:tc>
          <w:tcPr>
            <w:tcW w:w="2758" w:type="dxa"/>
            <w:vMerge w:val="restart"/>
            <w:tcBorders>
              <w:tl2br w:val="nil"/>
              <w:tr2bl w:val="nil"/>
            </w:tcBorders>
            <w:vAlign w:val="center"/>
          </w:tcPr>
          <w:p w14:paraId="5C5A560E">
            <w:pPr>
              <w:pStyle w:val="43"/>
              <w:rPr>
                <w:color w:val="auto"/>
                <w:highlight w:val="none"/>
              </w:rPr>
            </w:pPr>
            <w:r>
              <w:rPr>
                <w:rFonts w:hint="eastAsia"/>
                <w:color w:val="auto"/>
                <w:highlight w:val="none"/>
              </w:rPr>
              <w:t>木结构类型</w:t>
            </w:r>
          </w:p>
        </w:tc>
        <w:tc>
          <w:tcPr>
            <w:tcW w:w="5518" w:type="dxa"/>
            <w:gridSpan w:val="2"/>
            <w:tcBorders>
              <w:tl2br w:val="nil"/>
              <w:tr2bl w:val="nil"/>
            </w:tcBorders>
            <w:vAlign w:val="center"/>
          </w:tcPr>
          <w:p w14:paraId="046052A2">
            <w:pPr>
              <w:pStyle w:val="43"/>
              <w:rPr>
                <w:color w:val="auto"/>
                <w:highlight w:val="none"/>
              </w:rPr>
            </w:pPr>
            <w:r>
              <w:rPr>
                <w:rFonts w:hint="eastAsia"/>
                <w:color w:val="auto"/>
                <w:highlight w:val="none"/>
              </w:rPr>
              <w:t>抗震设防烈度</w:t>
            </w:r>
          </w:p>
        </w:tc>
      </w:tr>
      <w:tr w14:paraId="136A5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vMerge w:val="continue"/>
            <w:tcBorders>
              <w:tl2br w:val="nil"/>
              <w:tr2bl w:val="nil"/>
            </w:tcBorders>
            <w:vAlign w:val="center"/>
          </w:tcPr>
          <w:p w14:paraId="2D007B39">
            <w:pPr>
              <w:pStyle w:val="43"/>
              <w:rPr>
                <w:color w:val="auto"/>
                <w:highlight w:val="none"/>
              </w:rPr>
            </w:pPr>
          </w:p>
        </w:tc>
        <w:tc>
          <w:tcPr>
            <w:tcW w:w="2759" w:type="dxa"/>
            <w:tcBorders>
              <w:tl2br w:val="nil"/>
              <w:tr2bl w:val="nil"/>
            </w:tcBorders>
            <w:vAlign w:val="center"/>
          </w:tcPr>
          <w:p w14:paraId="1A509602">
            <w:pPr>
              <w:pStyle w:val="43"/>
              <w:rPr>
                <w:color w:val="auto"/>
                <w:highlight w:val="none"/>
              </w:rPr>
            </w:pPr>
            <w:r>
              <w:rPr>
                <w:rFonts w:hint="eastAsia"/>
                <w:color w:val="auto"/>
                <w:highlight w:val="none"/>
              </w:rPr>
              <w:t>6度</w:t>
            </w:r>
          </w:p>
        </w:tc>
        <w:tc>
          <w:tcPr>
            <w:tcW w:w="2759" w:type="dxa"/>
            <w:tcBorders>
              <w:tl2br w:val="nil"/>
              <w:tr2bl w:val="nil"/>
            </w:tcBorders>
            <w:vAlign w:val="center"/>
          </w:tcPr>
          <w:p w14:paraId="5671DF62">
            <w:pPr>
              <w:pStyle w:val="43"/>
              <w:rPr>
                <w:color w:val="auto"/>
                <w:highlight w:val="none"/>
              </w:rPr>
            </w:pPr>
            <w:r>
              <w:rPr>
                <w:rFonts w:hint="eastAsia"/>
                <w:color w:val="auto"/>
                <w:highlight w:val="none"/>
              </w:rPr>
              <w:t>7度</w:t>
            </w:r>
          </w:p>
        </w:tc>
      </w:tr>
      <w:tr w14:paraId="26BBC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tcBorders>
              <w:tl2br w:val="nil"/>
              <w:tr2bl w:val="nil"/>
            </w:tcBorders>
            <w:vAlign w:val="center"/>
          </w:tcPr>
          <w:p w14:paraId="2D409F59">
            <w:pPr>
              <w:pStyle w:val="43"/>
              <w:rPr>
                <w:color w:val="auto"/>
                <w:highlight w:val="none"/>
              </w:rPr>
            </w:pPr>
            <w:r>
              <w:rPr>
                <w:rFonts w:hint="eastAsia"/>
                <w:color w:val="auto"/>
                <w:highlight w:val="none"/>
              </w:rPr>
              <w:t>轻型木结构</w:t>
            </w:r>
          </w:p>
        </w:tc>
        <w:tc>
          <w:tcPr>
            <w:tcW w:w="2759" w:type="dxa"/>
            <w:tcBorders>
              <w:tl2br w:val="nil"/>
              <w:tr2bl w:val="nil"/>
            </w:tcBorders>
            <w:vAlign w:val="center"/>
          </w:tcPr>
          <w:p w14:paraId="2D9EA189">
            <w:pPr>
              <w:pStyle w:val="43"/>
              <w:rPr>
                <w:color w:val="auto"/>
                <w:highlight w:val="none"/>
              </w:rPr>
            </w:pPr>
            <w:r>
              <w:rPr>
                <w:rFonts w:hint="eastAsia"/>
                <w:color w:val="auto"/>
                <w:highlight w:val="none"/>
              </w:rPr>
              <w:t>4</w:t>
            </w:r>
          </w:p>
        </w:tc>
        <w:tc>
          <w:tcPr>
            <w:tcW w:w="2759" w:type="dxa"/>
            <w:tcBorders>
              <w:tl2br w:val="nil"/>
              <w:tr2bl w:val="nil"/>
            </w:tcBorders>
            <w:vAlign w:val="center"/>
          </w:tcPr>
          <w:p w14:paraId="6A57F849">
            <w:pPr>
              <w:pStyle w:val="43"/>
              <w:rPr>
                <w:color w:val="auto"/>
                <w:highlight w:val="none"/>
              </w:rPr>
            </w:pPr>
            <w:r>
              <w:rPr>
                <w:rFonts w:hint="eastAsia"/>
                <w:color w:val="auto"/>
                <w:highlight w:val="none"/>
              </w:rPr>
              <w:t>4</w:t>
            </w:r>
          </w:p>
        </w:tc>
      </w:tr>
      <w:tr w14:paraId="15BCD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tcBorders>
              <w:tl2br w:val="nil"/>
              <w:tr2bl w:val="nil"/>
            </w:tcBorders>
            <w:vAlign w:val="center"/>
          </w:tcPr>
          <w:p w14:paraId="397A835B">
            <w:pPr>
              <w:pStyle w:val="43"/>
              <w:rPr>
                <w:color w:val="auto"/>
                <w:highlight w:val="none"/>
              </w:rPr>
            </w:pPr>
            <w:r>
              <w:rPr>
                <w:rFonts w:hint="eastAsia"/>
                <w:color w:val="auto"/>
                <w:highlight w:val="none"/>
              </w:rPr>
              <w:t>木框架支撑结构</w:t>
            </w:r>
          </w:p>
        </w:tc>
        <w:tc>
          <w:tcPr>
            <w:tcW w:w="2759" w:type="dxa"/>
            <w:tcBorders>
              <w:tl2br w:val="nil"/>
              <w:tr2bl w:val="nil"/>
            </w:tcBorders>
            <w:vAlign w:val="center"/>
          </w:tcPr>
          <w:p w14:paraId="3E30449D">
            <w:pPr>
              <w:pStyle w:val="43"/>
              <w:rPr>
                <w:color w:val="auto"/>
                <w:highlight w:val="none"/>
              </w:rPr>
            </w:pPr>
            <w:r>
              <w:rPr>
                <w:rFonts w:hint="eastAsia"/>
                <w:color w:val="auto"/>
                <w:highlight w:val="none"/>
              </w:rPr>
              <w:t>4</w:t>
            </w:r>
          </w:p>
        </w:tc>
        <w:tc>
          <w:tcPr>
            <w:tcW w:w="2759" w:type="dxa"/>
            <w:tcBorders>
              <w:tl2br w:val="nil"/>
              <w:tr2bl w:val="nil"/>
            </w:tcBorders>
            <w:vAlign w:val="center"/>
          </w:tcPr>
          <w:p w14:paraId="79A8710A">
            <w:pPr>
              <w:pStyle w:val="43"/>
              <w:rPr>
                <w:color w:val="auto"/>
                <w:highlight w:val="none"/>
              </w:rPr>
            </w:pPr>
            <w:r>
              <w:rPr>
                <w:rFonts w:hint="eastAsia"/>
                <w:color w:val="auto"/>
                <w:highlight w:val="none"/>
              </w:rPr>
              <w:t>4</w:t>
            </w:r>
          </w:p>
        </w:tc>
      </w:tr>
      <w:tr w14:paraId="220F6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tcBorders>
              <w:tl2br w:val="nil"/>
              <w:tr2bl w:val="nil"/>
            </w:tcBorders>
            <w:vAlign w:val="center"/>
          </w:tcPr>
          <w:p w14:paraId="12517555">
            <w:pPr>
              <w:pStyle w:val="43"/>
              <w:rPr>
                <w:color w:val="auto"/>
                <w:highlight w:val="none"/>
              </w:rPr>
            </w:pPr>
            <w:r>
              <w:rPr>
                <w:rFonts w:hint="eastAsia"/>
                <w:color w:val="auto"/>
                <w:highlight w:val="none"/>
              </w:rPr>
              <w:t>木框架剪力墙结构</w:t>
            </w:r>
          </w:p>
        </w:tc>
        <w:tc>
          <w:tcPr>
            <w:tcW w:w="2759" w:type="dxa"/>
            <w:tcBorders>
              <w:tl2br w:val="nil"/>
              <w:tr2bl w:val="nil"/>
            </w:tcBorders>
            <w:vAlign w:val="center"/>
          </w:tcPr>
          <w:p w14:paraId="173C1CBE">
            <w:pPr>
              <w:pStyle w:val="43"/>
              <w:rPr>
                <w:color w:val="auto"/>
                <w:highlight w:val="none"/>
              </w:rPr>
            </w:pPr>
            <w:r>
              <w:rPr>
                <w:rFonts w:hint="eastAsia"/>
                <w:color w:val="auto"/>
                <w:highlight w:val="none"/>
              </w:rPr>
              <w:t>4</w:t>
            </w:r>
          </w:p>
        </w:tc>
        <w:tc>
          <w:tcPr>
            <w:tcW w:w="2759" w:type="dxa"/>
            <w:tcBorders>
              <w:tl2br w:val="nil"/>
              <w:tr2bl w:val="nil"/>
            </w:tcBorders>
            <w:vAlign w:val="center"/>
          </w:tcPr>
          <w:p w14:paraId="33C93CB4">
            <w:pPr>
              <w:pStyle w:val="43"/>
              <w:rPr>
                <w:color w:val="auto"/>
                <w:highlight w:val="none"/>
              </w:rPr>
            </w:pPr>
            <w:r>
              <w:rPr>
                <w:rFonts w:hint="eastAsia"/>
                <w:color w:val="auto"/>
                <w:highlight w:val="none"/>
              </w:rPr>
              <w:t>4</w:t>
            </w:r>
          </w:p>
        </w:tc>
      </w:tr>
      <w:tr w14:paraId="4DEC9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tcBorders>
              <w:tl2br w:val="nil"/>
              <w:tr2bl w:val="nil"/>
            </w:tcBorders>
            <w:vAlign w:val="center"/>
          </w:tcPr>
          <w:p w14:paraId="6AD9FE53">
            <w:pPr>
              <w:pStyle w:val="43"/>
              <w:rPr>
                <w:color w:val="auto"/>
                <w:highlight w:val="none"/>
              </w:rPr>
            </w:pPr>
            <w:r>
              <w:rPr>
                <w:rFonts w:hint="eastAsia"/>
                <w:color w:val="auto"/>
                <w:highlight w:val="none"/>
              </w:rPr>
              <w:t>正交胶合木剪力墙结构</w:t>
            </w:r>
          </w:p>
        </w:tc>
        <w:tc>
          <w:tcPr>
            <w:tcW w:w="2759" w:type="dxa"/>
            <w:tcBorders>
              <w:tl2br w:val="nil"/>
              <w:tr2bl w:val="nil"/>
            </w:tcBorders>
            <w:vAlign w:val="center"/>
          </w:tcPr>
          <w:p w14:paraId="38F71CA9">
            <w:pPr>
              <w:pStyle w:val="43"/>
              <w:rPr>
                <w:color w:val="auto"/>
                <w:highlight w:val="none"/>
              </w:rPr>
            </w:pPr>
            <w:r>
              <w:rPr>
                <w:rFonts w:hint="eastAsia"/>
                <w:color w:val="auto"/>
                <w:highlight w:val="none"/>
              </w:rPr>
              <w:t>5</w:t>
            </w:r>
          </w:p>
        </w:tc>
        <w:tc>
          <w:tcPr>
            <w:tcW w:w="2759" w:type="dxa"/>
            <w:tcBorders>
              <w:tl2br w:val="nil"/>
              <w:tr2bl w:val="nil"/>
            </w:tcBorders>
            <w:vAlign w:val="center"/>
          </w:tcPr>
          <w:p w14:paraId="11B68188">
            <w:pPr>
              <w:pStyle w:val="43"/>
              <w:rPr>
                <w:color w:val="auto"/>
                <w:highlight w:val="none"/>
              </w:rPr>
            </w:pPr>
            <w:r>
              <w:rPr>
                <w:rFonts w:hint="eastAsia"/>
                <w:color w:val="auto"/>
                <w:highlight w:val="none"/>
              </w:rPr>
              <w:t>4</w:t>
            </w:r>
          </w:p>
        </w:tc>
      </w:tr>
      <w:tr w14:paraId="00816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58" w:type="dxa"/>
            <w:tcBorders>
              <w:tl2br w:val="nil"/>
              <w:tr2bl w:val="nil"/>
            </w:tcBorders>
            <w:vAlign w:val="center"/>
          </w:tcPr>
          <w:p w14:paraId="3C4305DF">
            <w:pPr>
              <w:pStyle w:val="43"/>
              <w:rPr>
                <w:color w:val="auto"/>
                <w:highlight w:val="none"/>
              </w:rPr>
            </w:pPr>
            <w:r>
              <w:rPr>
                <w:rFonts w:hint="eastAsia"/>
                <w:color w:val="auto"/>
                <w:highlight w:val="none"/>
              </w:rPr>
              <w:t>上下混合木结构</w:t>
            </w:r>
          </w:p>
        </w:tc>
        <w:tc>
          <w:tcPr>
            <w:tcW w:w="2759" w:type="dxa"/>
            <w:tcBorders>
              <w:tl2br w:val="nil"/>
              <w:tr2bl w:val="nil"/>
            </w:tcBorders>
            <w:vAlign w:val="center"/>
          </w:tcPr>
          <w:p w14:paraId="75E076A7">
            <w:pPr>
              <w:pStyle w:val="43"/>
              <w:rPr>
                <w:color w:val="auto"/>
                <w:highlight w:val="none"/>
              </w:rPr>
            </w:pPr>
            <w:r>
              <w:rPr>
                <w:rFonts w:hint="eastAsia"/>
                <w:color w:val="auto"/>
                <w:highlight w:val="none"/>
              </w:rPr>
              <w:t>4</w:t>
            </w:r>
          </w:p>
        </w:tc>
        <w:tc>
          <w:tcPr>
            <w:tcW w:w="2759" w:type="dxa"/>
            <w:tcBorders>
              <w:tl2br w:val="nil"/>
              <w:tr2bl w:val="nil"/>
            </w:tcBorders>
            <w:vAlign w:val="center"/>
          </w:tcPr>
          <w:p w14:paraId="78B73C49">
            <w:pPr>
              <w:pStyle w:val="43"/>
              <w:rPr>
                <w:color w:val="auto"/>
                <w:highlight w:val="none"/>
              </w:rPr>
            </w:pPr>
            <w:r>
              <w:rPr>
                <w:rFonts w:hint="eastAsia"/>
                <w:color w:val="auto"/>
                <w:highlight w:val="none"/>
              </w:rPr>
              <w:t>4</w:t>
            </w:r>
          </w:p>
        </w:tc>
      </w:tr>
    </w:tbl>
    <w:p w14:paraId="2EF46F80">
      <w:pPr>
        <w:pStyle w:val="43"/>
        <w:ind w:firstLine="840" w:firstLineChars="400"/>
        <w:jc w:val="left"/>
        <w:rPr>
          <w:color w:val="auto"/>
          <w:highlight w:val="none"/>
        </w:rPr>
      </w:pPr>
      <w:r>
        <w:rPr>
          <w:rFonts w:hint="eastAsia"/>
          <w:color w:val="auto"/>
          <w:highlight w:val="none"/>
        </w:rPr>
        <w:t>注：1、计算高宽比的高度从室外地面算起；</w:t>
      </w:r>
    </w:p>
    <w:p w14:paraId="05B2FF74">
      <w:pPr>
        <w:pStyle w:val="43"/>
        <w:ind w:firstLine="840" w:firstLineChars="400"/>
        <w:jc w:val="left"/>
        <w:rPr>
          <w:color w:val="auto"/>
          <w:highlight w:val="none"/>
        </w:rPr>
      </w:pPr>
      <w:r>
        <w:rPr>
          <w:rFonts w:hint="eastAsia"/>
          <w:color w:val="auto"/>
          <w:highlight w:val="none"/>
        </w:rPr>
        <w:t>2、当建筑底部有大底盘时，计算高宽比的高度从大底盘顶部算起；</w:t>
      </w:r>
    </w:p>
    <w:p w14:paraId="5049BAA2">
      <w:pPr>
        <w:pStyle w:val="43"/>
        <w:ind w:firstLine="840" w:firstLineChars="400"/>
        <w:jc w:val="left"/>
        <w:rPr>
          <w:color w:val="auto"/>
          <w:highlight w:val="none"/>
        </w:rPr>
      </w:pPr>
      <w:r>
        <w:rPr>
          <w:rFonts w:hint="eastAsia"/>
          <w:color w:val="auto"/>
          <w:highlight w:val="none"/>
        </w:rPr>
        <w:t>3、上下混合木结构的高宽比，按木结构部分计算。</w:t>
      </w:r>
    </w:p>
    <w:p w14:paraId="5AE3BF70">
      <w:pPr>
        <w:pStyle w:val="4"/>
        <w:rPr>
          <w:color w:val="auto"/>
          <w:szCs w:val="21"/>
          <w:highlight w:val="none"/>
          <w:lang w:eastAsia="zh-CN"/>
        </w:rPr>
      </w:pPr>
      <w:r>
        <w:rPr>
          <w:rFonts w:hint="eastAsia"/>
          <w:b/>
          <w:bCs/>
          <w:color w:val="auto"/>
          <w:szCs w:val="21"/>
          <w:highlight w:val="none"/>
          <w:lang w:eastAsia="zh-CN"/>
        </w:rPr>
        <w:t>5.3.7</w:t>
      </w:r>
      <w:r>
        <w:rPr>
          <w:rFonts w:hint="eastAsia"/>
          <w:color w:val="auto"/>
          <w:szCs w:val="21"/>
          <w:highlight w:val="none"/>
          <w:lang w:eastAsia="zh-CN"/>
        </w:rPr>
        <w:t xml:space="preserve">  建筑平面布置宜规则、对称，并应具有良好的整体性；宜选用风作用效应较小的平面形状；楼面宜连续，楼面不宜有较大凹入或开洞。木结构建筑的结构平面不规则和竖向不规则应符合现行国家标准《建筑抗震设计规范》</w:t>
      </w:r>
      <w:r>
        <w:rPr>
          <w:color w:val="auto"/>
          <w:szCs w:val="21"/>
          <w:highlight w:val="none"/>
          <w:lang w:eastAsia="zh-CN"/>
        </w:rPr>
        <w:t>GB</w:t>
      </w:r>
      <w:r>
        <w:rPr>
          <w:rFonts w:hint="eastAsia"/>
          <w:color w:val="auto"/>
          <w:szCs w:val="21"/>
          <w:highlight w:val="none"/>
          <w:lang w:eastAsia="zh-CN"/>
        </w:rPr>
        <w:t xml:space="preserve"> </w:t>
      </w:r>
      <w:r>
        <w:rPr>
          <w:color w:val="auto"/>
          <w:szCs w:val="21"/>
          <w:highlight w:val="none"/>
          <w:lang w:eastAsia="zh-CN"/>
        </w:rPr>
        <w:t>50011</w:t>
      </w:r>
      <w:r>
        <w:rPr>
          <w:rFonts w:hint="eastAsia"/>
          <w:color w:val="auto"/>
          <w:szCs w:val="21"/>
          <w:highlight w:val="none"/>
          <w:lang w:eastAsia="zh-CN"/>
        </w:rPr>
        <w:t>的规定。</w:t>
      </w:r>
    </w:p>
    <w:p w14:paraId="73752ED4">
      <w:pPr>
        <w:pStyle w:val="4"/>
        <w:rPr>
          <w:color w:val="auto"/>
          <w:szCs w:val="21"/>
          <w:highlight w:val="none"/>
          <w:lang w:eastAsia="zh-CN"/>
        </w:rPr>
      </w:pPr>
      <w:r>
        <w:rPr>
          <w:rFonts w:hint="eastAsia"/>
          <w:b/>
          <w:bCs/>
          <w:color w:val="auto"/>
          <w:szCs w:val="21"/>
          <w:highlight w:val="none"/>
          <w:lang w:eastAsia="zh-CN"/>
        </w:rPr>
        <w:t xml:space="preserve">5.3.8  </w:t>
      </w:r>
      <w:r>
        <w:rPr>
          <w:rFonts w:hint="eastAsia"/>
          <w:color w:val="auto"/>
          <w:szCs w:val="21"/>
          <w:highlight w:val="none"/>
          <w:lang w:eastAsia="zh-CN"/>
        </w:rPr>
        <w:t>木结构建筑竖向布置应符合下列规定：</w:t>
      </w:r>
    </w:p>
    <w:p w14:paraId="1EC120E7">
      <w:pPr>
        <w:pStyle w:val="4"/>
        <w:ind w:firstLine="361" w:firstLineChars="150"/>
        <w:rPr>
          <w:color w:val="auto"/>
          <w:szCs w:val="21"/>
          <w:highlight w:val="none"/>
          <w:lang w:eastAsia="zh-CN"/>
        </w:rPr>
      </w:pPr>
      <w:r>
        <w:rPr>
          <w:b/>
          <w:bCs/>
          <w:color w:val="auto"/>
          <w:szCs w:val="21"/>
          <w:highlight w:val="none"/>
          <w:lang w:eastAsia="zh-CN"/>
        </w:rPr>
        <w:t>1</w:t>
      </w:r>
      <w:r>
        <w:rPr>
          <w:rFonts w:hint="eastAsia"/>
          <w:color w:val="auto"/>
          <w:szCs w:val="21"/>
          <w:highlight w:val="none"/>
          <w:lang w:eastAsia="zh-CN"/>
        </w:rPr>
        <w:t xml:space="preserve">  结构的竖向</w:t>
      </w:r>
      <w:r>
        <w:rPr>
          <w:rFonts w:hint="eastAsia"/>
          <w:color w:val="auto"/>
          <w:highlight w:val="none"/>
          <w:lang w:eastAsia="zh-CN"/>
        </w:rPr>
        <w:t>布置</w:t>
      </w:r>
      <w:r>
        <w:rPr>
          <w:rFonts w:hint="eastAsia"/>
          <w:color w:val="auto"/>
          <w:szCs w:val="21"/>
          <w:highlight w:val="none"/>
          <w:lang w:eastAsia="zh-CN"/>
        </w:rPr>
        <w:t>宜规则、均匀，不宜有过大的外挑和内收。结构的侧向刚度宜下大上小，逐渐均匀变化，结构竖向抗侧力构件宜上下连续贯通。</w:t>
      </w:r>
    </w:p>
    <w:p w14:paraId="5C1C1A48">
      <w:pPr>
        <w:pStyle w:val="4"/>
        <w:ind w:firstLine="361" w:firstLineChars="150"/>
        <w:rPr>
          <w:color w:val="auto"/>
          <w:szCs w:val="21"/>
          <w:highlight w:val="none"/>
          <w:lang w:eastAsia="zh-CN"/>
        </w:rPr>
      </w:pPr>
      <w:r>
        <w:rPr>
          <w:b/>
          <w:bCs/>
          <w:color w:val="auto"/>
          <w:szCs w:val="21"/>
          <w:highlight w:val="none"/>
          <w:lang w:eastAsia="zh-CN"/>
        </w:rPr>
        <w:t>2</w:t>
      </w:r>
      <w:r>
        <w:rPr>
          <w:rFonts w:hint="eastAsia"/>
          <w:color w:val="auto"/>
          <w:szCs w:val="21"/>
          <w:highlight w:val="none"/>
          <w:lang w:eastAsia="zh-CN"/>
        </w:rPr>
        <w:t xml:space="preserve">  相邻</w:t>
      </w:r>
      <w:r>
        <w:rPr>
          <w:rFonts w:hint="eastAsia"/>
          <w:color w:val="auto"/>
          <w:highlight w:val="none"/>
          <w:lang w:eastAsia="zh-CN"/>
        </w:rPr>
        <w:t>楼层</w:t>
      </w:r>
      <w:r>
        <w:rPr>
          <w:rFonts w:hint="eastAsia"/>
          <w:color w:val="auto"/>
          <w:szCs w:val="21"/>
          <w:highlight w:val="none"/>
          <w:lang w:eastAsia="zh-CN"/>
        </w:rPr>
        <w:t>的侧向刚度比可按公式（5.3.8）计算，且本层与相邻上层的比值不宜小于</w:t>
      </w:r>
      <w:r>
        <w:rPr>
          <w:color w:val="auto"/>
          <w:szCs w:val="21"/>
          <w:highlight w:val="none"/>
          <w:lang w:eastAsia="zh-CN"/>
        </w:rPr>
        <w:t>0</w:t>
      </w:r>
      <w:r>
        <w:rPr>
          <w:rFonts w:hint="eastAsia"/>
          <w:color w:val="auto"/>
          <w:szCs w:val="21"/>
          <w:highlight w:val="none"/>
          <w:lang w:eastAsia="zh-CN"/>
        </w:rPr>
        <w:t>.</w:t>
      </w:r>
      <w:r>
        <w:rPr>
          <w:color w:val="auto"/>
          <w:szCs w:val="21"/>
          <w:highlight w:val="none"/>
          <w:lang w:eastAsia="zh-CN"/>
        </w:rPr>
        <w:t>7</w:t>
      </w:r>
      <w:r>
        <w:rPr>
          <w:rFonts w:hint="eastAsia"/>
          <w:color w:val="auto"/>
          <w:szCs w:val="21"/>
          <w:highlight w:val="none"/>
          <w:lang w:eastAsia="zh-CN"/>
        </w:rPr>
        <w:t>，与相邻上部三层刚度的平均值不宜小于</w:t>
      </w:r>
      <w:r>
        <w:rPr>
          <w:color w:val="auto"/>
          <w:szCs w:val="21"/>
          <w:highlight w:val="none"/>
          <w:lang w:eastAsia="zh-CN"/>
        </w:rPr>
        <w:t>0</w:t>
      </w:r>
      <w:r>
        <w:rPr>
          <w:rFonts w:hint="eastAsia"/>
          <w:color w:val="auto"/>
          <w:szCs w:val="21"/>
          <w:highlight w:val="none"/>
          <w:lang w:eastAsia="zh-CN"/>
        </w:rPr>
        <w:t>.</w:t>
      </w:r>
      <w:r>
        <w:rPr>
          <w:color w:val="auto"/>
          <w:szCs w:val="21"/>
          <w:highlight w:val="none"/>
          <w:lang w:eastAsia="zh-CN"/>
        </w:rPr>
        <w:t>80</w:t>
      </w:r>
      <w:r>
        <w:rPr>
          <w:rFonts w:hint="eastAsia"/>
          <w:color w:val="auto"/>
          <w:szCs w:val="21"/>
          <w:highlight w:val="none"/>
          <w:lang w:eastAsia="zh-CN"/>
        </w:rPr>
        <w:t>，当本层层高大于相邻上层层高的</w:t>
      </w:r>
      <w:r>
        <w:rPr>
          <w:color w:val="auto"/>
          <w:szCs w:val="21"/>
          <w:highlight w:val="none"/>
          <w:lang w:eastAsia="zh-CN"/>
        </w:rPr>
        <w:t>1</w:t>
      </w:r>
      <w:r>
        <w:rPr>
          <w:rFonts w:hint="eastAsia"/>
          <w:color w:val="auto"/>
          <w:szCs w:val="21"/>
          <w:highlight w:val="none"/>
          <w:lang w:eastAsia="zh-CN"/>
        </w:rPr>
        <w:t>.</w:t>
      </w:r>
      <w:r>
        <w:rPr>
          <w:color w:val="auto"/>
          <w:szCs w:val="21"/>
          <w:highlight w:val="none"/>
          <w:lang w:eastAsia="zh-CN"/>
        </w:rPr>
        <w:t>5</w:t>
      </w:r>
      <w:r>
        <w:rPr>
          <w:rFonts w:hint="eastAsia"/>
          <w:color w:val="auto"/>
          <w:szCs w:val="21"/>
          <w:highlight w:val="none"/>
          <w:lang w:eastAsia="zh-CN"/>
        </w:rPr>
        <w:t>倍时，该比值不宜小于</w:t>
      </w:r>
      <w:r>
        <w:rPr>
          <w:color w:val="auto"/>
          <w:szCs w:val="21"/>
          <w:highlight w:val="none"/>
          <w:lang w:eastAsia="zh-CN"/>
        </w:rPr>
        <w:t>1</w:t>
      </w:r>
      <w:r>
        <w:rPr>
          <w:rFonts w:hint="eastAsia"/>
          <w:color w:val="auto"/>
          <w:szCs w:val="21"/>
          <w:highlight w:val="none"/>
          <w:lang w:eastAsia="zh-CN"/>
        </w:rPr>
        <w:t>.</w:t>
      </w:r>
      <w:r>
        <w:rPr>
          <w:color w:val="auto"/>
          <w:szCs w:val="21"/>
          <w:highlight w:val="none"/>
          <w:lang w:eastAsia="zh-CN"/>
        </w:rPr>
        <w:t>1</w:t>
      </w:r>
      <w:r>
        <w:rPr>
          <w:rFonts w:hint="eastAsia"/>
          <w:color w:val="auto"/>
          <w:szCs w:val="21"/>
          <w:highlight w:val="none"/>
          <w:lang w:eastAsia="zh-CN"/>
        </w:rPr>
        <w:t xml:space="preserve"> ；底层结构与上层的比值不得小于</w:t>
      </w:r>
      <w:r>
        <w:rPr>
          <w:color w:val="auto"/>
          <w:szCs w:val="21"/>
          <w:highlight w:val="none"/>
          <w:lang w:eastAsia="zh-CN"/>
        </w:rPr>
        <w:t>1</w:t>
      </w:r>
      <w:r>
        <w:rPr>
          <w:rFonts w:hint="eastAsia"/>
          <w:color w:val="auto"/>
          <w:szCs w:val="21"/>
          <w:highlight w:val="none"/>
          <w:lang w:eastAsia="zh-CN"/>
        </w:rPr>
        <w:t>.</w:t>
      </w:r>
      <w:r>
        <w:rPr>
          <w:color w:val="auto"/>
          <w:szCs w:val="21"/>
          <w:highlight w:val="none"/>
          <w:lang w:eastAsia="zh-CN"/>
        </w:rPr>
        <w:t>5</w:t>
      </w:r>
      <w:r>
        <w:rPr>
          <w:rFonts w:hint="eastAsia"/>
          <w:color w:val="auto"/>
          <w:szCs w:val="21"/>
          <w:highlight w:val="none"/>
          <w:lang w:eastAsia="zh-CN"/>
        </w:rPr>
        <w:t>。</w:t>
      </w:r>
    </w:p>
    <w:p w14:paraId="6C46726B">
      <w:pPr>
        <w:widowControl/>
        <w:adjustRightInd w:val="0"/>
        <w:snapToGrid w:val="0"/>
        <w:ind w:firstLine="360" w:firstLineChars="150"/>
        <w:jc w:val="right"/>
        <w:rPr>
          <w:color w:val="auto"/>
          <w:szCs w:val="21"/>
          <w:highlight w:val="none"/>
        </w:rPr>
      </w:pPr>
      <w:r>
        <w:rPr>
          <w:rFonts w:hint="eastAsia"/>
          <w:color w:val="auto"/>
          <w:szCs w:val="21"/>
          <w:highlight w:val="none"/>
        </w:rPr>
        <w:t xml:space="preserve">     </w:t>
      </w:r>
      <m:oMath>
        <m:sSub>
          <m:sSubPr>
            <m:ctrlPr>
              <w:rPr>
                <w:rFonts w:ascii="Cambria Math" w:hAnsi="Cambria Math"/>
                <w:color w:val="auto"/>
                <w:szCs w:val="21"/>
                <w:highlight w:val="none"/>
              </w:rPr>
            </m:ctrlPr>
          </m:sSubPr>
          <m:e>
            <m:r>
              <m:rPr/>
              <w:rPr>
                <w:rFonts w:hint="eastAsia" w:ascii="Cambria Math" w:hAnsi="Cambria Math"/>
                <w:color w:val="auto"/>
                <w:szCs w:val="21"/>
                <w:highlight w:val="none"/>
              </w:rPr>
              <m:t>γ</m:t>
            </m:r>
            <m:ctrlPr>
              <w:rPr>
                <w:rFonts w:ascii="Cambria Math" w:hAnsi="Cambria Math"/>
                <w:color w:val="auto"/>
                <w:szCs w:val="21"/>
                <w:highlight w:val="none"/>
              </w:rPr>
            </m:ctrlPr>
          </m:e>
          <m:sub>
            <m:r>
              <m:rPr>
                <m:sty m:val="p"/>
              </m:rPr>
              <w:rPr>
                <w:rFonts w:hint="eastAsia" w:ascii="Cambria Math" w:hAnsi="Cambria Math"/>
                <w:color w:val="auto"/>
                <w:szCs w:val="21"/>
                <w:highlight w:val="none"/>
              </w:rPr>
              <m:t>2</m:t>
            </m:r>
            <m:ctrlPr>
              <w:rPr>
                <w:rFonts w:ascii="Cambria Math" w:hAnsi="Cambria Math"/>
                <w:color w:val="auto"/>
                <w:szCs w:val="21"/>
                <w:highlight w:val="none"/>
              </w:rPr>
            </m:ctrlPr>
          </m:sub>
        </m:sSub>
      </m:oMath>
      <w:r>
        <w:rPr>
          <w:rFonts w:hint="eastAsia"/>
          <w:color w:val="auto"/>
          <w:szCs w:val="21"/>
          <w:highlight w:val="none"/>
        </w:rPr>
        <w:t>=</w:t>
      </w:r>
      <m:oMath>
        <m:f>
          <m:fPr>
            <m:ctrlPr>
              <w:rPr>
                <w:rFonts w:ascii="Cambria Math" w:hAnsi="Cambria Math"/>
                <w:i/>
                <w:color w:val="auto"/>
                <w:szCs w:val="21"/>
                <w:highlight w:val="none"/>
              </w:rPr>
            </m:ctrlPr>
          </m:fPr>
          <m:num>
            <m:sSub>
              <m:sSubPr>
                <m:ctrlPr>
                  <w:rPr>
                    <w:rFonts w:ascii="Cambria Math" w:hAnsi="Cambria Math"/>
                    <w:i/>
                    <w:color w:val="auto"/>
                    <w:szCs w:val="21"/>
                    <w:highlight w:val="none"/>
                  </w:rPr>
                </m:ctrlPr>
              </m:sSubPr>
              <m:e>
                <m:sSub>
                  <m:sSubPr>
                    <m:ctrlPr>
                      <w:rPr>
                        <w:rFonts w:ascii="Cambria Math" w:hAnsi="Cambria Math"/>
                        <w:i/>
                        <w:color w:val="auto"/>
                        <w:szCs w:val="21"/>
                        <w:highlight w:val="none"/>
                      </w:rPr>
                    </m:ctrlPr>
                  </m:sSubPr>
                  <m:e>
                    <m:r>
                      <m:rPr/>
                      <w:rPr>
                        <w:rFonts w:hint="eastAsia" w:ascii="Cambria Math" w:hAnsi="Cambria Math"/>
                        <w:color w:val="auto"/>
                        <w:szCs w:val="21"/>
                        <w:highlight w:val="none"/>
                      </w:rPr>
                      <m:t>V</m:t>
                    </m:r>
                    <m:ctrlPr>
                      <w:rPr>
                        <w:rFonts w:ascii="Cambria Math" w:hAnsi="Cambria Math"/>
                        <w:i/>
                        <w:color w:val="auto"/>
                        <w:szCs w:val="21"/>
                        <w:highlight w:val="none"/>
                      </w:rPr>
                    </m:ctrlPr>
                  </m:e>
                  <m:sub>
                    <m:r>
                      <m:rPr/>
                      <w:rPr>
                        <w:rFonts w:hint="eastAsia" w:ascii="Cambria Math" w:hAnsi="Cambria Math"/>
                        <w:color w:val="auto"/>
                        <w:szCs w:val="21"/>
                        <w:highlight w:val="none"/>
                      </w:rPr>
                      <m:t>i</m:t>
                    </m:r>
                    <m:ctrlPr>
                      <w:rPr>
                        <w:rFonts w:ascii="Cambria Math" w:hAnsi="Cambria Math"/>
                        <w:i/>
                        <w:color w:val="auto"/>
                        <w:szCs w:val="21"/>
                        <w:highlight w:val="none"/>
                      </w:rPr>
                    </m:ctrlPr>
                  </m:sub>
                </m:sSub>
                <m:r>
                  <m:rPr/>
                  <w:rPr>
                    <w:rFonts w:hint="eastAsia" w:ascii="Cambria Math" w:hAnsi="Cambria Math" w:eastAsia="微软雅黑" w:cs="微软雅黑"/>
                    <w:color w:val="auto"/>
                    <w:szCs w:val="21"/>
                    <w:highlight w:val="none"/>
                  </w:rPr>
                  <m:t>∆</m:t>
                </m:r>
                <m:ctrlPr>
                  <w:rPr>
                    <w:rFonts w:ascii="Cambria Math" w:hAnsi="Cambria Math"/>
                    <w:i/>
                    <w:color w:val="auto"/>
                    <w:szCs w:val="21"/>
                    <w:highlight w:val="none"/>
                  </w:rPr>
                </m:ctrlPr>
              </m:e>
              <m:sub>
                <m:r>
                  <m:rPr/>
                  <w:rPr>
                    <w:rFonts w:hint="eastAsia" w:ascii="Cambria Math" w:hAnsi="Cambria Math"/>
                    <w:color w:val="auto"/>
                    <w:szCs w:val="21"/>
                    <w:highlight w:val="none"/>
                  </w:rPr>
                  <m:t>i+1</m:t>
                </m:r>
                <m:ctrlPr>
                  <w:rPr>
                    <w:rFonts w:ascii="Cambria Math" w:hAnsi="Cambria Math"/>
                    <w:i/>
                    <w:color w:val="auto"/>
                    <w:szCs w:val="21"/>
                    <w:highlight w:val="none"/>
                  </w:rPr>
                </m:ctrlPr>
              </m:sub>
            </m:sSub>
            <m:ctrlPr>
              <w:rPr>
                <w:rFonts w:ascii="Cambria Math" w:hAnsi="Cambria Math"/>
                <w:i/>
                <w:color w:val="auto"/>
                <w:szCs w:val="21"/>
                <w:highlight w:val="none"/>
              </w:rPr>
            </m:ctrlPr>
          </m:num>
          <m:den>
            <m:sSub>
              <m:sSubPr>
                <m:ctrlPr>
                  <w:rPr>
                    <w:rFonts w:ascii="Cambria Math" w:hAnsi="Cambria Math"/>
                    <w:i/>
                    <w:color w:val="auto"/>
                    <w:szCs w:val="21"/>
                    <w:highlight w:val="none"/>
                  </w:rPr>
                </m:ctrlPr>
              </m:sSubPr>
              <m:e>
                <m:sSub>
                  <m:sSubPr>
                    <m:ctrlPr>
                      <w:rPr>
                        <w:rFonts w:ascii="Cambria Math" w:hAnsi="Cambria Math"/>
                        <w:i/>
                        <w:color w:val="auto"/>
                        <w:szCs w:val="21"/>
                        <w:highlight w:val="none"/>
                      </w:rPr>
                    </m:ctrlPr>
                  </m:sSubPr>
                  <m:e>
                    <m:r>
                      <m:rPr/>
                      <w:rPr>
                        <w:rFonts w:hint="eastAsia" w:ascii="Cambria Math" w:hAnsi="Cambria Math"/>
                        <w:color w:val="auto"/>
                        <w:szCs w:val="21"/>
                        <w:highlight w:val="none"/>
                      </w:rPr>
                      <m:t>V</m:t>
                    </m:r>
                    <m:ctrlPr>
                      <w:rPr>
                        <w:rFonts w:ascii="Cambria Math" w:hAnsi="Cambria Math"/>
                        <w:i/>
                        <w:color w:val="auto"/>
                        <w:szCs w:val="21"/>
                        <w:highlight w:val="none"/>
                      </w:rPr>
                    </m:ctrlPr>
                  </m:e>
                  <m:sub>
                    <m:r>
                      <m:rPr/>
                      <w:rPr>
                        <w:rFonts w:hint="eastAsia" w:ascii="Cambria Math" w:hAnsi="Cambria Math"/>
                        <w:color w:val="auto"/>
                        <w:szCs w:val="21"/>
                        <w:highlight w:val="none"/>
                      </w:rPr>
                      <m:t>i+1</m:t>
                    </m:r>
                    <m:ctrlPr>
                      <w:rPr>
                        <w:rFonts w:ascii="Cambria Math" w:hAnsi="Cambria Math"/>
                        <w:i/>
                        <w:color w:val="auto"/>
                        <w:szCs w:val="21"/>
                        <w:highlight w:val="none"/>
                      </w:rPr>
                    </m:ctrlPr>
                  </m:sub>
                </m:sSub>
                <m:r>
                  <m:rPr/>
                  <w:rPr>
                    <w:rFonts w:hint="eastAsia" w:ascii="Cambria Math" w:hAnsi="Cambria Math" w:eastAsia="微软雅黑" w:cs="微软雅黑"/>
                    <w:color w:val="auto"/>
                    <w:szCs w:val="21"/>
                    <w:highlight w:val="none"/>
                  </w:rPr>
                  <m:t>∆</m:t>
                </m:r>
                <m:ctrlPr>
                  <w:rPr>
                    <w:rFonts w:ascii="Cambria Math" w:hAnsi="Cambria Math"/>
                    <w:i/>
                    <w:color w:val="auto"/>
                    <w:szCs w:val="21"/>
                    <w:highlight w:val="none"/>
                  </w:rPr>
                </m:ctrlPr>
              </m:e>
              <m:sub>
                <m:r>
                  <m:rPr/>
                  <w:rPr>
                    <w:rFonts w:hint="eastAsia" w:ascii="Cambria Math" w:hAnsi="Cambria Math"/>
                    <w:color w:val="auto"/>
                    <w:szCs w:val="21"/>
                    <w:highlight w:val="none"/>
                  </w:rPr>
                  <m:t>i</m:t>
                </m:r>
                <m:ctrlPr>
                  <w:rPr>
                    <w:rFonts w:ascii="Cambria Math" w:hAnsi="Cambria Math"/>
                    <w:i/>
                    <w:color w:val="auto"/>
                    <w:szCs w:val="21"/>
                    <w:highlight w:val="none"/>
                  </w:rPr>
                </m:ctrlPr>
              </m:sub>
            </m:sSub>
            <m:ctrlPr>
              <w:rPr>
                <w:rFonts w:ascii="Cambria Math" w:hAnsi="Cambria Math"/>
                <w:i/>
                <w:color w:val="auto"/>
                <w:szCs w:val="21"/>
                <w:highlight w:val="none"/>
              </w:rPr>
            </m:ctrlPr>
          </m:den>
        </m:f>
        <m:f>
          <m:fPr>
            <m:ctrlPr>
              <w:rPr>
                <w:rFonts w:ascii="Cambria Math" w:hAnsi="Cambria Math"/>
                <w:i/>
                <w:color w:val="auto"/>
                <w:szCs w:val="21"/>
                <w:highlight w:val="none"/>
              </w:rPr>
            </m:ctrlPr>
          </m:fPr>
          <m:num>
            <m:sSub>
              <m:sSubPr>
                <m:ctrlPr>
                  <w:rPr>
                    <w:rFonts w:ascii="Cambria Math" w:hAnsi="Cambria Math"/>
                    <w:i/>
                    <w:color w:val="auto"/>
                    <w:szCs w:val="21"/>
                    <w:highlight w:val="none"/>
                  </w:rPr>
                </m:ctrlPr>
              </m:sSubPr>
              <m:e>
                <m:r>
                  <m:rPr/>
                  <w:rPr>
                    <w:rFonts w:hint="eastAsia" w:ascii="Cambria Math" w:hAnsi="Cambria Math" w:eastAsia="MS Gothic" w:cs="MS Gothic"/>
                    <w:color w:val="auto"/>
                    <w:szCs w:val="21"/>
                    <w:highlight w:val="none"/>
                  </w:rPr>
                  <m:t>ℎ</m:t>
                </m:r>
                <m:ctrlPr>
                  <w:rPr>
                    <w:rFonts w:ascii="Cambria Math" w:hAnsi="Cambria Math"/>
                    <w:i/>
                    <w:color w:val="auto"/>
                    <w:szCs w:val="21"/>
                    <w:highlight w:val="none"/>
                  </w:rPr>
                </m:ctrlPr>
              </m:e>
              <m:sub>
                <m:r>
                  <m:rPr/>
                  <w:rPr>
                    <w:rFonts w:hint="eastAsia" w:ascii="Cambria Math" w:hAnsi="Cambria Math"/>
                    <w:color w:val="auto"/>
                    <w:szCs w:val="21"/>
                    <w:highlight w:val="none"/>
                  </w:rPr>
                  <m:t>i</m:t>
                </m:r>
                <m:ctrlPr>
                  <w:rPr>
                    <w:rFonts w:ascii="Cambria Math" w:hAnsi="Cambria Math"/>
                    <w:i/>
                    <w:color w:val="auto"/>
                    <w:szCs w:val="21"/>
                    <w:highlight w:val="none"/>
                  </w:rPr>
                </m:ctrlPr>
              </m:sub>
            </m:sSub>
            <m:ctrlPr>
              <w:rPr>
                <w:rFonts w:ascii="Cambria Math" w:hAnsi="Cambria Math"/>
                <w:i/>
                <w:color w:val="auto"/>
                <w:szCs w:val="21"/>
                <w:highlight w:val="none"/>
              </w:rPr>
            </m:ctrlPr>
          </m:num>
          <m:den>
            <m:sSub>
              <m:sSubPr>
                <m:ctrlPr>
                  <w:rPr>
                    <w:rFonts w:ascii="Cambria Math" w:hAnsi="Cambria Math"/>
                    <w:i/>
                    <w:color w:val="auto"/>
                    <w:szCs w:val="21"/>
                    <w:highlight w:val="none"/>
                  </w:rPr>
                </m:ctrlPr>
              </m:sSubPr>
              <m:e>
                <m:r>
                  <m:rPr/>
                  <w:rPr>
                    <w:rFonts w:hint="eastAsia" w:ascii="Cambria Math" w:hAnsi="Cambria Math" w:eastAsia="MS Gothic" w:cs="MS Gothic"/>
                    <w:color w:val="auto"/>
                    <w:szCs w:val="21"/>
                    <w:highlight w:val="none"/>
                  </w:rPr>
                  <m:t>ℎ</m:t>
                </m:r>
                <m:ctrlPr>
                  <w:rPr>
                    <w:rFonts w:ascii="Cambria Math" w:hAnsi="Cambria Math"/>
                    <w:i/>
                    <w:color w:val="auto"/>
                    <w:szCs w:val="21"/>
                    <w:highlight w:val="none"/>
                  </w:rPr>
                </m:ctrlPr>
              </m:e>
              <m:sub>
                <m:r>
                  <m:rPr/>
                  <w:rPr>
                    <w:rFonts w:hint="eastAsia" w:ascii="Cambria Math" w:hAnsi="Cambria Math"/>
                    <w:color w:val="auto"/>
                    <w:szCs w:val="21"/>
                    <w:highlight w:val="none"/>
                  </w:rPr>
                  <m:t>i+1</m:t>
                </m:r>
                <m:ctrlPr>
                  <w:rPr>
                    <w:rFonts w:ascii="Cambria Math" w:hAnsi="Cambria Math"/>
                    <w:i/>
                    <w:color w:val="auto"/>
                    <w:szCs w:val="21"/>
                    <w:highlight w:val="none"/>
                  </w:rPr>
                </m:ctrlPr>
              </m:sub>
            </m:sSub>
            <m:ctrlPr>
              <w:rPr>
                <w:rFonts w:ascii="Cambria Math" w:hAnsi="Cambria Math"/>
                <w:i/>
                <w:color w:val="auto"/>
                <w:szCs w:val="21"/>
                <w:highlight w:val="none"/>
              </w:rPr>
            </m:ctrlPr>
          </m:den>
        </m:f>
      </m:oMath>
      <w:r>
        <w:rPr>
          <w:rFonts w:hint="eastAsia"/>
          <w:color w:val="auto"/>
          <w:szCs w:val="21"/>
          <w:highlight w:val="none"/>
        </w:rPr>
        <w:t xml:space="preserve">        </w:t>
      </w:r>
      <w:r>
        <w:rPr>
          <w:rFonts w:hint="eastAsia"/>
          <w:color w:val="auto"/>
          <w:szCs w:val="21"/>
          <w:highlight w:val="none"/>
          <w:lang w:eastAsia="zh-CN"/>
        </w:rPr>
        <w:t xml:space="preserve">  </w:t>
      </w:r>
      <w:r>
        <w:rPr>
          <w:rFonts w:hint="eastAsia"/>
          <w:color w:val="auto"/>
          <w:szCs w:val="21"/>
          <w:highlight w:val="none"/>
        </w:rPr>
        <w:t xml:space="preserve">                       (5.</w:t>
      </w:r>
      <w:r>
        <w:rPr>
          <w:rFonts w:hint="eastAsia"/>
          <w:color w:val="auto"/>
          <w:szCs w:val="21"/>
          <w:highlight w:val="none"/>
          <w:lang w:eastAsia="zh-CN"/>
        </w:rPr>
        <w:t>3</w:t>
      </w:r>
      <w:r>
        <w:rPr>
          <w:rFonts w:hint="eastAsia"/>
          <w:color w:val="auto"/>
          <w:szCs w:val="21"/>
          <w:highlight w:val="none"/>
        </w:rPr>
        <w:t>.</w:t>
      </w:r>
      <w:r>
        <w:rPr>
          <w:rFonts w:hint="eastAsia"/>
          <w:color w:val="auto"/>
          <w:szCs w:val="21"/>
          <w:highlight w:val="none"/>
          <w:lang w:eastAsia="zh-CN"/>
        </w:rPr>
        <w:t>8</w:t>
      </w:r>
      <w:r>
        <w:rPr>
          <w:rFonts w:hint="eastAsia"/>
          <w:color w:val="auto"/>
          <w:szCs w:val="21"/>
          <w:highlight w:val="none"/>
        </w:rPr>
        <w:t xml:space="preserve">)  </w:t>
      </w:r>
    </w:p>
    <w:p w14:paraId="1E1C4BAB">
      <w:pPr>
        <w:pStyle w:val="4"/>
        <w:ind w:firstLine="360" w:firstLineChars="150"/>
        <w:rPr>
          <w:color w:val="auto"/>
          <w:szCs w:val="21"/>
          <w:highlight w:val="none"/>
          <w:lang w:eastAsia="zh-CN"/>
        </w:rPr>
      </w:pPr>
      <w:r>
        <w:rPr>
          <w:rFonts w:hint="eastAsia"/>
          <w:color w:val="auto"/>
          <w:szCs w:val="21"/>
          <w:highlight w:val="none"/>
          <w:lang w:eastAsia="zh-CN"/>
        </w:rPr>
        <w:t>式中：</w:t>
      </w:r>
      <m:oMath>
        <m:sSub>
          <m:sSubPr>
            <m:ctrlPr>
              <w:rPr>
                <w:rFonts w:ascii="Cambria Math" w:hAnsi="Cambria Math"/>
                <w:color w:val="auto"/>
                <w:szCs w:val="21"/>
                <w:highlight w:val="none"/>
              </w:rPr>
            </m:ctrlPr>
          </m:sSubPr>
          <m:e>
            <m:r>
              <m:rPr/>
              <w:rPr>
                <w:rFonts w:hint="eastAsia" w:ascii="Cambria Math" w:hAnsi="Cambria Math"/>
                <w:color w:val="auto"/>
                <w:szCs w:val="21"/>
                <w:highlight w:val="none"/>
                <w:lang w:eastAsia="zh-CN"/>
              </w:rPr>
              <m:t>γ</m:t>
            </m:r>
            <m:ctrlPr>
              <w:rPr>
                <w:rFonts w:ascii="Cambria Math" w:hAnsi="Cambria Math"/>
                <w:color w:val="auto"/>
                <w:szCs w:val="21"/>
                <w:highlight w:val="none"/>
              </w:rPr>
            </m:ctrlPr>
          </m:e>
          <m:sub>
            <m:r>
              <m:rPr>
                <m:sty m:val="p"/>
              </m:rPr>
              <w:rPr>
                <w:rFonts w:hint="eastAsia" w:ascii="Cambria Math" w:hAnsi="Cambria Math"/>
                <w:color w:val="auto"/>
                <w:szCs w:val="21"/>
                <w:highlight w:val="none"/>
                <w:lang w:eastAsia="zh-CN"/>
              </w:rPr>
              <m:t>2</m:t>
            </m:r>
            <m:ctrlPr>
              <w:rPr>
                <w:rFonts w:ascii="Cambria Math" w:hAnsi="Cambria Math"/>
                <w:color w:val="auto"/>
                <w:szCs w:val="21"/>
                <w:highlight w:val="none"/>
              </w:rPr>
            </m:ctrlPr>
          </m:sub>
        </m:sSub>
      </m:oMath>
      <w:r>
        <w:rPr>
          <w:color w:val="auto"/>
          <w:szCs w:val="21"/>
          <w:highlight w:val="none"/>
          <w:lang w:eastAsia="zh-CN"/>
        </w:rPr>
        <w:t>——</w:t>
      </w:r>
      <w:r>
        <w:rPr>
          <w:rFonts w:hint="eastAsia"/>
          <w:color w:val="auto"/>
          <w:szCs w:val="21"/>
          <w:highlight w:val="none"/>
          <w:lang w:eastAsia="zh-CN"/>
        </w:rPr>
        <w:t>考虑层高修正的</w:t>
      </w:r>
      <w:r>
        <w:rPr>
          <w:rFonts w:hint="eastAsia"/>
          <w:color w:val="auto"/>
          <w:highlight w:val="none"/>
          <w:lang w:eastAsia="zh-CN"/>
        </w:rPr>
        <w:t>楼层</w:t>
      </w:r>
      <w:r>
        <w:rPr>
          <w:rFonts w:hint="eastAsia"/>
          <w:color w:val="auto"/>
          <w:szCs w:val="21"/>
          <w:highlight w:val="none"/>
          <w:lang w:eastAsia="zh-CN"/>
        </w:rPr>
        <w:t>侧向刚度比；</w:t>
      </w:r>
    </w:p>
    <w:p w14:paraId="780D2DE0">
      <w:pPr>
        <w:pStyle w:val="4"/>
        <w:ind w:firstLine="360" w:firstLineChars="150"/>
        <w:rPr>
          <w:color w:val="auto"/>
          <w:szCs w:val="21"/>
          <w:highlight w:val="none"/>
          <w:lang w:eastAsia="zh-CN"/>
        </w:rPr>
      </w:pPr>
      <m:oMath>
        <m:sSub>
          <m:sSubPr>
            <m:ctrlPr>
              <w:rPr>
                <w:rFonts w:ascii="Cambria Math" w:hAnsi="Cambria Math"/>
                <w:i/>
                <w:color w:val="auto"/>
                <w:szCs w:val="21"/>
                <w:highlight w:val="none"/>
              </w:rPr>
            </m:ctrlPr>
          </m:sSubPr>
          <m:e>
            <m:r>
              <m:rPr/>
              <w:rPr>
                <w:rFonts w:hint="eastAsia" w:ascii="Cambria Math" w:hAnsi="Cambria Math"/>
                <w:color w:val="auto"/>
                <w:szCs w:val="21"/>
                <w:highlight w:val="none"/>
                <w:lang w:eastAsia="zh-CN"/>
              </w:rPr>
              <m:t>V</m:t>
            </m:r>
            <m:ctrlPr>
              <w:rPr>
                <w:rFonts w:ascii="Cambria Math" w:hAnsi="Cambria Math"/>
                <w:i/>
                <w:color w:val="auto"/>
                <w:szCs w:val="21"/>
                <w:highlight w:val="none"/>
              </w:rPr>
            </m:ctrlPr>
          </m:e>
          <m:sub>
            <m:r>
              <m:rPr/>
              <w:rPr>
                <w:rFonts w:hint="eastAsia" w:ascii="Cambria Math" w:hAnsi="Cambria Math"/>
                <w:color w:val="auto"/>
                <w:szCs w:val="21"/>
                <w:highlight w:val="none"/>
                <w:lang w:eastAsia="zh-CN"/>
              </w:rPr>
              <m:t>i</m:t>
            </m:r>
            <m:ctrlPr>
              <w:rPr>
                <w:rFonts w:ascii="Cambria Math" w:hAnsi="Cambria Math"/>
                <w:i/>
                <w:color w:val="auto"/>
                <w:szCs w:val="21"/>
                <w:highlight w:val="none"/>
              </w:rPr>
            </m:ctrlPr>
          </m:sub>
        </m:sSub>
      </m:oMath>
      <w:r>
        <w:rPr>
          <w:rFonts w:hint="eastAsia"/>
          <w:color w:val="auto"/>
          <w:szCs w:val="21"/>
          <w:highlight w:val="none"/>
          <w:lang w:eastAsia="zh-CN"/>
        </w:rPr>
        <w:t>、</w:t>
      </w:r>
      <m:oMath>
        <m:sSub>
          <m:sSubPr>
            <m:ctrlPr>
              <w:rPr>
                <w:rFonts w:ascii="Cambria Math" w:hAnsi="Cambria Math"/>
                <w:i/>
                <w:color w:val="auto"/>
                <w:szCs w:val="21"/>
                <w:highlight w:val="none"/>
              </w:rPr>
            </m:ctrlPr>
          </m:sSubPr>
          <m:e>
            <m:r>
              <m:rPr/>
              <w:rPr>
                <w:rFonts w:hint="eastAsia" w:ascii="Cambria Math" w:hAnsi="Cambria Math"/>
                <w:color w:val="auto"/>
                <w:szCs w:val="21"/>
                <w:highlight w:val="none"/>
                <w:lang w:eastAsia="zh-CN"/>
              </w:rPr>
              <m:t>V</m:t>
            </m:r>
            <m:ctrlPr>
              <w:rPr>
                <w:rFonts w:ascii="Cambria Math" w:hAnsi="Cambria Math"/>
                <w:i/>
                <w:color w:val="auto"/>
                <w:szCs w:val="21"/>
                <w:highlight w:val="none"/>
              </w:rPr>
            </m:ctrlPr>
          </m:e>
          <m:sub>
            <m:r>
              <m:rPr/>
              <w:rPr>
                <w:rFonts w:hint="eastAsia" w:ascii="Cambria Math" w:hAnsi="Cambria Math"/>
                <w:color w:val="auto"/>
                <w:szCs w:val="21"/>
                <w:highlight w:val="none"/>
                <w:lang w:eastAsia="zh-CN"/>
              </w:rPr>
              <m:t>i+1</m:t>
            </m:r>
            <m:ctrlPr>
              <w:rPr>
                <w:rFonts w:ascii="Cambria Math" w:hAnsi="Cambria Math"/>
                <w:i/>
                <w:color w:val="auto"/>
                <w:szCs w:val="21"/>
                <w:highlight w:val="none"/>
              </w:rPr>
            </m:ctrlPr>
          </m:sub>
        </m:sSub>
      </m:oMath>
      <w:r>
        <w:rPr>
          <w:color w:val="auto"/>
          <w:szCs w:val="21"/>
          <w:highlight w:val="none"/>
          <w:lang w:eastAsia="zh-CN"/>
        </w:rPr>
        <w:t>——</w:t>
      </w:r>
      <w:r>
        <w:rPr>
          <w:rFonts w:hint="eastAsia"/>
          <w:color w:val="auto"/>
          <w:szCs w:val="21"/>
          <w:highlight w:val="none"/>
          <w:lang w:eastAsia="zh-CN"/>
        </w:rPr>
        <w:t>第</w:t>
      </w:r>
      <w:r>
        <w:rPr>
          <w:i/>
          <w:color w:val="auto"/>
          <w:szCs w:val="21"/>
          <w:highlight w:val="none"/>
          <w:lang w:eastAsia="zh-CN"/>
        </w:rPr>
        <w:t>i</w:t>
      </w:r>
      <w:r>
        <w:rPr>
          <w:rFonts w:hint="eastAsia"/>
          <w:color w:val="auto"/>
          <w:szCs w:val="21"/>
          <w:highlight w:val="none"/>
          <w:lang w:eastAsia="zh-CN"/>
        </w:rPr>
        <w:t>层和第</w:t>
      </w:r>
      <w:r>
        <w:rPr>
          <w:i/>
          <w:color w:val="auto"/>
          <w:szCs w:val="21"/>
          <w:highlight w:val="none"/>
          <w:lang w:eastAsia="zh-CN"/>
        </w:rPr>
        <w:t>i</w:t>
      </w:r>
      <w:r>
        <w:rPr>
          <w:color w:val="auto"/>
          <w:szCs w:val="21"/>
          <w:highlight w:val="none"/>
          <w:lang w:eastAsia="zh-CN"/>
        </w:rPr>
        <w:t>+1</w:t>
      </w:r>
      <w:r>
        <w:rPr>
          <w:rFonts w:hint="eastAsia"/>
          <w:color w:val="auto"/>
          <w:szCs w:val="21"/>
          <w:highlight w:val="none"/>
          <w:lang w:eastAsia="zh-CN"/>
        </w:rPr>
        <w:t>层的地震剪力标准值（</w:t>
      </w:r>
      <w:r>
        <w:rPr>
          <w:color w:val="auto"/>
          <w:szCs w:val="21"/>
          <w:highlight w:val="none"/>
          <w:lang w:eastAsia="zh-CN"/>
        </w:rPr>
        <w:t>kN</w:t>
      </w:r>
      <w:r>
        <w:rPr>
          <w:rFonts w:hint="eastAsia"/>
          <w:color w:val="auto"/>
          <w:szCs w:val="21"/>
          <w:highlight w:val="none"/>
          <w:lang w:eastAsia="zh-CN"/>
        </w:rPr>
        <w:t>）；</w:t>
      </w:r>
    </w:p>
    <w:p w14:paraId="7B1DBEDA">
      <w:pPr>
        <w:pStyle w:val="4"/>
        <w:ind w:firstLine="360" w:firstLineChars="150"/>
        <w:rPr>
          <w:color w:val="auto"/>
          <w:szCs w:val="21"/>
          <w:highlight w:val="none"/>
          <w:lang w:eastAsia="zh-CN"/>
        </w:rPr>
      </w:pPr>
      <m:oMath>
        <m:sSub>
          <m:sSubPr>
            <m:ctrlPr>
              <w:rPr>
                <w:rFonts w:ascii="Cambria Math" w:hAnsi="Cambria Math"/>
                <w:i/>
                <w:color w:val="auto"/>
                <w:szCs w:val="21"/>
                <w:highlight w:val="none"/>
              </w:rPr>
            </m:ctrlPr>
          </m:sSubPr>
          <m:e>
            <m:r>
              <m:rPr/>
              <w:rPr>
                <w:rFonts w:hint="eastAsia" w:ascii="Cambria Math" w:hAnsi="Cambria Math" w:eastAsia="微软雅黑" w:cs="微软雅黑"/>
                <w:color w:val="auto"/>
                <w:szCs w:val="21"/>
                <w:highlight w:val="none"/>
                <w:lang w:eastAsia="zh-CN"/>
              </w:rPr>
              <m:t>∆</m:t>
            </m:r>
            <m:ctrlPr>
              <w:rPr>
                <w:rFonts w:ascii="Cambria Math" w:hAnsi="Cambria Math"/>
                <w:i/>
                <w:color w:val="auto"/>
                <w:szCs w:val="21"/>
                <w:highlight w:val="none"/>
              </w:rPr>
            </m:ctrlPr>
          </m:e>
          <m:sub>
            <m:r>
              <m:rPr/>
              <w:rPr>
                <w:rFonts w:hint="eastAsia" w:ascii="Cambria Math" w:hAnsi="Cambria Math"/>
                <w:color w:val="auto"/>
                <w:szCs w:val="21"/>
                <w:highlight w:val="none"/>
                <w:lang w:eastAsia="zh-CN"/>
              </w:rPr>
              <m:t>i</m:t>
            </m:r>
            <m:ctrlPr>
              <w:rPr>
                <w:rFonts w:ascii="Cambria Math" w:hAnsi="Cambria Math"/>
                <w:i/>
                <w:color w:val="auto"/>
                <w:szCs w:val="21"/>
                <w:highlight w:val="none"/>
              </w:rPr>
            </m:ctrlPr>
          </m:sub>
        </m:sSub>
      </m:oMath>
      <w:r>
        <w:rPr>
          <w:rFonts w:hint="eastAsia"/>
          <w:color w:val="auto"/>
          <w:szCs w:val="21"/>
          <w:highlight w:val="none"/>
          <w:lang w:eastAsia="zh-CN"/>
        </w:rPr>
        <w:t>、</w:t>
      </w:r>
      <m:oMath>
        <m:sSub>
          <m:sSubPr>
            <m:ctrlPr>
              <w:rPr>
                <w:rFonts w:ascii="Cambria Math" w:hAnsi="Cambria Math"/>
                <w:i/>
                <w:color w:val="auto"/>
                <w:szCs w:val="21"/>
                <w:highlight w:val="none"/>
              </w:rPr>
            </m:ctrlPr>
          </m:sSubPr>
          <m:e>
            <m:r>
              <m:rPr/>
              <w:rPr>
                <w:rFonts w:hint="eastAsia" w:ascii="Cambria Math" w:hAnsi="Cambria Math" w:eastAsia="微软雅黑" w:cs="微软雅黑"/>
                <w:color w:val="auto"/>
                <w:szCs w:val="21"/>
                <w:highlight w:val="none"/>
                <w:lang w:eastAsia="zh-CN"/>
              </w:rPr>
              <m:t>∆</m:t>
            </m:r>
            <m:ctrlPr>
              <w:rPr>
                <w:rFonts w:ascii="Cambria Math" w:hAnsi="Cambria Math"/>
                <w:i/>
                <w:color w:val="auto"/>
                <w:szCs w:val="21"/>
                <w:highlight w:val="none"/>
              </w:rPr>
            </m:ctrlPr>
          </m:e>
          <m:sub>
            <m:r>
              <m:rPr/>
              <w:rPr>
                <w:rFonts w:hint="eastAsia" w:ascii="Cambria Math" w:hAnsi="Cambria Math"/>
                <w:color w:val="auto"/>
                <w:szCs w:val="21"/>
                <w:highlight w:val="none"/>
                <w:lang w:eastAsia="zh-CN"/>
              </w:rPr>
              <m:t>i+1</m:t>
            </m:r>
            <m:ctrlPr>
              <w:rPr>
                <w:rFonts w:ascii="Cambria Math" w:hAnsi="Cambria Math"/>
                <w:i/>
                <w:color w:val="auto"/>
                <w:szCs w:val="21"/>
                <w:highlight w:val="none"/>
              </w:rPr>
            </m:ctrlPr>
          </m:sub>
        </m:sSub>
      </m:oMath>
      <w:r>
        <w:rPr>
          <w:color w:val="auto"/>
          <w:szCs w:val="21"/>
          <w:highlight w:val="none"/>
          <w:lang w:eastAsia="zh-CN"/>
        </w:rPr>
        <w:t>——</w:t>
      </w:r>
      <w:r>
        <w:rPr>
          <w:rFonts w:hint="eastAsia"/>
          <w:color w:val="auto"/>
          <w:szCs w:val="21"/>
          <w:highlight w:val="none"/>
          <w:lang w:eastAsia="zh-CN"/>
        </w:rPr>
        <w:t>笫</w:t>
      </w:r>
      <w:r>
        <w:rPr>
          <w:i/>
          <w:color w:val="auto"/>
          <w:szCs w:val="21"/>
          <w:highlight w:val="none"/>
          <w:lang w:eastAsia="zh-CN"/>
        </w:rPr>
        <w:t>i</w:t>
      </w:r>
      <w:r>
        <w:rPr>
          <w:rFonts w:hint="eastAsia"/>
          <w:color w:val="auto"/>
          <w:szCs w:val="21"/>
          <w:highlight w:val="none"/>
          <w:lang w:eastAsia="zh-CN"/>
        </w:rPr>
        <w:t>层和第</w:t>
      </w:r>
      <w:r>
        <w:rPr>
          <w:i/>
          <w:color w:val="auto"/>
          <w:szCs w:val="21"/>
          <w:highlight w:val="none"/>
          <w:lang w:eastAsia="zh-CN"/>
        </w:rPr>
        <w:t>i</w:t>
      </w:r>
      <w:r>
        <w:rPr>
          <w:color w:val="auto"/>
          <w:szCs w:val="21"/>
          <w:highlight w:val="none"/>
          <w:lang w:eastAsia="zh-CN"/>
        </w:rPr>
        <w:t>+1</w:t>
      </w:r>
      <w:r>
        <w:rPr>
          <w:rFonts w:hint="eastAsia"/>
          <w:color w:val="auto"/>
          <w:szCs w:val="21"/>
          <w:highlight w:val="none"/>
          <w:lang w:eastAsia="zh-CN"/>
        </w:rPr>
        <w:t>层在地震作用</w:t>
      </w:r>
      <w:r>
        <w:rPr>
          <w:rFonts w:hint="eastAsia"/>
          <w:color w:val="auto"/>
          <w:highlight w:val="none"/>
          <w:lang w:eastAsia="zh-CN"/>
        </w:rPr>
        <w:t>标准值</w:t>
      </w:r>
      <w:r>
        <w:rPr>
          <w:rFonts w:hint="eastAsia"/>
          <w:color w:val="auto"/>
          <w:szCs w:val="21"/>
          <w:highlight w:val="none"/>
          <w:lang w:eastAsia="zh-CN"/>
        </w:rPr>
        <w:t>作用下的层间位移（</w:t>
      </w:r>
      <w:r>
        <w:rPr>
          <w:color w:val="auto"/>
          <w:szCs w:val="21"/>
          <w:highlight w:val="none"/>
          <w:lang w:eastAsia="zh-CN"/>
        </w:rPr>
        <w:t>m</w:t>
      </w:r>
      <w:r>
        <w:rPr>
          <w:rFonts w:hint="eastAsia"/>
          <w:color w:val="auto"/>
          <w:szCs w:val="21"/>
          <w:highlight w:val="none"/>
          <w:lang w:eastAsia="zh-CN"/>
        </w:rPr>
        <w:t>）；</w:t>
      </w:r>
    </w:p>
    <w:p w14:paraId="1799D609">
      <w:pPr>
        <w:widowControl/>
        <w:adjustRightInd w:val="0"/>
        <w:snapToGrid w:val="0"/>
        <w:ind w:firstLine="360" w:firstLineChars="150"/>
        <w:rPr>
          <w:color w:val="auto"/>
          <w:szCs w:val="21"/>
          <w:highlight w:val="none"/>
        </w:rPr>
      </w:pPr>
      <m:oMath>
        <m:sSub>
          <m:sSubPr>
            <m:ctrlPr>
              <w:rPr>
                <w:rFonts w:ascii="Cambria Math" w:hAnsi="Cambria Math"/>
                <w:i/>
                <w:color w:val="auto"/>
                <w:szCs w:val="21"/>
                <w:highlight w:val="none"/>
              </w:rPr>
            </m:ctrlPr>
          </m:sSubPr>
          <m:e>
            <m:r>
              <m:rPr/>
              <w:rPr>
                <w:rFonts w:hint="eastAsia" w:ascii="Cambria Math" w:hAnsi="Cambria Math" w:eastAsia="MS Gothic" w:cs="MS Gothic"/>
                <w:color w:val="auto"/>
                <w:szCs w:val="21"/>
                <w:highlight w:val="none"/>
              </w:rPr>
              <m:t>ℎ</m:t>
            </m:r>
            <m:ctrlPr>
              <w:rPr>
                <w:rFonts w:ascii="Cambria Math" w:hAnsi="Cambria Math"/>
                <w:i/>
                <w:color w:val="auto"/>
                <w:szCs w:val="21"/>
                <w:highlight w:val="none"/>
              </w:rPr>
            </m:ctrlPr>
          </m:e>
          <m:sub>
            <m:r>
              <m:rPr/>
              <w:rPr>
                <w:rFonts w:hint="eastAsia" w:ascii="Cambria Math" w:hAnsi="Cambria Math"/>
                <w:color w:val="auto"/>
                <w:szCs w:val="21"/>
                <w:highlight w:val="none"/>
              </w:rPr>
              <m:t>i</m:t>
            </m:r>
            <m:ctrlPr>
              <w:rPr>
                <w:rFonts w:ascii="Cambria Math" w:hAnsi="Cambria Math"/>
                <w:i/>
                <w:color w:val="auto"/>
                <w:szCs w:val="21"/>
                <w:highlight w:val="none"/>
              </w:rPr>
            </m:ctrlPr>
          </m:sub>
        </m:sSub>
      </m:oMath>
      <w:r>
        <w:rPr>
          <w:rFonts w:hint="eastAsia"/>
          <w:color w:val="auto"/>
          <w:szCs w:val="21"/>
          <w:highlight w:val="none"/>
        </w:rPr>
        <w:t>、</w:t>
      </w:r>
      <m:oMath>
        <m:sSub>
          <m:sSubPr>
            <m:ctrlPr>
              <w:rPr>
                <w:rFonts w:ascii="Cambria Math" w:hAnsi="Cambria Math"/>
                <w:i/>
                <w:color w:val="auto"/>
                <w:szCs w:val="21"/>
                <w:highlight w:val="none"/>
              </w:rPr>
            </m:ctrlPr>
          </m:sSubPr>
          <m:e>
            <m:r>
              <m:rPr/>
              <w:rPr>
                <w:rFonts w:hint="eastAsia" w:ascii="Cambria Math" w:hAnsi="Cambria Math" w:eastAsia="MS Gothic" w:cs="MS Gothic"/>
                <w:color w:val="auto"/>
                <w:szCs w:val="21"/>
                <w:highlight w:val="none"/>
              </w:rPr>
              <m:t>ℎ</m:t>
            </m:r>
            <m:ctrlPr>
              <w:rPr>
                <w:rFonts w:ascii="Cambria Math" w:hAnsi="Cambria Math"/>
                <w:i/>
                <w:color w:val="auto"/>
                <w:szCs w:val="21"/>
                <w:highlight w:val="none"/>
              </w:rPr>
            </m:ctrlPr>
          </m:e>
          <m:sub>
            <m:r>
              <m:rPr/>
              <w:rPr>
                <w:rFonts w:hint="eastAsia" w:ascii="Cambria Math" w:hAnsi="Cambria Math"/>
                <w:color w:val="auto"/>
                <w:szCs w:val="21"/>
                <w:highlight w:val="none"/>
              </w:rPr>
              <m:t>i+1</m:t>
            </m:r>
            <m:ctrlPr>
              <w:rPr>
                <w:rFonts w:ascii="Cambria Math" w:hAnsi="Cambria Math"/>
                <w:i/>
                <w:color w:val="auto"/>
                <w:szCs w:val="21"/>
                <w:highlight w:val="none"/>
              </w:rPr>
            </m:ctrlPr>
          </m:sub>
        </m:sSub>
      </m:oMath>
      <w:r>
        <w:rPr>
          <w:rFonts w:hint="eastAsia"/>
          <w:color w:val="auto"/>
          <w:szCs w:val="21"/>
          <w:highlight w:val="none"/>
        </w:rPr>
        <w:t xml:space="preserve"> </w:t>
      </w:r>
      <w:r>
        <w:rPr>
          <w:color w:val="auto"/>
          <w:szCs w:val="21"/>
          <w:highlight w:val="none"/>
        </w:rPr>
        <w:t>——</w:t>
      </w:r>
      <w:r>
        <w:rPr>
          <w:rFonts w:hint="eastAsia"/>
          <w:color w:val="auto"/>
          <w:szCs w:val="21"/>
          <w:highlight w:val="none"/>
        </w:rPr>
        <w:t>第</w:t>
      </w:r>
      <w:r>
        <w:rPr>
          <w:i/>
          <w:color w:val="auto"/>
          <w:szCs w:val="21"/>
          <w:highlight w:val="none"/>
        </w:rPr>
        <w:t>i</w:t>
      </w:r>
      <w:r>
        <w:rPr>
          <w:rFonts w:hint="eastAsia"/>
          <w:color w:val="auto"/>
          <w:szCs w:val="21"/>
          <w:highlight w:val="none"/>
        </w:rPr>
        <w:t>层和第</w:t>
      </w:r>
      <w:r>
        <w:rPr>
          <w:i/>
          <w:color w:val="auto"/>
          <w:szCs w:val="21"/>
          <w:highlight w:val="none"/>
        </w:rPr>
        <w:t>i</w:t>
      </w:r>
      <w:r>
        <w:rPr>
          <w:rFonts w:hint="eastAsia"/>
          <w:color w:val="auto"/>
          <w:szCs w:val="21"/>
          <w:highlight w:val="none"/>
        </w:rPr>
        <w:t>＋</w:t>
      </w:r>
      <w:r>
        <w:rPr>
          <w:color w:val="auto"/>
          <w:szCs w:val="21"/>
          <w:highlight w:val="none"/>
        </w:rPr>
        <w:t>1</w:t>
      </w:r>
      <w:r>
        <w:rPr>
          <w:rFonts w:hint="eastAsia"/>
          <w:color w:val="auto"/>
          <w:szCs w:val="21"/>
          <w:highlight w:val="none"/>
        </w:rPr>
        <w:t>层层高。</w:t>
      </w:r>
    </w:p>
    <w:p w14:paraId="3690A91F">
      <w:pPr>
        <w:pStyle w:val="4"/>
        <w:ind w:firstLine="361" w:firstLineChars="150"/>
        <w:rPr>
          <w:color w:val="auto"/>
          <w:szCs w:val="21"/>
          <w:highlight w:val="none"/>
          <w:lang w:eastAsia="zh-CN"/>
        </w:rPr>
      </w:pPr>
      <w:r>
        <w:rPr>
          <w:b/>
          <w:bCs/>
          <w:color w:val="auto"/>
          <w:szCs w:val="21"/>
          <w:highlight w:val="none"/>
          <w:lang w:eastAsia="zh-CN"/>
        </w:rPr>
        <w:t>3</w:t>
      </w:r>
      <w:r>
        <w:rPr>
          <w:rFonts w:hint="eastAsia"/>
          <w:color w:val="auto"/>
          <w:szCs w:val="21"/>
          <w:highlight w:val="none"/>
          <w:lang w:eastAsia="zh-CN"/>
        </w:rPr>
        <w:t xml:space="preserve">  楼层抗侧力结构的层间受剪承载力不宜小于相邻上一层受剪承载力的</w:t>
      </w:r>
      <w:r>
        <w:rPr>
          <w:color w:val="auto"/>
          <w:szCs w:val="21"/>
          <w:highlight w:val="none"/>
          <w:lang w:eastAsia="zh-CN"/>
        </w:rPr>
        <w:t>80</w:t>
      </w:r>
      <w:r>
        <w:rPr>
          <w:rFonts w:hint="eastAsia"/>
          <w:color w:val="auto"/>
          <w:szCs w:val="21"/>
          <w:highlight w:val="none"/>
          <w:lang w:eastAsia="zh-CN"/>
        </w:rPr>
        <w:t>% ，不应小于</w:t>
      </w:r>
      <w:r>
        <w:rPr>
          <w:color w:val="auto"/>
          <w:szCs w:val="21"/>
          <w:highlight w:val="none"/>
          <w:lang w:eastAsia="zh-CN"/>
        </w:rPr>
        <w:t>65</w:t>
      </w:r>
      <w:r>
        <w:rPr>
          <w:rFonts w:hint="eastAsia"/>
          <w:color w:val="auto"/>
          <w:szCs w:val="21"/>
          <w:highlight w:val="none"/>
          <w:lang w:eastAsia="zh-CN"/>
        </w:rPr>
        <w:t>% 。</w:t>
      </w:r>
    </w:p>
    <w:p w14:paraId="0180BF01">
      <w:pPr>
        <w:pStyle w:val="4"/>
        <w:ind w:firstLine="361" w:firstLineChars="150"/>
        <w:rPr>
          <w:color w:val="auto"/>
          <w:szCs w:val="21"/>
          <w:highlight w:val="none"/>
          <w:lang w:eastAsia="zh-CN"/>
        </w:rPr>
      </w:pPr>
      <w:r>
        <w:rPr>
          <w:b/>
          <w:bCs/>
          <w:color w:val="auto"/>
          <w:szCs w:val="21"/>
          <w:highlight w:val="none"/>
          <w:lang w:eastAsia="zh-CN"/>
        </w:rPr>
        <w:t>4</w:t>
      </w:r>
      <w:r>
        <w:rPr>
          <w:rFonts w:hint="eastAsia"/>
          <w:color w:val="auto"/>
          <w:szCs w:val="21"/>
          <w:highlight w:val="none"/>
          <w:lang w:eastAsia="zh-CN"/>
        </w:rPr>
        <w:t xml:space="preserve">  楼层质量沿高度宜均匀分布，楼层质量不宜大于相邻下一层楼层质量的</w:t>
      </w:r>
      <w:r>
        <w:rPr>
          <w:color w:val="auto"/>
          <w:szCs w:val="21"/>
          <w:highlight w:val="none"/>
          <w:lang w:eastAsia="zh-CN"/>
        </w:rPr>
        <w:t>1</w:t>
      </w:r>
      <w:r>
        <w:rPr>
          <w:rFonts w:hint="eastAsia"/>
          <w:color w:val="auto"/>
          <w:szCs w:val="21"/>
          <w:highlight w:val="none"/>
          <w:lang w:eastAsia="zh-CN"/>
        </w:rPr>
        <w:t>.</w:t>
      </w:r>
      <w:r>
        <w:rPr>
          <w:color w:val="auto"/>
          <w:szCs w:val="21"/>
          <w:highlight w:val="none"/>
          <w:lang w:eastAsia="zh-CN"/>
        </w:rPr>
        <w:t>5</w:t>
      </w:r>
      <w:r>
        <w:rPr>
          <w:rFonts w:hint="eastAsia"/>
          <w:color w:val="auto"/>
          <w:szCs w:val="21"/>
          <w:highlight w:val="none"/>
          <w:lang w:eastAsia="zh-CN"/>
        </w:rPr>
        <w:t>倍。</w:t>
      </w:r>
    </w:p>
    <w:p w14:paraId="033E3BC3">
      <w:pPr>
        <w:pStyle w:val="4"/>
        <w:ind w:firstLine="361" w:firstLineChars="150"/>
        <w:rPr>
          <w:color w:val="auto"/>
          <w:szCs w:val="21"/>
          <w:highlight w:val="none"/>
          <w:lang w:eastAsia="zh-CN"/>
        </w:rPr>
      </w:pPr>
      <w:r>
        <w:rPr>
          <w:b/>
          <w:bCs/>
          <w:color w:val="auto"/>
          <w:szCs w:val="21"/>
          <w:highlight w:val="none"/>
          <w:lang w:eastAsia="zh-CN"/>
        </w:rPr>
        <w:t>5</w:t>
      </w:r>
      <w:r>
        <w:rPr>
          <w:rFonts w:hint="eastAsia"/>
          <w:color w:val="auto"/>
          <w:szCs w:val="21"/>
          <w:highlight w:val="none"/>
          <w:lang w:eastAsia="zh-CN"/>
        </w:rPr>
        <w:t xml:space="preserve">  抗震设计时，当上部楼层收进部位距离室外地面的高度</w:t>
      </w:r>
      <w:r>
        <w:rPr>
          <w:color w:val="auto"/>
          <w:szCs w:val="21"/>
          <w:highlight w:val="none"/>
          <w:lang w:eastAsia="zh-CN"/>
        </w:rPr>
        <w:t>H</w:t>
      </w:r>
      <w:r>
        <w:rPr>
          <w:rFonts w:hint="eastAsia"/>
          <w:color w:val="auto"/>
          <w:szCs w:val="21"/>
          <w:highlight w:val="none"/>
          <w:lang w:eastAsia="zh-CN"/>
        </w:rPr>
        <w:t>与房屋总高度</w:t>
      </w:r>
      <w:r>
        <w:rPr>
          <w:color w:val="auto"/>
          <w:szCs w:val="21"/>
          <w:highlight w:val="none"/>
          <w:lang w:eastAsia="zh-CN"/>
        </w:rPr>
        <w:t>H</w:t>
      </w:r>
      <w:r>
        <w:rPr>
          <w:rFonts w:hint="eastAsia"/>
          <w:color w:val="auto"/>
          <w:szCs w:val="21"/>
          <w:highlight w:val="none"/>
          <w:lang w:eastAsia="zh-CN"/>
        </w:rPr>
        <w:t>之比大于</w:t>
      </w:r>
      <w:r>
        <w:rPr>
          <w:color w:val="auto"/>
          <w:szCs w:val="21"/>
          <w:highlight w:val="none"/>
          <w:lang w:eastAsia="zh-CN"/>
        </w:rPr>
        <w:t>0</w:t>
      </w:r>
      <w:r>
        <w:rPr>
          <w:rFonts w:hint="eastAsia"/>
          <w:color w:val="auto"/>
          <w:szCs w:val="21"/>
          <w:highlight w:val="none"/>
          <w:lang w:eastAsia="zh-CN"/>
        </w:rPr>
        <w:t>.</w:t>
      </w:r>
      <w:r>
        <w:rPr>
          <w:color w:val="auto"/>
          <w:szCs w:val="21"/>
          <w:highlight w:val="none"/>
          <w:lang w:eastAsia="zh-CN"/>
        </w:rPr>
        <w:t>2</w:t>
      </w:r>
      <w:r>
        <w:rPr>
          <w:rFonts w:hint="eastAsia"/>
          <w:color w:val="auto"/>
          <w:szCs w:val="21"/>
          <w:highlight w:val="none"/>
          <w:lang w:eastAsia="zh-CN"/>
        </w:rPr>
        <w:t>时，上部楼层收进后的宽度</w:t>
      </w:r>
      <w:r>
        <w:rPr>
          <w:color w:val="auto"/>
          <w:szCs w:val="21"/>
          <w:highlight w:val="none"/>
          <w:lang w:eastAsia="zh-CN"/>
        </w:rPr>
        <w:t>B</w:t>
      </w:r>
      <w:r>
        <w:rPr>
          <w:color w:val="auto"/>
          <w:szCs w:val="21"/>
          <w:highlight w:val="none"/>
          <w:vertAlign w:val="subscript"/>
          <w:lang w:eastAsia="zh-CN"/>
        </w:rPr>
        <w:t>1</w:t>
      </w:r>
      <w:r>
        <w:rPr>
          <w:rFonts w:hint="eastAsia"/>
          <w:color w:val="auto"/>
          <w:szCs w:val="21"/>
          <w:highlight w:val="none"/>
          <w:lang w:eastAsia="zh-CN"/>
        </w:rPr>
        <w:t>不宜小于下部楼层宽度</w:t>
      </w:r>
      <w:r>
        <w:rPr>
          <w:color w:val="auto"/>
          <w:szCs w:val="21"/>
          <w:highlight w:val="none"/>
          <w:lang w:eastAsia="zh-CN"/>
        </w:rPr>
        <w:t>B</w:t>
      </w:r>
      <w:r>
        <w:rPr>
          <w:rFonts w:hint="eastAsia"/>
          <w:color w:val="auto"/>
          <w:szCs w:val="21"/>
          <w:highlight w:val="none"/>
          <w:lang w:eastAsia="zh-CN"/>
        </w:rPr>
        <w:t>的</w:t>
      </w:r>
      <w:r>
        <w:rPr>
          <w:color w:val="auto"/>
          <w:szCs w:val="21"/>
          <w:highlight w:val="none"/>
          <w:lang w:eastAsia="zh-CN"/>
        </w:rPr>
        <w:t>75%</w:t>
      </w:r>
      <w:r>
        <w:rPr>
          <w:rFonts w:hint="eastAsia"/>
          <w:color w:val="auto"/>
          <w:szCs w:val="21"/>
          <w:highlight w:val="none"/>
          <w:lang w:eastAsia="zh-CN"/>
        </w:rPr>
        <w:t>（图5.3.8-</w:t>
      </w:r>
      <w:r>
        <w:rPr>
          <w:color w:val="auto"/>
          <w:szCs w:val="21"/>
          <w:highlight w:val="none"/>
          <w:lang w:eastAsia="zh-CN"/>
        </w:rPr>
        <w:t>a</w:t>
      </w:r>
      <w:r>
        <w:rPr>
          <w:rFonts w:hint="eastAsia"/>
          <w:color w:val="auto"/>
          <w:szCs w:val="21"/>
          <w:highlight w:val="none"/>
          <w:lang w:eastAsia="zh-CN"/>
        </w:rPr>
        <w:t>、</w:t>
      </w:r>
      <w:r>
        <w:rPr>
          <w:color w:val="auto"/>
          <w:szCs w:val="21"/>
          <w:highlight w:val="none"/>
          <w:lang w:eastAsia="zh-CN"/>
        </w:rPr>
        <w:t>b</w:t>
      </w:r>
      <w:r>
        <w:rPr>
          <w:rFonts w:hint="eastAsia"/>
          <w:color w:val="auto"/>
          <w:szCs w:val="21"/>
          <w:highlight w:val="none"/>
          <w:lang w:eastAsia="zh-CN"/>
        </w:rPr>
        <w:t>）；当上部楼层外挑时，上部楼层宽度</w:t>
      </w:r>
      <w:r>
        <w:rPr>
          <w:color w:val="auto"/>
          <w:szCs w:val="21"/>
          <w:highlight w:val="none"/>
          <w:lang w:eastAsia="zh-CN"/>
        </w:rPr>
        <w:t>B</w:t>
      </w:r>
      <w:r>
        <w:rPr>
          <w:rFonts w:hint="eastAsia"/>
          <w:color w:val="auto"/>
          <w:szCs w:val="21"/>
          <w:highlight w:val="none"/>
          <w:lang w:eastAsia="zh-CN"/>
        </w:rPr>
        <w:t>不宜大于下部楼层宽度</w:t>
      </w:r>
      <w:r>
        <w:rPr>
          <w:color w:val="auto"/>
          <w:szCs w:val="21"/>
          <w:highlight w:val="none"/>
          <w:lang w:eastAsia="zh-CN"/>
        </w:rPr>
        <w:t>B</w:t>
      </w:r>
      <w:r>
        <w:rPr>
          <w:rFonts w:hint="eastAsia"/>
          <w:color w:val="auto"/>
          <w:szCs w:val="21"/>
          <w:highlight w:val="none"/>
          <w:lang w:eastAsia="zh-CN"/>
        </w:rPr>
        <w:t>的</w:t>
      </w:r>
      <w:r>
        <w:rPr>
          <w:color w:val="auto"/>
          <w:szCs w:val="21"/>
          <w:highlight w:val="none"/>
          <w:lang w:eastAsia="zh-CN"/>
        </w:rPr>
        <w:t>1</w:t>
      </w:r>
      <w:r>
        <w:rPr>
          <w:rFonts w:hint="eastAsia"/>
          <w:color w:val="auto"/>
          <w:szCs w:val="21"/>
          <w:highlight w:val="none"/>
          <w:lang w:eastAsia="zh-CN"/>
        </w:rPr>
        <w:t>.</w:t>
      </w:r>
      <w:r>
        <w:rPr>
          <w:color w:val="auto"/>
          <w:szCs w:val="21"/>
          <w:highlight w:val="none"/>
          <w:lang w:eastAsia="zh-CN"/>
        </w:rPr>
        <w:t>1</w:t>
      </w:r>
      <w:r>
        <w:rPr>
          <w:rFonts w:hint="eastAsia"/>
          <w:color w:val="auto"/>
          <w:szCs w:val="21"/>
          <w:highlight w:val="none"/>
          <w:lang w:eastAsia="zh-CN"/>
        </w:rPr>
        <w:t>倍，且水平悬挑尺寸</w:t>
      </w:r>
      <w:r>
        <w:rPr>
          <w:color w:val="auto"/>
          <w:szCs w:val="21"/>
          <w:highlight w:val="none"/>
          <w:lang w:eastAsia="zh-CN"/>
        </w:rPr>
        <w:t>a</w:t>
      </w:r>
      <w:r>
        <w:rPr>
          <w:rFonts w:hint="eastAsia"/>
          <w:color w:val="auto"/>
          <w:szCs w:val="21"/>
          <w:highlight w:val="none"/>
          <w:lang w:eastAsia="zh-CN"/>
        </w:rPr>
        <w:t>不宜大于</w:t>
      </w:r>
      <w:r>
        <w:rPr>
          <w:color w:val="auto"/>
          <w:szCs w:val="21"/>
          <w:highlight w:val="none"/>
          <w:lang w:eastAsia="zh-CN"/>
        </w:rPr>
        <w:t>3m</w:t>
      </w:r>
      <w:r>
        <w:rPr>
          <w:rFonts w:hint="eastAsia"/>
          <w:color w:val="auto"/>
          <w:szCs w:val="21"/>
          <w:highlight w:val="none"/>
          <w:lang w:eastAsia="zh-CN"/>
        </w:rPr>
        <w:t xml:space="preserve">（图5.3.8- </w:t>
      </w:r>
      <w:r>
        <w:rPr>
          <w:color w:val="auto"/>
          <w:szCs w:val="21"/>
          <w:highlight w:val="none"/>
          <w:lang w:eastAsia="zh-CN"/>
        </w:rPr>
        <w:t>c</w:t>
      </w:r>
      <w:r>
        <w:rPr>
          <w:rFonts w:hint="eastAsia"/>
          <w:color w:val="auto"/>
          <w:szCs w:val="21"/>
          <w:highlight w:val="none"/>
          <w:lang w:eastAsia="zh-CN"/>
        </w:rPr>
        <w:t>、</w:t>
      </w:r>
      <w:r>
        <w:rPr>
          <w:color w:val="auto"/>
          <w:szCs w:val="21"/>
          <w:highlight w:val="none"/>
          <w:lang w:eastAsia="zh-CN"/>
        </w:rPr>
        <w:t>d</w:t>
      </w:r>
      <w:r>
        <w:rPr>
          <w:rFonts w:hint="eastAsia"/>
          <w:color w:val="auto"/>
          <w:szCs w:val="21"/>
          <w:highlight w:val="none"/>
          <w:lang w:eastAsia="zh-CN"/>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6"/>
      </w:tblGrid>
      <w:tr w14:paraId="2135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3" w:type="dxa"/>
            <w:tcBorders>
              <w:top w:val="nil"/>
              <w:left w:val="nil"/>
              <w:bottom w:val="nil"/>
              <w:right w:val="nil"/>
            </w:tcBorders>
          </w:tcPr>
          <w:p w14:paraId="4527D2B4">
            <w:pPr>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lang w:eastAsia="zh-CN"/>
              </w:rPr>
              <w:drawing>
                <wp:inline distT="0" distB="0" distL="114300" distR="114300">
                  <wp:extent cx="5102860" cy="2153285"/>
                  <wp:effectExtent l="0" t="0" r="254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cstate="print"/>
                          <a:srcRect b="12006"/>
                          <a:stretch>
                            <a:fillRect/>
                          </a:stretch>
                        </pic:blipFill>
                        <pic:spPr>
                          <a:xfrm>
                            <a:off x="0" y="0"/>
                            <a:ext cx="5102860" cy="2153285"/>
                          </a:xfrm>
                          <a:prstGeom prst="rect">
                            <a:avLst/>
                          </a:prstGeom>
                          <a:noFill/>
                          <a:ln>
                            <a:noFill/>
                          </a:ln>
                        </pic:spPr>
                      </pic:pic>
                    </a:graphicData>
                  </a:graphic>
                </wp:inline>
              </w:drawing>
            </w:r>
          </w:p>
        </w:tc>
      </w:tr>
      <w:tr w14:paraId="36E3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3" w:type="dxa"/>
            <w:tcBorders>
              <w:top w:val="nil"/>
              <w:left w:val="nil"/>
              <w:bottom w:val="nil"/>
              <w:right w:val="nil"/>
            </w:tcBorders>
          </w:tcPr>
          <w:p w14:paraId="302C2EEB">
            <w:pPr>
              <w:pStyle w:val="44"/>
              <w:ind w:firstLine="198"/>
              <w:rPr>
                <w:rFonts w:ascii="宋体" w:hAnsi="宋体"/>
                <w:color w:val="auto"/>
                <w:szCs w:val="18"/>
                <w:highlight w:val="none"/>
              </w:rPr>
            </w:pPr>
            <w:r>
              <w:rPr>
                <w:rFonts w:hint="eastAsia"/>
                <w:color w:val="auto"/>
                <w:highlight w:val="none"/>
              </w:rPr>
              <w:t>图5.3.8  结构竖向收进和悬挑示意</w:t>
            </w:r>
          </w:p>
        </w:tc>
      </w:tr>
    </w:tbl>
    <w:p w14:paraId="2A7B611D">
      <w:pPr>
        <w:pStyle w:val="4"/>
        <w:ind w:firstLine="361" w:firstLineChars="150"/>
        <w:rPr>
          <w:color w:val="auto"/>
          <w:szCs w:val="21"/>
          <w:highlight w:val="none"/>
          <w:lang w:eastAsia="zh-CN"/>
        </w:rPr>
      </w:pPr>
      <w:r>
        <w:rPr>
          <w:b/>
          <w:bCs/>
          <w:color w:val="auto"/>
          <w:szCs w:val="21"/>
          <w:highlight w:val="none"/>
          <w:lang w:eastAsia="zh-CN"/>
        </w:rPr>
        <w:t>6</w:t>
      </w:r>
      <w:r>
        <w:rPr>
          <w:rFonts w:hint="eastAsia"/>
          <w:color w:val="auto"/>
          <w:szCs w:val="21"/>
          <w:highlight w:val="none"/>
          <w:lang w:eastAsia="zh-CN"/>
        </w:rPr>
        <w:t xml:space="preserve">  当本条第</w:t>
      </w:r>
      <w:r>
        <w:rPr>
          <w:color w:val="auto"/>
          <w:szCs w:val="21"/>
          <w:highlight w:val="none"/>
          <w:lang w:eastAsia="zh-CN"/>
        </w:rPr>
        <w:t>1</w:t>
      </w:r>
      <w:r>
        <w:rPr>
          <w:rFonts w:hint="eastAsia"/>
          <w:color w:val="auto"/>
          <w:szCs w:val="21"/>
          <w:highlight w:val="none"/>
          <w:lang w:eastAsia="zh-CN"/>
        </w:rPr>
        <w:t>款～第</w:t>
      </w:r>
      <w:r>
        <w:rPr>
          <w:color w:val="auto"/>
          <w:szCs w:val="21"/>
          <w:highlight w:val="none"/>
          <w:lang w:eastAsia="zh-CN"/>
        </w:rPr>
        <w:t>5</w:t>
      </w:r>
      <w:r>
        <w:rPr>
          <w:rFonts w:hint="eastAsia"/>
          <w:color w:val="auto"/>
          <w:szCs w:val="21"/>
          <w:highlight w:val="none"/>
          <w:lang w:eastAsia="zh-CN"/>
        </w:rPr>
        <w:t>款中任意一款不符合时，相应的地震剪力标准值应乘以</w:t>
      </w:r>
      <w:r>
        <w:rPr>
          <w:color w:val="auto"/>
          <w:szCs w:val="21"/>
          <w:highlight w:val="none"/>
          <w:lang w:eastAsia="zh-CN"/>
        </w:rPr>
        <w:t>1</w:t>
      </w:r>
      <w:r>
        <w:rPr>
          <w:rFonts w:hint="eastAsia"/>
          <w:color w:val="auto"/>
          <w:szCs w:val="21"/>
          <w:highlight w:val="none"/>
          <w:lang w:eastAsia="zh-CN"/>
        </w:rPr>
        <w:t>.</w:t>
      </w:r>
      <w:r>
        <w:rPr>
          <w:color w:val="auto"/>
          <w:szCs w:val="21"/>
          <w:highlight w:val="none"/>
          <w:lang w:eastAsia="zh-CN"/>
        </w:rPr>
        <w:t>3</w:t>
      </w:r>
      <w:r>
        <w:rPr>
          <w:rFonts w:hint="eastAsia"/>
          <w:color w:val="auto"/>
          <w:szCs w:val="21"/>
          <w:highlight w:val="none"/>
          <w:lang w:eastAsia="zh-CN"/>
        </w:rPr>
        <w:t>倍的增大系数。</w:t>
      </w:r>
    </w:p>
    <w:p w14:paraId="69735E8E">
      <w:pPr>
        <w:pStyle w:val="4"/>
        <w:ind w:firstLine="361" w:firstLineChars="150"/>
        <w:rPr>
          <w:color w:val="auto"/>
          <w:szCs w:val="21"/>
          <w:highlight w:val="none"/>
          <w:lang w:eastAsia="zh-CN"/>
        </w:rPr>
      </w:pPr>
      <w:r>
        <w:rPr>
          <w:b/>
          <w:bCs/>
          <w:color w:val="auto"/>
          <w:szCs w:val="21"/>
          <w:highlight w:val="none"/>
          <w:lang w:eastAsia="zh-CN"/>
        </w:rPr>
        <w:t>7</w:t>
      </w:r>
      <w:r>
        <w:rPr>
          <w:rFonts w:hint="eastAsia"/>
          <w:color w:val="auto"/>
          <w:szCs w:val="21"/>
          <w:highlight w:val="none"/>
          <w:lang w:eastAsia="zh-CN"/>
        </w:rPr>
        <w:t xml:space="preserve">  当结构顶层取消部分墙、柱或支撑形成空旷房屋时，宜采用弹性或弹塑性时程反应分析方法进行补充计算，并应采取有效的构造措施。</w:t>
      </w:r>
    </w:p>
    <w:p w14:paraId="080E63DE">
      <w:pPr>
        <w:pStyle w:val="4"/>
        <w:bidi w:val="0"/>
        <w:rPr>
          <w:color w:val="auto"/>
          <w:highlight w:val="none"/>
        </w:rPr>
      </w:pPr>
      <w:r>
        <w:rPr>
          <w:rFonts w:hint="eastAsia"/>
          <w:color w:val="auto"/>
          <w:highlight w:val="none"/>
        </w:rPr>
        <w:t>5.</w:t>
      </w:r>
      <w:r>
        <w:rPr>
          <w:rFonts w:hint="eastAsia"/>
          <w:color w:val="auto"/>
          <w:highlight w:val="none"/>
          <w:lang w:eastAsia="zh-CN"/>
        </w:rPr>
        <w:t>3</w:t>
      </w:r>
      <w:r>
        <w:rPr>
          <w:rFonts w:hint="eastAsia"/>
          <w:color w:val="auto"/>
          <w:highlight w:val="none"/>
        </w:rPr>
        <w:t>.</w:t>
      </w:r>
      <w:r>
        <w:rPr>
          <w:rFonts w:hint="eastAsia"/>
          <w:color w:val="auto"/>
          <w:highlight w:val="none"/>
          <w:lang w:eastAsia="zh-CN"/>
        </w:rPr>
        <w:t>9</w:t>
      </w:r>
      <w:r>
        <w:rPr>
          <w:rFonts w:hint="eastAsia"/>
          <w:color w:val="auto"/>
          <w:highlight w:val="none"/>
        </w:rPr>
        <w:t xml:space="preserve">  结构平面布置应减少扭转的影响，以结构扭转为主的第一自振周期</w:t>
      </w:r>
      <w:r>
        <w:rPr>
          <w:color w:val="auto"/>
          <w:highlight w:val="none"/>
        </w:rPr>
        <w:t>T</w:t>
      </w:r>
      <w:r>
        <w:rPr>
          <w:rFonts w:hint="eastAsia"/>
          <w:color w:val="auto"/>
          <w:highlight w:val="none"/>
        </w:rPr>
        <w:t>，与平动为主的第一自振周期</w:t>
      </w:r>
      <w:r>
        <w:rPr>
          <w:color w:val="auto"/>
          <w:highlight w:val="none"/>
        </w:rPr>
        <w:t>T</w:t>
      </w:r>
      <w:r>
        <w:rPr>
          <w:rFonts w:hint="eastAsia"/>
          <w:color w:val="auto"/>
          <w:highlight w:val="none"/>
        </w:rPr>
        <w:t>之比不应大于</w:t>
      </w:r>
      <w:r>
        <w:rPr>
          <w:color w:val="auto"/>
          <w:highlight w:val="none"/>
        </w:rPr>
        <w:t>0</w:t>
      </w:r>
      <w:r>
        <w:rPr>
          <w:rFonts w:hint="eastAsia"/>
          <w:color w:val="auto"/>
          <w:highlight w:val="none"/>
        </w:rPr>
        <w:t>.</w:t>
      </w:r>
      <w:r>
        <w:rPr>
          <w:color w:val="auto"/>
          <w:highlight w:val="none"/>
        </w:rPr>
        <w:t>9</w:t>
      </w:r>
      <w:r>
        <w:rPr>
          <w:rFonts w:hint="eastAsia"/>
          <w:color w:val="auto"/>
          <w:highlight w:val="none"/>
        </w:rPr>
        <w:t>。</w:t>
      </w:r>
    </w:p>
    <w:p w14:paraId="2C2EF9FE">
      <w:pPr>
        <w:pStyle w:val="4"/>
        <w:bidi w:val="0"/>
        <w:rPr>
          <w:color w:val="auto"/>
          <w:highlight w:val="none"/>
        </w:rPr>
      </w:pPr>
      <w:r>
        <w:rPr>
          <w:rFonts w:hint="eastAsia"/>
          <w:color w:val="auto"/>
          <w:highlight w:val="none"/>
        </w:rPr>
        <w:t>5.</w:t>
      </w:r>
      <w:r>
        <w:rPr>
          <w:rFonts w:hint="eastAsia"/>
          <w:color w:val="auto"/>
          <w:highlight w:val="none"/>
          <w:lang w:eastAsia="zh-CN"/>
        </w:rPr>
        <w:t>3</w:t>
      </w:r>
      <w:r>
        <w:rPr>
          <w:rFonts w:hint="eastAsia"/>
          <w:color w:val="auto"/>
          <w:highlight w:val="none"/>
        </w:rPr>
        <w:t>.</w:t>
      </w:r>
      <w:r>
        <w:rPr>
          <w:rFonts w:hint="eastAsia"/>
          <w:color w:val="auto"/>
          <w:highlight w:val="none"/>
          <w:lang w:eastAsia="zh-CN"/>
        </w:rPr>
        <w:t>10</w:t>
      </w:r>
      <w:r>
        <w:rPr>
          <w:rFonts w:hint="eastAsia"/>
          <w:color w:val="auto"/>
          <w:highlight w:val="none"/>
        </w:rPr>
        <w:t xml:space="preserve">  现代木结构建筑结构的隔墙、外围护等宜采用轻质材料。</w:t>
      </w:r>
    </w:p>
    <w:p w14:paraId="410E1C0E">
      <w:pPr>
        <w:pStyle w:val="50"/>
        <w:bidi w:val="0"/>
        <w:rPr>
          <w:color w:val="auto"/>
          <w:highlight w:val="none"/>
          <w:lang w:eastAsia="zh-CN"/>
        </w:rPr>
      </w:pPr>
      <w:r>
        <w:rPr>
          <w:rFonts w:hint="eastAsia"/>
          <w:color w:val="auto"/>
          <w:highlight w:val="none"/>
        </w:rPr>
        <w:t>【条文说明】5.</w:t>
      </w:r>
      <w:r>
        <w:rPr>
          <w:rFonts w:hint="eastAsia"/>
          <w:color w:val="auto"/>
          <w:highlight w:val="none"/>
          <w:lang w:eastAsia="zh-CN"/>
        </w:rPr>
        <w:t>3</w:t>
      </w:r>
      <w:r>
        <w:rPr>
          <w:rFonts w:hint="eastAsia"/>
          <w:color w:val="auto"/>
          <w:highlight w:val="none"/>
        </w:rPr>
        <w:t>.</w:t>
      </w:r>
      <w:r>
        <w:rPr>
          <w:rFonts w:hint="eastAsia"/>
          <w:color w:val="auto"/>
          <w:highlight w:val="none"/>
          <w:lang w:eastAsia="zh-CN"/>
        </w:rPr>
        <w:t>10</w:t>
      </w:r>
      <w:r>
        <w:rPr>
          <w:rFonts w:hint="eastAsia"/>
          <w:color w:val="auto"/>
          <w:highlight w:val="none"/>
        </w:rPr>
        <w:t xml:space="preserve">  木结构本身具有自重较小的优势，采用轻质隔墙和围护等可以使这一优势充分发挥；同时由于木结构刚度较小，较轻质隔墙和围护能适应较大的变形，而且轻质隔墙对结构刚度的影响也相对较小</w:t>
      </w:r>
      <w:r>
        <w:rPr>
          <w:rFonts w:hint="eastAsia"/>
          <w:color w:val="auto"/>
          <w:highlight w:val="none"/>
          <w:lang w:eastAsia="zh-CN"/>
        </w:rPr>
        <w:t>。</w:t>
      </w:r>
    </w:p>
    <w:p w14:paraId="1687121E">
      <w:pPr>
        <w:rPr>
          <w:b/>
          <w:bCs/>
          <w:color w:val="auto"/>
          <w:highlight w:val="none"/>
          <w:lang w:eastAsia="zh-CN"/>
        </w:rPr>
      </w:pPr>
    </w:p>
    <w:p w14:paraId="130746E5">
      <w:pPr>
        <w:pStyle w:val="3"/>
        <w:spacing w:before="156" w:after="156"/>
        <w:rPr>
          <w:color w:val="auto"/>
          <w:highlight w:val="none"/>
          <w:lang w:eastAsia="zh-CN"/>
        </w:rPr>
      </w:pPr>
      <w:bookmarkStart w:id="84" w:name="_Toc32633"/>
      <w:bookmarkStart w:id="85" w:name="_Toc6397"/>
      <w:bookmarkStart w:id="86" w:name="_Toc12703"/>
      <w:r>
        <w:rPr>
          <w:rFonts w:hint="eastAsia"/>
          <w:color w:val="auto"/>
          <w:highlight w:val="none"/>
          <w:lang w:eastAsia="zh-CN"/>
        </w:rPr>
        <w:t>5.4  结构分析方法</w:t>
      </w:r>
      <w:bookmarkEnd w:id="84"/>
      <w:bookmarkEnd w:id="85"/>
      <w:bookmarkEnd w:id="86"/>
    </w:p>
    <w:p w14:paraId="49D974D1">
      <w:pPr>
        <w:pStyle w:val="4"/>
        <w:bidi w:val="0"/>
        <w:rPr>
          <w:color w:val="auto"/>
          <w:highlight w:val="none"/>
          <w:lang w:eastAsia="zh-CN"/>
        </w:rPr>
      </w:pPr>
      <w:r>
        <w:rPr>
          <w:rFonts w:hint="eastAsia"/>
          <w:b/>
          <w:bCs/>
          <w:color w:val="auto"/>
          <w:highlight w:val="none"/>
        </w:rPr>
        <w:t>5.</w:t>
      </w:r>
      <w:r>
        <w:rPr>
          <w:rFonts w:hint="eastAsia"/>
          <w:b/>
          <w:bCs/>
          <w:color w:val="auto"/>
          <w:highlight w:val="none"/>
          <w:lang w:eastAsia="zh-CN"/>
        </w:rPr>
        <w:t>4</w:t>
      </w:r>
      <w:r>
        <w:rPr>
          <w:rFonts w:hint="eastAsia"/>
          <w:b/>
          <w:bCs/>
          <w:color w:val="auto"/>
          <w:highlight w:val="none"/>
        </w:rPr>
        <w:t>.</w:t>
      </w:r>
      <w:r>
        <w:rPr>
          <w:rFonts w:hint="eastAsia"/>
          <w:b/>
          <w:bCs/>
          <w:color w:val="auto"/>
          <w:highlight w:val="none"/>
          <w:lang w:eastAsia="zh-CN"/>
        </w:rPr>
        <w:t>1</w:t>
      </w:r>
      <w:r>
        <w:rPr>
          <w:rFonts w:hint="eastAsia"/>
          <w:b/>
          <w:bCs/>
          <w:color w:val="auto"/>
          <w:highlight w:val="none"/>
        </w:rPr>
        <w:t xml:space="preserve">  </w:t>
      </w:r>
      <w:r>
        <w:rPr>
          <w:rFonts w:hint="eastAsia"/>
          <w:color w:val="auto"/>
          <w:highlight w:val="none"/>
        </w:rPr>
        <w:t>现代木结构建筑的结构分析应符合下列规定</w:t>
      </w:r>
      <w:r>
        <w:rPr>
          <w:rFonts w:hint="eastAsia"/>
          <w:color w:val="auto"/>
          <w:highlight w:val="none"/>
          <w:lang w:eastAsia="zh-CN"/>
        </w:rPr>
        <w:t>：</w:t>
      </w:r>
    </w:p>
    <w:p w14:paraId="23F7627A">
      <w:pPr>
        <w:pStyle w:val="4"/>
        <w:bidi w:val="0"/>
        <w:ind w:firstLine="480" w:firstLineChars="200"/>
        <w:rPr>
          <w:color w:val="auto"/>
          <w:highlight w:val="none"/>
        </w:rPr>
      </w:pPr>
      <w:r>
        <w:rPr>
          <w:rFonts w:hint="eastAsia"/>
          <w:color w:val="auto"/>
          <w:highlight w:val="none"/>
        </w:rPr>
        <w:t>1  结构分析模型应反映结构的实际受力状态，构件间连接、结构与基础连接的力-变形关系选取应合理；结构分析模型的确定应基于力学原理和工程经验，或经过试验验证。</w:t>
      </w:r>
    </w:p>
    <w:p w14:paraId="6EDC6136">
      <w:pPr>
        <w:pStyle w:val="4"/>
        <w:bidi w:val="0"/>
        <w:ind w:firstLine="480" w:firstLineChars="200"/>
        <w:rPr>
          <w:color w:val="auto"/>
          <w:highlight w:val="none"/>
          <w:lang w:eastAsia="zh-CN"/>
        </w:rPr>
      </w:pPr>
      <w:r>
        <w:rPr>
          <w:rFonts w:hint="eastAsia"/>
          <w:color w:val="auto"/>
          <w:highlight w:val="none"/>
        </w:rPr>
        <w:t>2  动力分析中应计入相关结构构件及其质量、强度、刚度和阻尼比，以及对动力分析结果产生影响的非结构构件。</w:t>
      </w:r>
    </w:p>
    <w:p w14:paraId="704DCAAA">
      <w:pPr>
        <w:pStyle w:val="4"/>
        <w:bidi w:val="0"/>
        <w:rPr>
          <w:color w:val="auto"/>
          <w:highlight w:val="none"/>
          <w:lang w:eastAsia="zh-CN"/>
        </w:rPr>
      </w:pPr>
      <w:r>
        <w:rPr>
          <w:rFonts w:hint="eastAsia"/>
          <w:b/>
          <w:bCs/>
          <w:color w:val="auto"/>
          <w:highlight w:val="none"/>
          <w:lang w:eastAsia="zh-CN"/>
        </w:rPr>
        <w:t xml:space="preserve">5.4.2  </w:t>
      </w:r>
      <w:r>
        <w:rPr>
          <w:rFonts w:hint="eastAsia"/>
          <w:color w:val="auto"/>
          <w:highlight w:val="none"/>
          <w:lang w:eastAsia="zh-CN"/>
        </w:rPr>
        <w:t>木结构按承载能力极限状态设计时，应符合下列规定：</w:t>
      </w:r>
    </w:p>
    <w:p w14:paraId="407E0AF7">
      <w:pPr>
        <w:pStyle w:val="4"/>
        <w:bidi w:val="0"/>
        <w:ind w:firstLine="480" w:firstLineChars="200"/>
        <w:rPr>
          <w:color w:val="auto"/>
          <w:highlight w:val="none"/>
          <w:lang w:eastAsia="zh-CN"/>
        </w:rPr>
      </w:pPr>
      <w:r>
        <w:rPr>
          <w:rFonts w:hint="eastAsia"/>
          <w:color w:val="auto"/>
          <w:highlight w:val="none"/>
          <w:lang w:eastAsia="zh-CN"/>
        </w:rPr>
        <w:t>1  应进行结构构件和连接的承载力计算；</w:t>
      </w:r>
    </w:p>
    <w:p w14:paraId="51CEA294">
      <w:pPr>
        <w:pStyle w:val="4"/>
        <w:bidi w:val="0"/>
        <w:ind w:firstLine="480" w:firstLineChars="200"/>
        <w:rPr>
          <w:color w:val="auto"/>
          <w:highlight w:val="none"/>
          <w:lang w:eastAsia="zh-CN"/>
        </w:rPr>
      </w:pPr>
      <w:r>
        <w:rPr>
          <w:rFonts w:hint="eastAsia"/>
          <w:color w:val="auto"/>
          <w:highlight w:val="none"/>
          <w:lang w:eastAsia="zh-CN"/>
        </w:rPr>
        <w:t>2  结构构件和连接的承载力计算应考虑不同的使用条件；</w:t>
      </w:r>
    </w:p>
    <w:p w14:paraId="10C102EE">
      <w:pPr>
        <w:pStyle w:val="4"/>
        <w:bidi w:val="0"/>
        <w:ind w:firstLine="480" w:firstLineChars="200"/>
        <w:rPr>
          <w:color w:val="auto"/>
          <w:highlight w:val="none"/>
          <w:lang w:eastAsia="zh-CN"/>
        </w:rPr>
      </w:pPr>
      <w:r>
        <w:rPr>
          <w:rFonts w:hint="eastAsia"/>
          <w:color w:val="auto"/>
          <w:highlight w:val="none"/>
          <w:lang w:eastAsia="zh-CN"/>
        </w:rPr>
        <w:t>3  有抗震设防要求时，应进行抗震设计；</w:t>
      </w:r>
    </w:p>
    <w:p w14:paraId="76BB8C3F">
      <w:pPr>
        <w:pStyle w:val="4"/>
        <w:bidi w:val="0"/>
        <w:ind w:firstLine="480" w:firstLineChars="200"/>
        <w:rPr>
          <w:color w:val="auto"/>
          <w:highlight w:val="none"/>
          <w:lang w:eastAsia="zh-CN"/>
        </w:rPr>
      </w:pPr>
      <w:r>
        <w:rPr>
          <w:rFonts w:hint="eastAsia"/>
          <w:color w:val="auto"/>
          <w:highlight w:val="none"/>
          <w:lang w:eastAsia="zh-CN"/>
        </w:rPr>
        <w:t>4  应进行结构抗倾覆验算；</w:t>
      </w:r>
    </w:p>
    <w:p w14:paraId="543E1E86">
      <w:pPr>
        <w:pStyle w:val="4"/>
        <w:bidi w:val="0"/>
        <w:ind w:firstLine="480" w:firstLineChars="200"/>
        <w:rPr>
          <w:color w:val="auto"/>
          <w:highlight w:val="none"/>
          <w:lang w:eastAsia="zh-CN"/>
        </w:rPr>
      </w:pPr>
      <w:r>
        <w:rPr>
          <w:rFonts w:hint="eastAsia"/>
          <w:color w:val="auto"/>
          <w:highlight w:val="none"/>
          <w:lang w:eastAsia="zh-CN"/>
        </w:rPr>
        <w:t>5  对于可能遭受偶然作用导致结构倒塌的重要结构，应进行抗连续倒塌设计；</w:t>
      </w:r>
    </w:p>
    <w:p w14:paraId="4C3A6FE8">
      <w:pPr>
        <w:pStyle w:val="4"/>
        <w:bidi w:val="0"/>
        <w:ind w:firstLine="480" w:firstLineChars="200"/>
        <w:rPr>
          <w:color w:val="auto"/>
          <w:highlight w:val="none"/>
          <w:lang w:eastAsia="zh-CN"/>
        </w:rPr>
      </w:pPr>
      <w:r>
        <w:rPr>
          <w:rFonts w:hint="eastAsia"/>
          <w:color w:val="auto"/>
          <w:highlight w:val="none"/>
          <w:lang w:eastAsia="zh-CN"/>
        </w:rPr>
        <w:t>6  木结构桥梁应进行持久设计状况、短暂设计状况、偶然设计状况、地震设计状况下的承载能力极限状态计算，木结构公路桥尚应进行构件和连接的疲劳验算。</w:t>
      </w:r>
    </w:p>
    <w:p w14:paraId="7DCA3946">
      <w:pPr>
        <w:pStyle w:val="4"/>
        <w:bidi w:val="0"/>
        <w:rPr>
          <w:color w:val="auto"/>
          <w:highlight w:val="none"/>
          <w:lang w:eastAsia="zh-CN"/>
        </w:rPr>
      </w:pPr>
      <w:r>
        <w:rPr>
          <w:rFonts w:hint="eastAsia"/>
          <w:b/>
          <w:bCs/>
          <w:color w:val="auto"/>
          <w:highlight w:val="none"/>
          <w:lang w:eastAsia="zh-CN"/>
        </w:rPr>
        <w:t xml:space="preserve">5.4.3   </w:t>
      </w:r>
      <w:r>
        <w:rPr>
          <w:rFonts w:hint="eastAsia"/>
          <w:color w:val="auto"/>
          <w:highlight w:val="none"/>
          <w:lang w:eastAsia="zh-CN"/>
        </w:rPr>
        <w:t>木结构按正常使用极限状态设计时，应符合下列规定：</w:t>
      </w:r>
    </w:p>
    <w:p w14:paraId="306318F5">
      <w:pPr>
        <w:pStyle w:val="4"/>
        <w:bidi w:val="0"/>
        <w:ind w:firstLine="480" w:firstLineChars="200"/>
        <w:rPr>
          <w:color w:val="auto"/>
          <w:highlight w:val="none"/>
          <w:lang w:eastAsia="zh-CN"/>
        </w:rPr>
      </w:pPr>
      <w:r>
        <w:rPr>
          <w:rFonts w:hint="eastAsia"/>
          <w:color w:val="auto"/>
          <w:highlight w:val="none"/>
          <w:lang w:eastAsia="zh-CN"/>
        </w:rPr>
        <w:t>1  受弯构件应进行变形验算；</w:t>
      </w:r>
    </w:p>
    <w:p w14:paraId="69B62898">
      <w:pPr>
        <w:pStyle w:val="4"/>
        <w:bidi w:val="0"/>
        <w:ind w:firstLine="480" w:firstLineChars="200"/>
        <w:rPr>
          <w:color w:val="auto"/>
          <w:highlight w:val="none"/>
          <w:lang w:eastAsia="zh-CN"/>
        </w:rPr>
      </w:pPr>
      <w:r>
        <w:rPr>
          <w:rFonts w:hint="eastAsia"/>
          <w:color w:val="auto"/>
          <w:highlight w:val="none"/>
          <w:lang w:eastAsia="zh-CN"/>
        </w:rPr>
        <w:t>2  对舒适度有要求的楼盖结构，应进行振动舒适度验算；</w:t>
      </w:r>
    </w:p>
    <w:p w14:paraId="2E6B1D92">
      <w:pPr>
        <w:pStyle w:val="4"/>
        <w:bidi w:val="0"/>
        <w:ind w:firstLine="480" w:firstLineChars="200"/>
        <w:rPr>
          <w:color w:val="auto"/>
          <w:highlight w:val="none"/>
          <w:lang w:eastAsia="zh-CN"/>
        </w:rPr>
      </w:pPr>
      <w:r>
        <w:rPr>
          <w:rFonts w:hint="eastAsia"/>
          <w:color w:val="auto"/>
          <w:highlight w:val="none"/>
          <w:lang w:eastAsia="zh-CN"/>
        </w:rPr>
        <w:t>3  在地震作用和风荷载作用下，应进行结构层间位移验算；</w:t>
      </w:r>
    </w:p>
    <w:p w14:paraId="463C37F6">
      <w:pPr>
        <w:pStyle w:val="4"/>
        <w:bidi w:val="0"/>
        <w:ind w:firstLine="480" w:firstLineChars="200"/>
        <w:rPr>
          <w:color w:val="auto"/>
          <w:highlight w:val="none"/>
          <w:lang w:eastAsia="zh-CN"/>
        </w:rPr>
      </w:pPr>
      <w:r>
        <w:rPr>
          <w:rFonts w:hint="eastAsia"/>
          <w:color w:val="auto"/>
          <w:highlight w:val="none"/>
          <w:lang w:eastAsia="zh-CN"/>
        </w:rPr>
        <w:t>4  木结构桥梁应进行持久状况下的正常使用极限状态验算。</w:t>
      </w:r>
    </w:p>
    <w:p w14:paraId="1E3636E6">
      <w:pPr>
        <w:ind w:firstLine="360" w:firstLineChars="150"/>
        <w:rPr>
          <w:color w:val="auto"/>
          <w:highlight w:val="none"/>
          <w:lang w:eastAsia="zh-CN"/>
        </w:rPr>
      </w:pPr>
    </w:p>
    <w:p w14:paraId="3134DF07">
      <w:pPr>
        <w:pStyle w:val="3"/>
        <w:spacing w:before="156" w:after="156"/>
        <w:rPr>
          <w:color w:val="auto"/>
          <w:highlight w:val="none"/>
          <w:lang w:eastAsia="zh-CN"/>
        </w:rPr>
      </w:pPr>
      <w:bookmarkStart w:id="87" w:name="_Toc9626"/>
      <w:bookmarkStart w:id="88" w:name="_Toc13316"/>
      <w:bookmarkStart w:id="89" w:name="_Toc2986"/>
      <w:r>
        <w:rPr>
          <w:rFonts w:hint="eastAsia"/>
          <w:color w:val="auto"/>
          <w:highlight w:val="none"/>
          <w:lang w:eastAsia="zh-CN"/>
        </w:rPr>
        <w:t>5.5  构件设计</w:t>
      </w:r>
      <w:bookmarkEnd w:id="87"/>
      <w:bookmarkEnd w:id="88"/>
      <w:bookmarkEnd w:id="89"/>
    </w:p>
    <w:p w14:paraId="3882BCC0">
      <w:pPr>
        <w:pStyle w:val="4"/>
        <w:bidi w:val="0"/>
        <w:rPr>
          <w:color w:val="auto"/>
          <w:highlight w:val="none"/>
          <w:lang w:eastAsia="zh-CN"/>
        </w:rPr>
      </w:pPr>
      <w:r>
        <w:rPr>
          <w:rFonts w:hint="eastAsia"/>
          <w:b/>
          <w:bCs/>
          <w:color w:val="auto"/>
          <w:highlight w:val="none"/>
          <w:lang w:eastAsia="zh-CN"/>
        </w:rPr>
        <w:t xml:space="preserve">5.5.1  </w:t>
      </w:r>
      <w:r>
        <w:rPr>
          <w:rFonts w:hint="eastAsia"/>
          <w:color w:val="auto"/>
          <w:highlight w:val="none"/>
          <w:lang w:eastAsia="zh-CN"/>
        </w:rPr>
        <w:t>轴心受力构件和偏心受力构件应进行强度计算，轴心受压构件和压弯构件尚应进行稳定验算，应保证构件满足强度和稳定性要求。</w:t>
      </w:r>
    </w:p>
    <w:p w14:paraId="6860D9EF">
      <w:pPr>
        <w:pStyle w:val="4"/>
        <w:bidi w:val="0"/>
        <w:rPr>
          <w:color w:val="auto"/>
          <w:highlight w:val="none"/>
          <w:lang w:eastAsia="zh-CN"/>
        </w:rPr>
      </w:pPr>
      <w:r>
        <w:rPr>
          <w:rFonts w:hint="eastAsia"/>
          <w:b/>
          <w:bCs/>
          <w:color w:val="auto"/>
          <w:highlight w:val="none"/>
          <w:lang w:eastAsia="zh-CN"/>
        </w:rPr>
        <w:t xml:space="preserve">5.5.2  </w:t>
      </w:r>
      <w:r>
        <w:rPr>
          <w:rFonts w:hint="eastAsia"/>
          <w:color w:val="auto"/>
          <w:highlight w:val="none"/>
          <w:lang w:eastAsia="zh-CN"/>
        </w:rPr>
        <w:t>受弯构件应进行抗弯强度、抗剪强度、稳定和变形等计算，对于有切口的受弯构件，尚应进行切口处的强度计算，应满足安全使用的需要。</w:t>
      </w:r>
    </w:p>
    <w:p w14:paraId="10374F82">
      <w:pPr>
        <w:pStyle w:val="4"/>
        <w:bidi w:val="0"/>
        <w:rPr>
          <w:color w:val="auto"/>
          <w:highlight w:val="none"/>
          <w:lang w:eastAsia="zh-CN"/>
        </w:rPr>
      </w:pPr>
      <w:r>
        <w:rPr>
          <w:rFonts w:hint="eastAsia"/>
          <w:b/>
          <w:bCs/>
          <w:color w:val="auto"/>
          <w:highlight w:val="none"/>
          <w:lang w:eastAsia="zh-CN"/>
        </w:rPr>
        <w:t xml:space="preserve">5.5.3  </w:t>
      </w:r>
      <w:r>
        <w:rPr>
          <w:rFonts w:hint="eastAsia"/>
          <w:color w:val="auto"/>
          <w:highlight w:val="none"/>
          <w:lang w:eastAsia="zh-CN"/>
        </w:rPr>
        <w:t>受弯构件的集中荷载作用处和构件支承处的横纹受压区，应进行局部承压强度计算，保证安全。</w:t>
      </w:r>
    </w:p>
    <w:p w14:paraId="0EA8D57E">
      <w:pPr>
        <w:pStyle w:val="4"/>
        <w:bidi w:val="0"/>
        <w:rPr>
          <w:color w:val="auto"/>
          <w:highlight w:val="none"/>
          <w:lang w:eastAsia="zh-CN"/>
        </w:rPr>
      </w:pPr>
      <w:r>
        <w:rPr>
          <w:rFonts w:hint="eastAsia"/>
          <w:b/>
          <w:bCs/>
          <w:color w:val="auto"/>
          <w:highlight w:val="none"/>
          <w:lang w:eastAsia="zh-CN"/>
        </w:rPr>
        <w:t xml:space="preserve">5.5.4  </w:t>
      </w:r>
      <w:r>
        <w:rPr>
          <w:rFonts w:hint="eastAsia"/>
          <w:color w:val="auto"/>
          <w:highlight w:val="none"/>
          <w:lang w:eastAsia="zh-CN"/>
        </w:rPr>
        <w:t>木结构剪力墙设计应符合下列规定：</w:t>
      </w:r>
    </w:p>
    <w:p w14:paraId="1CB0250E">
      <w:pPr>
        <w:pStyle w:val="4"/>
        <w:bidi w:val="0"/>
        <w:ind w:firstLine="480" w:firstLineChars="200"/>
        <w:rPr>
          <w:color w:val="auto"/>
          <w:highlight w:val="none"/>
          <w:lang w:eastAsia="zh-CN"/>
        </w:rPr>
      </w:pPr>
      <w:r>
        <w:rPr>
          <w:rFonts w:hint="eastAsia"/>
          <w:color w:val="auto"/>
          <w:highlight w:val="none"/>
          <w:lang w:eastAsia="zh-CN"/>
        </w:rPr>
        <w:t>1  对承受竖向荷载作用或平面外荷载作用的剪力墙，应进行剪力墙正截面承载力计算和稳定验算；</w:t>
      </w:r>
    </w:p>
    <w:p w14:paraId="12A11983">
      <w:pPr>
        <w:pStyle w:val="4"/>
        <w:bidi w:val="0"/>
        <w:ind w:firstLine="480" w:firstLineChars="200"/>
        <w:rPr>
          <w:color w:val="auto"/>
          <w:highlight w:val="none"/>
          <w:lang w:eastAsia="zh-CN"/>
        </w:rPr>
      </w:pPr>
      <w:r>
        <w:rPr>
          <w:rFonts w:hint="eastAsia"/>
          <w:color w:val="auto"/>
          <w:highlight w:val="none"/>
          <w:lang w:eastAsia="zh-CN"/>
        </w:rPr>
        <w:t>2  对承受平面内水平荷载作用的剪力墙，应进行抗剪强度计算、稳定验算、抗倾覆验算和变形验算；</w:t>
      </w:r>
    </w:p>
    <w:p w14:paraId="41061168">
      <w:pPr>
        <w:pStyle w:val="4"/>
        <w:bidi w:val="0"/>
        <w:ind w:firstLine="480" w:firstLineChars="200"/>
        <w:rPr>
          <w:color w:val="auto"/>
          <w:highlight w:val="none"/>
          <w:lang w:eastAsia="zh-CN"/>
        </w:rPr>
      </w:pPr>
      <w:r>
        <w:rPr>
          <w:rFonts w:hint="eastAsia"/>
          <w:color w:val="auto"/>
          <w:highlight w:val="none"/>
          <w:lang w:eastAsia="zh-CN"/>
        </w:rPr>
        <w:t>3  剪力墙与楼盖、屋盖、基础之间的连接应进行抗剪设计和倾覆荷载作用下的抗拔设计。</w:t>
      </w:r>
    </w:p>
    <w:p w14:paraId="0BCBEAF4">
      <w:pPr>
        <w:pStyle w:val="4"/>
        <w:bidi w:val="0"/>
        <w:rPr>
          <w:color w:val="auto"/>
          <w:highlight w:val="none"/>
          <w:lang w:eastAsia="zh-CN"/>
        </w:rPr>
      </w:pPr>
      <w:r>
        <w:rPr>
          <w:rFonts w:hint="eastAsia"/>
          <w:b/>
          <w:bCs/>
          <w:color w:val="auto"/>
          <w:highlight w:val="none"/>
          <w:lang w:eastAsia="zh-CN"/>
        </w:rPr>
        <w:t xml:space="preserve">5.5.5  </w:t>
      </w:r>
      <w:r>
        <w:rPr>
          <w:rFonts w:hint="eastAsia"/>
          <w:color w:val="auto"/>
          <w:highlight w:val="none"/>
          <w:lang w:eastAsia="zh-CN"/>
        </w:rPr>
        <w:t>楼（屋面）板设计应符合下列规定：</w:t>
      </w:r>
    </w:p>
    <w:p w14:paraId="228F62B2">
      <w:pPr>
        <w:pStyle w:val="4"/>
        <w:bidi w:val="0"/>
        <w:ind w:firstLine="480" w:firstLineChars="200"/>
        <w:rPr>
          <w:color w:val="auto"/>
          <w:highlight w:val="none"/>
          <w:lang w:eastAsia="zh-CN"/>
        </w:rPr>
      </w:pPr>
      <w:r>
        <w:rPr>
          <w:rFonts w:hint="eastAsia"/>
          <w:color w:val="auto"/>
          <w:highlight w:val="none"/>
          <w:lang w:eastAsia="zh-CN"/>
        </w:rPr>
        <w:t>1  应进行竖向荷载作用下的承载力验算和变形计算；</w:t>
      </w:r>
    </w:p>
    <w:p w14:paraId="2BB3854D">
      <w:pPr>
        <w:pStyle w:val="4"/>
        <w:bidi w:val="0"/>
        <w:ind w:firstLine="480" w:firstLineChars="200"/>
        <w:rPr>
          <w:color w:val="auto"/>
          <w:highlight w:val="none"/>
          <w:lang w:eastAsia="zh-CN"/>
        </w:rPr>
      </w:pPr>
      <w:r>
        <w:rPr>
          <w:rFonts w:hint="eastAsia"/>
          <w:color w:val="auto"/>
          <w:highlight w:val="none"/>
          <w:lang w:eastAsia="zh-CN"/>
        </w:rPr>
        <w:t>2  除方木、原木结构外，应进行平面内荷载作用下的承载力计算。</w:t>
      </w:r>
    </w:p>
    <w:p w14:paraId="7B82A84E">
      <w:pPr>
        <w:pStyle w:val="4"/>
        <w:bidi w:val="0"/>
        <w:rPr>
          <w:color w:val="auto"/>
          <w:highlight w:val="none"/>
          <w:lang w:eastAsia="zh-CN"/>
        </w:rPr>
      </w:pPr>
      <w:r>
        <w:rPr>
          <w:rFonts w:hint="eastAsia"/>
          <w:b/>
          <w:bCs/>
          <w:color w:val="auto"/>
          <w:highlight w:val="none"/>
          <w:lang w:eastAsia="zh-CN"/>
        </w:rPr>
        <w:t xml:space="preserve">5.5.6  </w:t>
      </w:r>
      <w:r>
        <w:rPr>
          <w:rFonts w:hint="eastAsia"/>
          <w:color w:val="auto"/>
          <w:highlight w:val="none"/>
          <w:lang w:eastAsia="zh-CN"/>
        </w:rPr>
        <w:t>不符合构造设计法的轻型木结构剪力墙、横隔应根据计算结果进行设计。</w:t>
      </w:r>
    </w:p>
    <w:p w14:paraId="63AF8884">
      <w:pPr>
        <w:rPr>
          <w:color w:val="auto"/>
          <w:highlight w:val="none"/>
          <w:lang w:eastAsia="zh-CN"/>
        </w:rPr>
      </w:pPr>
    </w:p>
    <w:p w14:paraId="05A7E66A">
      <w:pPr>
        <w:pStyle w:val="3"/>
        <w:spacing w:before="156" w:after="156"/>
        <w:rPr>
          <w:color w:val="auto"/>
          <w:highlight w:val="none"/>
          <w:lang w:eastAsia="zh-CN"/>
        </w:rPr>
      </w:pPr>
      <w:bookmarkStart w:id="90" w:name="_Toc12426"/>
      <w:bookmarkStart w:id="91" w:name="_Toc31960"/>
      <w:bookmarkStart w:id="92" w:name="_Toc10165"/>
      <w:r>
        <w:rPr>
          <w:rFonts w:hint="eastAsia"/>
          <w:color w:val="auto"/>
          <w:highlight w:val="none"/>
          <w:lang w:eastAsia="zh-CN"/>
        </w:rPr>
        <w:t>5.6  连接设计</w:t>
      </w:r>
      <w:bookmarkEnd w:id="90"/>
      <w:bookmarkEnd w:id="91"/>
      <w:bookmarkEnd w:id="92"/>
    </w:p>
    <w:p w14:paraId="4BED3C2E">
      <w:pPr>
        <w:pStyle w:val="4"/>
        <w:bidi w:val="0"/>
        <w:rPr>
          <w:color w:val="auto"/>
          <w:highlight w:val="none"/>
          <w:lang w:eastAsia="zh-CN"/>
        </w:rPr>
      </w:pPr>
      <w:r>
        <w:rPr>
          <w:rFonts w:hint="eastAsia"/>
          <w:b/>
          <w:bCs/>
          <w:color w:val="auto"/>
          <w:highlight w:val="none"/>
          <w:lang w:eastAsia="zh-CN"/>
        </w:rPr>
        <w:t xml:space="preserve">5.6.1  </w:t>
      </w:r>
      <w:r>
        <w:rPr>
          <w:rFonts w:hint="eastAsia"/>
          <w:color w:val="auto"/>
          <w:highlight w:val="none"/>
          <w:lang w:eastAsia="zh-CN"/>
        </w:rPr>
        <w:t>木结构连接应牢固、可靠，并应符合下列规定：</w:t>
      </w:r>
    </w:p>
    <w:p w14:paraId="43005237">
      <w:pPr>
        <w:pStyle w:val="4"/>
        <w:bidi w:val="0"/>
        <w:ind w:firstLine="480" w:firstLineChars="200"/>
        <w:rPr>
          <w:color w:val="auto"/>
          <w:highlight w:val="none"/>
          <w:lang w:eastAsia="zh-CN"/>
        </w:rPr>
      </w:pPr>
      <w:r>
        <w:rPr>
          <w:rFonts w:hint="eastAsia"/>
          <w:color w:val="auto"/>
          <w:highlight w:val="none"/>
          <w:lang w:eastAsia="zh-CN"/>
        </w:rPr>
        <w:t>1  应受力简单、传力明确；</w:t>
      </w:r>
    </w:p>
    <w:p w14:paraId="521D4211">
      <w:pPr>
        <w:pStyle w:val="4"/>
        <w:bidi w:val="0"/>
        <w:ind w:firstLine="480" w:firstLineChars="200"/>
        <w:rPr>
          <w:color w:val="auto"/>
          <w:highlight w:val="none"/>
          <w:lang w:eastAsia="zh-CN"/>
        </w:rPr>
      </w:pPr>
      <w:r>
        <w:rPr>
          <w:rFonts w:hint="eastAsia"/>
          <w:color w:val="auto"/>
          <w:highlight w:val="none"/>
          <w:lang w:eastAsia="zh-CN"/>
        </w:rPr>
        <w:t>2  计算模型应与实际情况相符；</w:t>
      </w:r>
    </w:p>
    <w:p w14:paraId="3F635A1F">
      <w:pPr>
        <w:pStyle w:val="4"/>
        <w:bidi w:val="0"/>
        <w:ind w:firstLine="480" w:firstLineChars="200"/>
        <w:rPr>
          <w:color w:val="auto"/>
          <w:highlight w:val="none"/>
          <w:lang w:eastAsia="zh-CN"/>
        </w:rPr>
      </w:pPr>
      <w:r>
        <w:rPr>
          <w:rFonts w:hint="eastAsia"/>
          <w:color w:val="auto"/>
          <w:highlight w:val="none"/>
          <w:lang w:eastAsia="zh-CN"/>
        </w:rPr>
        <w:t>3  当计算模型不明确时，应通过试验或工程经验确定；</w:t>
      </w:r>
    </w:p>
    <w:p w14:paraId="70771A33">
      <w:pPr>
        <w:pStyle w:val="4"/>
        <w:bidi w:val="0"/>
        <w:ind w:firstLine="480" w:firstLineChars="200"/>
        <w:rPr>
          <w:color w:val="auto"/>
          <w:highlight w:val="none"/>
          <w:lang w:eastAsia="zh-CN"/>
        </w:rPr>
      </w:pPr>
      <w:r>
        <w:rPr>
          <w:rFonts w:hint="eastAsia"/>
          <w:color w:val="auto"/>
          <w:highlight w:val="none"/>
          <w:lang w:eastAsia="zh-CN"/>
        </w:rPr>
        <w:t>4  当木结构连接部位存在横纹拉应力时，应计其不利影响。</w:t>
      </w:r>
    </w:p>
    <w:p w14:paraId="005F8815">
      <w:pPr>
        <w:pStyle w:val="4"/>
        <w:bidi w:val="0"/>
        <w:rPr>
          <w:color w:val="auto"/>
          <w:highlight w:val="none"/>
          <w:lang w:eastAsia="zh-CN"/>
        </w:rPr>
      </w:pPr>
      <w:r>
        <w:rPr>
          <w:rFonts w:hint="eastAsia"/>
          <w:b/>
          <w:bCs/>
          <w:color w:val="auto"/>
          <w:highlight w:val="none"/>
          <w:lang w:eastAsia="zh-CN"/>
        </w:rPr>
        <w:t xml:space="preserve">5.6.2  </w:t>
      </w:r>
      <w:r>
        <w:rPr>
          <w:rFonts w:hint="eastAsia"/>
          <w:color w:val="auto"/>
          <w:highlight w:val="none"/>
          <w:lang w:eastAsia="zh-CN"/>
        </w:rPr>
        <w:t>在顺纹受力的销连接抗剪承载力计算中，应计顺纹方向同排紧固件之间的不均匀受力的影响。</w:t>
      </w:r>
    </w:p>
    <w:p w14:paraId="33C314AD">
      <w:pPr>
        <w:pStyle w:val="4"/>
        <w:bidi w:val="0"/>
        <w:rPr>
          <w:color w:val="auto"/>
          <w:highlight w:val="none"/>
          <w:lang w:eastAsia="zh-CN"/>
        </w:rPr>
      </w:pPr>
      <w:r>
        <w:rPr>
          <w:rFonts w:hint="eastAsia"/>
          <w:b/>
          <w:bCs/>
          <w:color w:val="auto"/>
          <w:highlight w:val="none"/>
          <w:lang w:eastAsia="zh-CN"/>
        </w:rPr>
        <w:t xml:space="preserve">5.6.3  </w:t>
      </w:r>
      <w:r>
        <w:rPr>
          <w:rFonts w:hint="eastAsia"/>
          <w:color w:val="auto"/>
          <w:highlight w:val="none"/>
          <w:lang w:eastAsia="zh-CN"/>
        </w:rPr>
        <w:t>当木结构连接设计中考虑节点半刚性时，在整体结构分析中应以节点的弯矩-转角关系为计算依据，弯矩-转角关系应由试验或经试验验证的数值模拟确定。</w:t>
      </w:r>
    </w:p>
    <w:p w14:paraId="640ED8D7">
      <w:pPr>
        <w:rPr>
          <w:color w:val="auto"/>
          <w:highlight w:val="none"/>
          <w:lang w:eastAsia="zh-CN"/>
        </w:rPr>
      </w:pPr>
    </w:p>
    <w:p w14:paraId="50567BC5">
      <w:pPr>
        <w:pStyle w:val="3"/>
        <w:spacing w:before="156" w:after="156"/>
        <w:rPr>
          <w:color w:val="auto"/>
          <w:highlight w:val="none"/>
          <w:lang w:eastAsia="zh-CN"/>
        </w:rPr>
      </w:pPr>
      <w:bookmarkStart w:id="93" w:name="_Toc10444"/>
      <w:bookmarkStart w:id="94" w:name="_Toc17206"/>
      <w:bookmarkStart w:id="95" w:name="_Toc2624"/>
      <w:r>
        <w:rPr>
          <w:rFonts w:hint="eastAsia"/>
          <w:color w:val="auto"/>
          <w:highlight w:val="none"/>
          <w:lang w:eastAsia="zh-CN"/>
        </w:rPr>
        <w:t xml:space="preserve">5.7 </w:t>
      </w:r>
      <w:r>
        <w:rPr>
          <w:rFonts w:hint="eastAsia"/>
          <w:color w:val="auto"/>
          <w:highlight w:val="none"/>
          <w:lang w:val="en-US" w:eastAsia="zh-CN"/>
        </w:rPr>
        <w:t xml:space="preserve"> </w:t>
      </w:r>
      <w:r>
        <w:rPr>
          <w:rFonts w:hint="eastAsia"/>
          <w:color w:val="auto"/>
          <w:highlight w:val="none"/>
          <w:lang w:eastAsia="zh-CN"/>
        </w:rPr>
        <w:t>设计指标</w:t>
      </w:r>
      <w:bookmarkEnd w:id="93"/>
      <w:bookmarkEnd w:id="94"/>
      <w:bookmarkEnd w:id="95"/>
    </w:p>
    <w:p w14:paraId="7DDED0C4">
      <w:pPr>
        <w:pStyle w:val="4"/>
        <w:spacing w:beforeLines="0" w:afterLines="0"/>
        <w:jc w:val="left"/>
        <w:rPr>
          <w:rFonts w:eastAsia="宋体"/>
          <w:b/>
          <w:bCs/>
          <w:color w:val="auto"/>
          <w:highlight w:val="none"/>
        </w:rPr>
      </w:pPr>
      <w:bookmarkStart w:id="96" w:name="_Toc21779"/>
      <w:r>
        <w:rPr>
          <w:rFonts w:hint="eastAsia" w:eastAsia="宋体"/>
          <w:b/>
          <w:color w:val="auto"/>
          <w:highlight w:val="none"/>
        </w:rPr>
        <w:t>5.7.1</w:t>
      </w:r>
      <w:r>
        <w:rPr>
          <w:rFonts w:hint="eastAsia" w:eastAsia="宋体"/>
          <w:color w:val="auto"/>
          <w:highlight w:val="none"/>
          <w:lang w:eastAsia="zh-CN"/>
        </w:rPr>
        <w:t xml:space="preserve">  </w:t>
      </w:r>
      <w:r>
        <w:rPr>
          <w:rFonts w:hint="eastAsia" w:eastAsia="宋体"/>
          <w:color w:val="auto"/>
          <w:highlight w:val="none"/>
        </w:rPr>
        <w:t>木结构材料选用应满足《木结构设计标准》GB50005中的要求，当使用未在该标准中列入的进口木材时，应由出口国提供该木材的物理力学指标及主要材性，按木结构专门的可靠度分析方法确定其强度设计指标和弹性模量。</w:t>
      </w:r>
      <w:bookmarkEnd w:id="96"/>
    </w:p>
    <w:p w14:paraId="1F9FDBD4">
      <w:pPr>
        <w:pStyle w:val="50"/>
        <w:bidi w:val="0"/>
        <w:rPr>
          <w:color w:val="auto"/>
          <w:highlight w:val="none"/>
        </w:rPr>
      </w:pPr>
      <w:r>
        <w:rPr>
          <w:rFonts w:hint="eastAsia"/>
          <w:color w:val="auto"/>
          <w:highlight w:val="none"/>
        </w:rPr>
        <w:t>【条文说明】5.7.1 考虑在实际使用中，不断有新型的木质结构材或结构构件被研制或生产，为了推广木结构在广西地区的应用，对未来可能出现的新材料、新构件，对其强度值确定方法作出了规定。本条规定主要是针对专业加工企业经过标准化、规模化生产的新材料或新构件。在保证安全可靠的情况下，使其定型合格一批就可在工程中应用一批，并可随着试验数据不断累积，使新材料、新构件的各种力学性能不断完善。</w:t>
      </w:r>
    </w:p>
    <w:p w14:paraId="75619597">
      <w:pPr>
        <w:pStyle w:val="4"/>
        <w:spacing w:beforeLines="0" w:afterLines="0"/>
        <w:jc w:val="left"/>
        <w:rPr>
          <w:rFonts w:eastAsia="宋体"/>
          <w:b/>
          <w:bCs/>
          <w:color w:val="auto"/>
          <w:highlight w:val="none"/>
          <w:lang w:eastAsia="zh-CN"/>
        </w:rPr>
      </w:pPr>
      <w:bookmarkStart w:id="97" w:name="_Toc12362"/>
      <w:r>
        <w:rPr>
          <w:rFonts w:hint="eastAsia" w:eastAsia="宋体"/>
          <w:b/>
          <w:color w:val="auto"/>
          <w:highlight w:val="none"/>
        </w:rPr>
        <w:t>5.7.2</w:t>
      </w:r>
      <w:r>
        <w:rPr>
          <w:rFonts w:hint="eastAsia" w:eastAsia="宋体"/>
          <w:color w:val="auto"/>
          <w:highlight w:val="none"/>
        </w:rPr>
        <w:t xml:space="preserve"> 受弯构件的挠度限值应按表</w:t>
      </w:r>
      <w:r>
        <w:rPr>
          <w:rFonts w:hint="eastAsia" w:eastAsia="宋体"/>
          <w:color w:val="auto"/>
          <w:highlight w:val="none"/>
          <w:lang w:eastAsia="zh-CN"/>
        </w:rPr>
        <w:t>5.7.2</w:t>
      </w:r>
      <w:r>
        <w:rPr>
          <w:rFonts w:hint="eastAsia" w:eastAsia="宋体"/>
          <w:color w:val="auto"/>
          <w:highlight w:val="none"/>
        </w:rPr>
        <w:t>的规定采用</w:t>
      </w:r>
      <w:r>
        <w:rPr>
          <w:rFonts w:hint="eastAsia" w:eastAsia="宋体"/>
          <w:color w:val="auto"/>
          <w:highlight w:val="none"/>
          <w:lang w:eastAsia="zh-CN"/>
        </w:rPr>
        <w:t>。</w:t>
      </w:r>
      <w:bookmarkEnd w:id="97"/>
    </w:p>
    <w:p w14:paraId="74674421">
      <w:pPr>
        <w:pStyle w:val="40"/>
        <w:rPr>
          <w:color w:val="auto"/>
          <w:highlight w:val="none"/>
        </w:rPr>
      </w:pPr>
      <w:r>
        <w:rPr>
          <w:rFonts w:hint="eastAsia"/>
          <w:color w:val="auto"/>
          <w:highlight w:val="none"/>
        </w:rPr>
        <w:t>表5.7.2  受弯构件挠度限值</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57"/>
        <w:gridCol w:w="636"/>
        <w:gridCol w:w="1266"/>
        <w:gridCol w:w="1631"/>
      </w:tblGrid>
      <w:tr w14:paraId="20083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4B92EEA4">
            <w:pPr>
              <w:pStyle w:val="43"/>
              <w:rPr>
                <w:color w:val="auto"/>
                <w:highlight w:val="none"/>
              </w:rPr>
            </w:pPr>
            <w:r>
              <w:rPr>
                <w:rFonts w:hint="eastAsia"/>
                <w:color w:val="auto"/>
                <w:highlight w:val="none"/>
              </w:rPr>
              <w:t>项次</w:t>
            </w:r>
          </w:p>
        </w:tc>
        <w:tc>
          <w:tcPr>
            <w:tcW w:w="2959" w:type="dxa"/>
            <w:gridSpan w:val="3"/>
            <w:tcBorders>
              <w:tl2br w:val="nil"/>
              <w:tr2bl w:val="nil"/>
            </w:tcBorders>
            <w:vAlign w:val="center"/>
          </w:tcPr>
          <w:p w14:paraId="3CEC7748">
            <w:pPr>
              <w:pStyle w:val="43"/>
              <w:rPr>
                <w:color w:val="auto"/>
                <w:highlight w:val="none"/>
              </w:rPr>
            </w:pPr>
            <w:r>
              <w:rPr>
                <w:rFonts w:hint="eastAsia"/>
                <w:color w:val="auto"/>
                <w:highlight w:val="none"/>
              </w:rPr>
              <w:t>构件类别</w:t>
            </w:r>
          </w:p>
        </w:tc>
        <w:tc>
          <w:tcPr>
            <w:tcW w:w="1631" w:type="dxa"/>
            <w:tcBorders>
              <w:tl2br w:val="nil"/>
              <w:tr2bl w:val="nil"/>
            </w:tcBorders>
            <w:vAlign w:val="center"/>
          </w:tcPr>
          <w:p w14:paraId="4CD997CE">
            <w:pPr>
              <w:pStyle w:val="43"/>
              <w:rPr>
                <w:color w:val="auto"/>
                <w:highlight w:val="none"/>
              </w:rPr>
            </w:pPr>
            <w:r>
              <w:rPr>
                <w:rFonts w:hint="eastAsia"/>
                <w:color w:val="auto"/>
                <w:highlight w:val="none"/>
              </w:rPr>
              <w:t xml:space="preserve">挠度限值[ </w:t>
            </w:r>
            <w:r>
              <w:rPr>
                <w:rFonts w:cs="Times New Roman"/>
                <w:i/>
                <w:iCs/>
                <w:color w:val="auto"/>
                <w:highlight w:val="none"/>
              </w:rPr>
              <w:t>ω</w:t>
            </w:r>
            <w:r>
              <w:rPr>
                <w:rFonts w:hint="eastAsia" w:cs="Times New Roman"/>
                <w:i/>
                <w:iCs/>
                <w:color w:val="auto"/>
                <w:highlight w:val="none"/>
              </w:rPr>
              <w:t xml:space="preserve"> </w:t>
            </w:r>
            <w:r>
              <w:rPr>
                <w:rFonts w:hint="eastAsia"/>
                <w:color w:val="auto"/>
                <w:highlight w:val="none"/>
              </w:rPr>
              <w:t>]</w:t>
            </w:r>
          </w:p>
        </w:tc>
      </w:tr>
      <w:tr w14:paraId="40ED3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61" w:type="dxa"/>
            <w:vMerge w:val="restart"/>
            <w:tcBorders>
              <w:tl2br w:val="nil"/>
              <w:tr2bl w:val="nil"/>
            </w:tcBorders>
            <w:vAlign w:val="center"/>
          </w:tcPr>
          <w:p w14:paraId="110D99E9">
            <w:pPr>
              <w:pStyle w:val="43"/>
              <w:rPr>
                <w:color w:val="auto"/>
                <w:highlight w:val="none"/>
              </w:rPr>
            </w:pPr>
            <w:r>
              <w:rPr>
                <w:rFonts w:hint="eastAsia"/>
                <w:color w:val="auto"/>
                <w:highlight w:val="none"/>
              </w:rPr>
              <w:t>1</w:t>
            </w:r>
          </w:p>
        </w:tc>
        <w:tc>
          <w:tcPr>
            <w:tcW w:w="1057" w:type="dxa"/>
            <w:vMerge w:val="restart"/>
            <w:tcBorders>
              <w:tl2br w:val="nil"/>
              <w:tr2bl w:val="nil"/>
            </w:tcBorders>
            <w:vAlign w:val="center"/>
          </w:tcPr>
          <w:p w14:paraId="6FAB4B1B">
            <w:pPr>
              <w:pStyle w:val="43"/>
              <w:jc w:val="left"/>
              <w:rPr>
                <w:color w:val="auto"/>
                <w:highlight w:val="none"/>
              </w:rPr>
            </w:pPr>
            <w:r>
              <w:rPr>
                <w:rFonts w:hint="eastAsia"/>
                <w:color w:val="auto"/>
                <w:highlight w:val="none"/>
              </w:rPr>
              <w:t>檩条</w:t>
            </w:r>
          </w:p>
        </w:tc>
        <w:tc>
          <w:tcPr>
            <w:tcW w:w="0" w:type="auto"/>
            <w:gridSpan w:val="2"/>
            <w:tcBorders>
              <w:tl2br w:val="nil"/>
              <w:tr2bl w:val="nil"/>
            </w:tcBorders>
            <w:vAlign w:val="center"/>
          </w:tcPr>
          <w:p w14:paraId="2B6922CF">
            <w:pPr>
              <w:pStyle w:val="43"/>
              <w:rPr>
                <w:rFonts w:ascii="宋体" w:hAnsi="宋体"/>
                <w:color w:val="auto"/>
                <w:highlight w:val="none"/>
              </w:rPr>
            </w:pPr>
            <w:r>
              <w:rPr>
                <w:rFonts w:cs="Times New Roman"/>
                <w:i/>
                <w:iCs/>
                <w:color w:val="auto"/>
                <w:highlight w:val="none"/>
              </w:rPr>
              <w:t>Ɩ</w:t>
            </w:r>
            <w:r>
              <w:rPr>
                <w:rFonts w:hint="eastAsia" w:cs="Times New Roman"/>
                <w:color w:val="auto"/>
                <w:highlight w:val="none"/>
              </w:rPr>
              <w:t>≤3.3m</w:t>
            </w:r>
          </w:p>
        </w:tc>
        <w:tc>
          <w:tcPr>
            <w:tcW w:w="1631" w:type="dxa"/>
            <w:tcBorders>
              <w:tl2br w:val="nil"/>
              <w:tr2bl w:val="nil"/>
            </w:tcBorders>
            <w:vAlign w:val="center"/>
          </w:tcPr>
          <w:p w14:paraId="6544D1F1">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/200</w:t>
            </w:r>
          </w:p>
        </w:tc>
      </w:tr>
      <w:tr w14:paraId="001C0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61" w:type="dxa"/>
            <w:vMerge w:val="continue"/>
            <w:tcBorders>
              <w:tl2br w:val="nil"/>
              <w:tr2bl w:val="nil"/>
            </w:tcBorders>
            <w:vAlign w:val="center"/>
          </w:tcPr>
          <w:p w14:paraId="75B1EB69">
            <w:pPr>
              <w:pStyle w:val="43"/>
              <w:rPr>
                <w:color w:val="auto"/>
                <w:highlight w:val="none"/>
              </w:rPr>
            </w:pPr>
          </w:p>
        </w:tc>
        <w:tc>
          <w:tcPr>
            <w:tcW w:w="1057" w:type="dxa"/>
            <w:vMerge w:val="continue"/>
            <w:tcBorders>
              <w:tl2br w:val="nil"/>
              <w:tr2bl w:val="nil"/>
            </w:tcBorders>
            <w:vAlign w:val="center"/>
          </w:tcPr>
          <w:p w14:paraId="0DD40D12">
            <w:pPr>
              <w:pStyle w:val="43"/>
              <w:jc w:val="left"/>
              <w:rPr>
                <w:color w:val="auto"/>
                <w:highlight w:val="none"/>
              </w:rPr>
            </w:pPr>
          </w:p>
        </w:tc>
        <w:tc>
          <w:tcPr>
            <w:tcW w:w="0" w:type="auto"/>
            <w:gridSpan w:val="2"/>
            <w:tcBorders>
              <w:tl2br w:val="nil"/>
              <w:tr2bl w:val="nil"/>
            </w:tcBorders>
            <w:vAlign w:val="center"/>
          </w:tcPr>
          <w:p w14:paraId="7F7A733C">
            <w:pPr>
              <w:pStyle w:val="43"/>
              <w:rPr>
                <w:color w:val="auto"/>
                <w:highlight w:val="none"/>
              </w:rPr>
            </w:pPr>
            <w:r>
              <w:rPr>
                <w:rFonts w:cs="Times New Roman"/>
                <w:i/>
                <w:iCs/>
                <w:color w:val="auto"/>
                <w:highlight w:val="none"/>
              </w:rPr>
              <w:t>Ɩ</w:t>
            </w:r>
            <w:r>
              <w:rPr>
                <w:rFonts w:hint="eastAsia" w:cs="Times New Roman"/>
                <w:i/>
                <w:iCs/>
                <w:color w:val="auto"/>
                <w:highlight w:val="none"/>
                <w:lang w:eastAsia="zh-CN"/>
              </w:rPr>
              <w:t>＞</w:t>
            </w:r>
            <w:r>
              <w:rPr>
                <w:rFonts w:hint="eastAsia" w:cs="Times New Roman"/>
                <w:color w:val="auto"/>
                <w:highlight w:val="none"/>
              </w:rPr>
              <w:t>3.3m</w:t>
            </w:r>
          </w:p>
        </w:tc>
        <w:tc>
          <w:tcPr>
            <w:tcW w:w="1631" w:type="dxa"/>
            <w:tcBorders>
              <w:tl2br w:val="nil"/>
              <w:tr2bl w:val="nil"/>
            </w:tcBorders>
            <w:vAlign w:val="center"/>
          </w:tcPr>
          <w:p w14:paraId="0804C760">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/250</w:t>
            </w:r>
          </w:p>
        </w:tc>
      </w:tr>
      <w:tr w14:paraId="1AEF3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5802ECE0">
            <w:pPr>
              <w:pStyle w:val="43"/>
              <w:rPr>
                <w:color w:val="auto"/>
                <w:highlight w:val="none"/>
              </w:rPr>
            </w:pPr>
            <w:r>
              <w:rPr>
                <w:rFonts w:hint="eastAsia"/>
                <w:color w:val="auto"/>
                <w:highlight w:val="none"/>
              </w:rPr>
              <w:t>2</w:t>
            </w:r>
          </w:p>
        </w:tc>
        <w:tc>
          <w:tcPr>
            <w:tcW w:w="2959" w:type="dxa"/>
            <w:gridSpan w:val="3"/>
            <w:tcBorders>
              <w:tl2br w:val="nil"/>
              <w:tr2bl w:val="nil"/>
            </w:tcBorders>
            <w:vAlign w:val="center"/>
          </w:tcPr>
          <w:p w14:paraId="4BD7F26F">
            <w:pPr>
              <w:pStyle w:val="43"/>
              <w:jc w:val="left"/>
              <w:rPr>
                <w:color w:val="auto"/>
                <w:highlight w:val="none"/>
              </w:rPr>
            </w:pPr>
            <w:r>
              <w:rPr>
                <w:rFonts w:hint="eastAsia"/>
                <w:color w:val="auto"/>
                <w:highlight w:val="none"/>
              </w:rPr>
              <w:t>椽条</w:t>
            </w:r>
          </w:p>
        </w:tc>
        <w:tc>
          <w:tcPr>
            <w:tcW w:w="1631" w:type="dxa"/>
            <w:tcBorders>
              <w:tl2br w:val="nil"/>
              <w:tr2bl w:val="nil"/>
            </w:tcBorders>
            <w:vAlign w:val="center"/>
          </w:tcPr>
          <w:p w14:paraId="721D01EF">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/150</w:t>
            </w:r>
          </w:p>
        </w:tc>
      </w:tr>
      <w:tr w14:paraId="7308D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103BAF54">
            <w:pPr>
              <w:pStyle w:val="43"/>
              <w:rPr>
                <w:color w:val="auto"/>
                <w:highlight w:val="none"/>
              </w:rPr>
            </w:pPr>
            <w:r>
              <w:rPr>
                <w:rFonts w:hint="eastAsia"/>
                <w:color w:val="auto"/>
                <w:highlight w:val="none"/>
              </w:rPr>
              <w:t>3</w:t>
            </w:r>
          </w:p>
        </w:tc>
        <w:tc>
          <w:tcPr>
            <w:tcW w:w="2959" w:type="dxa"/>
            <w:gridSpan w:val="3"/>
            <w:tcBorders>
              <w:tl2br w:val="nil"/>
              <w:tr2bl w:val="nil"/>
            </w:tcBorders>
            <w:vAlign w:val="center"/>
          </w:tcPr>
          <w:p w14:paraId="7AB796F6">
            <w:pPr>
              <w:pStyle w:val="43"/>
              <w:jc w:val="left"/>
              <w:rPr>
                <w:color w:val="auto"/>
                <w:highlight w:val="none"/>
              </w:rPr>
            </w:pPr>
            <w:r>
              <w:rPr>
                <w:rFonts w:hint="eastAsia"/>
                <w:color w:val="auto"/>
                <w:highlight w:val="none"/>
              </w:rPr>
              <w:t>吊顶中的受弯构件</w:t>
            </w:r>
          </w:p>
        </w:tc>
        <w:tc>
          <w:tcPr>
            <w:tcW w:w="1631" w:type="dxa"/>
            <w:tcBorders>
              <w:tl2br w:val="nil"/>
              <w:tr2bl w:val="nil"/>
            </w:tcBorders>
            <w:vAlign w:val="center"/>
          </w:tcPr>
          <w:p w14:paraId="155CDE11">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/250</w:t>
            </w:r>
          </w:p>
        </w:tc>
      </w:tr>
      <w:tr w14:paraId="4C90A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217798A9">
            <w:pPr>
              <w:pStyle w:val="43"/>
              <w:rPr>
                <w:color w:val="auto"/>
                <w:highlight w:val="none"/>
              </w:rPr>
            </w:pPr>
            <w:r>
              <w:rPr>
                <w:rFonts w:hint="eastAsia"/>
                <w:color w:val="auto"/>
                <w:highlight w:val="none"/>
              </w:rPr>
              <w:t>4</w:t>
            </w:r>
          </w:p>
        </w:tc>
        <w:tc>
          <w:tcPr>
            <w:tcW w:w="2959" w:type="dxa"/>
            <w:gridSpan w:val="3"/>
            <w:tcBorders>
              <w:tl2br w:val="nil"/>
              <w:tr2bl w:val="nil"/>
            </w:tcBorders>
            <w:vAlign w:val="center"/>
          </w:tcPr>
          <w:p w14:paraId="7189A933">
            <w:pPr>
              <w:pStyle w:val="43"/>
              <w:jc w:val="left"/>
              <w:rPr>
                <w:color w:val="auto"/>
                <w:highlight w:val="none"/>
              </w:rPr>
            </w:pPr>
            <w:r>
              <w:rPr>
                <w:rFonts w:hint="eastAsia"/>
                <w:color w:val="auto"/>
                <w:highlight w:val="none"/>
              </w:rPr>
              <w:t>楼盖梁和搁栅</w:t>
            </w:r>
          </w:p>
        </w:tc>
        <w:tc>
          <w:tcPr>
            <w:tcW w:w="1631" w:type="dxa"/>
            <w:tcBorders>
              <w:tl2br w:val="nil"/>
              <w:tr2bl w:val="nil"/>
            </w:tcBorders>
            <w:vAlign w:val="center"/>
          </w:tcPr>
          <w:p w14:paraId="64B39C82">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/250</w:t>
            </w:r>
          </w:p>
        </w:tc>
      </w:tr>
      <w:tr w14:paraId="7421A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restart"/>
            <w:tcBorders>
              <w:tl2br w:val="nil"/>
              <w:tr2bl w:val="nil"/>
            </w:tcBorders>
            <w:vAlign w:val="center"/>
          </w:tcPr>
          <w:p w14:paraId="1A38A7C0">
            <w:pPr>
              <w:pStyle w:val="43"/>
              <w:rPr>
                <w:color w:val="auto"/>
                <w:highlight w:val="none"/>
              </w:rPr>
            </w:pPr>
            <w:r>
              <w:rPr>
                <w:rFonts w:hint="eastAsia"/>
                <w:color w:val="auto"/>
                <w:highlight w:val="none"/>
              </w:rPr>
              <w:t>5</w:t>
            </w:r>
          </w:p>
        </w:tc>
        <w:tc>
          <w:tcPr>
            <w:tcW w:w="1057" w:type="dxa"/>
            <w:vMerge w:val="restart"/>
            <w:tcBorders>
              <w:tl2br w:val="nil"/>
              <w:tr2bl w:val="nil"/>
            </w:tcBorders>
            <w:vAlign w:val="center"/>
          </w:tcPr>
          <w:p w14:paraId="350CC9B3">
            <w:pPr>
              <w:pStyle w:val="43"/>
              <w:jc w:val="left"/>
              <w:rPr>
                <w:color w:val="auto"/>
                <w:highlight w:val="none"/>
              </w:rPr>
            </w:pPr>
            <w:r>
              <w:rPr>
                <w:rFonts w:hint="eastAsia"/>
                <w:color w:val="auto"/>
                <w:highlight w:val="none"/>
              </w:rPr>
              <w:t>墙骨柱</w:t>
            </w:r>
          </w:p>
        </w:tc>
        <w:tc>
          <w:tcPr>
            <w:tcW w:w="0" w:type="auto"/>
            <w:gridSpan w:val="2"/>
            <w:tcBorders>
              <w:tl2br w:val="nil"/>
              <w:tr2bl w:val="nil"/>
            </w:tcBorders>
            <w:vAlign w:val="center"/>
          </w:tcPr>
          <w:p w14:paraId="5C9C9686">
            <w:pPr>
              <w:pStyle w:val="43"/>
              <w:rPr>
                <w:color w:val="auto"/>
                <w:highlight w:val="none"/>
              </w:rPr>
            </w:pPr>
            <w:r>
              <w:rPr>
                <w:rFonts w:hint="eastAsia"/>
                <w:color w:val="auto"/>
                <w:highlight w:val="none"/>
              </w:rPr>
              <w:t>墙面为刚性贴面</w:t>
            </w:r>
          </w:p>
        </w:tc>
        <w:tc>
          <w:tcPr>
            <w:tcW w:w="1631" w:type="dxa"/>
            <w:tcBorders>
              <w:tl2br w:val="nil"/>
              <w:tr2bl w:val="nil"/>
            </w:tcBorders>
            <w:vAlign w:val="center"/>
          </w:tcPr>
          <w:p w14:paraId="73333F70">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/360</w:t>
            </w:r>
          </w:p>
        </w:tc>
      </w:tr>
      <w:tr w14:paraId="44FD8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14:paraId="298ED437">
            <w:pPr>
              <w:pStyle w:val="43"/>
              <w:rPr>
                <w:color w:val="auto"/>
                <w:highlight w:val="none"/>
              </w:rPr>
            </w:pPr>
          </w:p>
        </w:tc>
        <w:tc>
          <w:tcPr>
            <w:tcW w:w="1057" w:type="dxa"/>
            <w:vMerge w:val="continue"/>
            <w:tcBorders>
              <w:tl2br w:val="nil"/>
              <w:tr2bl w:val="nil"/>
            </w:tcBorders>
            <w:vAlign w:val="center"/>
          </w:tcPr>
          <w:p w14:paraId="73B06789">
            <w:pPr>
              <w:pStyle w:val="43"/>
              <w:jc w:val="left"/>
              <w:rPr>
                <w:color w:val="auto"/>
                <w:highlight w:val="none"/>
              </w:rPr>
            </w:pPr>
          </w:p>
        </w:tc>
        <w:tc>
          <w:tcPr>
            <w:tcW w:w="0" w:type="auto"/>
            <w:gridSpan w:val="2"/>
            <w:tcBorders>
              <w:tl2br w:val="nil"/>
              <w:tr2bl w:val="nil"/>
            </w:tcBorders>
            <w:vAlign w:val="center"/>
          </w:tcPr>
          <w:p w14:paraId="0FB1BCD9">
            <w:pPr>
              <w:pStyle w:val="43"/>
              <w:rPr>
                <w:color w:val="auto"/>
                <w:highlight w:val="none"/>
              </w:rPr>
            </w:pPr>
            <w:r>
              <w:rPr>
                <w:rFonts w:hint="eastAsia"/>
                <w:color w:val="auto"/>
                <w:highlight w:val="none"/>
              </w:rPr>
              <w:t>墙面为柔性贴面</w:t>
            </w:r>
          </w:p>
        </w:tc>
        <w:tc>
          <w:tcPr>
            <w:tcW w:w="1631" w:type="dxa"/>
            <w:tcBorders>
              <w:tl2br w:val="nil"/>
              <w:tr2bl w:val="nil"/>
            </w:tcBorders>
            <w:vAlign w:val="center"/>
          </w:tcPr>
          <w:p w14:paraId="55EC26A5">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/250</w:t>
            </w:r>
          </w:p>
        </w:tc>
      </w:tr>
      <w:tr w14:paraId="1B6C0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restart"/>
            <w:tcBorders>
              <w:tl2br w:val="nil"/>
              <w:tr2bl w:val="nil"/>
            </w:tcBorders>
            <w:vAlign w:val="center"/>
          </w:tcPr>
          <w:p w14:paraId="62D26585">
            <w:pPr>
              <w:pStyle w:val="43"/>
              <w:rPr>
                <w:color w:val="auto"/>
                <w:highlight w:val="none"/>
              </w:rPr>
            </w:pPr>
            <w:r>
              <w:rPr>
                <w:rFonts w:hint="eastAsia"/>
                <w:color w:val="auto"/>
                <w:highlight w:val="none"/>
              </w:rPr>
              <w:t>6</w:t>
            </w:r>
          </w:p>
        </w:tc>
        <w:tc>
          <w:tcPr>
            <w:tcW w:w="1057" w:type="dxa"/>
            <w:vMerge w:val="restart"/>
            <w:tcBorders>
              <w:tl2br w:val="nil"/>
              <w:tr2bl w:val="nil"/>
            </w:tcBorders>
            <w:vAlign w:val="center"/>
          </w:tcPr>
          <w:p w14:paraId="04D573F5">
            <w:pPr>
              <w:pStyle w:val="43"/>
              <w:jc w:val="left"/>
              <w:rPr>
                <w:color w:val="auto"/>
                <w:highlight w:val="none"/>
              </w:rPr>
            </w:pPr>
            <w:r>
              <w:rPr>
                <w:rFonts w:hint="eastAsia"/>
                <w:color w:val="auto"/>
                <w:highlight w:val="none"/>
              </w:rPr>
              <w:t>屋盖大梁</w:t>
            </w:r>
          </w:p>
        </w:tc>
        <w:tc>
          <w:tcPr>
            <w:tcW w:w="0" w:type="auto"/>
            <w:gridSpan w:val="2"/>
            <w:tcBorders>
              <w:tl2br w:val="nil"/>
              <w:tr2bl w:val="nil"/>
            </w:tcBorders>
            <w:vAlign w:val="center"/>
          </w:tcPr>
          <w:p w14:paraId="114E3A58">
            <w:pPr>
              <w:pStyle w:val="43"/>
              <w:rPr>
                <w:color w:val="auto"/>
                <w:highlight w:val="none"/>
              </w:rPr>
            </w:pPr>
            <w:r>
              <w:rPr>
                <w:rFonts w:hint="eastAsia"/>
                <w:color w:val="auto"/>
                <w:highlight w:val="none"/>
              </w:rPr>
              <w:t>工业建筑</w:t>
            </w:r>
          </w:p>
        </w:tc>
        <w:tc>
          <w:tcPr>
            <w:tcW w:w="1631" w:type="dxa"/>
            <w:tcBorders>
              <w:tl2br w:val="nil"/>
              <w:tr2bl w:val="nil"/>
            </w:tcBorders>
            <w:vAlign w:val="center"/>
          </w:tcPr>
          <w:p w14:paraId="636C043B">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/120</w:t>
            </w:r>
          </w:p>
        </w:tc>
      </w:tr>
      <w:tr w14:paraId="69C0C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14:paraId="11874AAE">
            <w:pPr>
              <w:pStyle w:val="43"/>
              <w:rPr>
                <w:color w:val="auto"/>
                <w:highlight w:val="none"/>
              </w:rPr>
            </w:pPr>
          </w:p>
        </w:tc>
        <w:tc>
          <w:tcPr>
            <w:tcW w:w="1057" w:type="dxa"/>
            <w:vMerge w:val="continue"/>
            <w:tcBorders>
              <w:tl2br w:val="nil"/>
              <w:tr2bl w:val="nil"/>
            </w:tcBorders>
            <w:vAlign w:val="center"/>
          </w:tcPr>
          <w:p w14:paraId="4D6D64C3">
            <w:pPr>
              <w:pStyle w:val="43"/>
              <w:rPr>
                <w:color w:val="auto"/>
                <w:highlight w:val="none"/>
              </w:rPr>
            </w:pPr>
          </w:p>
        </w:tc>
        <w:tc>
          <w:tcPr>
            <w:tcW w:w="0" w:type="auto"/>
            <w:vMerge w:val="restart"/>
            <w:tcBorders>
              <w:tl2br w:val="nil"/>
              <w:tr2bl w:val="nil"/>
            </w:tcBorders>
            <w:vAlign w:val="center"/>
          </w:tcPr>
          <w:p w14:paraId="42210949">
            <w:pPr>
              <w:pStyle w:val="43"/>
              <w:rPr>
                <w:color w:val="auto"/>
                <w:highlight w:val="none"/>
              </w:rPr>
            </w:pPr>
            <w:r>
              <w:rPr>
                <w:rFonts w:hint="eastAsia"/>
                <w:color w:val="auto"/>
                <w:highlight w:val="none"/>
              </w:rPr>
              <w:t>民用</w:t>
            </w:r>
          </w:p>
          <w:p w14:paraId="03D0A7DC">
            <w:pPr>
              <w:pStyle w:val="43"/>
              <w:rPr>
                <w:color w:val="auto"/>
                <w:highlight w:val="none"/>
              </w:rPr>
            </w:pPr>
            <w:r>
              <w:rPr>
                <w:rFonts w:hint="eastAsia"/>
                <w:color w:val="auto"/>
                <w:highlight w:val="none"/>
              </w:rPr>
              <w:t>建筑</w:t>
            </w:r>
          </w:p>
        </w:tc>
        <w:tc>
          <w:tcPr>
            <w:tcW w:w="0" w:type="auto"/>
            <w:tcBorders>
              <w:tl2br w:val="nil"/>
              <w:tr2bl w:val="nil"/>
            </w:tcBorders>
            <w:vAlign w:val="center"/>
          </w:tcPr>
          <w:p w14:paraId="3D9762BB">
            <w:pPr>
              <w:pStyle w:val="43"/>
              <w:rPr>
                <w:color w:val="auto"/>
                <w:highlight w:val="none"/>
              </w:rPr>
            </w:pPr>
            <w:r>
              <w:rPr>
                <w:rFonts w:hint="eastAsia"/>
                <w:color w:val="auto"/>
                <w:highlight w:val="none"/>
              </w:rPr>
              <w:t>无粉刷吊顶</w:t>
            </w:r>
          </w:p>
        </w:tc>
        <w:tc>
          <w:tcPr>
            <w:tcW w:w="1631" w:type="dxa"/>
            <w:tcBorders>
              <w:tl2br w:val="nil"/>
              <w:tr2bl w:val="nil"/>
            </w:tcBorders>
            <w:vAlign w:val="center"/>
          </w:tcPr>
          <w:p w14:paraId="125D3364">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/180</w:t>
            </w:r>
          </w:p>
        </w:tc>
      </w:tr>
      <w:tr w14:paraId="6CE84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14:paraId="36FC818A">
            <w:pPr>
              <w:pStyle w:val="43"/>
              <w:rPr>
                <w:color w:val="auto"/>
                <w:highlight w:val="none"/>
              </w:rPr>
            </w:pPr>
          </w:p>
        </w:tc>
        <w:tc>
          <w:tcPr>
            <w:tcW w:w="1057" w:type="dxa"/>
            <w:vMerge w:val="continue"/>
            <w:tcBorders>
              <w:tl2br w:val="nil"/>
              <w:tr2bl w:val="nil"/>
            </w:tcBorders>
            <w:vAlign w:val="center"/>
          </w:tcPr>
          <w:p w14:paraId="319B2A0C">
            <w:pPr>
              <w:pStyle w:val="43"/>
              <w:rPr>
                <w:color w:val="auto"/>
                <w:highlight w:val="none"/>
              </w:rPr>
            </w:pPr>
          </w:p>
        </w:tc>
        <w:tc>
          <w:tcPr>
            <w:tcW w:w="0" w:type="auto"/>
            <w:vMerge w:val="continue"/>
            <w:tcBorders>
              <w:tl2br w:val="nil"/>
              <w:tr2bl w:val="nil"/>
            </w:tcBorders>
            <w:vAlign w:val="center"/>
          </w:tcPr>
          <w:p w14:paraId="548E6FC7">
            <w:pPr>
              <w:pStyle w:val="43"/>
              <w:rPr>
                <w:color w:val="auto"/>
                <w:highlight w:val="none"/>
              </w:rPr>
            </w:pPr>
          </w:p>
        </w:tc>
        <w:tc>
          <w:tcPr>
            <w:tcW w:w="0" w:type="auto"/>
            <w:tcBorders>
              <w:tl2br w:val="nil"/>
              <w:tr2bl w:val="nil"/>
            </w:tcBorders>
            <w:vAlign w:val="center"/>
          </w:tcPr>
          <w:p w14:paraId="0448D090">
            <w:pPr>
              <w:pStyle w:val="43"/>
              <w:rPr>
                <w:color w:val="auto"/>
                <w:highlight w:val="none"/>
              </w:rPr>
            </w:pPr>
            <w:r>
              <w:rPr>
                <w:rFonts w:hint="eastAsia"/>
                <w:color w:val="auto"/>
                <w:highlight w:val="none"/>
              </w:rPr>
              <w:t>有粉刷吊顶</w:t>
            </w:r>
          </w:p>
        </w:tc>
        <w:tc>
          <w:tcPr>
            <w:tcW w:w="1631" w:type="dxa"/>
            <w:tcBorders>
              <w:tl2br w:val="nil"/>
              <w:tr2bl w:val="nil"/>
            </w:tcBorders>
            <w:vAlign w:val="center"/>
          </w:tcPr>
          <w:p w14:paraId="072A1C53">
            <w:pPr>
              <w:pStyle w:val="43"/>
              <w:rPr>
                <w:color w:val="auto"/>
                <w:highlight w:val="none"/>
              </w:rPr>
            </w:pPr>
            <w:r>
              <w:rPr>
                <w:rFonts w:cs="Times New Roman"/>
                <w:i/>
                <w:iCs/>
                <w:color w:val="auto"/>
                <w:highlight w:val="none"/>
              </w:rPr>
              <w:t>Ɩ</w:t>
            </w:r>
            <w:r>
              <w:rPr>
                <w:rFonts w:hint="eastAsia" w:cs="Times New Roman"/>
                <w:i/>
                <w:iCs/>
                <w:color w:val="auto"/>
                <w:highlight w:val="none"/>
              </w:rPr>
              <w:t xml:space="preserve"> </w:t>
            </w:r>
            <w:r>
              <w:rPr>
                <w:rFonts w:hint="eastAsia" w:cs="Times New Roman"/>
                <w:color w:val="auto"/>
                <w:highlight w:val="none"/>
              </w:rPr>
              <w:t>/240</w:t>
            </w:r>
          </w:p>
        </w:tc>
      </w:tr>
    </w:tbl>
    <w:p w14:paraId="511B993F">
      <w:pPr>
        <w:ind w:firstLine="2310" w:firstLineChars="1100"/>
        <w:rPr>
          <w:color w:val="auto"/>
          <w:sz w:val="21"/>
          <w:szCs w:val="21"/>
          <w:highlight w:val="none"/>
        </w:rPr>
      </w:pPr>
      <w:r>
        <w:rPr>
          <w:rFonts w:hint="eastAsia"/>
          <w:color w:val="auto"/>
          <w:sz w:val="21"/>
          <w:szCs w:val="21"/>
          <w:highlight w:val="none"/>
        </w:rPr>
        <w:t>注：表中</w:t>
      </w:r>
      <w:r>
        <w:rPr>
          <w:color w:val="auto"/>
          <w:sz w:val="21"/>
          <w:szCs w:val="21"/>
          <w:highlight w:val="none"/>
        </w:rPr>
        <w:t xml:space="preserve"> Ɩ </w:t>
      </w:r>
      <w:r>
        <w:rPr>
          <w:rFonts w:hint="eastAsia"/>
          <w:color w:val="auto"/>
          <w:sz w:val="21"/>
          <w:szCs w:val="21"/>
          <w:highlight w:val="none"/>
        </w:rPr>
        <w:t>为受弯构件的计算跨度。</w:t>
      </w:r>
    </w:p>
    <w:p w14:paraId="4D403F67">
      <w:pPr>
        <w:pStyle w:val="4"/>
        <w:spacing w:beforeLines="0" w:afterLines="0"/>
        <w:jc w:val="left"/>
        <w:rPr>
          <w:rFonts w:cstheme="minorBidi"/>
          <w:b/>
          <w:bCs/>
          <w:color w:val="auto"/>
          <w:highlight w:val="none"/>
        </w:rPr>
      </w:pPr>
      <w:bookmarkStart w:id="98" w:name="_Toc27952"/>
      <w:r>
        <w:rPr>
          <w:rFonts w:hint="eastAsia" w:eastAsia="宋体"/>
          <w:b/>
          <w:color w:val="auto"/>
          <w:highlight w:val="none"/>
        </w:rPr>
        <w:t>5.7.3</w:t>
      </w:r>
      <w:r>
        <w:rPr>
          <w:rFonts w:hint="eastAsia" w:eastAsia="宋体"/>
          <w:color w:val="auto"/>
          <w:highlight w:val="none"/>
        </w:rPr>
        <w:t xml:space="preserve">  受压构件的长细比限值应按表</w:t>
      </w:r>
      <w:r>
        <w:rPr>
          <w:rFonts w:hint="eastAsia" w:eastAsia="宋体"/>
          <w:color w:val="auto"/>
          <w:highlight w:val="none"/>
          <w:lang w:eastAsia="zh-CN"/>
        </w:rPr>
        <w:t>5.7.3</w:t>
      </w:r>
      <w:r>
        <w:rPr>
          <w:rFonts w:hint="eastAsia" w:eastAsia="宋体"/>
          <w:color w:val="auto"/>
          <w:highlight w:val="none"/>
        </w:rPr>
        <w:t>的规定采用。</w:t>
      </w:r>
      <w:bookmarkEnd w:id="98"/>
    </w:p>
    <w:p w14:paraId="17049275">
      <w:pPr>
        <w:pStyle w:val="40"/>
        <w:rPr>
          <w:color w:val="auto"/>
          <w:highlight w:val="none"/>
        </w:rPr>
      </w:pPr>
      <w:r>
        <w:rPr>
          <w:rFonts w:hint="eastAsia"/>
          <w:color w:val="auto"/>
          <w:highlight w:val="none"/>
        </w:rPr>
        <w:t>表5.7.3  受压构件长细比限值</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777"/>
        <w:gridCol w:w="1610"/>
      </w:tblGrid>
      <w:tr w14:paraId="37707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6CB86A5E">
            <w:pPr>
              <w:jc w:val="center"/>
              <w:rPr>
                <w:color w:val="auto"/>
                <w:sz w:val="21"/>
                <w:szCs w:val="24"/>
                <w:highlight w:val="none"/>
              </w:rPr>
            </w:pPr>
            <w:r>
              <w:rPr>
                <w:rFonts w:hint="eastAsia"/>
                <w:color w:val="auto"/>
                <w:sz w:val="21"/>
                <w:szCs w:val="24"/>
                <w:highlight w:val="none"/>
              </w:rPr>
              <w:t>项次</w:t>
            </w:r>
          </w:p>
        </w:tc>
        <w:tc>
          <w:tcPr>
            <w:tcW w:w="2777" w:type="dxa"/>
            <w:tcBorders>
              <w:tl2br w:val="nil"/>
              <w:tr2bl w:val="nil"/>
            </w:tcBorders>
            <w:vAlign w:val="center"/>
          </w:tcPr>
          <w:p w14:paraId="10AAE1AC">
            <w:pPr>
              <w:jc w:val="center"/>
              <w:rPr>
                <w:color w:val="auto"/>
                <w:sz w:val="21"/>
                <w:szCs w:val="24"/>
                <w:highlight w:val="none"/>
              </w:rPr>
            </w:pPr>
            <w:r>
              <w:rPr>
                <w:rFonts w:hint="eastAsia"/>
                <w:color w:val="auto"/>
                <w:sz w:val="21"/>
                <w:szCs w:val="24"/>
                <w:highlight w:val="none"/>
              </w:rPr>
              <w:t>构件类别</w:t>
            </w:r>
          </w:p>
        </w:tc>
        <w:tc>
          <w:tcPr>
            <w:tcW w:w="1610" w:type="dxa"/>
            <w:tcBorders>
              <w:tl2br w:val="nil"/>
              <w:tr2bl w:val="nil"/>
            </w:tcBorders>
            <w:vAlign w:val="center"/>
          </w:tcPr>
          <w:p w14:paraId="7D1527A1">
            <w:pPr>
              <w:jc w:val="center"/>
              <w:rPr>
                <w:color w:val="auto"/>
                <w:sz w:val="21"/>
                <w:szCs w:val="24"/>
                <w:highlight w:val="none"/>
              </w:rPr>
            </w:pPr>
            <w:r>
              <w:rPr>
                <w:rFonts w:hint="eastAsia"/>
                <w:color w:val="auto"/>
                <w:sz w:val="21"/>
                <w:szCs w:val="24"/>
                <w:highlight w:val="none"/>
              </w:rPr>
              <w:t xml:space="preserve">长细比限值[ </w:t>
            </w:r>
            <w:r>
              <w:rPr>
                <w:rFonts w:cs="Times New Roman"/>
                <w:i/>
                <w:iCs/>
                <w:color w:val="auto"/>
                <w:sz w:val="21"/>
                <w:szCs w:val="24"/>
                <w:highlight w:val="none"/>
              </w:rPr>
              <w:t>λ</w:t>
            </w:r>
            <w:r>
              <w:rPr>
                <w:rFonts w:hint="eastAsia" w:cs="Times New Roman"/>
                <w:i/>
                <w:iCs/>
                <w:color w:val="auto"/>
                <w:sz w:val="21"/>
                <w:szCs w:val="24"/>
                <w:highlight w:val="none"/>
              </w:rPr>
              <w:t xml:space="preserve"> </w:t>
            </w:r>
            <w:r>
              <w:rPr>
                <w:rFonts w:hint="eastAsia"/>
                <w:color w:val="auto"/>
                <w:sz w:val="21"/>
                <w:szCs w:val="24"/>
                <w:highlight w:val="none"/>
              </w:rPr>
              <w:t>]</w:t>
            </w:r>
          </w:p>
        </w:tc>
      </w:tr>
      <w:tr w14:paraId="64000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434FD599">
            <w:pPr>
              <w:jc w:val="center"/>
              <w:rPr>
                <w:color w:val="auto"/>
                <w:sz w:val="21"/>
                <w:szCs w:val="24"/>
                <w:highlight w:val="none"/>
              </w:rPr>
            </w:pPr>
            <w:r>
              <w:rPr>
                <w:rFonts w:hint="eastAsia"/>
                <w:color w:val="auto"/>
                <w:sz w:val="21"/>
                <w:szCs w:val="24"/>
                <w:highlight w:val="none"/>
              </w:rPr>
              <w:t>1</w:t>
            </w:r>
          </w:p>
        </w:tc>
        <w:tc>
          <w:tcPr>
            <w:tcW w:w="2777" w:type="dxa"/>
            <w:tcBorders>
              <w:tl2br w:val="nil"/>
              <w:tr2bl w:val="nil"/>
            </w:tcBorders>
            <w:vAlign w:val="center"/>
          </w:tcPr>
          <w:p w14:paraId="3A026040">
            <w:pPr>
              <w:jc w:val="left"/>
              <w:rPr>
                <w:color w:val="auto"/>
                <w:sz w:val="21"/>
                <w:szCs w:val="24"/>
                <w:highlight w:val="none"/>
              </w:rPr>
            </w:pPr>
            <w:r>
              <w:rPr>
                <w:rFonts w:hint="eastAsia"/>
                <w:color w:val="auto"/>
                <w:sz w:val="21"/>
                <w:szCs w:val="24"/>
                <w:highlight w:val="none"/>
              </w:rPr>
              <w:t>结构的主要构件，包括桁架的弦杆、支座处的竖杆或斜杆，以及承重柱等</w:t>
            </w:r>
          </w:p>
        </w:tc>
        <w:tc>
          <w:tcPr>
            <w:tcW w:w="1610" w:type="dxa"/>
            <w:tcBorders>
              <w:tl2br w:val="nil"/>
              <w:tr2bl w:val="nil"/>
            </w:tcBorders>
            <w:vAlign w:val="center"/>
          </w:tcPr>
          <w:p w14:paraId="3C81ED09">
            <w:pPr>
              <w:jc w:val="center"/>
              <w:rPr>
                <w:color w:val="auto"/>
                <w:sz w:val="21"/>
                <w:szCs w:val="24"/>
                <w:highlight w:val="none"/>
              </w:rPr>
            </w:pPr>
            <w:r>
              <w:rPr>
                <w:rFonts w:hint="eastAsia"/>
                <w:color w:val="auto"/>
                <w:sz w:val="21"/>
                <w:szCs w:val="24"/>
                <w:highlight w:val="none"/>
              </w:rPr>
              <w:t>≤120</w:t>
            </w:r>
          </w:p>
        </w:tc>
      </w:tr>
      <w:tr w14:paraId="29720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3C9566C1">
            <w:pPr>
              <w:jc w:val="center"/>
              <w:rPr>
                <w:color w:val="auto"/>
                <w:sz w:val="21"/>
                <w:szCs w:val="24"/>
                <w:highlight w:val="none"/>
              </w:rPr>
            </w:pPr>
            <w:r>
              <w:rPr>
                <w:rFonts w:hint="eastAsia"/>
                <w:color w:val="auto"/>
                <w:sz w:val="21"/>
                <w:szCs w:val="24"/>
                <w:highlight w:val="none"/>
              </w:rPr>
              <w:t>2</w:t>
            </w:r>
          </w:p>
        </w:tc>
        <w:tc>
          <w:tcPr>
            <w:tcW w:w="2777" w:type="dxa"/>
            <w:tcBorders>
              <w:tl2br w:val="nil"/>
              <w:tr2bl w:val="nil"/>
            </w:tcBorders>
            <w:vAlign w:val="center"/>
          </w:tcPr>
          <w:p w14:paraId="429FFA3D">
            <w:pPr>
              <w:jc w:val="left"/>
              <w:rPr>
                <w:color w:val="auto"/>
                <w:sz w:val="21"/>
                <w:szCs w:val="24"/>
                <w:highlight w:val="none"/>
              </w:rPr>
            </w:pPr>
            <w:r>
              <w:rPr>
                <w:rFonts w:hint="eastAsia"/>
                <w:color w:val="auto"/>
                <w:sz w:val="21"/>
                <w:szCs w:val="24"/>
                <w:highlight w:val="none"/>
              </w:rPr>
              <w:t>一般构件</w:t>
            </w:r>
          </w:p>
        </w:tc>
        <w:tc>
          <w:tcPr>
            <w:tcW w:w="1610" w:type="dxa"/>
            <w:tcBorders>
              <w:tl2br w:val="nil"/>
              <w:tr2bl w:val="nil"/>
            </w:tcBorders>
            <w:vAlign w:val="center"/>
          </w:tcPr>
          <w:p w14:paraId="1BE18F39">
            <w:pPr>
              <w:jc w:val="center"/>
              <w:rPr>
                <w:color w:val="auto"/>
                <w:sz w:val="21"/>
                <w:szCs w:val="24"/>
                <w:highlight w:val="none"/>
              </w:rPr>
            </w:pPr>
            <w:r>
              <w:rPr>
                <w:rFonts w:hint="eastAsia"/>
                <w:color w:val="auto"/>
                <w:sz w:val="21"/>
                <w:szCs w:val="24"/>
                <w:highlight w:val="none"/>
              </w:rPr>
              <w:t>≤150</w:t>
            </w:r>
          </w:p>
        </w:tc>
      </w:tr>
      <w:tr w14:paraId="324B9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tcBorders>
              <w:tl2br w:val="nil"/>
              <w:tr2bl w:val="nil"/>
            </w:tcBorders>
            <w:vAlign w:val="center"/>
          </w:tcPr>
          <w:p w14:paraId="4FEDF5A6">
            <w:pPr>
              <w:jc w:val="center"/>
              <w:rPr>
                <w:color w:val="auto"/>
                <w:sz w:val="21"/>
                <w:szCs w:val="24"/>
                <w:highlight w:val="none"/>
              </w:rPr>
            </w:pPr>
            <w:r>
              <w:rPr>
                <w:rFonts w:hint="eastAsia"/>
                <w:color w:val="auto"/>
                <w:sz w:val="21"/>
                <w:szCs w:val="24"/>
                <w:highlight w:val="none"/>
              </w:rPr>
              <w:t>3</w:t>
            </w:r>
          </w:p>
        </w:tc>
        <w:tc>
          <w:tcPr>
            <w:tcW w:w="2777" w:type="dxa"/>
            <w:tcBorders>
              <w:tl2br w:val="nil"/>
              <w:tr2bl w:val="nil"/>
            </w:tcBorders>
            <w:vAlign w:val="center"/>
          </w:tcPr>
          <w:p w14:paraId="58006117">
            <w:pPr>
              <w:jc w:val="left"/>
              <w:rPr>
                <w:color w:val="auto"/>
                <w:sz w:val="21"/>
                <w:szCs w:val="24"/>
                <w:highlight w:val="none"/>
              </w:rPr>
            </w:pPr>
            <w:r>
              <w:rPr>
                <w:rFonts w:hint="eastAsia"/>
                <w:color w:val="auto"/>
                <w:sz w:val="21"/>
                <w:szCs w:val="24"/>
                <w:highlight w:val="none"/>
              </w:rPr>
              <w:t>支撑</w:t>
            </w:r>
          </w:p>
        </w:tc>
        <w:tc>
          <w:tcPr>
            <w:tcW w:w="1610" w:type="dxa"/>
            <w:tcBorders>
              <w:tl2br w:val="nil"/>
              <w:tr2bl w:val="nil"/>
            </w:tcBorders>
            <w:vAlign w:val="center"/>
          </w:tcPr>
          <w:p w14:paraId="3F20E8E5">
            <w:pPr>
              <w:jc w:val="center"/>
              <w:rPr>
                <w:color w:val="auto"/>
                <w:sz w:val="21"/>
                <w:szCs w:val="24"/>
                <w:highlight w:val="none"/>
              </w:rPr>
            </w:pPr>
            <w:r>
              <w:rPr>
                <w:rFonts w:hint="eastAsia"/>
                <w:color w:val="auto"/>
                <w:sz w:val="21"/>
                <w:szCs w:val="24"/>
                <w:highlight w:val="none"/>
              </w:rPr>
              <w:t>≤200</w:t>
            </w:r>
          </w:p>
        </w:tc>
      </w:tr>
    </w:tbl>
    <w:p w14:paraId="04622835">
      <w:pPr>
        <w:rPr>
          <w:rFonts w:cs="Times New Roman"/>
          <w:color w:val="auto"/>
          <w:sz w:val="21"/>
          <w:szCs w:val="24"/>
          <w:highlight w:val="none"/>
        </w:rPr>
      </w:pPr>
      <w:r>
        <w:rPr>
          <w:rFonts w:hint="eastAsia"/>
          <w:color w:val="auto"/>
          <w:sz w:val="21"/>
          <w:szCs w:val="24"/>
          <w:highlight w:val="none"/>
        </w:rPr>
        <w:t xml:space="preserve">注：构件的长细比 </w:t>
      </w:r>
      <w:r>
        <w:rPr>
          <w:rFonts w:cs="Times New Roman"/>
          <w:i/>
          <w:iCs/>
          <w:color w:val="auto"/>
          <w:sz w:val="21"/>
          <w:szCs w:val="24"/>
          <w:highlight w:val="none"/>
        </w:rPr>
        <w:t>λ</w:t>
      </w:r>
      <w:r>
        <w:rPr>
          <w:rFonts w:hint="eastAsia" w:cs="Times New Roman"/>
          <w:i/>
          <w:iCs/>
          <w:color w:val="auto"/>
          <w:sz w:val="21"/>
          <w:szCs w:val="24"/>
          <w:highlight w:val="none"/>
        </w:rPr>
        <w:t xml:space="preserve"> </w:t>
      </w:r>
      <w:r>
        <w:rPr>
          <w:rFonts w:hint="eastAsia" w:cs="Times New Roman"/>
          <w:color w:val="auto"/>
          <w:sz w:val="21"/>
          <w:szCs w:val="24"/>
          <w:highlight w:val="none"/>
        </w:rPr>
        <w:t xml:space="preserve">应按 </w:t>
      </w:r>
      <w:r>
        <w:rPr>
          <w:rFonts w:cs="Times New Roman"/>
          <w:i/>
          <w:iCs/>
          <w:color w:val="auto"/>
          <w:sz w:val="21"/>
          <w:szCs w:val="24"/>
          <w:highlight w:val="none"/>
        </w:rPr>
        <w:t>λ</w:t>
      </w:r>
      <w:r>
        <w:rPr>
          <w:rFonts w:hint="eastAsia" w:cs="Times New Roman"/>
          <w:i/>
          <w:iCs/>
          <w:color w:val="auto"/>
          <w:sz w:val="21"/>
          <w:szCs w:val="24"/>
          <w:highlight w:val="none"/>
        </w:rPr>
        <w:t xml:space="preserve"> = l</w:t>
      </w:r>
      <w:r>
        <w:rPr>
          <w:rFonts w:hint="eastAsia" w:cs="Times New Roman"/>
          <w:i/>
          <w:iCs/>
          <w:color w:val="auto"/>
          <w:sz w:val="21"/>
          <w:szCs w:val="24"/>
          <w:highlight w:val="none"/>
          <w:vertAlign w:val="subscript"/>
        </w:rPr>
        <w:t xml:space="preserve">0 </w:t>
      </w:r>
      <w:r>
        <w:rPr>
          <w:rFonts w:hint="eastAsia" w:cs="Times New Roman"/>
          <w:i/>
          <w:iCs/>
          <w:color w:val="auto"/>
          <w:sz w:val="21"/>
          <w:szCs w:val="24"/>
          <w:highlight w:val="none"/>
        </w:rPr>
        <w:t>/ i</w:t>
      </w:r>
      <w:r>
        <w:rPr>
          <w:rFonts w:hint="eastAsia"/>
          <w:color w:val="auto"/>
          <w:sz w:val="21"/>
          <w:szCs w:val="24"/>
          <w:highlight w:val="none"/>
        </w:rPr>
        <w:t xml:space="preserve">计算，其中 </w:t>
      </w:r>
      <w:r>
        <w:rPr>
          <w:rFonts w:hint="eastAsia" w:cs="Times New Roman"/>
          <w:i/>
          <w:iCs/>
          <w:color w:val="auto"/>
          <w:sz w:val="21"/>
          <w:szCs w:val="24"/>
          <w:highlight w:val="none"/>
        </w:rPr>
        <w:t>l</w:t>
      </w:r>
      <w:r>
        <w:rPr>
          <w:rFonts w:hint="eastAsia" w:cs="Times New Roman"/>
          <w:i/>
          <w:iCs/>
          <w:color w:val="auto"/>
          <w:sz w:val="21"/>
          <w:szCs w:val="24"/>
          <w:highlight w:val="none"/>
          <w:vertAlign w:val="subscript"/>
        </w:rPr>
        <w:t xml:space="preserve">0  </w:t>
      </w:r>
      <w:r>
        <w:rPr>
          <w:rFonts w:hint="eastAsia" w:cs="Times New Roman"/>
          <w:color w:val="auto"/>
          <w:sz w:val="21"/>
          <w:szCs w:val="24"/>
          <w:highlight w:val="none"/>
        </w:rPr>
        <w:t>为受压构件的计算长度（㎜）；</w:t>
      </w:r>
      <w:r>
        <w:rPr>
          <w:rFonts w:hint="eastAsia" w:cs="Times New Roman"/>
          <w:i/>
          <w:iCs/>
          <w:color w:val="auto"/>
          <w:sz w:val="21"/>
          <w:szCs w:val="24"/>
          <w:highlight w:val="none"/>
        </w:rPr>
        <w:t>i</w:t>
      </w:r>
      <w:r>
        <w:rPr>
          <w:rFonts w:hint="eastAsia" w:cs="Times New Roman"/>
          <w:color w:val="auto"/>
          <w:sz w:val="21"/>
          <w:szCs w:val="24"/>
          <w:highlight w:val="none"/>
        </w:rPr>
        <w:t>为构件截面的回转半径（㎜）。</w:t>
      </w:r>
    </w:p>
    <w:p w14:paraId="73B9AE02">
      <w:pPr>
        <w:pStyle w:val="3"/>
        <w:spacing w:before="156" w:after="156"/>
        <w:rPr>
          <w:color w:val="auto"/>
          <w:highlight w:val="none"/>
          <w:lang w:eastAsia="zh-CN"/>
        </w:rPr>
      </w:pPr>
      <w:bookmarkStart w:id="99" w:name="_Toc11880"/>
      <w:bookmarkStart w:id="100" w:name="_Toc16073"/>
      <w:bookmarkStart w:id="101" w:name="_Toc24329"/>
      <w:r>
        <w:rPr>
          <w:rFonts w:hint="eastAsia"/>
          <w:color w:val="auto"/>
          <w:highlight w:val="none"/>
          <w:lang w:eastAsia="zh-CN"/>
        </w:rPr>
        <w:t>5.8  基础设计</w:t>
      </w:r>
      <w:bookmarkEnd w:id="99"/>
      <w:bookmarkEnd w:id="100"/>
      <w:bookmarkEnd w:id="101"/>
    </w:p>
    <w:p w14:paraId="6FD0DA70">
      <w:pPr>
        <w:pStyle w:val="4"/>
        <w:bidi w:val="0"/>
        <w:rPr>
          <w:color w:val="auto"/>
          <w:highlight w:val="none"/>
          <w:lang w:eastAsia="zh-CN"/>
        </w:rPr>
      </w:pPr>
      <w:r>
        <w:rPr>
          <w:rFonts w:hint="eastAsia"/>
          <w:b/>
          <w:bCs/>
          <w:color w:val="auto"/>
          <w:highlight w:val="none"/>
          <w:lang w:eastAsia="zh-CN"/>
        </w:rPr>
        <w:t xml:space="preserve">5.8.1  </w:t>
      </w:r>
      <w:r>
        <w:rPr>
          <w:rFonts w:hint="eastAsia"/>
          <w:color w:val="auto"/>
          <w:highlight w:val="none"/>
          <w:lang w:eastAsia="zh-CN"/>
        </w:rPr>
        <w:t>木结构建筑基础设计应结合工程地质和水文地质条件、结构类型、建筑高度、临近建（构）筑物基础形式、场地周边各种地下设施情况、施工条件等因素综合考虑，以选择可行、合理、经济的基础形式。</w:t>
      </w:r>
    </w:p>
    <w:p w14:paraId="31972CAC">
      <w:pPr>
        <w:pStyle w:val="4"/>
        <w:bidi w:val="0"/>
        <w:rPr>
          <w:color w:val="auto"/>
          <w:highlight w:val="none"/>
          <w:lang w:eastAsia="zh-CN"/>
        </w:rPr>
      </w:pPr>
      <w:r>
        <w:rPr>
          <w:rFonts w:hint="eastAsia"/>
          <w:b/>
          <w:bCs/>
          <w:color w:val="auto"/>
          <w:highlight w:val="none"/>
          <w:lang w:eastAsia="zh-CN"/>
        </w:rPr>
        <w:t xml:space="preserve">5.8.2  </w:t>
      </w:r>
      <w:r>
        <w:rPr>
          <w:rFonts w:hint="eastAsia"/>
          <w:color w:val="auto"/>
          <w:highlight w:val="none"/>
          <w:lang w:eastAsia="zh-CN"/>
        </w:rPr>
        <w:t>山区木结构建筑应充分利用地形、地质条件，合理布置建筑物，避免大挖大填、破坏山坡稳定，并将主要建筑布置在场地稳定、地形较平坦、地基土质较好的地段。</w:t>
      </w:r>
    </w:p>
    <w:p w14:paraId="2C416688">
      <w:pPr>
        <w:pStyle w:val="4"/>
        <w:bidi w:val="0"/>
        <w:rPr>
          <w:color w:val="auto"/>
          <w:highlight w:val="none"/>
          <w:lang w:eastAsia="zh-CN"/>
        </w:rPr>
      </w:pPr>
      <w:r>
        <w:rPr>
          <w:rFonts w:hint="eastAsia"/>
          <w:b/>
          <w:bCs/>
          <w:color w:val="auto"/>
          <w:highlight w:val="none"/>
          <w:lang w:eastAsia="zh-CN"/>
        </w:rPr>
        <w:t xml:space="preserve">5.8.3  </w:t>
      </w:r>
      <w:r>
        <w:rPr>
          <w:rFonts w:hint="eastAsia"/>
          <w:color w:val="auto"/>
          <w:highlight w:val="none"/>
          <w:lang w:eastAsia="zh-CN"/>
        </w:rPr>
        <w:t>岩溶地区的木结构建筑在设计前应进行岩溶勘察，探明溶洞的位置、大小、分布规律；溶洞充填物性状及地表水、地下水的联系。</w:t>
      </w:r>
    </w:p>
    <w:p w14:paraId="678F6738">
      <w:pPr>
        <w:pStyle w:val="4"/>
        <w:bidi w:val="0"/>
        <w:rPr>
          <w:color w:val="auto"/>
          <w:highlight w:val="none"/>
          <w:lang w:eastAsia="zh-CN"/>
        </w:rPr>
      </w:pPr>
      <w:r>
        <w:rPr>
          <w:rFonts w:hint="eastAsia"/>
          <w:b/>
          <w:bCs/>
          <w:color w:val="auto"/>
          <w:highlight w:val="none"/>
          <w:lang w:eastAsia="zh-CN"/>
        </w:rPr>
        <w:t xml:space="preserve">5.8.4 </w:t>
      </w:r>
      <w:r>
        <w:rPr>
          <w:rFonts w:hint="eastAsia"/>
          <w:b/>
          <w:bCs/>
          <w:color w:val="auto"/>
          <w:highlight w:val="none"/>
          <w:lang w:val="en-US" w:eastAsia="zh-CN"/>
        </w:rPr>
        <w:t xml:space="preserve"> </w:t>
      </w:r>
      <w:r>
        <w:rPr>
          <w:rFonts w:hint="eastAsia"/>
          <w:color w:val="auto"/>
          <w:highlight w:val="none"/>
          <w:lang w:eastAsia="zh-CN"/>
        </w:rPr>
        <w:t>膨胀土地区的木结构建筑应避免采用砖木结构。基础设计时应符合国家现行有关标准和《广西膨胀土地区建筑勘察设计施工技术规程》DB 45/T 396的有关规定。</w:t>
      </w:r>
    </w:p>
    <w:p w14:paraId="4A01D791">
      <w:pPr>
        <w:pStyle w:val="4"/>
        <w:bidi w:val="0"/>
        <w:rPr>
          <w:color w:val="auto"/>
          <w:highlight w:val="none"/>
          <w:lang w:eastAsia="zh-CN"/>
        </w:rPr>
      </w:pPr>
      <w:r>
        <w:rPr>
          <w:rFonts w:hint="eastAsia"/>
          <w:b/>
          <w:bCs/>
          <w:color w:val="auto"/>
          <w:highlight w:val="none"/>
          <w:lang w:eastAsia="zh-CN"/>
        </w:rPr>
        <w:t xml:space="preserve">5.8.5  </w:t>
      </w:r>
      <w:r>
        <w:rPr>
          <w:rFonts w:hint="eastAsia"/>
          <w:color w:val="auto"/>
          <w:highlight w:val="none"/>
          <w:lang w:eastAsia="zh-CN"/>
        </w:rPr>
        <w:t>临海地区宜采用桩基础或墩基础。</w:t>
      </w:r>
    </w:p>
    <w:p w14:paraId="64E1BE5E">
      <w:pPr>
        <w:pStyle w:val="4"/>
        <w:bidi w:val="0"/>
        <w:rPr>
          <w:color w:val="auto"/>
          <w:highlight w:val="none"/>
          <w:lang w:eastAsia="zh-CN"/>
        </w:rPr>
      </w:pPr>
      <w:r>
        <w:rPr>
          <w:rFonts w:hint="eastAsia"/>
          <w:b/>
          <w:bCs/>
          <w:color w:val="auto"/>
          <w:highlight w:val="none"/>
          <w:lang w:eastAsia="zh-CN"/>
        </w:rPr>
        <w:t xml:space="preserve">5.8.6  </w:t>
      </w:r>
      <w:r>
        <w:rPr>
          <w:rFonts w:hint="eastAsia"/>
          <w:color w:val="auto"/>
          <w:highlight w:val="none"/>
          <w:lang w:eastAsia="zh-CN"/>
        </w:rPr>
        <w:t>临海地区木结构建筑应做抗风设计，基础与上部结构应采用预埋构件或螺栓锚固或焊接等有效传力措施。</w:t>
      </w:r>
    </w:p>
    <w:p w14:paraId="5E1FEB94">
      <w:pPr>
        <w:pStyle w:val="50"/>
        <w:bidi w:val="0"/>
        <w:rPr>
          <w:color w:val="auto"/>
          <w:highlight w:val="none"/>
          <w:lang w:eastAsia="zh-CN"/>
        </w:rPr>
      </w:pPr>
      <w:r>
        <w:rPr>
          <w:rFonts w:hint="eastAsia"/>
          <w:color w:val="auto"/>
          <w:highlight w:val="none"/>
          <w:lang w:eastAsia="zh-CN"/>
        </w:rPr>
        <w:t>【条文说明】5.8.6  临海及近海区域长年经受台风影响，抗风设计显得尤为重要。</w:t>
      </w:r>
    </w:p>
    <w:p w14:paraId="6B565E75">
      <w:pPr>
        <w:pStyle w:val="4"/>
        <w:bidi w:val="0"/>
        <w:rPr>
          <w:color w:val="auto"/>
          <w:highlight w:val="none"/>
          <w:lang w:eastAsia="zh-CN"/>
        </w:rPr>
      </w:pPr>
      <w:r>
        <w:rPr>
          <w:rFonts w:hint="eastAsia"/>
          <w:b/>
          <w:bCs/>
          <w:color w:val="auto"/>
          <w:highlight w:val="none"/>
          <w:lang w:eastAsia="zh-CN"/>
        </w:rPr>
        <w:t xml:space="preserve">5.8.7  </w:t>
      </w:r>
      <w:r>
        <w:rPr>
          <w:rFonts w:hint="eastAsia"/>
          <w:color w:val="auto"/>
          <w:highlight w:val="none"/>
          <w:lang w:eastAsia="zh-CN"/>
        </w:rPr>
        <w:t>基础与上部结构连接构件应采取防腐防锈防蛀措施。</w:t>
      </w:r>
    </w:p>
    <w:p w14:paraId="1A32AFF3">
      <w:pPr>
        <w:jc w:val="center"/>
        <w:rPr>
          <w:color w:val="auto"/>
          <w:highlight w:val="none"/>
        </w:rPr>
      </w:pPr>
    </w:p>
    <w:p w14:paraId="11D15C7E">
      <w:pPr>
        <w:pStyle w:val="2"/>
        <w:spacing w:before="312"/>
        <w:rPr>
          <w:color w:val="auto"/>
          <w:highlight w:val="none"/>
          <w:lang w:eastAsia="zh-CN"/>
        </w:rPr>
      </w:pPr>
      <w:bookmarkStart w:id="102" w:name="_Toc31754"/>
      <w:bookmarkStart w:id="103" w:name="_Toc5453"/>
      <w:bookmarkStart w:id="104" w:name="_Toc3939"/>
      <w:bookmarkStart w:id="105" w:name="_Toc18982"/>
      <w:r>
        <w:rPr>
          <w:rFonts w:hint="eastAsia"/>
          <w:color w:val="auto"/>
          <w:highlight w:val="none"/>
          <w:lang w:eastAsia="zh-CN"/>
        </w:rPr>
        <w:t>6  轻型木结构</w:t>
      </w:r>
      <w:bookmarkEnd w:id="102"/>
      <w:bookmarkEnd w:id="103"/>
      <w:bookmarkEnd w:id="104"/>
      <w:bookmarkEnd w:id="105"/>
    </w:p>
    <w:p w14:paraId="50E01331">
      <w:pPr>
        <w:pStyle w:val="3"/>
        <w:spacing w:before="156" w:after="156"/>
        <w:rPr>
          <w:color w:val="auto"/>
          <w:highlight w:val="none"/>
        </w:rPr>
      </w:pPr>
      <w:bookmarkStart w:id="106" w:name="_Toc11267"/>
      <w:bookmarkStart w:id="107" w:name="_Toc17224"/>
      <w:bookmarkStart w:id="108" w:name="_Toc8242"/>
      <w:bookmarkStart w:id="109" w:name="_Toc28759"/>
      <w:r>
        <w:rPr>
          <w:rFonts w:hint="eastAsia"/>
          <w:color w:val="auto"/>
          <w:highlight w:val="none"/>
        </w:rPr>
        <w:t>6.1</w:t>
      </w:r>
      <w:r>
        <w:rPr>
          <w:rFonts w:hint="eastAsia"/>
          <w:color w:val="auto"/>
          <w:highlight w:val="none"/>
          <w:lang w:eastAsia="zh-CN"/>
        </w:rPr>
        <w:t xml:space="preserve">  </w:t>
      </w:r>
      <w:r>
        <w:rPr>
          <w:rFonts w:hint="eastAsia"/>
          <w:color w:val="auto"/>
          <w:highlight w:val="none"/>
        </w:rPr>
        <w:t>一般规定</w:t>
      </w:r>
      <w:bookmarkEnd w:id="106"/>
      <w:bookmarkEnd w:id="107"/>
      <w:bookmarkEnd w:id="108"/>
      <w:bookmarkEnd w:id="109"/>
    </w:p>
    <w:p w14:paraId="29526873">
      <w:pPr>
        <w:pStyle w:val="4"/>
        <w:rPr>
          <w:color w:val="auto"/>
          <w:highlight w:val="none"/>
        </w:rPr>
      </w:pPr>
      <w:r>
        <w:rPr>
          <w:rFonts w:hint="eastAsia"/>
          <w:b/>
          <w:bCs/>
          <w:color w:val="auto"/>
          <w:highlight w:val="none"/>
          <w:lang w:eastAsia="zh-CN"/>
        </w:rPr>
        <w:t xml:space="preserve">6.1.1  </w:t>
      </w:r>
      <w:r>
        <w:rPr>
          <w:rFonts w:hint="eastAsia"/>
          <w:color w:val="auto"/>
          <w:highlight w:val="none"/>
        </w:rPr>
        <w:t>轻型木结构的层数不宜超过3层。对于上部结构采用轻型木结构的</w:t>
      </w:r>
      <w:r>
        <w:rPr>
          <w:rFonts w:hint="eastAsia"/>
          <w:color w:val="auto"/>
          <w:highlight w:val="none"/>
          <w:lang w:eastAsia="zh-CN"/>
        </w:rPr>
        <w:t>木混合结构</w:t>
      </w:r>
      <w:r>
        <w:rPr>
          <w:rFonts w:hint="eastAsia"/>
          <w:color w:val="auto"/>
          <w:highlight w:val="none"/>
        </w:rPr>
        <w:t>建筑，木结构的层数不应超过3层，且该建筑总层数不应超过7层</w:t>
      </w:r>
      <w:r>
        <w:rPr>
          <w:color w:val="auto"/>
          <w:highlight w:val="none"/>
        </w:rPr>
        <w:t>。</w:t>
      </w:r>
    </w:p>
    <w:p w14:paraId="69813716">
      <w:pPr>
        <w:pStyle w:val="4"/>
        <w:rPr>
          <w:color w:val="auto"/>
          <w:highlight w:val="none"/>
          <w:lang w:eastAsia="zh-CN"/>
        </w:rPr>
      </w:pPr>
      <w:r>
        <w:rPr>
          <w:rFonts w:hint="eastAsia"/>
          <w:b/>
          <w:bCs/>
          <w:color w:val="auto"/>
          <w:highlight w:val="none"/>
          <w:lang w:eastAsia="zh-CN"/>
        </w:rPr>
        <w:t xml:space="preserve">6.1.2  </w:t>
      </w:r>
      <w:r>
        <w:rPr>
          <w:rFonts w:hint="eastAsia"/>
          <w:color w:val="auto"/>
          <w:highlight w:val="none"/>
        </w:rPr>
        <w:t>对于3层及3层以下的轻型木结构建筑，当符合下列条件时，</w:t>
      </w:r>
      <w:r>
        <w:rPr>
          <w:rFonts w:hint="eastAsia"/>
          <w:color w:val="auto"/>
          <w:highlight w:val="none"/>
          <w:lang w:eastAsia="zh-CN"/>
        </w:rPr>
        <w:t>其抗震、抗风设计</w:t>
      </w:r>
      <w:r>
        <w:rPr>
          <w:rFonts w:hint="eastAsia"/>
          <w:color w:val="auto"/>
          <w:highlight w:val="none"/>
        </w:rPr>
        <w:t>可</w:t>
      </w:r>
      <w:r>
        <w:rPr>
          <w:rFonts w:hint="eastAsia"/>
          <w:color w:val="auto"/>
          <w:highlight w:val="none"/>
          <w:lang w:eastAsia="zh-CN"/>
        </w:rPr>
        <w:t>采用</w:t>
      </w:r>
      <w:r>
        <w:rPr>
          <w:rFonts w:hint="eastAsia"/>
          <w:color w:val="auto"/>
          <w:highlight w:val="none"/>
        </w:rPr>
        <w:t>构造设计</w:t>
      </w:r>
      <w:r>
        <w:rPr>
          <w:rFonts w:hint="eastAsia"/>
          <w:color w:val="auto"/>
          <w:highlight w:val="none"/>
          <w:lang w:eastAsia="zh-CN"/>
        </w:rPr>
        <w:t>法：</w:t>
      </w:r>
    </w:p>
    <w:p w14:paraId="49642492">
      <w:pPr>
        <w:pStyle w:val="4"/>
        <w:ind w:firstLine="480" w:firstLineChars="200"/>
        <w:rPr>
          <w:color w:val="auto"/>
          <w:highlight w:val="none"/>
          <w:lang w:eastAsia="zh-CN"/>
        </w:rPr>
      </w:pPr>
      <w:r>
        <w:rPr>
          <w:rFonts w:hint="eastAsia"/>
          <w:color w:val="auto"/>
          <w:highlight w:val="none"/>
          <w:lang w:eastAsia="zh-CN"/>
        </w:rPr>
        <w:t xml:space="preserve">1  </w:t>
      </w:r>
      <w:r>
        <w:rPr>
          <w:rFonts w:hint="eastAsia"/>
          <w:color w:val="auto"/>
          <w:highlight w:val="none"/>
        </w:rPr>
        <w:t>建筑物每层面积不应超过600</w:t>
      </w:r>
      <w:r>
        <w:rPr>
          <w:rFonts w:hint="eastAsia"/>
          <w:color w:val="auto"/>
          <w:highlight w:val="none"/>
          <w:lang w:eastAsia="zh-CN"/>
        </w:rPr>
        <w:t>㎡</w:t>
      </w:r>
      <w:r>
        <w:rPr>
          <w:rFonts w:hint="eastAsia"/>
          <w:color w:val="auto"/>
          <w:highlight w:val="none"/>
        </w:rPr>
        <w:t>，层高不应大于3.6m</w:t>
      </w:r>
      <w:r>
        <w:rPr>
          <w:rFonts w:hint="eastAsia"/>
          <w:color w:val="auto"/>
          <w:highlight w:val="none"/>
          <w:lang w:eastAsia="zh-CN"/>
        </w:rPr>
        <w:t>；</w:t>
      </w:r>
    </w:p>
    <w:p w14:paraId="5B48753A">
      <w:pPr>
        <w:pStyle w:val="4"/>
        <w:ind w:firstLine="480" w:firstLineChars="200"/>
        <w:rPr>
          <w:color w:val="auto"/>
          <w:highlight w:val="none"/>
        </w:rPr>
      </w:pPr>
      <w:r>
        <w:rPr>
          <w:rFonts w:hint="eastAsia"/>
          <w:color w:val="auto"/>
          <w:highlight w:val="none"/>
          <w:lang w:eastAsia="zh-CN"/>
        </w:rPr>
        <w:t xml:space="preserve">2  </w:t>
      </w:r>
      <w:r>
        <w:rPr>
          <w:rFonts w:hint="eastAsia"/>
          <w:color w:val="auto"/>
          <w:highlight w:val="none"/>
        </w:rPr>
        <w:t>楼面活荷载标准值不应大于2.5kN/</w:t>
      </w:r>
      <w:r>
        <w:rPr>
          <w:rFonts w:hint="eastAsia"/>
          <w:color w:val="auto"/>
          <w:highlight w:val="none"/>
          <w:lang w:eastAsia="zh-CN"/>
        </w:rPr>
        <w:t>㎡</w:t>
      </w:r>
      <w:r>
        <w:rPr>
          <w:rFonts w:hint="eastAsia"/>
          <w:color w:val="auto"/>
          <w:highlight w:val="none"/>
        </w:rPr>
        <w:t>；屋面活荷载标准值不应大于0.5 kN/</w:t>
      </w:r>
      <w:r>
        <w:rPr>
          <w:rFonts w:hint="eastAsia"/>
          <w:color w:val="auto"/>
          <w:highlight w:val="none"/>
          <w:lang w:eastAsia="zh-CN"/>
        </w:rPr>
        <w:t>㎡；</w:t>
      </w:r>
    </w:p>
    <w:p w14:paraId="648D009C">
      <w:pPr>
        <w:pStyle w:val="4"/>
        <w:ind w:firstLine="480" w:firstLineChars="200"/>
        <w:rPr>
          <w:color w:val="auto"/>
          <w:highlight w:val="none"/>
        </w:rPr>
      </w:pPr>
      <w:r>
        <w:rPr>
          <w:rFonts w:hint="eastAsia"/>
          <w:color w:val="auto"/>
          <w:highlight w:val="none"/>
          <w:lang w:eastAsia="zh-CN"/>
        </w:rPr>
        <w:t xml:space="preserve">3  </w:t>
      </w:r>
      <w:r>
        <w:rPr>
          <w:rFonts w:hint="eastAsia"/>
          <w:color w:val="auto"/>
          <w:highlight w:val="none"/>
        </w:rPr>
        <w:t>建筑物屋面坡度不小于1</w:t>
      </w:r>
      <w:r>
        <w:rPr>
          <w:rFonts w:hint="eastAsia"/>
          <w:color w:val="auto"/>
          <w:highlight w:val="none"/>
          <w:lang w:eastAsia="zh-CN"/>
        </w:rPr>
        <w:t>:</w:t>
      </w:r>
      <w:r>
        <w:rPr>
          <w:rFonts w:hint="eastAsia"/>
          <w:color w:val="auto"/>
          <w:highlight w:val="none"/>
        </w:rPr>
        <w:t>12</w:t>
      </w:r>
      <w:r>
        <w:rPr>
          <w:rFonts w:hint="eastAsia"/>
          <w:color w:val="auto"/>
          <w:highlight w:val="none"/>
          <w:lang w:eastAsia="zh-CN"/>
        </w:rPr>
        <w:t>且不</w:t>
      </w:r>
      <w:r>
        <w:rPr>
          <w:rFonts w:hint="eastAsia"/>
          <w:color w:val="auto"/>
          <w:highlight w:val="none"/>
        </w:rPr>
        <w:t>大于1</w:t>
      </w:r>
      <w:r>
        <w:rPr>
          <w:rFonts w:hint="eastAsia"/>
          <w:color w:val="auto"/>
          <w:highlight w:val="none"/>
          <w:lang w:eastAsia="zh-CN"/>
        </w:rPr>
        <w:t>:</w:t>
      </w:r>
      <w:r>
        <w:rPr>
          <w:rFonts w:hint="eastAsia"/>
          <w:color w:val="auto"/>
          <w:highlight w:val="none"/>
        </w:rPr>
        <w:t>1；纵墙上檐口悬挑长度不大于1.2m；山墙上檐口悬挑长度不大于0.4m。</w:t>
      </w:r>
    </w:p>
    <w:p w14:paraId="1EEF9ECF">
      <w:pPr>
        <w:pStyle w:val="4"/>
        <w:ind w:firstLine="480" w:firstLineChars="200"/>
        <w:rPr>
          <w:color w:val="auto"/>
          <w:highlight w:val="none"/>
        </w:rPr>
      </w:pPr>
      <w:r>
        <w:rPr>
          <w:rFonts w:hint="eastAsia"/>
          <w:color w:val="auto"/>
          <w:highlight w:val="none"/>
          <w:lang w:eastAsia="zh-CN"/>
        </w:rPr>
        <w:t xml:space="preserve">4  </w:t>
      </w:r>
      <w:r>
        <w:rPr>
          <w:rFonts w:hint="eastAsia"/>
          <w:color w:val="auto"/>
          <w:highlight w:val="none"/>
        </w:rPr>
        <w:t>承重构件的净跨距不大于12.0m。</w:t>
      </w:r>
    </w:p>
    <w:p w14:paraId="774D1D5C">
      <w:pPr>
        <w:pStyle w:val="50"/>
        <w:bidi w:val="0"/>
        <w:rPr>
          <w:rFonts w:hint="eastAsia"/>
          <w:color w:val="auto"/>
          <w:highlight w:val="none"/>
        </w:rPr>
      </w:pPr>
      <w:r>
        <w:rPr>
          <w:rFonts w:hint="eastAsia"/>
          <w:color w:val="auto"/>
          <w:highlight w:val="none"/>
        </w:rPr>
        <w:t>【条文说明】6.1.2 对于建设规模不大、体型和平面布置简单的住宅建筑，可根据经过长期工程实践证明的构造设计进行。</w:t>
      </w:r>
    </w:p>
    <w:p w14:paraId="06D8F4F7">
      <w:pPr>
        <w:rPr>
          <w:color w:val="auto"/>
          <w:highlight w:val="none"/>
        </w:rPr>
      </w:pPr>
    </w:p>
    <w:p w14:paraId="41AED54D">
      <w:pPr>
        <w:pStyle w:val="4"/>
        <w:bidi w:val="0"/>
        <w:rPr>
          <w:color w:val="auto"/>
          <w:highlight w:val="none"/>
          <w:lang w:eastAsia="zh-CN"/>
        </w:rPr>
      </w:pPr>
      <w:r>
        <w:rPr>
          <w:rFonts w:hint="eastAsia"/>
          <w:color w:val="auto"/>
          <w:highlight w:val="none"/>
          <w:lang w:eastAsia="zh-CN"/>
        </w:rPr>
        <w:t xml:space="preserve">6.1.3  </w:t>
      </w:r>
      <w:r>
        <w:rPr>
          <w:rFonts w:hint="eastAsia"/>
          <w:color w:val="auto"/>
          <w:highlight w:val="none"/>
        </w:rPr>
        <w:t>轻型木结构的平面布置宜规则，质量和刚度变化宜均匀。所有构件之间应有可靠的连接，必要的锚固、支撑，足够的承载力，保证结构正常使用的刚度，良好的整体性。</w:t>
      </w:r>
    </w:p>
    <w:p w14:paraId="223D07A5">
      <w:pPr>
        <w:pStyle w:val="50"/>
        <w:bidi w:val="0"/>
        <w:rPr>
          <w:rFonts w:hint="eastAsia"/>
          <w:color w:val="auto"/>
          <w:highlight w:val="none"/>
          <w:lang w:eastAsia="zh-CN"/>
        </w:rPr>
      </w:pPr>
      <w:r>
        <w:rPr>
          <w:rFonts w:hint="eastAsia"/>
          <w:color w:val="auto"/>
          <w:highlight w:val="none"/>
          <w:lang w:eastAsia="zh-CN"/>
        </w:rPr>
        <w:t>【条文说明】6.1.3轻木建筑结构体系应具备必要的刚度和承载力、良好的变形能力和耗能能力，具有明确的计算简图和合理连续的荷载传递途径，构件之间应有可靠的连接，避免因部分结构或构件的破坏导致整个结构丧失承受重力荷载、风荷载和地震作用等的能力。</w:t>
      </w:r>
    </w:p>
    <w:p w14:paraId="6488EA14">
      <w:pPr>
        <w:rPr>
          <w:rFonts w:hint="eastAsia"/>
          <w:color w:val="auto"/>
          <w:highlight w:val="none"/>
          <w:lang w:eastAsia="zh-CN"/>
        </w:rPr>
      </w:pPr>
    </w:p>
    <w:p w14:paraId="7615525E">
      <w:pPr>
        <w:pStyle w:val="4"/>
        <w:bidi w:val="0"/>
        <w:rPr>
          <w:color w:val="auto"/>
          <w:highlight w:val="none"/>
          <w:lang w:eastAsia="zh-CN"/>
        </w:rPr>
      </w:pPr>
      <w:r>
        <w:rPr>
          <w:rFonts w:hint="eastAsia"/>
          <w:b/>
          <w:bCs/>
          <w:color w:val="auto"/>
          <w:highlight w:val="none"/>
          <w:lang w:eastAsia="zh-CN"/>
        </w:rPr>
        <w:t xml:space="preserve">6.1.4 </w:t>
      </w:r>
      <w:r>
        <w:rPr>
          <w:rFonts w:hint="eastAsia"/>
          <w:color w:val="auto"/>
          <w:highlight w:val="none"/>
          <w:lang w:eastAsia="zh-CN"/>
        </w:rPr>
        <w:t xml:space="preserve"> </w:t>
      </w:r>
      <w:r>
        <w:rPr>
          <w:rFonts w:hint="eastAsia"/>
          <w:color w:val="auto"/>
          <w:highlight w:val="none"/>
        </w:rPr>
        <w:t>在验算屋盖与下部结构连接部位的连接及局部承压时，应对风和地震荷载引起的侧向力以及风荷载引起的上拔力乘以1.2倍的放大系数</w:t>
      </w:r>
      <w:r>
        <w:rPr>
          <w:color w:val="auto"/>
          <w:highlight w:val="none"/>
        </w:rPr>
        <w:t>。</w:t>
      </w:r>
    </w:p>
    <w:p w14:paraId="5A0EF2D6">
      <w:pPr>
        <w:pStyle w:val="4"/>
        <w:bidi w:val="0"/>
        <w:rPr>
          <w:color w:val="auto"/>
          <w:highlight w:val="none"/>
          <w:lang w:eastAsia="zh-CN"/>
        </w:rPr>
      </w:pPr>
      <w:r>
        <w:rPr>
          <w:rFonts w:hint="eastAsia"/>
          <w:b/>
          <w:bCs/>
          <w:color w:val="auto"/>
          <w:highlight w:val="none"/>
          <w:lang w:eastAsia="zh-CN"/>
        </w:rPr>
        <w:t xml:space="preserve">6.1.5  </w:t>
      </w:r>
      <w:r>
        <w:rPr>
          <w:rFonts w:hint="eastAsia"/>
          <w:color w:val="auto"/>
          <w:highlight w:val="none"/>
          <w:lang w:eastAsia="zh-CN"/>
        </w:rPr>
        <w:t>风荷载作用下，轻型木结构的边缘墙体所分配到的水平剪力，宜乘以1.2的调整系数。</w:t>
      </w:r>
    </w:p>
    <w:p w14:paraId="67F91A3D">
      <w:pPr>
        <w:pStyle w:val="4"/>
        <w:bidi w:val="0"/>
        <w:rPr>
          <w:color w:val="auto"/>
          <w:highlight w:val="none"/>
          <w:lang w:eastAsia="zh-CN"/>
        </w:rPr>
      </w:pPr>
      <w:r>
        <w:rPr>
          <w:rFonts w:hint="eastAsia"/>
          <w:b/>
          <w:bCs/>
          <w:color w:val="auto"/>
          <w:highlight w:val="none"/>
          <w:lang w:eastAsia="zh-CN"/>
        </w:rPr>
        <w:t xml:space="preserve">6.1.6  </w:t>
      </w:r>
      <w:r>
        <w:rPr>
          <w:rFonts w:hint="eastAsia"/>
          <w:color w:val="auto"/>
          <w:highlight w:val="none"/>
          <w:lang w:eastAsia="zh-CN"/>
        </w:rPr>
        <w:t>轻型木结构抗震验算，应符合下列规定：</w:t>
      </w:r>
    </w:p>
    <w:p w14:paraId="78723B13">
      <w:pPr>
        <w:pStyle w:val="4"/>
        <w:bidi w:val="0"/>
        <w:ind w:firstLine="480" w:firstLineChars="200"/>
        <w:rPr>
          <w:color w:val="auto"/>
          <w:highlight w:val="none"/>
          <w:lang w:eastAsia="zh-CN"/>
        </w:rPr>
      </w:pPr>
      <w:r>
        <w:rPr>
          <w:rFonts w:hint="eastAsia"/>
          <w:color w:val="auto"/>
          <w:highlight w:val="none"/>
          <w:lang w:eastAsia="zh-CN"/>
        </w:rPr>
        <w:t>1  6度时的轻型木结构房屋可不进行截面抗震验算，但应满足构造要求；</w:t>
      </w:r>
    </w:p>
    <w:p w14:paraId="089549B0">
      <w:pPr>
        <w:pStyle w:val="4"/>
        <w:bidi w:val="0"/>
        <w:ind w:firstLine="480" w:firstLineChars="200"/>
        <w:rPr>
          <w:color w:val="auto"/>
          <w:highlight w:val="none"/>
          <w:lang w:eastAsia="zh-CN"/>
        </w:rPr>
      </w:pPr>
      <w:r>
        <w:rPr>
          <w:rFonts w:hint="eastAsia"/>
          <w:color w:val="auto"/>
          <w:highlight w:val="none"/>
          <w:lang w:eastAsia="zh-CN"/>
        </w:rPr>
        <w:t>2  7度和7度以上的轻型木结构房屋的抗侧力构件应进行多遇地震下的截面抗震验算；</w:t>
      </w:r>
    </w:p>
    <w:p w14:paraId="7AC5C655">
      <w:pPr>
        <w:pStyle w:val="4"/>
        <w:bidi w:val="0"/>
        <w:ind w:firstLine="480" w:firstLineChars="200"/>
        <w:rPr>
          <w:color w:val="auto"/>
          <w:highlight w:val="none"/>
          <w:lang w:eastAsia="zh-CN"/>
        </w:rPr>
      </w:pPr>
      <w:r>
        <w:rPr>
          <w:rFonts w:hint="eastAsia"/>
          <w:color w:val="auto"/>
          <w:highlight w:val="none"/>
          <w:lang w:eastAsia="zh-CN"/>
        </w:rPr>
        <w:t>3  当采用隔震设计时，其抗震验算应符合国家现行有关标准的规定。</w:t>
      </w:r>
    </w:p>
    <w:p w14:paraId="1001790F">
      <w:pPr>
        <w:rPr>
          <w:color w:val="auto"/>
          <w:highlight w:val="none"/>
          <w:lang w:eastAsia="zh-CN"/>
        </w:rPr>
      </w:pPr>
    </w:p>
    <w:p w14:paraId="11ACB245">
      <w:pPr>
        <w:pStyle w:val="3"/>
        <w:spacing w:before="156" w:after="156"/>
        <w:rPr>
          <w:color w:val="auto"/>
          <w:highlight w:val="none"/>
        </w:rPr>
      </w:pPr>
      <w:bookmarkStart w:id="110" w:name="_Toc10869"/>
      <w:bookmarkStart w:id="111" w:name="_Toc16436"/>
      <w:bookmarkStart w:id="112" w:name="_Toc30987"/>
      <w:bookmarkStart w:id="113" w:name="_Toc7006"/>
      <w:r>
        <w:rPr>
          <w:rFonts w:hint="eastAsia"/>
          <w:color w:val="auto"/>
          <w:highlight w:val="none"/>
        </w:rPr>
        <w:t>6.</w:t>
      </w:r>
      <w:r>
        <w:rPr>
          <w:rFonts w:hint="eastAsia"/>
          <w:color w:val="auto"/>
          <w:highlight w:val="none"/>
          <w:lang w:eastAsia="zh-CN"/>
        </w:rPr>
        <w:t xml:space="preserve">2  </w:t>
      </w:r>
      <w:r>
        <w:rPr>
          <w:rFonts w:hint="eastAsia"/>
          <w:color w:val="auto"/>
          <w:highlight w:val="none"/>
        </w:rPr>
        <w:t>楼（屋）盖</w:t>
      </w:r>
      <w:bookmarkEnd w:id="110"/>
      <w:bookmarkEnd w:id="111"/>
      <w:bookmarkEnd w:id="112"/>
      <w:bookmarkEnd w:id="113"/>
    </w:p>
    <w:p w14:paraId="497FAE52">
      <w:pPr>
        <w:pStyle w:val="4"/>
        <w:rPr>
          <w:color w:val="auto"/>
          <w:highlight w:val="none"/>
          <w:lang w:eastAsia="zh-CN"/>
        </w:rPr>
      </w:pPr>
      <w:r>
        <w:rPr>
          <w:rFonts w:hint="eastAsia"/>
          <w:b/>
          <w:bCs/>
          <w:color w:val="auto"/>
          <w:highlight w:val="none"/>
        </w:rPr>
        <w:t>6.2.1</w:t>
      </w:r>
      <w:r>
        <w:rPr>
          <w:rFonts w:hint="eastAsia"/>
          <w:b/>
          <w:bCs/>
          <w:color w:val="auto"/>
          <w:highlight w:val="none"/>
          <w:lang w:eastAsia="zh-CN"/>
        </w:rPr>
        <w:t xml:space="preserve">  </w:t>
      </w:r>
      <w:r>
        <w:rPr>
          <w:rFonts w:hint="eastAsia"/>
          <w:color w:val="auto"/>
          <w:highlight w:val="none"/>
        </w:rPr>
        <w:t>楼盖由木梁、搁栅、楼面板等构件组成，主要受力构件为木梁、搁栅</w:t>
      </w:r>
      <w:r>
        <w:rPr>
          <w:color w:val="auto"/>
          <w:highlight w:val="none"/>
        </w:rPr>
        <w:t>。</w:t>
      </w:r>
      <w:r>
        <w:rPr>
          <w:rFonts w:hint="eastAsia"/>
          <w:color w:val="auto"/>
          <w:highlight w:val="none"/>
        </w:rPr>
        <w:t>屋盖由木梁、椽条、搁栅、屋面板等构件组成，主要受力构件为木梁、椽条、搁栅</w:t>
      </w:r>
      <w:r>
        <w:rPr>
          <w:color w:val="auto"/>
          <w:highlight w:val="none"/>
        </w:rPr>
        <w:t>。</w:t>
      </w:r>
    </w:p>
    <w:p w14:paraId="23CA4ED6">
      <w:pPr>
        <w:rPr>
          <w:color w:val="auto"/>
          <w:highlight w:val="none"/>
          <w:lang w:eastAsia="zh-CN"/>
        </w:rPr>
      </w:pPr>
      <w:r>
        <w:rPr>
          <w:rFonts w:hint="eastAsia"/>
          <w:b/>
          <w:color w:val="auto"/>
          <w:highlight w:val="none"/>
          <w:lang w:eastAsia="zh-CN"/>
        </w:rPr>
        <w:t>6.2.2</w:t>
      </w:r>
      <w:r>
        <w:rPr>
          <w:rFonts w:hint="eastAsia"/>
          <w:color w:val="auto"/>
          <w:highlight w:val="none"/>
          <w:lang w:eastAsia="zh-CN"/>
        </w:rPr>
        <w:t xml:space="preserve">  楼（屋）盖应进行荷载、地震作用下的承载力设计和变形验算。</w:t>
      </w:r>
    </w:p>
    <w:p w14:paraId="6CF2B54F">
      <w:pPr>
        <w:pStyle w:val="4"/>
        <w:rPr>
          <w:color w:val="auto"/>
          <w:highlight w:val="none"/>
          <w:lang w:eastAsia="zh-CN"/>
        </w:rPr>
      </w:pPr>
      <w:r>
        <w:rPr>
          <w:rFonts w:hint="eastAsia"/>
          <w:b/>
          <w:color w:val="auto"/>
          <w:highlight w:val="none"/>
        </w:rPr>
        <w:t>6.2.4</w:t>
      </w:r>
      <w:r>
        <w:rPr>
          <w:rFonts w:hint="eastAsia"/>
          <w:b/>
          <w:color w:val="auto"/>
          <w:highlight w:val="none"/>
          <w:lang w:eastAsia="zh-CN"/>
        </w:rPr>
        <w:t xml:space="preserve">  </w:t>
      </w:r>
      <w:r>
        <w:rPr>
          <w:rFonts w:hint="eastAsia"/>
          <w:color w:val="auto"/>
          <w:highlight w:val="none"/>
        </w:rPr>
        <w:t>楼（屋）盖的受剪承载力设计值、边界杆件及其连接件的轴力应按《木结构设计标准》GB50005进行计算。</w:t>
      </w:r>
    </w:p>
    <w:p w14:paraId="54329522">
      <w:pPr>
        <w:pStyle w:val="50"/>
        <w:ind w:firstLine="0" w:firstLineChars="0"/>
        <w:rPr>
          <w:rFonts w:hint="eastAsia"/>
          <w:color w:val="auto"/>
          <w:highlight w:val="none"/>
        </w:rPr>
      </w:pPr>
      <w:r>
        <w:rPr>
          <w:rFonts w:hint="eastAsia"/>
          <w:color w:val="auto"/>
          <w:highlight w:val="none"/>
        </w:rPr>
        <w:t>【条文说明】6.2.4 墙体中的双层顶梁板可作为楼（屋）盖中的边界杆件，顶梁板的接头一般错开搭接并用钉或螺栓连接。另外，可将边搁栅作为楼盖中的边界杆件，边搁栅的端接头用钉连接或用木连接板钉连接或螺栓连接。</w:t>
      </w:r>
    </w:p>
    <w:p w14:paraId="6F78BA6D">
      <w:pPr>
        <w:rPr>
          <w:color w:val="auto"/>
          <w:highlight w:val="none"/>
        </w:rPr>
      </w:pPr>
    </w:p>
    <w:p w14:paraId="13CD6F28">
      <w:pPr>
        <w:pStyle w:val="4"/>
        <w:rPr>
          <w:color w:val="auto"/>
          <w:highlight w:val="none"/>
        </w:rPr>
      </w:pPr>
      <w:r>
        <w:rPr>
          <w:rFonts w:hint="eastAsia"/>
          <w:b/>
          <w:color w:val="auto"/>
          <w:highlight w:val="none"/>
        </w:rPr>
        <w:t>6.2.</w:t>
      </w:r>
      <w:r>
        <w:rPr>
          <w:rFonts w:hint="eastAsia"/>
          <w:b/>
          <w:color w:val="auto"/>
          <w:highlight w:val="none"/>
          <w:lang w:eastAsia="zh-CN"/>
        </w:rPr>
        <w:t xml:space="preserve">5  </w:t>
      </w:r>
      <w:r>
        <w:rPr>
          <w:rFonts w:hint="eastAsia"/>
          <w:color w:val="auto"/>
          <w:highlight w:val="none"/>
        </w:rPr>
        <w:t>当楼盖搁栅、屋盖椽条两端由墙或木梁支承时，搁栅及椽条按两端简支的受弯构件进行设计</w:t>
      </w:r>
      <w:r>
        <w:rPr>
          <w:color w:val="auto"/>
          <w:highlight w:val="none"/>
        </w:rPr>
        <w:t>。</w:t>
      </w:r>
    </w:p>
    <w:p w14:paraId="7C44D2F4">
      <w:pPr>
        <w:pStyle w:val="50"/>
        <w:ind w:firstLine="0" w:firstLineChars="0"/>
        <w:rPr>
          <w:rFonts w:hint="eastAsia"/>
          <w:color w:val="auto"/>
          <w:highlight w:val="none"/>
        </w:rPr>
      </w:pPr>
      <w:r>
        <w:rPr>
          <w:rFonts w:hint="eastAsia"/>
          <w:color w:val="auto"/>
          <w:highlight w:val="none"/>
        </w:rPr>
        <w:t>【条文说明】6.2.5 当搁栅和椽条搁置在木梁或墙体之上时，各跨之间不连续。因此楼盖的搁栅、屋盖的椽条应按简支受弯构件进行设计。</w:t>
      </w:r>
    </w:p>
    <w:p w14:paraId="41DD783D">
      <w:pPr>
        <w:rPr>
          <w:color w:val="auto"/>
          <w:highlight w:val="none"/>
        </w:rPr>
      </w:pPr>
    </w:p>
    <w:p w14:paraId="5E70F3A2">
      <w:pPr>
        <w:rPr>
          <w:color w:val="auto"/>
          <w:highlight w:val="none"/>
          <w:lang w:eastAsia="zh-CN"/>
        </w:rPr>
      </w:pPr>
      <w:r>
        <w:rPr>
          <w:rFonts w:hint="eastAsia"/>
          <w:b/>
          <w:color w:val="auto"/>
          <w:highlight w:val="none"/>
          <w:lang w:eastAsia="zh-CN"/>
        </w:rPr>
        <w:t>6.2.6</w:t>
      </w:r>
      <w:r>
        <w:rPr>
          <w:rFonts w:hint="eastAsia"/>
          <w:color w:val="auto"/>
          <w:highlight w:val="none"/>
          <w:lang w:eastAsia="zh-CN"/>
        </w:rPr>
        <w:t xml:space="preserve">  楼（屋）盖搁栅在支座处应进行局部承压验算。</w:t>
      </w:r>
    </w:p>
    <w:p w14:paraId="5681F8C7">
      <w:pPr>
        <w:rPr>
          <w:color w:val="auto"/>
          <w:highlight w:val="none"/>
          <w:lang w:eastAsia="zh-CN"/>
        </w:rPr>
      </w:pPr>
      <w:r>
        <w:rPr>
          <w:rFonts w:hint="eastAsia"/>
          <w:b/>
          <w:color w:val="auto"/>
          <w:highlight w:val="none"/>
          <w:lang w:eastAsia="zh-CN"/>
        </w:rPr>
        <w:t>6.2.7</w:t>
      </w:r>
      <w:r>
        <w:rPr>
          <w:rFonts w:hint="eastAsia"/>
          <w:color w:val="auto"/>
          <w:highlight w:val="none"/>
          <w:lang w:eastAsia="zh-CN"/>
        </w:rPr>
        <w:t xml:space="preserve">  屋面</w:t>
      </w:r>
      <w:r>
        <w:rPr>
          <w:rFonts w:hint="eastAsia"/>
          <w:color w:val="auto"/>
          <w:highlight w:val="none"/>
        </w:rPr>
        <w:t>椽条</w:t>
      </w:r>
      <w:r>
        <w:rPr>
          <w:rFonts w:hint="eastAsia"/>
          <w:color w:val="auto"/>
          <w:highlight w:val="none"/>
          <w:lang w:eastAsia="zh-CN"/>
        </w:rPr>
        <w:t>与屋谷</w:t>
      </w:r>
      <w:r>
        <w:rPr>
          <w:rFonts w:hint="eastAsia"/>
          <w:color w:val="auto"/>
          <w:highlight w:val="none"/>
        </w:rPr>
        <w:t>椽条</w:t>
      </w:r>
      <w:r>
        <w:rPr>
          <w:rFonts w:hint="eastAsia"/>
          <w:color w:val="auto"/>
          <w:highlight w:val="none"/>
          <w:lang w:eastAsia="zh-CN"/>
        </w:rPr>
        <w:t>宜按铰接设计。</w:t>
      </w:r>
    </w:p>
    <w:p w14:paraId="6EA5E9C0">
      <w:pPr>
        <w:rPr>
          <w:color w:val="auto"/>
          <w:highlight w:val="none"/>
          <w:lang w:eastAsia="zh-CN"/>
        </w:rPr>
      </w:pPr>
      <w:r>
        <w:rPr>
          <w:rFonts w:hint="eastAsia"/>
          <w:b/>
          <w:color w:val="auto"/>
          <w:highlight w:val="none"/>
          <w:lang w:eastAsia="zh-CN"/>
        </w:rPr>
        <w:t>6.2.8</w:t>
      </w:r>
      <w:r>
        <w:rPr>
          <w:rFonts w:hint="eastAsia"/>
          <w:color w:val="auto"/>
          <w:highlight w:val="none"/>
          <w:lang w:eastAsia="zh-CN"/>
        </w:rPr>
        <w:t xml:space="preserve">  楼（屋）盖不应大开孔，当开孔尺寸大于楼（屋）盖尺寸的1/2或大于3.5m时，应验算开孔周围的构件及其连接。</w:t>
      </w:r>
    </w:p>
    <w:p w14:paraId="505590EC">
      <w:pPr>
        <w:pStyle w:val="4"/>
        <w:rPr>
          <w:color w:val="auto"/>
          <w:highlight w:val="none"/>
        </w:rPr>
      </w:pPr>
      <w:r>
        <w:rPr>
          <w:rFonts w:hint="eastAsia"/>
          <w:b/>
          <w:color w:val="auto"/>
          <w:highlight w:val="none"/>
        </w:rPr>
        <w:t>6.2.</w:t>
      </w:r>
      <w:r>
        <w:rPr>
          <w:rFonts w:hint="eastAsia"/>
          <w:b/>
          <w:color w:val="auto"/>
          <w:highlight w:val="none"/>
          <w:lang w:eastAsia="zh-CN"/>
        </w:rPr>
        <w:t xml:space="preserve">9  </w:t>
      </w:r>
      <w:r>
        <w:rPr>
          <w:rFonts w:hint="eastAsia"/>
          <w:color w:val="auto"/>
          <w:highlight w:val="none"/>
        </w:rPr>
        <w:t>搁栅与木梁在支座处的连接，可采用U形连接件或连接钢板连接，以减少对木梁截面的削弱。</w:t>
      </w:r>
    </w:p>
    <w:p w14:paraId="7F56FE15">
      <w:pPr>
        <w:pStyle w:val="4"/>
        <w:rPr>
          <w:color w:val="auto"/>
          <w:highlight w:val="none"/>
        </w:rPr>
      </w:pPr>
      <w:r>
        <w:rPr>
          <w:rFonts w:hint="eastAsia"/>
          <w:b/>
          <w:color w:val="auto"/>
          <w:highlight w:val="none"/>
        </w:rPr>
        <w:t>6.2.</w:t>
      </w:r>
      <w:r>
        <w:rPr>
          <w:rFonts w:hint="eastAsia"/>
          <w:b/>
          <w:color w:val="auto"/>
          <w:highlight w:val="none"/>
          <w:lang w:eastAsia="zh-CN"/>
        </w:rPr>
        <w:t xml:space="preserve">10  </w:t>
      </w:r>
      <w:r>
        <w:rPr>
          <w:rFonts w:hint="eastAsia"/>
          <w:color w:val="auto"/>
          <w:highlight w:val="none"/>
        </w:rPr>
        <w:t>屋盖系统的椽条应符合以下规定：</w:t>
      </w:r>
    </w:p>
    <w:p w14:paraId="5CCB9780">
      <w:pPr>
        <w:pStyle w:val="4"/>
        <w:ind w:firstLine="361" w:firstLineChars="150"/>
        <w:rPr>
          <w:color w:val="auto"/>
          <w:highlight w:val="none"/>
        </w:rPr>
      </w:pPr>
      <w:bookmarkStart w:id="114" w:name="OLE_LINK36"/>
      <w:bookmarkStart w:id="115" w:name="OLE_LINK35"/>
      <w:r>
        <w:rPr>
          <w:rFonts w:hint="eastAsia"/>
          <w:b/>
          <w:color w:val="auto"/>
          <w:highlight w:val="none"/>
          <w:lang w:eastAsia="zh-CN"/>
        </w:rPr>
        <w:t xml:space="preserve">1 </w:t>
      </w:r>
      <w:bookmarkEnd w:id="114"/>
      <w:bookmarkEnd w:id="115"/>
      <w:r>
        <w:rPr>
          <w:rFonts w:hint="eastAsia"/>
          <w:b/>
          <w:color w:val="auto"/>
          <w:highlight w:val="none"/>
          <w:lang w:eastAsia="zh-CN"/>
        </w:rPr>
        <w:t xml:space="preserve"> </w:t>
      </w:r>
      <w:r>
        <w:rPr>
          <w:rFonts w:hint="eastAsia"/>
          <w:color w:val="auto"/>
          <w:highlight w:val="none"/>
        </w:rPr>
        <w:t>椽条沿长度方向应连续，但可用连接板在支座上接长。</w:t>
      </w:r>
    </w:p>
    <w:p w14:paraId="4BC5A013">
      <w:pPr>
        <w:pStyle w:val="4"/>
        <w:ind w:firstLine="361" w:firstLineChars="150"/>
        <w:rPr>
          <w:color w:val="auto"/>
          <w:highlight w:val="none"/>
        </w:rPr>
      </w:pPr>
      <w:bookmarkStart w:id="116" w:name="OLE_LINK40"/>
      <w:bookmarkStart w:id="117" w:name="OLE_LINK39"/>
      <w:r>
        <w:rPr>
          <w:rFonts w:hint="eastAsia"/>
          <w:b/>
          <w:color w:val="auto"/>
          <w:highlight w:val="none"/>
          <w:lang w:eastAsia="zh-CN"/>
        </w:rPr>
        <w:t xml:space="preserve">2  </w:t>
      </w:r>
      <w:bookmarkEnd w:id="116"/>
      <w:bookmarkEnd w:id="117"/>
      <w:r>
        <w:rPr>
          <w:rFonts w:hint="eastAsia"/>
          <w:color w:val="auto"/>
          <w:highlight w:val="none"/>
        </w:rPr>
        <w:t>椽条在支座上的搁置长度不得小于40</w:t>
      </w:r>
      <w:r>
        <w:rPr>
          <w:rFonts w:hint="eastAsia"/>
          <w:color w:val="auto"/>
          <w:highlight w:val="none"/>
          <w:lang w:eastAsia="zh-CN"/>
        </w:rPr>
        <w:t>㎜</w:t>
      </w:r>
      <w:r>
        <w:rPr>
          <w:rFonts w:hint="eastAsia"/>
          <w:color w:val="auto"/>
          <w:highlight w:val="none"/>
        </w:rPr>
        <w:t>，不满足时应在支座顶面设置楔形垫木。</w:t>
      </w:r>
    </w:p>
    <w:p w14:paraId="2443F26B">
      <w:pPr>
        <w:pStyle w:val="4"/>
        <w:ind w:firstLine="361" w:firstLineChars="150"/>
        <w:rPr>
          <w:color w:val="auto"/>
          <w:highlight w:val="none"/>
        </w:rPr>
      </w:pPr>
      <w:bookmarkStart w:id="118" w:name="OLE_LINK46"/>
      <w:bookmarkStart w:id="119" w:name="OLE_LINK47"/>
      <w:r>
        <w:rPr>
          <w:rFonts w:hint="eastAsia"/>
          <w:b/>
          <w:color w:val="auto"/>
          <w:highlight w:val="none"/>
          <w:lang w:eastAsia="zh-CN"/>
        </w:rPr>
        <w:t>3</w:t>
      </w:r>
      <w:bookmarkEnd w:id="118"/>
      <w:bookmarkEnd w:id="119"/>
      <w:r>
        <w:rPr>
          <w:rFonts w:hint="eastAsia"/>
          <w:b/>
          <w:color w:val="auto"/>
          <w:highlight w:val="none"/>
          <w:lang w:eastAsia="zh-CN"/>
        </w:rPr>
        <w:t xml:space="preserve">  </w:t>
      </w:r>
      <w:r>
        <w:rPr>
          <w:rFonts w:hint="eastAsia"/>
          <w:color w:val="auto"/>
          <w:highlight w:val="none"/>
        </w:rPr>
        <w:t>屋谷和屋脊条的截面高度宜比其他处椽条的截面高度大50</w:t>
      </w:r>
      <w:r>
        <w:rPr>
          <w:rFonts w:hint="eastAsia"/>
          <w:color w:val="auto"/>
          <w:highlight w:val="none"/>
          <w:lang w:eastAsia="zh-CN"/>
        </w:rPr>
        <w:t>㎜</w:t>
      </w:r>
      <w:r>
        <w:rPr>
          <w:rFonts w:hint="eastAsia"/>
          <w:color w:val="auto"/>
          <w:highlight w:val="none"/>
        </w:rPr>
        <w:t>。</w:t>
      </w:r>
    </w:p>
    <w:p w14:paraId="25958BAE">
      <w:pPr>
        <w:pStyle w:val="4"/>
        <w:ind w:firstLine="361" w:firstLineChars="150"/>
        <w:rPr>
          <w:color w:val="auto"/>
          <w:highlight w:val="none"/>
        </w:rPr>
      </w:pPr>
      <w:bookmarkStart w:id="120" w:name="OLE_LINK48"/>
      <w:bookmarkStart w:id="121" w:name="OLE_LINK49"/>
      <w:r>
        <w:rPr>
          <w:rFonts w:hint="eastAsia"/>
          <w:b/>
          <w:color w:val="auto"/>
          <w:highlight w:val="none"/>
          <w:lang w:eastAsia="zh-CN"/>
        </w:rPr>
        <w:t xml:space="preserve">4 </w:t>
      </w:r>
      <w:bookmarkEnd w:id="120"/>
      <w:bookmarkEnd w:id="121"/>
      <w:r>
        <w:rPr>
          <w:rFonts w:hint="eastAsia"/>
          <w:b/>
          <w:color w:val="auto"/>
          <w:highlight w:val="none"/>
          <w:lang w:eastAsia="zh-CN"/>
        </w:rPr>
        <w:t xml:space="preserve"> </w:t>
      </w:r>
      <w:r>
        <w:rPr>
          <w:rFonts w:hint="eastAsia"/>
          <w:color w:val="auto"/>
          <w:highlight w:val="none"/>
        </w:rPr>
        <w:t>椽条在屋脊处可由承重墙或支承长度不小于90</w:t>
      </w:r>
      <w:r>
        <w:rPr>
          <w:rFonts w:hint="eastAsia"/>
          <w:color w:val="auto"/>
          <w:highlight w:val="none"/>
          <w:lang w:eastAsia="zh-CN"/>
        </w:rPr>
        <w:t>㎜</w:t>
      </w:r>
      <w:r>
        <w:rPr>
          <w:rFonts w:hint="eastAsia"/>
          <w:color w:val="auto"/>
          <w:highlight w:val="none"/>
        </w:rPr>
        <w:t>的屋脊梁支承；椽条的顶端在屋脊两侧应采用连接板或按钉连接的构造要求相互连接。</w:t>
      </w:r>
    </w:p>
    <w:p w14:paraId="7532147F">
      <w:pPr>
        <w:pStyle w:val="4"/>
        <w:rPr>
          <w:color w:val="auto"/>
          <w:highlight w:val="none"/>
        </w:rPr>
      </w:pPr>
      <w:bookmarkStart w:id="122" w:name="OLE_LINK52"/>
      <w:bookmarkStart w:id="123" w:name="OLE_LINK53"/>
      <w:r>
        <w:rPr>
          <w:rFonts w:hint="eastAsia"/>
          <w:b/>
          <w:color w:val="auto"/>
          <w:highlight w:val="none"/>
        </w:rPr>
        <w:t>6.2.</w:t>
      </w:r>
      <w:r>
        <w:rPr>
          <w:rFonts w:hint="eastAsia"/>
          <w:b/>
          <w:color w:val="auto"/>
          <w:highlight w:val="none"/>
          <w:lang w:eastAsia="zh-CN"/>
        </w:rPr>
        <w:t xml:space="preserve">11 </w:t>
      </w:r>
      <w:bookmarkEnd w:id="122"/>
      <w:bookmarkEnd w:id="123"/>
      <w:r>
        <w:rPr>
          <w:rFonts w:hint="eastAsia"/>
          <w:b/>
          <w:color w:val="auto"/>
          <w:highlight w:val="none"/>
          <w:lang w:eastAsia="zh-CN"/>
        </w:rPr>
        <w:t xml:space="preserve"> </w:t>
      </w:r>
      <w:r>
        <w:rPr>
          <w:rFonts w:hint="eastAsia"/>
          <w:color w:val="auto"/>
          <w:highlight w:val="none"/>
        </w:rPr>
        <w:t>楼盖、屋盖构件与墙连接时，应采用螺栓、钉或连接件与墙体构件固定。</w:t>
      </w:r>
    </w:p>
    <w:p w14:paraId="289CC241">
      <w:pPr>
        <w:pStyle w:val="4"/>
        <w:rPr>
          <w:color w:val="auto"/>
          <w:highlight w:val="none"/>
        </w:rPr>
      </w:pPr>
      <w:bookmarkStart w:id="124" w:name="OLE_LINK59"/>
      <w:r>
        <w:rPr>
          <w:rFonts w:hint="eastAsia"/>
          <w:b/>
          <w:color w:val="auto"/>
          <w:highlight w:val="none"/>
        </w:rPr>
        <w:t>6.2.</w:t>
      </w:r>
      <w:bookmarkEnd w:id="124"/>
      <w:r>
        <w:rPr>
          <w:rFonts w:hint="eastAsia"/>
          <w:b/>
          <w:color w:val="auto"/>
          <w:highlight w:val="none"/>
          <w:lang w:eastAsia="zh-CN"/>
        </w:rPr>
        <w:t xml:space="preserve">12  </w:t>
      </w:r>
      <w:r>
        <w:rPr>
          <w:rFonts w:hint="eastAsia"/>
          <w:color w:val="auto"/>
          <w:highlight w:val="none"/>
        </w:rPr>
        <w:t>楼（屋）面板安装时，面板木纹方向应与椽条、搁栅垂直，面板之间的接缝应与椽条、搁栅平行，且交错布置。</w:t>
      </w:r>
    </w:p>
    <w:p w14:paraId="22260A96">
      <w:pPr>
        <w:pStyle w:val="4"/>
        <w:rPr>
          <w:color w:val="auto"/>
          <w:highlight w:val="none"/>
        </w:rPr>
      </w:pPr>
      <w:bookmarkStart w:id="125" w:name="OLE_LINK65"/>
      <w:bookmarkStart w:id="126" w:name="OLE_LINK62"/>
      <w:r>
        <w:rPr>
          <w:rFonts w:hint="eastAsia"/>
          <w:b/>
          <w:color w:val="auto"/>
          <w:highlight w:val="none"/>
        </w:rPr>
        <w:t>6.2.</w:t>
      </w:r>
      <w:bookmarkEnd w:id="125"/>
      <w:bookmarkEnd w:id="126"/>
      <w:r>
        <w:rPr>
          <w:rFonts w:hint="eastAsia"/>
          <w:b/>
          <w:color w:val="auto"/>
          <w:highlight w:val="none"/>
          <w:lang w:eastAsia="zh-CN"/>
        </w:rPr>
        <w:t xml:space="preserve">13  </w:t>
      </w:r>
      <w:r>
        <w:rPr>
          <w:rFonts w:hint="eastAsia"/>
          <w:color w:val="auto"/>
          <w:highlight w:val="none"/>
        </w:rPr>
        <w:t>楼（屋）面板与支撑构件</w:t>
      </w:r>
      <w:r>
        <w:rPr>
          <w:rFonts w:hint="eastAsia"/>
          <w:color w:val="auto"/>
          <w:highlight w:val="none"/>
          <w:lang w:eastAsia="zh-CN"/>
        </w:rPr>
        <w:t>宜</w:t>
      </w:r>
      <w:r>
        <w:rPr>
          <w:rFonts w:hint="eastAsia"/>
          <w:color w:val="auto"/>
          <w:highlight w:val="none"/>
        </w:rPr>
        <w:t>采用钉连接方式。</w:t>
      </w:r>
    </w:p>
    <w:p w14:paraId="00FED06F">
      <w:pPr>
        <w:pStyle w:val="4"/>
        <w:rPr>
          <w:color w:val="auto"/>
          <w:highlight w:val="none"/>
        </w:rPr>
      </w:pPr>
      <w:bookmarkStart w:id="127" w:name="OLE_LINK69"/>
      <w:bookmarkStart w:id="128" w:name="OLE_LINK73"/>
      <w:r>
        <w:rPr>
          <w:rFonts w:hint="eastAsia"/>
          <w:b/>
          <w:color w:val="auto"/>
          <w:highlight w:val="none"/>
        </w:rPr>
        <w:t>6.2.</w:t>
      </w:r>
      <w:bookmarkEnd w:id="127"/>
      <w:bookmarkEnd w:id="128"/>
      <w:r>
        <w:rPr>
          <w:rFonts w:hint="eastAsia"/>
          <w:b/>
          <w:color w:val="auto"/>
          <w:highlight w:val="none"/>
          <w:lang w:eastAsia="zh-CN"/>
        </w:rPr>
        <w:t xml:space="preserve">14  </w:t>
      </w:r>
      <w:r>
        <w:rPr>
          <w:rFonts w:hint="eastAsia"/>
          <w:color w:val="auto"/>
          <w:highlight w:val="none"/>
        </w:rPr>
        <w:t>屋盖天窗构件是由椽条、窗过梁、窗台梁、墙骨柱等组成，均由规格材或工程木产品制作。</w:t>
      </w:r>
    </w:p>
    <w:p w14:paraId="57296DA8">
      <w:pPr>
        <w:pStyle w:val="3"/>
        <w:spacing w:before="156" w:after="156"/>
        <w:rPr>
          <w:color w:val="auto"/>
          <w:highlight w:val="none"/>
        </w:rPr>
      </w:pPr>
      <w:bookmarkStart w:id="129" w:name="_Toc30175"/>
      <w:bookmarkStart w:id="130" w:name="_Toc24523"/>
      <w:bookmarkStart w:id="131" w:name="_Toc20609"/>
      <w:bookmarkStart w:id="132" w:name="_Toc1258"/>
      <w:r>
        <w:rPr>
          <w:rFonts w:hint="eastAsia"/>
          <w:b/>
          <w:color w:val="auto"/>
          <w:highlight w:val="none"/>
        </w:rPr>
        <w:t>6</w:t>
      </w:r>
      <w:r>
        <w:rPr>
          <w:rFonts w:hint="eastAsia"/>
          <w:b/>
          <w:color w:val="auto"/>
          <w:highlight w:val="none"/>
          <w:lang w:eastAsia="zh-CN"/>
        </w:rPr>
        <w:t xml:space="preserve">.3 </w:t>
      </w:r>
      <w:r>
        <w:rPr>
          <w:rFonts w:hint="eastAsia"/>
          <w:color w:val="auto"/>
          <w:highlight w:val="none"/>
          <w:lang w:eastAsia="zh-CN"/>
        </w:rPr>
        <w:t xml:space="preserve"> </w:t>
      </w:r>
      <w:bookmarkEnd w:id="129"/>
      <w:r>
        <w:rPr>
          <w:rFonts w:hint="eastAsia"/>
          <w:color w:val="auto"/>
          <w:highlight w:val="none"/>
          <w:lang w:eastAsia="zh-CN"/>
        </w:rPr>
        <w:t>剪力墙</w:t>
      </w:r>
      <w:bookmarkEnd w:id="130"/>
      <w:bookmarkEnd w:id="131"/>
      <w:bookmarkEnd w:id="132"/>
    </w:p>
    <w:p w14:paraId="66EEE801">
      <w:pPr>
        <w:pStyle w:val="4"/>
        <w:rPr>
          <w:color w:val="auto"/>
          <w:highlight w:val="none"/>
        </w:rPr>
      </w:pPr>
      <w:r>
        <w:rPr>
          <w:rFonts w:hint="eastAsia"/>
          <w:b/>
          <w:color w:val="auto"/>
          <w:highlight w:val="none"/>
          <w:lang w:eastAsia="zh-CN"/>
        </w:rPr>
        <w:t>6.3.</w:t>
      </w:r>
      <w:r>
        <w:rPr>
          <w:b/>
          <w:color w:val="auto"/>
          <w:highlight w:val="none"/>
        </w:rPr>
        <w:t>1</w:t>
      </w:r>
      <w:bookmarkStart w:id="133" w:name="OLE_LINK77"/>
      <w:bookmarkStart w:id="134" w:name="OLE_LINK78"/>
      <w:r>
        <w:rPr>
          <w:rFonts w:hint="eastAsia"/>
          <w:color w:val="auto"/>
          <w:highlight w:val="none"/>
          <w:lang w:eastAsia="zh-CN"/>
        </w:rPr>
        <w:t xml:space="preserve">  </w:t>
      </w:r>
      <w:r>
        <w:rPr>
          <w:rFonts w:hint="eastAsia" w:cs="Times New Roman"/>
          <w:color w:val="auto"/>
          <w:highlight w:val="none"/>
        </w:rPr>
        <w:t>轻型木结构</w:t>
      </w:r>
      <w:r>
        <w:rPr>
          <w:rFonts w:cs="Times New Roman"/>
          <w:color w:val="auto"/>
          <w:highlight w:val="none"/>
        </w:rPr>
        <w:t>的</w:t>
      </w:r>
      <w:r>
        <w:rPr>
          <w:color w:val="auto"/>
          <w:highlight w:val="none"/>
        </w:rPr>
        <w:t>剪力墙</w:t>
      </w:r>
      <w:bookmarkEnd w:id="133"/>
      <w:bookmarkEnd w:id="134"/>
      <w:r>
        <w:rPr>
          <w:rFonts w:hint="eastAsia"/>
          <w:color w:val="auto"/>
          <w:highlight w:val="none"/>
          <w:lang w:eastAsia="zh-CN"/>
        </w:rPr>
        <w:t>应按下列要求进行荷载作用验算</w:t>
      </w:r>
      <w:r>
        <w:rPr>
          <w:color w:val="auto"/>
          <w:highlight w:val="none"/>
        </w:rPr>
        <w:t>：</w:t>
      </w:r>
    </w:p>
    <w:p w14:paraId="64771472">
      <w:pPr>
        <w:pStyle w:val="4"/>
        <w:ind w:firstLine="360" w:firstLineChars="150"/>
        <w:rPr>
          <w:color w:val="auto"/>
          <w:highlight w:val="none"/>
        </w:rPr>
      </w:pPr>
      <w:r>
        <w:rPr>
          <w:rFonts w:hint="eastAsia"/>
          <w:color w:val="auto"/>
          <w:highlight w:val="none"/>
        </w:rPr>
        <w:t>1  对承受竖向荷载作用或平面外荷载作用的剪力墙，应进行剪力墙正截面承载力计算和稳定验算；</w:t>
      </w:r>
    </w:p>
    <w:p w14:paraId="6F747BF3">
      <w:pPr>
        <w:pStyle w:val="4"/>
        <w:ind w:firstLine="360" w:firstLineChars="150"/>
        <w:rPr>
          <w:color w:val="auto"/>
          <w:highlight w:val="none"/>
          <w:lang w:eastAsia="zh-CN"/>
        </w:rPr>
      </w:pPr>
      <w:r>
        <w:rPr>
          <w:color w:val="auto"/>
          <w:highlight w:val="none"/>
        </w:rPr>
        <w:t xml:space="preserve">2 </w:t>
      </w:r>
      <w:r>
        <w:rPr>
          <w:rFonts w:hint="eastAsia"/>
          <w:color w:val="auto"/>
          <w:highlight w:val="none"/>
          <w:lang w:eastAsia="zh-CN"/>
        </w:rPr>
        <w:t xml:space="preserve"> </w:t>
      </w:r>
      <w:r>
        <w:rPr>
          <w:color w:val="auto"/>
          <w:highlight w:val="none"/>
        </w:rPr>
        <w:t>对承受平面内水平荷载作用的剪力墙，应进行抗剪强度计算、稳定验算、抗倾覆验算和变形验算</w:t>
      </w:r>
      <w:r>
        <w:rPr>
          <w:rFonts w:hint="eastAsia"/>
          <w:color w:val="auto"/>
          <w:highlight w:val="none"/>
          <w:lang w:eastAsia="zh-CN"/>
        </w:rPr>
        <w:t>。</w:t>
      </w:r>
    </w:p>
    <w:p w14:paraId="090A3DA9">
      <w:pPr>
        <w:pStyle w:val="50"/>
        <w:ind w:firstLine="0" w:firstLineChars="0"/>
        <w:rPr>
          <w:color w:val="auto"/>
          <w:highlight w:val="none"/>
        </w:rPr>
      </w:pPr>
      <w:r>
        <w:rPr>
          <w:rFonts w:hint="eastAsia"/>
          <w:color w:val="auto"/>
          <w:highlight w:val="none"/>
        </w:rPr>
        <w:t>【条文说明】6.3.</w:t>
      </w:r>
      <w:r>
        <w:rPr>
          <w:color w:val="auto"/>
          <w:highlight w:val="none"/>
        </w:rPr>
        <w:t>1剪力墙是木结构中的主要抗侧力构件，设计时应按首先计算出作用在剪力墙上的水平荷载和竖向荷载，并进行承载能力极限状态验算。木基结构板剪力墙由一定间距的墙骨柱、覆面板和钉连接组成，墙体上的竖向荷载通过顶梁板传递至墙骨柱上，故应对墙骨柱进行稳定性验算；当为外墙时，由于风荷载作用会使墙骨柱受弯，故应补充墙骨柱平面外稳定验算。轻型木结构的墙骨柱计算应符合下列规定：</w:t>
      </w:r>
    </w:p>
    <w:p w14:paraId="40A77F4B">
      <w:pPr>
        <w:pStyle w:val="50"/>
        <w:ind w:firstLine="360" w:firstLineChars="150"/>
        <w:rPr>
          <w:color w:val="auto"/>
          <w:highlight w:val="none"/>
        </w:rPr>
      </w:pPr>
      <w:r>
        <w:rPr>
          <w:color w:val="auto"/>
          <w:highlight w:val="none"/>
        </w:rPr>
        <w:t>1）墙骨柱在竖向及墙体平面外荷载作用下，按两端</w:t>
      </w:r>
      <w:r>
        <w:rPr>
          <w:rFonts w:hint="eastAsia"/>
          <w:color w:val="auto"/>
          <w:highlight w:val="none"/>
        </w:rPr>
        <w:t>铰</w:t>
      </w:r>
      <w:r>
        <w:rPr>
          <w:color w:val="auto"/>
          <w:highlight w:val="none"/>
        </w:rPr>
        <w:t>接构件设计。</w:t>
      </w:r>
    </w:p>
    <w:p w14:paraId="7D6F3B65">
      <w:pPr>
        <w:pStyle w:val="50"/>
        <w:ind w:firstLine="360" w:firstLineChars="150"/>
        <w:rPr>
          <w:color w:val="auto"/>
          <w:highlight w:val="none"/>
        </w:rPr>
      </w:pPr>
      <w:r>
        <w:rPr>
          <w:color w:val="auto"/>
          <w:highlight w:val="none"/>
        </w:rPr>
        <w:t>2）墙骨柱在竖向荷载作用下，在墙体平面外弯曲方向考虑墙骨柱截面高度</w:t>
      </w:r>
      <w:r>
        <w:rPr>
          <w:rFonts w:hint="eastAsia"/>
          <w:color w:val="auto"/>
          <w:highlight w:val="none"/>
        </w:rPr>
        <w:t xml:space="preserve"> </w:t>
      </w:r>
      <w:r>
        <w:rPr>
          <w:color w:val="auto"/>
          <w:highlight w:val="none"/>
        </w:rPr>
        <w:t>5％的偏心距。</w:t>
      </w:r>
    </w:p>
    <w:p w14:paraId="6CF0F7C0">
      <w:pPr>
        <w:pStyle w:val="50"/>
        <w:ind w:firstLine="360" w:firstLineChars="150"/>
        <w:rPr>
          <w:color w:val="auto"/>
          <w:highlight w:val="none"/>
        </w:rPr>
      </w:pPr>
      <w:r>
        <w:rPr>
          <w:color w:val="auto"/>
          <w:highlight w:val="none"/>
        </w:rPr>
        <w:t>3）当墙骨柱两侧布置木基结构板或石膏板等覆面板时，无需进行墙体平面内的侧向稳定性验算。</w:t>
      </w:r>
    </w:p>
    <w:p w14:paraId="18E4AB7F">
      <w:pPr>
        <w:pStyle w:val="50"/>
        <w:ind w:firstLine="360" w:firstLineChars="150"/>
        <w:rPr>
          <w:color w:val="auto"/>
          <w:highlight w:val="none"/>
        </w:rPr>
      </w:pPr>
      <w:r>
        <w:rPr>
          <w:color w:val="auto"/>
          <w:highlight w:val="none"/>
        </w:rPr>
        <w:t>4）外墙骨柱应考虑风荷载效应的组合，当外墙</w:t>
      </w:r>
      <w:r>
        <w:rPr>
          <w:rFonts w:hint="eastAsia"/>
          <w:color w:val="auto"/>
          <w:highlight w:val="none"/>
        </w:rPr>
        <w:t>围护</w:t>
      </w:r>
      <w:r>
        <w:rPr>
          <w:color w:val="auto"/>
          <w:highlight w:val="none"/>
        </w:rPr>
        <w:t>材料较重时，应考虑地震作用下附加质量引起的墙骨柱平面外应力。除了需对墙骨柱整体稳定性的验算，还需验算墙骨柱与顶梁板、底梁板连接处的局部承压承载力。</w:t>
      </w:r>
    </w:p>
    <w:p w14:paraId="0D40E32A">
      <w:pPr>
        <w:rPr>
          <w:color w:val="auto"/>
          <w:highlight w:val="none"/>
        </w:rPr>
      </w:pPr>
    </w:p>
    <w:p w14:paraId="52DC4E8C">
      <w:pPr>
        <w:rPr>
          <w:color w:val="auto"/>
          <w:highlight w:val="none"/>
        </w:rPr>
      </w:pPr>
      <w:r>
        <w:rPr>
          <w:rFonts w:hint="eastAsia"/>
          <w:b/>
          <w:color w:val="auto"/>
          <w:highlight w:val="none"/>
          <w:lang w:eastAsia="zh-CN"/>
        </w:rPr>
        <w:t>6.3.2</w:t>
      </w:r>
      <w:r>
        <w:rPr>
          <w:rFonts w:hint="eastAsia"/>
          <w:color w:val="auto"/>
          <w:highlight w:val="none"/>
          <w:lang w:eastAsia="zh-CN"/>
        </w:rPr>
        <w:t xml:space="preserve">  </w:t>
      </w:r>
      <w:r>
        <w:rPr>
          <w:rFonts w:hint="eastAsia" w:cs="Times New Roman"/>
          <w:color w:val="auto"/>
          <w:highlight w:val="none"/>
        </w:rPr>
        <w:t>轻型木结构</w:t>
      </w:r>
      <w:r>
        <w:rPr>
          <w:rFonts w:cs="Times New Roman"/>
          <w:color w:val="auto"/>
          <w:highlight w:val="none"/>
        </w:rPr>
        <w:t>的</w:t>
      </w:r>
      <w:r>
        <w:rPr>
          <w:color w:val="auto"/>
          <w:highlight w:val="none"/>
        </w:rPr>
        <w:t>剪力墙与楼盖、屋盖、基础</w:t>
      </w:r>
      <w:r>
        <w:rPr>
          <w:rFonts w:hint="eastAsia"/>
          <w:color w:val="auto"/>
          <w:highlight w:val="none"/>
          <w:lang w:eastAsia="zh-CN"/>
        </w:rPr>
        <w:t>可靠</w:t>
      </w:r>
      <w:r>
        <w:rPr>
          <w:color w:val="auto"/>
          <w:highlight w:val="none"/>
        </w:rPr>
        <w:t>连接</w:t>
      </w:r>
      <w:r>
        <w:rPr>
          <w:rFonts w:hint="eastAsia"/>
          <w:color w:val="auto"/>
          <w:highlight w:val="none"/>
          <w:lang w:eastAsia="zh-CN"/>
        </w:rPr>
        <w:t>，且</w:t>
      </w:r>
      <w:r>
        <w:rPr>
          <w:color w:val="auto"/>
          <w:highlight w:val="none"/>
        </w:rPr>
        <w:t>应进行抗剪设计和倾覆荷载作用下的抗拔设计。</w:t>
      </w:r>
    </w:p>
    <w:p w14:paraId="36965337">
      <w:pPr>
        <w:pStyle w:val="50"/>
        <w:ind w:firstLine="0" w:firstLineChars="0"/>
        <w:rPr>
          <w:color w:val="auto"/>
          <w:highlight w:val="none"/>
        </w:rPr>
      </w:pPr>
      <w:r>
        <w:rPr>
          <w:rFonts w:hint="eastAsia"/>
          <w:color w:val="auto"/>
          <w:highlight w:val="none"/>
        </w:rPr>
        <w:t>【条文说明】6.3.2</w:t>
      </w:r>
      <w:r>
        <w:rPr>
          <w:color w:val="auto"/>
          <w:highlight w:val="none"/>
        </w:rPr>
        <w:t>剪力墙本身应具有足够的抗倾覆能力，当结构自重不能抵抗倾覆力矩时，应设置抗拔连接件。剪力墙与楼盖、屋盖、基础应采用合理的连接形式，且连接节点应具有足够的承载力和一定程度的变形能力。</w:t>
      </w:r>
    </w:p>
    <w:p w14:paraId="65A0587D">
      <w:pPr>
        <w:rPr>
          <w:color w:val="auto"/>
          <w:highlight w:val="none"/>
        </w:rPr>
      </w:pPr>
    </w:p>
    <w:p w14:paraId="2168BAEF">
      <w:pPr>
        <w:rPr>
          <w:rFonts w:cs="Times New Roman"/>
          <w:color w:val="auto"/>
          <w:highlight w:val="none"/>
        </w:rPr>
      </w:pPr>
      <w:r>
        <w:rPr>
          <w:rFonts w:hint="eastAsia" w:cs="Times New Roman"/>
          <w:b/>
          <w:bCs/>
          <w:color w:val="auto"/>
          <w:highlight w:val="none"/>
          <w:lang w:eastAsia="zh-CN"/>
        </w:rPr>
        <w:t>6.3.3</w:t>
      </w:r>
      <w:r>
        <w:rPr>
          <w:rFonts w:cs="Times New Roman"/>
          <w:b/>
          <w:bCs/>
          <w:color w:val="auto"/>
          <w:highlight w:val="none"/>
        </w:rPr>
        <w:t xml:space="preserve"> </w:t>
      </w:r>
      <w:r>
        <w:rPr>
          <w:rFonts w:hint="eastAsia" w:cs="Times New Roman"/>
          <w:b/>
          <w:bCs/>
          <w:color w:val="auto"/>
          <w:highlight w:val="none"/>
          <w:lang w:eastAsia="zh-CN"/>
        </w:rPr>
        <w:t xml:space="preserve"> </w:t>
      </w:r>
      <w:r>
        <w:rPr>
          <w:rFonts w:hint="eastAsia" w:cs="Times New Roman"/>
          <w:color w:val="auto"/>
          <w:highlight w:val="none"/>
        </w:rPr>
        <w:t>轻型木结构</w:t>
      </w:r>
      <w:r>
        <w:rPr>
          <w:rFonts w:hint="eastAsia" w:cs="Times New Roman"/>
          <w:color w:val="auto"/>
          <w:highlight w:val="none"/>
          <w:lang w:eastAsia="zh-CN"/>
        </w:rPr>
        <w:t>剪力墙的设置</w:t>
      </w:r>
      <w:r>
        <w:rPr>
          <w:rFonts w:cs="Times New Roman"/>
          <w:color w:val="auto"/>
          <w:highlight w:val="none"/>
        </w:rPr>
        <w:t>应符合下列规定：</w:t>
      </w:r>
    </w:p>
    <w:p w14:paraId="06B48453">
      <w:pPr>
        <w:ind w:firstLine="360" w:firstLineChars="150"/>
        <w:rPr>
          <w:rFonts w:cs="Times New Roman"/>
          <w:color w:val="auto"/>
          <w:highlight w:val="none"/>
        </w:rPr>
      </w:pPr>
      <w:r>
        <w:rPr>
          <w:rFonts w:cs="Times New Roman"/>
          <w:color w:val="auto"/>
          <w:highlight w:val="none"/>
        </w:rPr>
        <w:t xml:space="preserve">1 </w:t>
      </w:r>
      <w:r>
        <w:rPr>
          <w:rFonts w:hint="eastAsia" w:cs="Times New Roman"/>
          <w:color w:val="auto"/>
          <w:highlight w:val="none"/>
          <w:lang w:eastAsia="zh-CN"/>
        </w:rPr>
        <w:t xml:space="preserve"> </w:t>
      </w:r>
      <w:r>
        <w:rPr>
          <w:rFonts w:cs="Times New Roman"/>
          <w:color w:val="auto"/>
          <w:highlight w:val="none"/>
        </w:rPr>
        <w:t>墙体底部应有底梁板或地梁板，底梁板或地梁板在支座上突出的尺寸不应大于墙体宽度的1/3，宽度不应小于墙骨柱的截面高度。</w:t>
      </w:r>
    </w:p>
    <w:p w14:paraId="7F19D91C">
      <w:pPr>
        <w:ind w:firstLine="360" w:firstLineChars="150"/>
        <w:rPr>
          <w:rFonts w:cs="Times New Roman"/>
          <w:color w:val="auto"/>
          <w:highlight w:val="none"/>
        </w:rPr>
      </w:pPr>
      <w:r>
        <w:rPr>
          <w:rFonts w:cs="Times New Roman"/>
          <w:color w:val="auto"/>
          <w:highlight w:val="none"/>
        </w:rPr>
        <w:t xml:space="preserve">2 </w:t>
      </w:r>
      <w:r>
        <w:rPr>
          <w:rFonts w:hint="eastAsia" w:cs="Times New Roman"/>
          <w:color w:val="auto"/>
          <w:highlight w:val="none"/>
          <w:lang w:eastAsia="zh-CN"/>
        </w:rPr>
        <w:t xml:space="preserve"> </w:t>
      </w:r>
      <w:r>
        <w:rPr>
          <w:rFonts w:cs="Times New Roman"/>
          <w:color w:val="auto"/>
          <w:highlight w:val="none"/>
        </w:rPr>
        <w:t>墙体顶部应有顶梁板，其宽度不应小于墙骨柱截面的高度；承重墙的顶梁板不宜少于两层；非承重墙的顶梁板可为单层。</w:t>
      </w:r>
    </w:p>
    <w:p w14:paraId="2D1826E5">
      <w:pPr>
        <w:ind w:firstLine="360" w:firstLineChars="150"/>
        <w:rPr>
          <w:rFonts w:cs="Times New Roman"/>
          <w:color w:val="auto"/>
          <w:highlight w:val="none"/>
        </w:rPr>
      </w:pPr>
      <w:r>
        <w:rPr>
          <w:rFonts w:cs="Times New Roman"/>
          <w:color w:val="auto"/>
          <w:highlight w:val="none"/>
        </w:rPr>
        <w:t>3</w:t>
      </w:r>
      <w:r>
        <w:rPr>
          <w:rFonts w:hint="eastAsia" w:cs="Times New Roman"/>
          <w:color w:val="auto"/>
          <w:highlight w:val="none"/>
          <w:lang w:eastAsia="zh-CN"/>
        </w:rPr>
        <w:t xml:space="preserve"> </w:t>
      </w:r>
      <w:r>
        <w:rPr>
          <w:rFonts w:cs="Times New Roman"/>
          <w:color w:val="auto"/>
          <w:highlight w:val="none"/>
        </w:rPr>
        <w:t xml:space="preserve"> 多层顶梁板上、下层的接缝应至少错开一个墙骨柱间距，接缝位置应在墙骨柱上；在墙体转角和交接处，上、下层顶梁板应交错互相搭接；单层顶梁板的接缝应位于墙骨柱上，并宜在接缝处的顶面采用镀锌薄钢带以钉连接。</w:t>
      </w:r>
    </w:p>
    <w:p w14:paraId="5A71A600">
      <w:pPr>
        <w:ind w:firstLine="480" w:firstLineChars="200"/>
        <w:rPr>
          <w:rFonts w:cs="Times New Roman"/>
          <w:color w:val="auto"/>
          <w:highlight w:val="none"/>
        </w:rPr>
      </w:pPr>
    </w:p>
    <w:p w14:paraId="3697F318">
      <w:pPr>
        <w:rPr>
          <w:rFonts w:cs="Times New Roman"/>
          <w:color w:val="auto"/>
          <w:highlight w:val="none"/>
        </w:rPr>
      </w:pPr>
      <w:r>
        <w:rPr>
          <w:rFonts w:hint="eastAsia" w:cs="Times New Roman"/>
          <w:b/>
          <w:bCs/>
          <w:color w:val="auto"/>
          <w:highlight w:val="none"/>
          <w:lang w:eastAsia="zh-CN"/>
        </w:rPr>
        <w:t>6.3.4</w:t>
      </w:r>
      <w:r>
        <w:rPr>
          <w:rFonts w:cs="Times New Roman"/>
          <w:color w:val="auto"/>
          <w:highlight w:val="none"/>
        </w:rPr>
        <w:t xml:space="preserve"> </w:t>
      </w:r>
      <w:bookmarkStart w:id="135" w:name="OLE_LINK82"/>
      <w:bookmarkStart w:id="136" w:name="OLE_LINK81"/>
      <w:bookmarkStart w:id="137" w:name="OLE_LINK83"/>
      <w:r>
        <w:rPr>
          <w:rFonts w:hint="eastAsia" w:cs="Times New Roman"/>
          <w:color w:val="auto"/>
          <w:highlight w:val="none"/>
        </w:rPr>
        <w:t>轻型木结构</w:t>
      </w:r>
      <w:bookmarkEnd w:id="135"/>
      <w:bookmarkEnd w:id="136"/>
      <w:bookmarkEnd w:id="137"/>
      <w:r>
        <w:rPr>
          <w:rFonts w:cs="Times New Roman"/>
          <w:color w:val="auto"/>
          <w:highlight w:val="none"/>
        </w:rPr>
        <w:t>剪力墙</w:t>
      </w:r>
      <w:r>
        <w:rPr>
          <w:rFonts w:hint="eastAsia" w:cs="Times New Roman"/>
          <w:color w:val="auto"/>
          <w:highlight w:val="none"/>
          <w:lang w:eastAsia="zh-CN"/>
        </w:rPr>
        <w:t>设计</w:t>
      </w:r>
      <w:r>
        <w:rPr>
          <w:rFonts w:cs="Times New Roman"/>
          <w:color w:val="auto"/>
          <w:highlight w:val="none"/>
        </w:rPr>
        <w:t>应按下列规定：</w:t>
      </w:r>
    </w:p>
    <w:p w14:paraId="62C6AB62">
      <w:pPr>
        <w:pStyle w:val="4"/>
        <w:ind w:firstLine="360" w:firstLineChars="150"/>
        <w:rPr>
          <w:color w:val="auto"/>
          <w:highlight w:val="none"/>
        </w:rPr>
      </w:pPr>
      <w:r>
        <w:rPr>
          <w:color w:val="auto"/>
          <w:highlight w:val="none"/>
        </w:rPr>
        <w:t xml:space="preserve">1 </w:t>
      </w:r>
      <w:r>
        <w:rPr>
          <w:rFonts w:hint="eastAsia"/>
          <w:color w:val="auto"/>
          <w:highlight w:val="none"/>
          <w:lang w:eastAsia="zh-CN"/>
        </w:rPr>
        <w:t xml:space="preserve"> </w:t>
      </w:r>
      <w:r>
        <w:rPr>
          <w:color w:val="auto"/>
          <w:highlight w:val="none"/>
        </w:rPr>
        <w:t>剪力墙墙肢的高宽比不应大于3.5。</w:t>
      </w:r>
    </w:p>
    <w:p w14:paraId="2DF0E07C">
      <w:pPr>
        <w:pStyle w:val="4"/>
        <w:ind w:firstLine="360" w:firstLineChars="150"/>
        <w:rPr>
          <w:color w:val="auto"/>
          <w:highlight w:val="none"/>
        </w:rPr>
      </w:pPr>
      <w:r>
        <w:rPr>
          <w:color w:val="auto"/>
          <w:highlight w:val="none"/>
        </w:rPr>
        <w:t xml:space="preserve">2 </w:t>
      </w:r>
      <w:r>
        <w:rPr>
          <w:rFonts w:hint="eastAsia"/>
          <w:color w:val="auto"/>
          <w:highlight w:val="none"/>
          <w:lang w:eastAsia="zh-CN"/>
        </w:rPr>
        <w:t xml:space="preserve"> </w:t>
      </w:r>
      <w:r>
        <w:rPr>
          <w:color w:val="auto"/>
          <w:highlight w:val="none"/>
        </w:rPr>
        <w:t>单面采用竖向铺板或水平铺板（图</w:t>
      </w:r>
      <w:r>
        <w:rPr>
          <w:rFonts w:hint="eastAsia"/>
          <w:color w:val="auto"/>
          <w:highlight w:val="none"/>
          <w:lang w:eastAsia="zh-CN"/>
        </w:rPr>
        <w:t>6.4.3</w:t>
      </w:r>
      <w:r>
        <w:rPr>
          <w:color w:val="auto"/>
          <w:highlight w:val="none"/>
        </w:rPr>
        <w:t>）的</w:t>
      </w:r>
      <w:r>
        <w:rPr>
          <w:rFonts w:hint="eastAsia"/>
          <w:color w:val="auto"/>
          <w:highlight w:val="none"/>
        </w:rPr>
        <w:t>轻型木结构剪力墙</w:t>
      </w:r>
      <w:r>
        <w:rPr>
          <w:color w:val="auto"/>
          <w:highlight w:val="none"/>
        </w:rPr>
        <w:t>受剪承载力设计值</w:t>
      </w:r>
      <m:oMath>
        <m:sSub>
          <m:sSubPr>
            <m:ctrlPr>
              <w:rPr>
                <w:rFonts w:ascii="Cambria Math" w:hAnsi="Cambria Math" w:cs="Times New Roman"/>
                <w:i/>
                <w:iCs/>
                <w:color w:val="auto"/>
                <w:highlight w:val="none"/>
              </w:rPr>
            </m:ctrlPr>
          </m:sSubPr>
          <m:e>
            <m:r>
              <m:rPr/>
              <w:rPr>
                <w:rFonts w:ascii="Cambria Math" w:hAnsi="Cambria Math" w:cs="Times New Roman"/>
                <w:color w:val="auto"/>
                <w:highlight w:val="none"/>
                <w:lang w:eastAsia="zh-CN"/>
              </w:rPr>
              <m:t>V</m:t>
            </m:r>
            <m:ctrlPr>
              <w:rPr>
                <w:rFonts w:ascii="Cambria Math" w:hAnsi="Cambria Math" w:cs="Times New Roman"/>
                <w:i/>
                <w:iCs/>
                <w:color w:val="auto"/>
                <w:highlight w:val="none"/>
              </w:rPr>
            </m:ctrlPr>
          </m:e>
          <m:sub>
            <m:r>
              <m:rPr>
                <m:sty m:val="p"/>
              </m:rPr>
              <w:rPr>
                <w:rFonts w:cs="Times New Roman"/>
                <w:color w:val="auto"/>
                <w:highlight w:val="none"/>
                <w:vertAlign w:val="subscript"/>
              </w:rPr>
              <m:t>d</m:t>
            </m:r>
            <m:ctrlPr>
              <w:rPr>
                <w:rFonts w:ascii="Cambria Math" w:hAnsi="Cambria Math" w:cs="Times New Roman"/>
                <w:i/>
                <w:iCs/>
                <w:color w:val="auto"/>
                <w:highlight w:val="none"/>
              </w:rPr>
            </m:ctrlPr>
          </m:sub>
        </m:sSub>
      </m:oMath>
      <w:r>
        <w:rPr>
          <w:color w:val="auto"/>
          <w:highlight w:val="none"/>
        </w:rPr>
        <w:t>应按下式计算：</w:t>
      </w:r>
    </w:p>
    <w:p w14:paraId="6CB97DCD">
      <w:pPr>
        <w:ind w:firstLine="4080" w:firstLineChars="1700"/>
        <w:jc w:val="both"/>
        <w:rPr>
          <w:rFonts w:cs="Times New Roman"/>
          <w:color w:val="auto"/>
          <w:highlight w:val="none"/>
        </w:rPr>
      </w:pPr>
      <w:r>
        <w:rPr>
          <w:rFonts w:hint="eastAsia" w:hAnsi="Cambria Math" w:cs="Times New Roman"/>
          <w:color w:val="auto"/>
          <w:highlight w:val="none"/>
          <w:lang w:eastAsia="zh-CN"/>
        </w:rPr>
        <w:t xml:space="preserve"> </w:t>
      </w:r>
      <m:oMath>
        <m:sSub>
          <m:sSubPr>
            <m:ctrlPr>
              <w:rPr>
                <w:rFonts w:ascii="Cambria Math" w:hAnsi="Cambria Math" w:cs="Times New Roman"/>
                <w:i/>
                <w:iCs/>
                <w:color w:val="auto"/>
                <w:highlight w:val="none"/>
              </w:rPr>
            </m:ctrlPr>
          </m:sSubPr>
          <m:e>
            <m:r>
              <m:rPr/>
              <w:rPr>
                <w:rFonts w:ascii="Cambria Math" w:hAnsi="Cambria Math" w:cs="Times New Roman"/>
                <w:color w:val="auto"/>
                <w:highlight w:val="none"/>
                <w:lang w:eastAsia="zh-CN"/>
              </w:rPr>
              <m:t>V</m:t>
            </m:r>
            <m:ctrlPr>
              <w:rPr>
                <w:rFonts w:ascii="Cambria Math" w:hAnsi="Cambria Math" w:cs="Times New Roman"/>
                <w:i/>
                <w:iCs/>
                <w:color w:val="auto"/>
                <w:highlight w:val="none"/>
              </w:rPr>
            </m:ctrlPr>
          </m:e>
          <m:sub>
            <m:r>
              <m:rPr>
                <m:sty m:val="p"/>
              </m:rPr>
              <w:rPr>
                <w:rFonts w:cs="Times New Roman"/>
                <w:color w:val="auto"/>
                <w:highlight w:val="none"/>
                <w:vertAlign w:val="subscript"/>
              </w:rPr>
              <m:t>d</m:t>
            </m:r>
            <m:ctrlPr>
              <w:rPr>
                <w:rFonts w:ascii="Cambria Math" w:hAnsi="Cambria Math" w:cs="Times New Roman"/>
                <w:i/>
                <w:iCs/>
                <w:color w:val="auto"/>
                <w:highlight w:val="none"/>
              </w:rPr>
            </m:ctrlPr>
          </m:sub>
        </m:sSub>
        <m:r>
          <m:rPr>
            <m:sty m:val="p"/>
          </m:rPr>
          <w:rPr>
            <w:rFonts w:ascii="Cambria Math" w:hAnsi="Cambria Math" w:cs="Times New Roman"/>
            <w:color w:val="auto"/>
            <w:highlight w:val="none"/>
            <w:lang w:eastAsia="zh-CN"/>
          </w:rPr>
          <m:t>=</m:t>
        </m:r>
        <m:nary>
          <m:naryPr>
            <m:chr m:val="∑"/>
            <m:limLoc m:val="undOvr"/>
            <m:subHide m:val="1"/>
            <m:supHide m:val="1"/>
            <m:ctrlPr>
              <w:rPr>
                <w:rFonts w:ascii="Cambria Math" w:hAnsi="Cambria Math" w:cs="Times New Roman"/>
                <w:color w:val="auto"/>
                <w:highlight w:val="none"/>
                <w:lang w:eastAsia="zh-CN"/>
              </w:rPr>
            </m:ctrlPr>
          </m:naryPr>
          <m:sub>
            <m:ctrlPr>
              <w:rPr>
                <w:rFonts w:ascii="Cambria Math" w:hAnsi="Cambria Math" w:cs="Times New Roman"/>
                <w:color w:val="auto"/>
                <w:highlight w:val="none"/>
                <w:lang w:eastAsia="zh-CN"/>
              </w:rPr>
            </m:ctrlPr>
          </m:sub>
          <m:sup>
            <m:ctrlPr>
              <w:rPr>
                <w:rFonts w:ascii="Cambria Math" w:hAnsi="Cambria Math" w:cs="Times New Roman"/>
                <w:color w:val="auto"/>
                <w:highlight w:val="none"/>
                <w:lang w:eastAsia="zh-CN"/>
              </w:rPr>
            </m:ctrlPr>
          </m:sup>
          <m:e>
            <m:sSub>
              <m:sSubPr>
                <m:ctrlPr>
                  <w:rPr>
                    <w:rFonts w:ascii="Cambria Math" w:hAnsi="Cambria Math" w:cs="Times New Roman"/>
                    <w:i/>
                    <w:color w:val="auto"/>
                    <w:highlight w:val="none"/>
                    <w:lang w:eastAsia="zh-CN"/>
                  </w:rPr>
                </m:ctrlPr>
              </m:sSubPr>
              <m:e>
                <m:r>
                  <m:rPr>
                    <m:sty m:val="p"/>
                  </m:rPr>
                  <w:rPr>
                    <w:rFonts w:ascii="Cambria Math" w:hAnsi="Cambria Math" w:cs="Times New Roman"/>
                    <w:color w:val="auto"/>
                    <w:highlight w:val="none"/>
                  </w:rPr>
                  <m:t>f</m:t>
                </m:r>
                <m:ctrlPr>
                  <w:rPr>
                    <w:rFonts w:ascii="Cambria Math" w:hAnsi="Cambria Math" w:cs="Times New Roman"/>
                    <w:i/>
                    <w:color w:val="auto"/>
                    <w:highlight w:val="none"/>
                    <w:lang w:eastAsia="zh-CN"/>
                  </w:rPr>
                </m:ctrlPr>
              </m:e>
              <m:sub>
                <m:r>
                  <m:rPr>
                    <m:sty m:val="p"/>
                  </m:rPr>
                  <w:rPr>
                    <w:rFonts w:cs="Times New Roman"/>
                    <w:color w:val="auto"/>
                    <w:highlight w:val="none"/>
                    <w:vertAlign w:val="subscript"/>
                  </w:rPr>
                  <m:t>vd</m:t>
                </m:r>
                <m:ctrlPr>
                  <w:rPr>
                    <w:rFonts w:ascii="Cambria Math" w:hAnsi="Cambria Math" w:cs="Times New Roman"/>
                    <w:i/>
                    <w:color w:val="auto"/>
                    <w:highlight w:val="none"/>
                    <w:lang w:eastAsia="zh-CN"/>
                  </w:rPr>
                </m:ctrlPr>
              </m:sub>
            </m:sSub>
            <m:sSub>
              <m:sSubPr>
                <m:ctrlPr>
                  <w:rPr>
                    <w:rFonts w:hint="eastAsia" w:ascii="Cambria Math" w:hAnsi="Cambria Math" w:cs="Times New Roman"/>
                    <w:color w:val="auto"/>
                    <w:highlight w:val="none"/>
                    <w:vertAlign w:val="subscript"/>
                    <w:lang w:eastAsia="zh-CN"/>
                  </w:rPr>
                </m:ctrlPr>
              </m:sSubPr>
              <m:e>
                <m:r>
                  <m:rPr>
                    <m:sty m:val="p"/>
                  </m:rPr>
                  <w:rPr>
                    <w:rFonts w:ascii="Cambria Math" w:hAnsi="Cambria Math" w:cs="Times New Roman"/>
                    <w:color w:val="auto"/>
                    <w:highlight w:val="none"/>
                  </w:rPr>
                  <m:t>k</m:t>
                </m:r>
                <m:ctrlPr>
                  <w:rPr>
                    <w:rFonts w:hint="eastAsia" w:ascii="Cambria Math" w:hAnsi="Cambria Math" w:cs="Times New Roman"/>
                    <w:color w:val="auto"/>
                    <w:highlight w:val="none"/>
                    <w:vertAlign w:val="subscript"/>
                    <w:lang w:eastAsia="zh-CN"/>
                  </w:rPr>
                </m:ctrlPr>
              </m:e>
              <m:sub>
                <m:r>
                  <m:rPr>
                    <m:sty m:val="p"/>
                  </m:rPr>
                  <w:rPr>
                    <w:rFonts w:ascii="Cambria Math" w:hAnsi="Cambria Math" w:cs="Times New Roman"/>
                    <w:color w:val="auto"/>
                    <w:highlight w:val="none"/>
                    <w:vertAlign w:val="subscript"/>
                    <w:lang w:eastAsia="zh-CN"/>
                  </w:rPr>
                  <m:t>1</m:t>
                </m:r>
                <m:ctrlPr>
                  <w:rPr>
                    <w:rFonts w:hint="eastAsia" w:ascii="Cambria Math" w:hAnsi="Cambria Math" w:cs="Times New Roman"/>
                    <w:color w:val="auto"/>
                    <w:highlight w:val="none"/>
                    <w:vertAlign w:val="subscript"/>
                    <w:lang w:eastAsia="zh-CN"/>
                  </w:rPr>
                </m:ctrlPr>
              </m:sub>
            </m:sSub>
            <m:r>
              <m:rPr>
                <m:sty m:val="p"/>
              </m:rPr>
              <w:rPr>
                <w:rFonts w:ascii="Cambria Math" w:hAnsi="Cambria Math" w:cs="Times New Roman"/>
                <w:color w:val="auto"/>
                <w:highlight w:val="none"/>
                <w:vertAlign w:val="subscript"/>
                <w:lang w:eastAsia="zh-CN"/>
              </w:rPr>
              <m:t xml:space="preserve"> </m:t>
            </m:r>
            <m:sSub>
              <m:sSubPr>
                <m:ctrlPr>
                  <w:rPr>
                    <w:rFonts w:hint="eastAsia" w:ascii="Cambria Math" w:hAnsi="Cambria Math" w:cs="Times New Roman"/>
                    <w:color w:val="auto"/>
                    <w:highlight w:val="none"/>
                    <w:vertAlign w:val="subscript"/>
                    <w:lang w:eastAsia="zh-CN"/>
                  </w:rPr>
                </m:ctrlPr>
              </m:sSubPr>
              <m:e>
                <m:r>
                  <m:rPr>
                    <m:sty m:val="p"/>
                  </m:rPr>
                  <w:rPr>
                    <w:rFonts w:ascii="Cambria Math" w:hAnsi="Cambria Math" w:cs="Times New Roman"/>
                    <w:color w:val="auto"/>
                    <w:highlight w:val="none"/>
                  </w:rPr>
                  <m:t>k</m:t>
                </m:r>
                <m:ctrlPr>
                  <w:rPr>
                    <w:rFonts w:hint="eastAsia" w:ascii="Cambria Math" w:hAnsi="Cambria Math" w:cs="Times New Roman"/>
                    <w:color w:val="auto"/>
                    <w:highlight w:val="none"/>
                    <w:vertAlign w:val="subscript"/>
                    <w:lang w:eastAsia="zh-CN"/>
                  </w:rPr>
                </m:ctrlPr>
              </m:e>
              <m:sub>
                <m:r>
                  <m:rPr>
                    <m:sty m:val="p"/>
                  </m:rPr>
                  <w:rPr>
                    <w:rFonts w:ascii="Cambria Math" w:hAnsi="Cambria Math" w:cs="Times New Roman"/>
                    <w:color w:val="auto"/>
                    <w:highlight w:val="none"/>
                    <w:vertAlign w:val="subscript"/>
                    <w:lang w:eastAsia="zh-CN"/>
                  </w:rPr>
                  <m:t>2</m:t>
                </m:r>
                <m:ctrlPr>
                  <w:rPr>
                    <w:rFonts w:hint="eastAsia" w:ascii="Cambria Math" w:hAnsi="Cambria Math" w:cs="Times New Roman"/>
                    <w:color w:val="auto"/>
                    <w:highlight w:val="none"/>
                    <w:vertAlign w:val="subscript"/>
                    <w:lang w:eastAsia="zh-CN"/>
                  </w:rPr>
                </m:ctrlPr>
              </m:sub>
            </m:sSub>
            <m:r>
              <m:rPr>
                <m:sty m:val="p"/>
              </m:rPr>
              <w:rPr>
                <w:rFonts w:ascii="Cambria Math" w:hAnsi="Cambria Math" w:cs="Times New Roman"/>
                <w:color w:val="auto"/>
                <w:highlight w:val="none"/>
                <w:vertAlign w:val="subscript"/>
                <w:lang w:eastAsia="zh-CN"/>
              </w:rPr>
              <m:t xml:space="preserve"> </m:t>
            </m:r>
            <m:sSub>
              <m:sSubPr>
                <m:ctrlPr>
                  <w:rPr>
                    <w:rFonts w:hint="eastAsia" w:ascii="Cambria Math" w:hAnsi="Cambria Math" w:cs="Times New Roman"/>
                    <w:color w:val="auto"/>
                    <w:highlight w:val="none"/>
                    <w:vertAlign w:val="subscript"/>
                    <w:lang w:eastAsia="zh-CN"/>
                  </w:rPr>
                </m:ctrlPr>
              </m:sSubPr>
              <m:e>
                <m:r>
                  <m:rPr>
                    <m:sty m:val="p"/>
                  </m:rPr>
                  <w:rPr>
                    <w:rFonts w:ascii="Cambria Math" w:hAnsi="Cambria Math" w:cs="Times New Roman"/>
                    <w:color w:val="auto"/>
                    <w:highlight w:val="none"/>
                  </w:rPr>
                  <m:t>k</m:t>
                </m:r>
                <m:ctrlPr>
                  <w:rPr>
                    <w:rFonts w:hint="eastAsia" w:ascii="Cambria Math" w:hAnsi="Cambria Math" w:cs="Times New Roman"/>
                    <w:color w:val="auto"/>
                    <w:highlight w:val="none"/>
                    <w:vertAlign w:val="subscript"/>
                    <w:lang w:eastAsia="zh-CN"/>
                  </w:rPr>
                </m:ctrlPr>
              </m:e>
              <m:sub>
                <m:r>
                  <m:rPr>
                    <m:sty m:val="p"/>
                  </m:rPr>
                  <w:rPr>
                    <w:rFonts w:ascii="Cambria Math" w:hAnsi="Cambria Math" w:cs="Times New Roman"/>
                    <w:color w:val="auto"/>
                    <w:highlight w:val="none"/>
                    <w:vertAlign w:val="subscript"/>
                    <w:lang w:eastAsia="zh-CN"/>
                  </w:rPr>
                  <m:t>3</m:t>
                </m:r>
                <m:ctrlPr>
                  <w:rPr>
                    <w:rFonts w:hint="eastAsia" w:ascii="Cambria Math" w:hAnsi="Cambria Math" w:cs="Times New Roman"/>
                    <w:color w:val="auto"/>
                    <w:highlight w:val="none"/>
                    <w:vertAlign w:val="subscript"/>
                    <w:lang w:eastAsia="zh-CN"/>
                  </w:rPr>
                </m:ctrlPr>
              </m:sub>
            </m:sSub>
            <m:sSub>
              <m:sSubPr>
                <m:ctrlPr>
                  <w:rPr>
                    <w:rFonts w:ascii="Cambria Math" w:hAnsi="Cambria Math" w:cs="Times New Roman"/>
                    <w:i/>
                    <w:color w:val="auto"/>
                    <w:highlight w:val="none"/>
                  </w:rPr>
                </m:ctrlPr>
              </m:sSubPr>
              <m:e>
                <m:r>
                  <m:rPr/>
                  <w:rPr>
                    <w:rFonts w:ascii="Cambria Math" w:cs="Times New Roman"/>
                    <w:color w:val="auto"/>
                    <w:highlight w:val="none"/>
                  </w:rPr>
                  <m:t>L</m:t>
                </m:r>
                <m:ctrlPr>
                  <w:rPr>
                    <w:rFonts w:ascii="Cambria Math" w:hAnsi="Cambria Math" w:cs="Times New Roman"/>
                    <w:i/>
                    <w:color w:val="auto"/>
                    <w:highlight w:val="none"/>
                  </w:rPr>
                </m:ctrlPr>
              </m:e>
              <m:sub>
                <m:r>
                  <m:rPr/>
                  <w:rPr>
                    <w:rFonts w:ascii="Cambria Math" w:hAnsi="Cambria Math" w:cs="Times New Roman"/>
                    <w:color w:val="auto"/>
                    <w:highlight w:val="none"/>
                  </w:rPr>
                  <m:t>w</m:t>
                </m:r>
                <m:ctrlPr>
                  <w:rPr>
                    <w:rFonts w:ascii="Cambria Math" w:hAnsi="Cambria Math" w:cs="Times New Roman"/>
                    <w:i/>
                    <w:color w:val="auto"/>
                    <w:highlight w:val="none"/>
                  </w:rPr>
                </m:ctrlPr>
              </m:sub>
            </m:sSub>
            <m:ctrlPr>
              <w:rPr>
                <w:rFonts w:ascii="Cambria Math" w:hAnsi="Cambria Math" w:cs="Times New Roman"/>
                <w:color w:val="auto"/>
                <w:highlight w:val="none"/>
                <w:lang w:eastAsia="zh-CN"/>
              </w:rPr>
            </m:ctrlPr>
          </m:e>
        </m:nary>
      </m:oMath>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hint="eastAsia" w:cs="Times New Roman"/>
          <w:color w:val="auto"/>
          <w:highlight w:val="none"/>
          <w:lang w:eastAsia="zh-CN"/>
        </w:rPr>
        <w:t>(6.3.4</w:t>
      </w:r>
      <w:r>
        <w:rPr>
          <w:rFonts w:cs="Times New Roman"/>
          <w:color w:val="auto"/>
          <w:highlight w:val="none"/>
        </w:rPr>
        <w:t>)</w:t>
      </w:r>
    </w:p>
    <w:p w14:paraId="0343A6C5">
      <w:pPr>
        <w:rPr>
          <w:rFonts w:cs="Times New Roman"/>
          <w:color w:val="auto"/>
          <w:highlight w:val="none"/>
        </w:rPr>
      </w:pPr>
      <w:r>
        <w:rPr>
          <w:rFonts w:cs="Times New Roman"/>
          <w:color w:val="auto"/>
          <w:highlight w:val="none"/>
        </w:rPr>
        <w:t>式中：</w:t>
      </w:r>
      <w:r>
        <w:rPr>
          <w:rFonts w:cs="Times New Roman"/>
          <w:i/>
          <w:iCs/>
          <w:color w:val="auto"/>
          <w:highlight w:val="none"/>
        </w:rPr>
        <w:t>f</w:t>
      </w:r>
      <w:r>
        <w:rPr>
          <w:rFonts w:cs="Times New Roman"/>
          <w:color w:val="auto"/>
          <w:highlight w:val="none"/>
          <w:vertAlign w:val="subscript"/>
        </w:rPr>
        <w:t>vd</w:t>
      </w:r>
      <w:r>
        <w:rPr>
          <w:rFonts w:cs="Times New Roman"/>
          <w:color w:val="auto"/>
          <w:highlight w:val="none"/>
        </w:rPr>
        <w:t>――单面采用木基结构板材作面板的剪力墙的抗剪强度设计值（kN/</w:t>
      </w:r>
      <w:r>
        <w:rPr>
          <w:rFonts w:hint="eastAsia"/>
          <w:color w:val="auto"/>
          <w:highlight w:val="none"/>
          <w:lang w:eastAsia="zh-CN"/>
        </w:rPr>
        <w:t>㎜</w:t>
      </w:r>
      <w:r>
        <w:rPr>
          <w:rFonts w:hint="eastAsia"/>
          <w:color w:val="auto"/>
          <w:highlight w:val="none"/>
          <w:vertAlign w:val="superscript"/>
        </w:rPr>
        <w:t>2</w:t>
      </w:r>
      <w:r>
        <w:rPr>
          <w:rFonts w:cs="Times New Roman"/>
          <w:color w:val="auto"/>
          <w:highlight w:val="none"/>
        </w:rPr>
        <w:t>），</w:t>
      </w:r>
      <w:bookmarkStart w:id="138" w:name="OLE_LINK18"/>
      <w:bookmarkStart w:id="139" w:name="OLE_LINK19"/>
      <w:r>
        <w:rPr>
          <w:rFonts w:cs="Times New Roman"/>
          <w:color w:val="auto"/>
          <w:highlight w:val="none"/>
          <w:lang w:eastAsia="zh-CN"/>
        </w:rPr>
        <w:t>应按本标准附录</w:t>
      </w:r>
      <w:r>
        <w:rPr>
          <w:rFonts w:hint="eastAsia" w:cs="Times New Roman"/>
          <w:color w:val="auto"/>
          <w:highlight w:val="none"/>
          <w:lang w:eastAsia="zh-CN"/>
        </w:rPr>
        <w:t>D</w:t>
      </w:r>
      <w:r>
        <w:rPr>
          <w:rFonts w:cs="Times New Roman"/>
          <w:color w:val="auto"/>
          <w:highlight w:val="none"/>
          <w:lang w:eastAsia="zh-CN"/>
        </w:rPr>
        <w:t>的规定取值；</w:t>
      </w:r>
    </w:p>
    <w:bookmarkEnd w:id="138"/>
    <w:bookmarkEnd w:id="139"/>
    <w:p w14:paraId="26533D73">
      <w:pPr>
        <w:pStyle w:val="4"/>
        <w:rPr>
          <w:color w:val="auto"/>
          <w:highlight w:val="none"/>
        </w:rPr>
      </w:pPr>
      <w:r>
        <w:rPr>
          <w:rFonts w:cs="Times New Roman"/>
          <w:color w:val="auto"/>
          <w:highlight w:val="none"/>
        </w:rPr>
        <w:t xml:space="preserve">  </w:t>
      </w:r>
      <w:r>
        <w:rPr>
          <w:color w:val="auto"/>
          <w:highlight w:val="none"/>
        </w:rPr>
        <w:t xml:space="preserve">   </w:t>
      </w:r>
      <m:oMath>
        <m:sSub>
          <m:sSubPr>
            <m:ctrlPr>
              <w:rPr>
                <w:rFonts w:ascii="Cambria Math" w:hAnsi="Cambria Math" w:cs="Times New Roman"/>
                <w:i/>
                <w:color w:val="auto"/>
                <w:highlight w:val="none"/>
              </w:rPr>
            </m:ctrlPr>
          </m:sSubPr>
          <m:e>
            <m:r>
              <m:rPr>
                <m:sty m:val="p"/>
              </m:rPr>
              <w:rPr>
                <w:rFonts w:ascii="Cambria Math" w:hAnsi="Cambria Math" w:cs="Times New Roman"/>
                <w:color w:val="auto"/>
                <w:highlight w:val="none"/>
              </w:rPr>
              <m:t>L</m:t>
            </m:r>
            <m:ctrlPr>
              <w:rPr>
                <w:rFonts w:ascii="Cambria Math" w:hAnsi="Cambria Math" w:cs="Times New Roman"/>
                <w:i/>
                <w:color w:val="auto"/>
                <w:highlight w:val="none"/>
              </w:rPr>
            </m:ctrlPr>
          </m:e>
          <m:sub>
            <m:r>
              <m:rPr/>
              <w:rPr>
                <w:rFonts w:ascii="Cambria Math" w:hAnsi="Cambria Math" w:cs="Times New Roman"/>
                <w:color w:val="auto"/>
                <w:highlight w:val="none"/>
              </w:rPr>
              <m:t>w</m:t>
            </m:r>
            <m:ctrlPr>
              <w:rPr>
                <w:rFonts w:ascii="Cambria Math" w:hAnsi="Cambria Math" w:cs="Times New Roman"/>
                <w:i/>
                <w:color w:val="auto"/>
                <w:highlight w:val="none"/>
              </w:rPr>
            </m:ctrlPr>
          </m:sub>
        </m:sSub>
      </m:oMath>
      <w:r>
        <w:rPr>
          <w:color w:val="auto"/>
          <w:highlight w:val="none"/>
        </w:rPr>
        <w:t>――平行于荷载方向的剪力墙墙肢长度（m）；</w:t>
      </w:r>
    </w:p>
    <w:p w14:paraId="081E3154">
      <w:pPr>
        <w:pStyle w:val="4"/>
        <w:rPr>
          <w:color w:val="auto"/>
          <w:highlight w:val="none"/>
        </w:rPr>
      </w:pPr>
      <w:r>
        <w:rPr>
          <w:color w:val="auto"/>
          <w:highlight w:val="none"/>
        </w:rPr>
        <w:t xml:space="preserve">     </w:t>
      </w:r>
      <m:oMath>
        <m:sSub>
          <m:sSubPr>
            <m:ctrlPr>
              <w:rPr>
                <w:rFonts w:hint="eastAsia" w:ascii="Cambria Math" w:hAnsi="Cambria Math" w:cs="Times New Roman"/>
                <w:color w:val="auto"/>
                <w:highlight w:val="none"/>
                <w:vertAlign w:val="subscript"/>
                <w:lang w:eastAsia="zh-CN"/>
              </w:rPr>
            </m:ctrlPr>
          </m:sSubPr>
          <m:e>
            <m:r>
              <m:rPr>
                <m:sty m:val="p"/>
              </m:rPr>
              <w:rPr>
                <w:rFonts w:ascii="Cambria Math" w:hAnsi="Cambria Math" w:cs="Times New Roman"/>
                <w:color w:val="auto"/>
                <w:highlight w:val="none"/>
              </w:rPr>
              <m:t>k</m:t>
            </m:r>
            <m:ctrlPr>
              <w:rPr>
                <w:rFonts w:hint="eastAsia" w:ascii="Cambria Math" w:hAnsi="Cambria Math" w:cs="Times New Roman"/>
                <w:color w:val="auto"/>
                <w:highlight w:val="none"/>
                <w:vertAlign w:val="subscript"/>
                <w:lang w:eastAsia="zh-CN"/>
              </w:rPr>
            </m:ctrlPr>
          </m:e>
          <m:sub>
            <m:r>
              <m:rPr>
                <m:sty m:val="p"/>
              </m:rPr>
              <w:rPr>
                <w:rFonts w:ascii="Cambria Math" w:hAnsi="Cambria Math" w:cs="Times New Roman"/>
                <w:color w:val="auto"/>
                <w:highlight w:val="none"/>
                <w:vertAlign w:val="subscript"/>
                <w:lang w:eastAsia="zh-CN"/>
              </w:rPr>
              <m:t>1</m:t>
            </m:r>
            <m:ctrlPr>
              <w:rPr>
                <w:rFonts w:hint="eastAsia" w:ascii="Cambria Math" w:hAnsi="Cambria Math" w:cs="Times New Roman"/>
                <w:color w:val="auto"/>
                <w:highlight w:val="none"/>
                <w:vertAlign w:val="subscript"/>
                <w:lang w:eastAsia="zh-CN"/>
              </w:rPr>
            </m:ctrlPr>
          </m:sub>
        </m:sSub>
      </m:oMath>
      <w:r>
        <w:rPr>
          <w:color w:val="auto"/>
          <w:highlight w:val="none"/>
        </w:rPr>
        <w:t>――木基结构板材含水率调整系数，应按本标准表</w:t>
      </w:r>
      <w:r>
        <w:rPr>
          <w:rFonts w:hint="eastAsia"/>
          <w:color w:val="auto"/>
          <w:highlight w:val="none"/>
          <w:lang w:eastAsia="zh-CN"/>
        </w:rPr>
        <w:t>6.3.4</w:t>
      </w:r>
      <w:r>
        <w:rPr>
          <w:color w:val="auto"/>
          <w:highlight w:val="none"/>
        </w:rPr>
        <w:t>-1规定取值；</w:t>
      </w:r>
    </w:p>
    <w:p w14:paraId="2BF6492D">
      <w:pPr>
        <w:pStyle w:val="4"/>
        <w:rPr>
          <w:color w:val="auto"/>
          <w:highlight w:val="none"/>
        </w:rPr>
      </w:pPr>
      <w:r>
        <w:rPr>
          <w:color w:val="auto"/>
          <w:highlight w:val="none"/>
        </w:rPr>
        <w:t xml:space="preserve">     </w:t>
      </w:r>
      <m:oMath>
        <m:sSub>
          <m:sSubPr>
            <m:ctrlPr>
              <w:rPr>
                <w:rFonts w:hint="eastAsia" w:ascii="Cambria Math" w:hAnsi="Cambria Math" w:cs="Times New Roman"/>
                <w:color w:val="auto"/>
                <w:highlight w:val="none"/>
                <w:vertAlign w:val="subscript"/>
                <w:lang w:eastAsia="zh-CN"/>
              </w:rPr>
            </m:ctrlPr>
          </m:sSubPr>
          <m:e>
            <m:r>
              <m:rPr>
                <m:sty m:val="p"/>
              </m:rPr>
              <w:rPr>
                <w:rFonts w:ascii="Cambria Math" w:hAnsi="Cambria Math" w:cs="Times New Roman"/>
                <w:color w:val="auto"/>
                <w:highlight w:val="none"/>
              </w:rPr>
              <m:t>k</m:t>
            </m:r>
            <m:ctrlPr>
              <w:rPr>
                <w:rFonts w:hint="eastAsia" w:ascii="Cambria Math" w:hAnsi="Cambria Math" w:cs="Times New Roman"/>
                <w:color w:val="auto"/>
                <w:highlight w:val="none"/>
                <w:vertAlign w:val="subscript"/>
                <w:lang w:eastAsia="zh-CN"/>
              </w:rPr>
            </m:ctrlPr>
          </m:e>
          <m:sub>
            <m:r>
              <m:rPr>
                <m:sty m:val="p"/>
              </m:rPr>
              <w:rPr>
                <w:rFonts w:ascii="Cambria Math" w:hAnsi="Cambria Math" w:cs="Times New Roman"/>
                <w:color w:val="auto"/>
                <w:highlight w:val="none"/>
                <w:vertAlign w:val="subscript"/>
                <w:lang w:eastAsia="zh-CN"/>
              </w:rPr>
              <m:t>2</m:t>
            </m:r>
            <m:ctrlPr>
              <w:rPr>
                <w:rFonts w:hint="eastAsia" w:ascii="Cambria Math" w:hAnsi="Cambria Math" w:cs="Times New Roman"/>
                <w:color w:val="auto"/>
                <w:highlight w:val="none"/>
                <w:vertAlign w:val="subscript"/>
                <w:lang w:eastAsia="zh-CN"/>
              </w:rPr>
            </m:ctrlPr>
          </m:sub>
        </m:sSub>
      </m:oMath>
      <w:r>
        <w:rPr>
          <w:color w:val="auto"/>
          <w:highlight w:val="none"/>
        </w:rPr>
        <w:t>――骨架构件材料树种的调整系数，应按本标准表</w:t>
      </w:r>
      <w:r>
        <w:rPr>
          <w:rFonts w:hint="eastAsia"/>
          <w:color w:val="auto"/>
          <w:highlight w:val="none"/>
          <w:lang w:eastAsia="zh-CN"/>
        </w:rPr>
        <w:t>6.3.4</w:t>
      </w:r>
      <w:r>
        <w:rPr>
          <w:color w:val="auto"/>
          <w:highlight w:val="none"/>
        </w:rPr>
        <w:t>-2规定取值；</w:t>
      </w:r>
    </w:p>
    <w:p w14:paraId="7923FD23">
      <w:pPr>
        <w:pStyle w:val="4"/>
        <w:rPr>
          <w:color w:val="auto"/>
          <w:highlight w:val="none"/>
        </w:rPr>
      </w:pPr>
      <w:r>
        <w:rPr>
          <w:color w:val="auto"/>
          <w:highlight w:val="none"/>
        </w:rPr>
        <w:t xml:space="preserve">     </w:t>
      </w:r>
      <m:oMath>
        <m:sSub>
          <m:sSubPr>
            <m:ctrlPr>
              <w:rPr>
                <w:rFonts w:hint="eastAsia" w:ascii="Cambria Math" w:hAnsi="Cambria Math" w:cs="Times New Roman"/>
                <w:color w:val="auto"/>
                <w:highlight w:val="none"/>
                <w:vertAlign w:val="subscript"/>
                <w:lang w:eastAsia="zh-CN"/>
              </w:rPr>
            </m:ctrlPr>
          </m:sSubPr>
          <m:e>
            <m:r>
              <m:rPr>
                <m:sty m:val="p"/>
              </m:rPr>
              <w:rPr>
                <w:rFonts w:ascii="Cambria Math" w:hAnsi="Cambria Math" w:cs="Times New Roman"/>
                <w:color w:val="auto"/>
                <w:highlight w:val="none"/>
              </w:rPr>
              <m:t>k</m:t>
            </m:r>
            <m:ctrlPr>
              <w:rPr>
                <w:rFonts w:hint="eastAsia" w:ascii="Cambria Math" w:hAnsi="Cambria Math" w:cs="Times New Roman"/>
                <w:color w:val="auto"/>
                <w:highlight w:val="none"/>
                <w:vertAlign w:val="subscript"/>
                <w:lang w:eastAsia="zh-CN"/>
              </w:rPr>
            </m:ctrlPr>
          </m:e>
          <m:sub>
            <m:r>
              <m:rPr>
                <m:sty m:val="p"/>
              </m:rPr>
              <w:rPr>
                <w:rFonts w:ascii="Cambria Math" w:hAnsi="Cambria Math" w:cs="Times New Roman"/>
                <w:color w:val="auto"/>
                <w:highlight w:val="none"/>
                <w:vertAlign w:val="subscript"/>
                <w:lang w:eastAsia="zh-CN"/>
              </w:rPr>
              <m:t>3</m:t>
            </m:r>
            <m:ctrlPr>
              <w:rPr>
                <w:rFonts w:hint="eastAsia" w:ascii="Cambria Math" w:hAnsi="Cambria Math" w:cs="Times New Roman"/>
                <w:color w:val="auto"/>
                <w:highlight w:val="none"/>
                <w:vertAlign w:val="subscript"/>
                <w:lang w:eastAsia="zh-CN"/>
              </w:rPr>
            </m:ctrlPr>
          </m:sub>
        </m:sSub>
      </m:oMath>
      <w:r>
        <w:rPr>
          <w:color w:val="auto"/>
          <w:highlight w:val="none"/>
        </w:rPr>
        <w:t>――强度调整系数；仅用于无横撑水平铺板的剪力墙，应按</w:t>
      </w:r>
      <w:r>
        <w:rPr>
          <w:rFonts w:hint="eastAsia"/>
          <w:color w:val="auto"/>
          <w:highlight w:val="none"/>
          <w:lang w:eastAsia="zh-CN"/>
        </w:rPr>
        <w:t>表6.3.4</w:t>
      </w:r>
      <w:r>
        <w:rPr>
          <w:color w:val="auto"/>
          <w:highlight w:val="none"/>
        </w:rPr>
        <w:t>-3规定取值。</w:t>
      </w:r>
    </w:p>
    <w:p w14:paraId="60B974B7">
      <w:pPr>
        <w:rPr>
          <w:color w:val="auto"/>
          <w:highlight w:val="none"/>
        </w:rPr>
      </w:pP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2"/>
      </w:tblGrid>
      <w:tr w14:paraId="537D3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6" w:hRule="atLeast"/>
          <w:jc w:val="center"/>
        </w:trPr>
        <w:tc>
          <w:tcPr>
            <w:tcW w:w="5000" w:type="pct"/>
          </w:tcPr>
          <w:p w14:paraId="50840DEF">
            <w:pPr>
              <w:jc w:val="both"/>
              <w:rPr>
                <w:color w:val="auto"/>
                <w:highlight w:val="none"/>
                <w:lang w:eastAsia="zh-CN"/>
              </w:rPr>
            </w:pPr>
            <w:r>
              <w:rPr>
                <w:rFonts w:cs="Times New Roman"/>
                <w:color w:val="auto"/>
                <w:highlight w:val="none"/>
                <w:lang w:eastAsia="zh-CN"/>
              </w:rPr>
              <w:drawing>
                <wp:anchor distT="0" distB="0" distL="0" distR="0" simplePos="0" relativeHeight="251667456" behindDoc="0" locked="0" layoutInCell="1" allowOverlap="1">
                  <wp:simplePos x="0" y="0"/>
                  <wp:positionH relativeFrom="column">
                    <wp:posOffset>1108075</wp:posOffset>
                  </wp:positionH>
                  <wp:positionV relativeFrom="paragraph">
                    <wp:posOffset>136525</wp:posOffset>
                  </wp:positionV>
                  <wp:extent cx="4015740" cy="2604135"/>
                  <wp:effectExtent l="0" t="0" r="3810" b="5715"/>
                  <wp:wrapTopAndBottom/>
                  <wp:docPr id="1667403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3995" name="图片 1"/>
                          <pic:cNvPicPr>
                            <a:picLocks noChangeAspect="1"/>
                          </pic:cNvPicPr>
                        </pic:nvPicPr>
                        <pic:blipFill>
                          <a:blip r:embed="rId16" cstate="print"/>
                          <a:stretch>
                            <a:fillRect/>
                          </a:stretch>
                        </pic:blipFill>
                        <pic:spPr>
                          <a:xfrm>
                            <a:off x="0" y="0"/>
                            <a:ext cx="4015740" cy="2604135"/>
                          </a:xfrm>
                          <a:prstGeom prst="rect">
                            <a:avLst/>
                          </a:prstGeom>
                        </pic:spPr>
                      </pic:pic>
                    </a:graphicData>
                  </a:graphic>
                </wp:anchor>
              </w:drawing>
            </w:r>
          </w:p>
        </w:tc>
      </w:tr>
      <w:tr w14:paraId="3DF0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2CE36791">
            <w:pPr>
              <w:pStyle w:val="44"/>
              <w:ind w:firstLine="198"/>
              <w:rPr>
                <w:b w:val="0"/>
                <w:color w:val="auto"/>
                <w:highlight w:val="none"/>
              </w:rPr>
            </w:pPr>
            <w:r>
              <w:rPr>
                <w:color w:val="auto"/>
                <w:highlight w:val="none"/>
              </w:rPr>
              <w:t>图</w:t>
            </w:r>
            <w:r>
              <w:rPr>
                <w:rFonts w:hint="eastAsia"/>
                <w:color w:val="auto"/>
                <w:highlight w:val="none"/>
              </w:rPr>
              <w:t>6.3.4</w:t>
            </w:r>
            <w:r>
              <w:rPr>
                <w:color w:val="auto"/>
                <w:highlight w:val="none"/>
              </w:rPr>
              <w:t xml:space="preserve"> 剪力墙铺板示意</w:t>
            </w:r>
          </w:p>
        </w:tc>
      </w:tr>
    </w:tbl>
    <w:p w14:paraId="40EC7BB9">
      <w:pPr>
        <w:rPr>
          <w:color w:val="auto"/>
          <w:highlight w:val="none"/>
          <w:lang w:eastAsia="zh-CN"/>
        </w:rPr>
      </w:pPr>
    </w:p>
    <w:p w14:paraId="6090CC3B">
      <w:pPr>
        <w:pStyle w:val="40"/>
        <w:ind w:firstLine="198"/>
        <w:rPr>
          <w:color w:val="auto"/>
          <w:sz w:val="21"/>
          <w:szCs w:val="21"/>
          <w:highlight w:val="none"/>
        </w:rPr>
      </w:pPr>
      <w:r>
        <w:rPr>
          <w:color w:val="auto"/>
          <w:sz w:val="21"/>
          <w:szCs w:val="21"/>
          <w:highlight w:val="none"/>
        </w:rPr>
        <w:t>表</w:t>
      </w:r>
      <w:r>
        <w:rPr>
          <w:rFonts w:hint="eastAsia"/>
          <w:color w:val="auto"/>
          <w:sz w:val="21"/>
          <w:szCs w:val="21"/>
          <w:highlight w:val="none"/>
          <w:lang w:eastAsia="zh-CN"/>
        </w:rPr>
        <w:t>6.3.4</w:t>
      </w:r>
      <w:r>
        <w:rPr>
          <w:color w:val="auto"/>
          <w:sz w:val="21"/>
          <w:szCs w:val="21"/>
          <w:highlight w:val="none"/>
        </w:rPr>
        <w:t>-1 木基结构板材含水率调整系数</w:t>
      </w:r>
      <m:oMath>
        <m:sSub>
          <m:sSubPr>
            <m:ctrlPr>
              <w:rPr>
                <w:rFonts w:hint="eastAsia" w:ascii="Cambria Math" w:hAnsi="Cambria Math" w:cs="Times New Roman"/>
                <w:b w:val="0"/>
                <w:color w:val="auto"/>
                <w:sz w:val="21"/>
                <w:szCs w:val="21"/>
                <w:highlight w:val="none"/>
                <w:vertAlign w:val="subscript"/>
                <w:lang w:eastAsia="zh-CN"/>
              </w:rPr>
            </m:ctrlPr>
          </m:sSubPr>
          <m:e>
            <m:r>
              <m:rPr>
                <m:sty m:val="b"/>
              </m:rPr>
              <w:rPr>
                <w:rFonts w:ascii="Cambria Math" w:hAnsi="Cambria Math" w:cs="Times New Roman"/>
                <w:color w:val="auto"/>
                <w:sz w:val="21"/>
                <w:szCs w:val="21"/>
                <w:highlight w:val="none"/>
              </w:rPr>
              <m:t>k</m:t>
            </m:r>
            <m:ctrlPr>
              <w:rPr>
                <w:rFonts w:hint="eastAsia" w:ascii="Cambria Math" w:hAnsi="Cambria Math" w:cs="Times New Roman"/>
                <w:b w:val="0"/>
                <w:color w:val="auto"/>
                <w:sz w:val="21"/>
                <w:szCs w:val="21"/>
                <w:highlight w:val="none"/>
                <w:vertAlign w:val="subscript"/>
                <w:lang w:eastAsia="zh-CN"/>
              </w:rPr>
            </m:ctrlPr>
          </m:e>
          <m:sub>
            <m:r>
              <m:rPr>
                <m:sty m:val="b"/>
              </m:rPr>
              <w:rPr>
                <w:rFonts w:ascii="Cambria Math" w:hAnsi="Cambria Math" w:cs="Times New Roman"/>
                <w:color w:val="auto"/>
                <w:sz w:val="21"/>
                <w:szCs w:val="21"/>
                <w:highlight w:val="none"/>
                <w:vertAlign w:val="subscript"/>
                <w:lang w:eastAsia="zh-CN"/>
              </w:rPr>
              <m:t>1</m:t>
            </m:r>
            <m:ctrlPr>
              <w:rPr>
                <w:rFonts w:hint="eastAsia" w:ascii="Cambria Math" w:hAnsi="Cambria Math" w:cs="Times New Roman"/>
                <w:b w:val="0"/>
                <w:color w:val="auto"/>
                <w:sz w:val="21"/>
                <w:szCs w:val="21"/>
                <w:highlight w:val="none"/>
                <w:vertAlign w:val="subscript"/>
                <w:lang w:eastAsia="zh-CN"/>
              </w:rPr>
            </m:ctrlPr>
          </m:sub>
        </m:sSub>
      </m:oMath>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2038"/>
        <w:gridCol w:w="2038"/>
      </w:tblGrid>
      <w:tr w14:paraId="619D0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tcBorders>
              <w:tl2br w:val="nil"/>
              <w:tr2bl w:val="nil"/>
            </w:tcBorders>
          </w:tcPr>
          <w:p w14:paraId="21BB92A3">
            <w:pPr>
              <w:pStyle w:val="43"/>
              <w:rPr>
                <w:color w:val="auto"/>
                <w:highlight w:val="none"/>
              </w:rPr>
            </w:pPr>
            <w:r>
              <w:rPr>
                <w:rFonts w:hint="eastAsia"/>
                <w:color w:val="auto"/>
                <w:highlight w:val="none"/>
              </w:rPr>
              <w:t>木基结构板材的含水率ω</w:t>
            </w:r>
          </w:p>
        </w:tc>
        <w:tc>
          <w:tcPr>
            <w:tcW w:w="2038" w:type="dxa"/>
            <w:tcBorders>
              <w:tl2br w:val="nil"/>
              <w:tr2bl w:val="nil"/>
            </w:tcBorders>
          </w:tcPr>
          <w:p w14:paraId="305635BA">
            <w:pPr>
              <w:pStyle w:val="43"/>
              <w:rPr>
                <w:color w:val="auto"/>
                <w:highlight w:val="none"/>
              </w:rPr>
            </w:pPr>
            <w:r>
              <w:rPr>
                <w:rFonts w:hint="eastAsia"/>
                <w:color w:val="auto"/>
                <w:highlight w:val="none"/>
              </w:rPr>
              <w:t>ω＜16%</w:t>
            </w:r>
          </w:p>
        </w:tc>
        <w:tc>
          <w:tcPr>
            <w:tcW w:w="2038" w:type="dxa"/>
            <w:tcBorders>
              <w:tl2br w:val="nil"/>
              <w:tr2bl w:val="nil"/>
            </w:tcBorders>
          </w:tcPr>
          <w:p w14:paraId="216073FA">
            <w:pPr>
              <w:pStyle w:val="43"/>
              <w:rPr>
                <w:color w:val="auto"/>
                <w:highlight w:val="none"/>
              </w:rPr>
            </w:pPr>
            <w:r>
              <w:rPr>
                <w:rFonts w:hint="eastAsia"/>
                <w:color w:val="auto"/>
                <w:highlight w:val="none"/>
              </w:rPr>
              <w:t>16%≤ω＜19%</w:t>
            </w:r>
          </w:p>
        </w:tc>
      </w:tr>
      <w:tr w14:paraId="7A111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tcBorders>
              <w:tl2br w:val="nil"/>
              <w:tr2bl w:val="nil"/>
            </w:tcBorders>
          </w:tcPr>
          <w:p w14:paraId="168A7D65">
            <w:pPr>
              <w:pStyle w:val="43"/>
              <w:rPr>
                <w:color w:val="auto"/>
                <w:highlight w:val="none"/>
              </w:rPr>
            </w:pPr>
            <w:r>
              <w:rPr>
                <w:rFonts w:hint="eastAsia"/>
                <w:color w:val="auto"/>
                <w:highlight w:val="none"/>
              </w:rPr>
              <w:t>含水率调整系数</w:t>
            </w:r>
            <m:oMath>
              <m:sSub>
                <m:sSubPr>
                  <m:ctrlPr>
                    <w:rPr>
                      <w:rFonts w:hint="eastAsia" w:ascii="Cambria Math" w:hAnsi="Cambria Math"/>
                      <w:color w:val="auto"/>
                      <w:highlight w:val="none"/>
                    </w:rPr>
                  </m:ctrlPr>
                </m:sSubPr>
                <m:e>
                  <m:r>
                    <m:rPr>
                      <m:sty m:val="p"/>
                    </m:rPr>
                    <w:rPr>
                      <w:rFonts w:ascii="Cambria Math" w:hAnsi="Cambria Math"/>
                      <w:color w:val="auto"/>
                      <w:highlight w:val="none"/>
                    </w:rPr>
                    <m:t>k</m:t>
                  </m:r>
                  <m:ctrlPr>
                    <w:rPr>
                      <w:rFonts w:hint="eastAsia" w:ascii="Cambria Math" w:hAnsi="Cambria Math"/>
                      <w:color w:val="auto"/>
                      <w:highlight w:val="none"/>
                    </w:rPr>
                  </m:ctrlPr>
                </m:e>
                <m:sub>
                  <m:r>
                    <m:rPr>
                      <m:sty m:val="p"/>
                    </m:rPr>
                    <w:rPr>
                      <w:rFonts w:ascii="Cambria Math" w:hAnsi="Cambria Math"/>
                      <w:color w:val="auto"/>
                      <w:highlight w:val="none"/>
                    </w:rPr>
                    <m:t>1</m:t>
                  </m:r>
                  <m:ctrlPr>
                    <w:rPr>
                      <w:rFonts w:hint="eastAsia" w:ascii="Cambria Math" w:hAnsi="Cambria Math"/>
                      <w:color w:val="auto"/>
                      <w:highlight w:val="none"/>
                    </w:rPr>
                  </m:ctrlPr>
                </m:sub>
              </m:sSub>
            </m:oMath>
          </w:p>
        </w:tc>
        <w:tc>
          <w:tcPr>
            <w:tcW w:w="2038" w:type="dxa"/>
            <w:tcBorders>
              <w:tl2br w:val="nil"/>
              <w:tr2bl w:val="nil"/>
            </w:tcBorders>
          </w:tcPr>
          <w:p w14:paraId="0FDAB8A0">
            <w:pPr>
              <w:pStyle w:val="43"/>
              <w:rPr>
                <w:color w:val="auto"/>
                <w:highlight w:val="none"/>
              </w:rPr>
            </w:pPr>
            <w:r>
              <w:rPr>
                <w:rFonts w:hint="eastAsia"/>
                <w:color w:val="auto"/>
                <w:highlight w:val="none"/>
              </w:rPr>
              <w:t>1.0</w:t>
            </w:r>
          </w:p>
        </w:tc>
        <w:tc>
          <w:tcPr>
            <w:tcW w:w="2038" w:type="dxa"/>
            <w:tcBorders>
              <w:tl2br w:val="nil"/>
              <w:tr2bl w:val="nil"/>
            </w:tcBorders>
          </w:tcPr>
          <w:p w14:paraId="16D814FD">
            <w:pPr>
              <w:pStyle w:val="43"/>
              <w:rPr>
                <w:color w:val="auto"/>
                <w:highlight w:val="none"/>
              </w:rPr>
            </w:pPr>
            <w:r>
              <w:rPr>
                <w:rFonts w:hint="eastAsia"/>
                <w:color w:val="auto"/>
                <w:highlight w:val="none"/>
              </w:rPr>
              <w:t>0.8</w:t>
            </w:r>
          </w:p>
        </w:tc>
      </w:tr>
    </w:tbl>
    <w:p w14:paraId="62B577F5">
      <w:pPr>
        <w:jc w:val="center"/>
        <w:rPr>
          <w:rFonts w:cs="Times New Roman"/>
          <w:color w:val="auto"/>
          <w:highlight w:val="none"/>
        </w:rPr>
      </w:pPr>
    </w:p>
    <w:p w14:paraId="63E70A23">
      <w:pPr>
        <w:pStyle w:val="40"/>
        <w:ind w:firstLine="198"/>
        <w:rPr>
          <w:color w:val="auto"/>
          <w:sz w:val="21"/>
          <w:szCs w:val="21"/>
          <w:highlight w:val="none"/>
          <w:lang w:eastAsia="zh-CN"/>
        </w:rPr>
      </w:pPr>
      <w:r>
        <w:rPr>
          <w:color w:val="auto"/>
          <w:sz w:val="21"/>
          <w:szCs w:val="21"/>
          <w:highlight w:val="none"/>
        </w:rPr>
        <w:t>表</w:t>
      </w:r>
      <w:r>
        <w:rPr>
          <w:rFonts w:hint="eastAsia"/>
          <w:color w:val="auto"/>
          <w:sz w:val="21"/>
          <w:szCs w:val="21"/>
          <w:highlight w:val="none"/>
          <w:lang w:eastAsia="zh-CN"/>
        </w:rPr>
        <w:t>6.3.4</w:t>
      </w:r>
      <w:r>
        <w:rPr>
          <w:color w:val="auto"/>
          <w:sz w:val="21"/>
          <w:szCs w:val="21"/>
          <w:highlight w:val="none"/>
        </w:rPr>
        <w:t>-2 骨架构件材料树种的调整系数</w:t>
      </w:r>
      <m:oMath>
        <m:sSub>
          <m:sSubPr>
            <m:ctrlPr>
              <w:rPr>
                <w:rFonts w:hint="eastAsia" w:ascii="Cambria Math" w:hAnsi="Cambria Math"/>
                <w:color w:val="auto"/>
                <w:sz w:val="21"/>
                <w:szCs w:val="21"/>
                <w:highlight w:val="none"/>
                <w:lang w:eastAsia="zh-CN"/>
              </w:rPr>
            </m:ctrlPr>
          </m:sSubPr>
          <m:e>
            <m:r>
              <m:rPr>
                <m:sty m:val="bi"/>
              </m:rPr>
              <w:rPr>
                <w:rFonts w:ascii="Cambria Math" w:hAnsi="Cambria Math"/>
                <w:color w:val="auto"/>
                <w:sz w:val="21"/>
                <w:szCs w:val="21"/>
                <w:highlight w:val="none"/>
              </w:rPr>
              <m:t>k</m:t>
            </m:r>
            <m:ctrlPr>
              <w:rPr>
                <w:rFonts w:hint="eastAsia" w:ascii="Cambria Math" w:hAnsi="Cambria Math"/>
                <w:color w:val="auto"/>
                <w:sz w:val="21"/>
                <w:szCs w:val="21"/>
                <w:highlight w:val="none"/>
                <w:lang w:eastAsia="zh-CN"/>
              </w:rPr>
            </m:ctrlPr>
          </m:e>
          <m:sub>
            <m:r>
              <m:rPr>
                <m:sty m:val="b"/>
              </m:rPr>
              <w:rPr>
                <w:rFonts w:ascii="Cambria Math" w:hAnsi="Cambria Math"/>
                <w:color w:val="auto"/>
                <w:sz w:val="21"/>
                <w:szCs w:val="21"/>
                <w:highlight w:val="none"/>
                <w:lang w:eastAsia="zh-CN"/>
              </w:rPr>
              <m:t>2</m:t>
            </m:r>
            <m:ctrlPr>
              <w:rPr>
                <w:rFonts w:hint="eastAsia" w:ascii="Cambria Math" w:hAnsi="Cambria Math"/>
                <w:color w:val="auto"/>
                <w:sz w:val="21"/>
                <w:szCs w:val="21"/>
                <w:highlight w:val="none"/>
                <w:lang w:eastAsia="zh-CN"/>
              </w:rPr>
            </m:ctrlPr>
          </m:sub>
        </m:sSub>
      </m:oMath>
    </w:p>
    <w:tbl>
      <w:tblPr>
        <w:tblStyle w:val="17"/>
        <w:tblW w:w="68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3904"/>
        <w:gridCol w:w="1956"/>
      </w:tblGrid>
      <w:tr w14:paraId="43BA5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l2br w:val="nil"/>
              <w:tr2bl w:val="nil"/>
            </w:tcBorders>
          </w:tcPr>
          <w:p w14:paraId="5D7776E0">
            <w:pPr>
              <w:pStyle w:val="43"/>
              <w:rPr>
                <w:color w:val="auto"/>
                <w:highlight w:val="none"/>
              </w:rPr>
            </w:pPr>
            <w:r>
              <w:rPr>
                <w:rFonts w:hint="eastAsia"/>
                <w:color w:val="auto"/>
                <w:highlight w:val="none"/>
              </w:rPr>
              <w:t>序号</w:t>
            </w:r>
          </w:p>
        </w:tc>
        <w:tc>
          <w:tcPr>
            <w:tcW w:w="3904" w:type="dxa"/>
            <w:tcBorders>
              <w:tl2br w:val="nil"/>
              <w:tr2bl w:val="nil"/>
            </w:tcBorders>
          </w:tcPr>
          <w:p w14:paraId="15AB0BA4">
            <w:pPr>
              <w:pStyle w:val="43"/>
              <w:rPr>
                <w:color w:val="auto"/>
                <w:highlight w:val="none"/>
              </w:rPr>
            </w:pPr>
            <w:r>
              <w:rPr>
                <w:rFonts w:hint="eastAsia"/>
                <w:color w:val="auto"/>
                <w:highlight w:val="none"/>
              </w:rPr>
              <w:t>树种名称</w:t>
            </w:r>
          </w:p>
        </w:tc>
        <w:tc>
          <w:tcPr>
            <w:tcW w:w="1956" w:type="dxa"/>
            <w:tcBorders>
              <w:tl2br w:val="nil"/>
              <w:tr2bl w:val="nil"/>
            </w:tcBorders>
          </w:tcPr>
          <w:p w14:paraId="39E0D826">
            <w:pPr>
              <w:pStyle w:val="43"/>
              <w:rPr>
                <w:color w:val="auto"/>
                <w:highlight w:val="none"/>
              </w:rPr>
            </w:pPr>
            <w:r>
              <w:rPr>
                <w:rFonts w:hint="eastAsia"/>
                <w:color w:val="auto"/>
                <w:highlight w:val="none"/>
              </w:rPr>
              <w:t>调整系数</w:t>
            </w:r>
            <m:oMath>
              <m:sSub>
                <m:sSubPr>
                  <m:ctrlPr>
                    <w:rPr>
                      <w:rFonts w:hint="eastAsia" w:ascii="Cambria Math" w:hAnsi="Cambria Math"/>
                      <w:i/>
                      <w:iCs/>
                      <w:color w:val="auto"/>
                      <w:highlight w:val="none"/>
                    </w:rPr>
                  </m:ctrlPr>
                </m:sSubPr>
                <m:e>
                  <m:r>
                    <m:rPr/>
                    <w:rPr>
                      <w:rFonts w:ascii="Cambria Math" w:hAnsi="Cambria Math"/>
                      <w:color w:val="auto"/>
                      <w:highlight w:val="none"/>
                    </w:rPr>
                    <m:t>k</m:t>
                  </m:r>
                  <m:ctrlPr>
                    <w:rPr>
                      <w:rFonts w:hint="eastAsia" w:ascii="Cambria Math" w:hAnsi="Cambria Math"/>
                      <w:i/>
                      <w:iCs/>
                      <w:color w:val="auto"/>
                      <w:highlight w:val="none"/>
                    </w:rPr>
                  </m:ctrlPr>
                </m:e>
                <m:sub>
                  <m:r>
                    <m:rPr/>
                    <w:rPr>
                      <w:rFonts w:ascii="Cambria Math" w:hAnsi="Cambria Math"/>
                      <w:color w:val="auto"/>
                      <w:highlight w:val="none"/>
                    </w:rPr>
                    <m:t>2</m:t>
                  </m:r>
                  <m:ctrlPr>
                    <w:rPr>
                      <w:rFonts w:hint="eastAsia" w:ascii="Cambria Math" w:hAnsi="Cambria Math"/>
                      <w:i/>
                      <w:iCs/>
                      <w:color w:val="auto"/>
                      <w:highlight w:val="none"/>
                    </w:rPr>
                  </m:ctrlPr>
                </m:sub>
              </m:sSub>
            </m:oMath>
          </w:p>
        </w:tc>
      </w:tr>
      <w:tr w14:paraId="51E86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l2br w:val="nil"/>
              <w:tr2bl w:val="nil"/>
            </w:tcBorders>
            <w:vAlign w:val="center"/>
          </w:tcPr>
          <w:p w14:paraId="4C220CCB">
            <w:pPr>
              <w:pStyle w:val="43"/>
              <w:rPr>
                <w:color w:val="auto"/>
                <w:highlight w:val="none"/>
              </w:rPr>
            </w:pPr>
            <w:r>
              <w:rPr>
                <w:rFonts w:hint="eastAsia"/>
                <w:color w:val="auto"/>
                <w:highlight w:val="none"/>
              </w:rPr>
              <w:t>1</w:t>
            </w:r>
          </w:p>
        </w:tc>
        <w:tc>
          <w:tcPr>
            <w:tcW w:w="3904" w:type="dxa"/>
            <w:tcBorders>
              <w:tl2br w:val="nil"/>
              <w:tr2bl w:val="nil"/>
            </w:tcBorders>
          </w:tcPr>
          <w:p w14:paraId="3DEFFA2A">
            <w:pPr>
              <w:pStyle w:val="43"/>
              <w:jc w:val="left"/>
              <w:rPr>
                <w:color w:val="auto"/>
                <w:highlight w:val="none"/>
              </w:rPr>
            </w:pPr>
            <w:r>
              <w:rPr>
                <w:rFonts w:hint="eastAsia"/>
                <w:color w:val="auto"/>
                <w:highlight w:val="none"/>
              </w:rPr>
              <w:t>兴安落叶松、花旗松——落叶松类、南方松、欧洲赤松、欧洲云杉</w:t>
            </w:r>
          </w:p>
        </w:tc>
        <w:tc>
          <w:tcPr>
            <w:tcW w:w="1956" w:type="dxa"/>
            <w:tcBorders>
              <w:tl2br w:val="nil"/>
              <w:tr2bl w:val="nil"/>
            </w:tcBorders>
          </w:tcPr>
          <w:p w14:paraId="0447A10F">
            <w:pPr>
              <w:pStyle w:val="43"/>
              <w:rPr>
                <w:color w:val="auto"/>
                <w:highlight w:val="none"/>
              </w:rPr>
            </w:pPr>
            <w:r>
              <w:rPr>
                <w:rFonts w:hint="eastAsia"/>
                <w:color w:val="auto"/>
                <w:highlight w:val="none"/>
              </w:rPr>
              <w:t>1.0</w:t>
            </w:r>
          </w:p>
        </w:tc>
      </w:tr>
      <w:tr w14:paraId="5B7CC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l2br w:val="nil"/>
              <w:tr2bl w:val="nil"/>
            </w:tcBorders>
          </w:tcPr>
          <w:p w14:paraId="48317CC1">
            <w:pPr>
              <w:pStyle w:val="43"/>
              <w:rPr>
                <w:color w:val="auto"/>
                <w:highlight w:val="none"/>
              </w:rPr>
            </w:pPr>
            <w:r>
              <w:rPr>
                <w:rFonts w:hint="eastAsia"/>
                <w:color w:val="auto"/>
                <w:highlight w:val="none"/>
              </w:rPr>
              <w:t>2</w:t>
            </w:r>
          </w:p>
        </w:tc>
        <w:tc>
          <w:tcPr>
            <w:tcW w:w="3904" w:type="dxa"/>
            <w:tcBorders>
              <w:tl2br w:val="nil"/>
              <w:tr2bl w:val="nil"/>
            </w:tcBorders>
          </w:tcPr>
          <w:p w14:paraId="089EAD74">
            <w:pPr>
              <w:pStyle w:val="43"/>
              <w:jc w:val="left"/>
              <w:rPr>
                <w:color w:val="auto"/>
                <w:highlight w:val="none"/>
              </w:rPr>
            </w:pPr>
            <w:r>
              <w:rPr>
                <w:rFonts w:hint="eastAsia"/>
                <w:color w:val="auto"/>
                <w:highlight w:val="none"/>
              </w:rPr>
              <w:t>铁—冷杉类、欧洲道格拉斯松</w:t>
            </w:r>
          </w:p>
        </w:tc>
        <w:tc>
          <w:tcPr>
            <w:tcW w:w="1956" w:type="dxa"/>
            <w:tcBorders>
              <w:tl2br w:val="nil"/>
              <w:tr2bl w:val="nil"/>
            </w:tcBorders>
          </w:tcPr>
          <w:p w14:paraId="77695407">
            <w:pPr>
              <w:pStyle w:val="43"/>
              <w:rPr>
                <w:color w:val="auto"/>
                <w:highlight w:val="none"/>
              </w:rPr>
            </w:pPr>
            <w:r>
              <w:rPr>
                <w:rFonts w:hint="eastAsia"/>
                <w:color w:val="auto"/>
                <w:highlight w:val="none"/>
              </w:rPr>
              <w:t>0.9</w:t>
            </w:r>
          </w:p>
        </w:tc>
      </w:tr>
      <w:tr w14:paraId="5CACA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l2br w:val="nil"/>
              <w:tr2bl w:val="nil"/>
            </w:tcBorders>
          </w:tcPr>
          <w:p w14:paraId="32C8C8B4">
            <w:pPr>
              <w:pStyle w:val="43"/>
              <w:rPr>
                <w:color w:val="auto"/>
                <w:highlight w:val="none"/>
              </w:rPr>
            </w:pPr>
            <w:r>
              <w:rPr>
                <w:rFonts w:hint="eastAsia"/>
                <w:color w:val="auto"/>
                <w:highlight w:val="none"/>
              </w:rPr>
              <w:t>3</w:t>
            </w:r>
          </w:p>
        </w:tc>
        <w:tc>
          <w:tcPr>
            <w:tcW w:w="3904" w:type="dxa"/>
            <w:tcBorders>
              <w:tl2br w:val="nil"/>
              <w:tr2bl w:val="nil"/>
            </w:tcBorders>
          </w:tcPr>
          <w:p w14:paraId="51A0F260">
            <w:pPr>
              <w:pStyle w:val="43"/>
              <w:jc w:val="left"/>
              <w:rPr>
                <w:color w:val="auto"/>
                <w:highlight w:val="none"/>
              </w:rPr>
            </w:pPr>
            <w:r>
              <w:rPr>
                <w:rFonts w:hint="eastAsia"/>
                <w:color w:val="auto"/>
                <w:highlight w:val="none"/>
              </w:rPr>
              <w:t>杉木、云杉—松—冷杉类、新西兰辐射松</w:t>
            </w:r>
          </w:p>
        </w:tc>
        <w:tc>
          <w:tcPr>
            <w:tcW w:w="1956" w:type="dxa"/>
            <w:tcBorders>
              <w:tl2br w:val="nil"/>
              <w:tr2bl w:val="nil"/>
            </w:tcBorders>
          </w:tcPr>
          <w:p w14:paraId="04418184">
            <w:pPr>
              <w:pStyle w:val="43"/>
              <w:rPr>
                <w:color w:val="auto"/>
                <w:highlight w:val="none"/>
              </w:rPr>
            </w:pPr>
            <w:r>
              <w:rPr>
                <w:rFonts w:hint="eastAsia"/>
                <w:color w:val="auto"/>
                <w:highlight w:val="none"/>
              </w:rPr>
              <w:t>0.8</w:t>
            </w:r>
          </w:p>
        </w:tc>
      </w:tr>
      <w:tr w14:paraId="4E0F5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l2br w:val="nil"/>
              <w:tr2bl w:val="nil"/>
            </w:tcBorders>
          </w:tcPr>
          <w:p w14:paraId="0EFC40F8">
            <w:pPr>
              <w:pStyle w:val="43"/>
              <w:rPr>
                <w:color w:val="auto"/>
                <w:highlight w:val="none"/>
              </w:rPr>
            </w:pPr>
            <w:r>
              <w:rPr>
                <w:rFonts w:hint="eastAsia"/>
                <w:color w:val="auto"/>
                <w:highlight w:val="none"/>
              </w:rPr>
              <w:t>4</w:t>
            </w:r>
          </w:p>
        </w:tc>
        <w:tc>
          <w:tcPr>
            <w:tcW w:w="3904" w:type="dxa"/>
            <w:tcBorders>
              <w:tl2br w:val="nil"/>
              <w:tr2bl w:val="nil"/>
            </w:tcBorders>
          </w:tcPr>
          <w:p w14:paraId="01178CA0">
            <w:pPr>
              <w:pStyle w:val="43"/>
              <w:jc w:val="left"/>
              <w:rPr>
                <w:color w:val="auto"/>
                <w:highlight w:val="none"/>
              </w:rPr>
            </w:pPr>
            <w:r>
              <w:rPr>
                <w:rFonts w:hint="eastAsia"/>
                <w:color w:val="auto"/>
                <w:highlight w:val="none"/>
              </w:rPr>
              <w:t>其他北美树种</w:t>
            </w:r>
          </w:p>
        </w:tc>
        <w:tc>
          <w:tcPr>
            <w:tcW w:w="1956" w:type="dxa"/>
            <w:tcBorders>
              <w:tl2br w:val="nil"/>
              <w:tr2bl w:val="nil"/>
            </w:tcBorders>
          </w:tcPr>
          <w:p w14:paraId="0C734B70">
            <w:pPr>
              <w:pStyle w:val="43"/>
              <w:rPr>
                <w:color w:val="auto"/>
                <w:highlight w:val="none"/>
              </w:rPr>
            </w:pPr>
            <w:r>
              <w:rPr>
                <w:rFonts w:hint="eastAsia"/>
                <w:color w:val="auto"/>
                <w:highlight w:val="none"/>
              </w:rPr>
              <w:t>0.7</w:t>
            </w:r>
          </w:p>
        </w:tc>
      </w:tr>
    </w:tbl>
    <w:p w14:paraId="7D353A2A">
      <w:pPr>
        <w:pStyle w:val="40"/>
        <w:rPr>
          <w:color w:val="auto"/>
          <w:highlight w:val="none"/>
        </w:rPr>
      </w:pPr>
    </w:p>
    <w:p w14:paraId="3BEF1479">
      <w:pPr>
        <w:pStyle w:val="40"/>
        <w:ind w:firstLine="198"/>
        <w:rPr>
          <w:color w:val="auto"/>
          <w:sz w:val="21"/>
          <w:szCs w:val="21"/>
          <w:highlight w:val="none"/>
        </w:rPr>
      </w:pPr>
      <w:r>
        <w:rPr>
          <w:color w:val="auto"/>
          <w:sz w:val="21"/>
          <w:szCs w:val="21"/>
          <w:highlight w:val="none"/>
        </w:rPr>
        <w:t>表</w:t>
      </w:r>
      <w:r>
        <w:rPr>
          <w:rFonts w:hint="eastAsia"/>
          <w:color w:val="auto"/>
          <w:sz w:val="21"/>
          <w:szCs w:val="21"/>
          <w:highlight w:val="none"/>
          <w:lang w:eastAsia="zh-CN"/>
        </w:rPr>
        <w:t>6.3.4</w:t>
      </w:r>
      <w:r>
        <w:rPr>
          <w:color w:val="auto"/>
          <w:sz w:val="21"/>
          <w:szCs w:val="21"/>
          <w:highlight w:val="none"/>
        </w:rPr>
        <w:t>-3 无横撑水平铺设面板的剪力墙强度调整系数</w:t>
      </w:r>
      <m:oMath>
        <m:sSub>
          <m:sSubPr>
            <m:ctrlPr>
              <w:rPr>
                <w:rFonts w:hint="eastAsia" w:ascii="Cambria Math" w:hAnsi="Cambria Math"/>
                <w:color w:val="auto"/>
                <w:sz w:val="21"/>
                <w:szCs w:val="21"/>
                <w:highlight w:val="none"/>
                <w:lang w:eastAsia="zh-CN"/>
              </w:rPr>
            </m:ctrlPr>
          </m:sSubPr>
          <m:e>
            <m:r>
              <m:rPr>
                <m:sty m:val="bi"/>
              </m:rPr>
              <w:rPr>
                <w:rFonts w:ascii="Cambria Math" w:hAnsi="Cambria Math"/>
                <w:color w:val="auto"/>
                <w:sz w:val="21"/>
                <w:szCs w:val="21"/>
                <w:highlight w:val="none"/>
              </w:rPr>
              <m:t>k</m:t>
            </m:r>
            <m:ctrlPr>
              <w:rPr>
                <w:rFonts w:hint="eastAsia" w:ascii="Cambria Math" w:hAnsi="Cambria Math"/>
                <w:color w:val="auto"/>
                <w:sz w:val="21"/>
                <w:szCs w:val="21"/>
                <w:highlight w:val="none"/>
                <w:lang w:eastAsia="zh-CN"/>
              </w:rPr>
            </m:ctrlPr>
          </m:e>
          <m:sub>
            <m:r>
              <m:rPr>
                <m:sty m:val="b"/>
              </m:rPr>
              <w:rPr>
                <w:rFonts w:ascii="Cambria Math" w:hAnsi="Cambria Math"/>
                <w:color w:val="auto"/>
                <w:sz w:val="21"/>
                <w:szCs w:val="21"/>
                <w:highlight w:val="none"/>
                <w:lang w:eastAsia="zh-CN"/>
              </w:rPr>
              <m:t>3</m:t>
            </m:r>
            <m:ctrlPr>
              <w:rPr>
                <w:rFonts w:hint="eastAsia" w:ascii="Cambria Math" w:hAnsi="Cambria Math"/>
                <w:color w:val="auto"/>
                <w:sz w:val="21"/>
                <w:szCs w:val="21"/>
                <w:highlight w:val="none"/>
                <w:lang w:eastAsia="zh-CN"/>
              </w:rPr>
            </m:ctrlPr>
          </m:sub>
        </m:sSub>
      </m:oMath>
    </w:p>
    <w:tbl>
      <w:tblPr>
        <w:tblStyle w:val="17"/>
        <w:tblW w:w="79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67"/>
        <w:gridCol w:w="2620"/>
        <w:gridCol w:w="737"/>
        <w:gridCol w:w="737"/>
        <w:gridCol w:w="737"/>
        <w:gridCol w:w="740"/>
      </w:tblGrid>
      <w:tr w14:paraId="6990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1" w:type="pct"/>
            <w:vMerge w:val="restart"/>
            <w:tcBorders>
              <w:tl2br w:val="nil"/>
              <w:tr2bl w:val="nil"/>
            </w:tcBorders>
          </w:tcPr>
          <w:p w14:paraId="7941F0EF">
            <w:pPr>
              <w:pStyle w:val="43"/>
              <w:rPr>
                <w:color w:val="auto"/>
                <w:highlight w:val="none"/>
              </w:rPr>
            </w:pPr>
            <w:r>
              <w:rPr>
                <w:rFonts w:hint="eastAsia"/>
                <w:color w:val="auto"/>
                <w:highlight w:val="none"/>
              </w:rPr>
              <w:t>边支座上钉的间距</w:t>
            </w:r>
          </w:p>
          <w:p w14:paraId="6A056EAD">
            <w:pPr>
              <w:pStyle w:val="43"/>
              <w:rPr>
                <w:color w:val="auto"/>
                <w:highlight w:val="none"/>
              </w:rPr>
            </w:pPr>
            <w:r>
              <w:rPr>
                <w:rFonts w:hint="eastAsia"/>
                <w:color w:val="auto"/>
                <w:highlight w:val="none"/>
              </w:rPr>
              <w:t>（㎜）</w:t>
            </w:r>
          </w:p>
        </w:tc>
        <w:tc>
          <w:tcPr>
            <w:tcW w:w="1650" w:type="pct"/>
            <w:vMerge w:val="restart"/>
            <w:tcBorders>
              <w:tl2br w:val="nil"/>
              <w:tr2bl w:val="nil"/>
            </w:tcBorders>
          </w:tcPr>
          <w:p w14:paraId="01D2D2C1">
            <w:pPr>
              <w:pStyle w:val="43"/>
              <w:rPr>
                <w:color w:val="auto"/>
                <w:highlight w:val="none"/>
              </w:rPr>
            </w:pPr>
            <w:r>
              <w:rPr>
                <w:rFonts w:hint="eastAsia"/>
                <w:color w:val="auto"/>
                <w:highlight w:val="none"/>
              </w:rPr>
              <w:t>中间支座上钉的间距</w:t>
            </w:r>
          </w:p>
          <w:p w14:paraId="1956AAF3">
            <w:pPr>
              <w:pStyle w:val="43"/>
              <w:rPr>
                <w:color w:val="auto"/>
                <w:highlight w:val="none"/>
              </w:rPr>
            </w:pPr>
            <w:r>
              <w:rPr>
                <w:rFonts w:hint="eastAsia"/>
                <w:color w:val="auto"/>
                <w:highlight w:val="none"/>
              </w:rPr>
              <w:t>（㎜）</w:t>
            </w:r>
          </w:p>
        </w:tc>
        <w:tc>
          <w:tcPr>
            <w:tcW w:w="1858" w:type="pct"/>
            <w:gridSpan w:val="4"/>
            <w:tcBorders>
              <w:tl2br w:val="nil"/>
              <w:tr2bl w:val="nil"/>
            </w:tcBorders>
          </w:tcPr>
          <w:p w14:paraId="0B2BD1A5">
            <w:pPr>
              <w:pStyle w:val="43"/>
              <w:rPr>
                <w:color w:val="auto"/>
                <w:highlight w:val="none"/>
              </w:rPr>
            </w:pPr>
            <w:r>
              <w:rPr>
                <w:rFonts w:hint="eastAsia"/>
                <w:color w:val="auto"/>
                <w:highlight w:val="none"/>
              </w:rPr>
              <w:t>墙骨柱间距（㎜）</w:t>
            </w:r>
          </w:p>
        </w:tc>
      </w:tr>
      <w:tr w14:paraId="4683E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1" w:type="pct"/>
            <w:vMerge w:val="continue"/>
            <w:tcBorders>
              <w:tl2br w:val="nil"/>
              <w:tr2bl w:val="nil"/>
            </w:tcBorders>
          </w:tcPr>
          <w:p w14:paraId="3336D99D">
            <w:pPr>
              <w:pStyle w:val="43"/>
              <w:rPr>
                <w:color w:val="auto"/>
                <w:highlight w:val="none"/>
              </w:rPr>
            </w:pPr>
          </w:p>
        </w:tc>
        <w:tc>
          <w:tcPr>
            <w:tcW w:w="1650" w:type="pct"/>
            <w:vMerge w:val="continue"/>
            <w:tcBorders>
              <w:tl2br w:val="nil"/>
              <w:tr2bl w:val="nil"/>
            </w:tcBorders>
          </w:tcPr>
          <w:p w14:paraId="6376ADA6">
            <w:pPr>
              <w:pStyle w:val="43"/>
              <w:rPr>
                <w:color w:val="auto"/>
                <w:highlight w:val="none"/>
              </w:rPr>
            </w:pPr>
          </w:p>
        </w:tc>
        <w:tc>
          <w:tcPr>
            <w:tcW w:w="464" w:type="pct"/>
            <w:tcBorders>
              <w:tl2br w:val="nil"/>
              <w:tr2bl w:val="nil"/>
            </w:tcBorders>
          </w:tcPr>
          <w:p w14:paraId="4A716296">
            <w:pPr>
              <w:pStyle w:val="43"/>
              <w:rPr>
                <w:color w:val="auto"/>
                <w:highlight w:val="none"/>
              </w:rPr>
            </w:pPr>
            <w:r>
              <w:rPr>
                <w:rFonts w:hint="eastAsia"/>
                <w:color w:val="auto"/>
                <w:highlight w:val="none"/>
              </w:rPr>
              <w:t>300</w:t>
            </w:r>
          </w:p>
        </w:tc>
        <w:tc>
          <w:tcPr>
            <w:tcW w:w="464" w:type="pct"/>
            <w:tcBorders>
              <w:tl2br w:val="nil"/>
              <w:tr2bl w:val="nil"/>
            </w:tcBorders>
          </w:tcPr>
          <w:p w14:paraId="2F7DE68C">
            <w:pPr>
              <w:pStyle w:val="43"/>
              <w:rPr>
                <w:color w:val="auto"/>
                <w:highlight w:val="none"/>
              </w:rPr>
            </w:pPr>
            <w:r>
              <w:rPr>
                <w:rFonts w:hint="eastAsia"/>
                <w:color w:val="auto"/>
                <w:highlight w:val="none"/>
              </w:rPr>
              <w:t>400</w:t>
            </w:r>
          </w:p>
        </w:tc>
        <w:tc>
          <w:tcPr>
            <w:tcW w:w="464" w:type="pct"/>
            <w:tcBorders>
              <w:tl2br w:val="nil"/>
              <w:tr2bl w:val="nil"/>
            </w:tcBorders>
          </w:tcPr>
          <w:p w14:paraId="01BEE45F">
            <w:pPr>
              <w:pStyle w:val="43"/>
              <w:rPr>
                <w:color w:val="auto"/>
                <w:highlight w:val="none"/>
              </w:rPr>
            </w:pPr>
            <w:r>
              <w:rPr>
                <w:rFonts w:hint="eastAsia"/>
                <w:color w:val="auto"/>
                <w:highlight w:val="none"/>
              </w:rPr>
              <w:t>500</w:t>
            </w:r>
          </w:p>
        </w:tc>
        <w:tc>
          <w:tcPr>
            <w:tcW w:w="464" w:type="pct"/>
            <w:tcBorders>
              <w:tl2br w:val="nil"/>
              <w:tr2bl w:val="nil"/>
            </w:tcBorders>
          </w:tcPr>
          <w:p w14:paraId="019C97CC">
            <w:pPr>
              <w:pStyle w:val="43"/>
              <w:rPr>
                <w:color w:val="auto"/>
                <w:highlight w:val="none"/>
              </w:rPr>
            </w:pPr>
            <w:r>
              <w:rPr>
                <w:rFonts w:hint="eastAsia"/>
                <w:color w:val="auto"/>
                <w:highlight w:val="none"/>
              </w:rPr>
              <w:t>600</w:t>
            </w:r>
          </w:p>
        </w:tc>
      </w:tr>
      <w:tr w14:paraId="18134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1" w:type="pct"/>
            <w:tcBorders>
              <w:tl2br w:val="nil"/>
              <w:tr2bl w:val="nil"/>
            </w:tcBorders>
          </w:tcPr>
          <w:p w14:paraId="47E08BF8">
            <w:pPr>
              <w:pStyle w:val="43"/>
              <w:rPr>
                <w:color w:val="auto"/>
                <w:highlight w:val="none"/>
              </w:rPr>
            </w:pPr>
            <w:r>
              <w:rPr>
                <w:rFonts w:hint="eastAsia"/>
                <w:color w:val="auto"/>
                <w:highlight w:val="none"/>
              </w:rPr>
              <w:t>150</w:t>
            </w:r>
          </w:p>
        </w:tc>
        <w:tc>
          <w:tcPr>
            <w:tcW w:w="1650" w:type="pct"/>
            <w:tcBorders>
              <w:tl2br w:val="nil"/>
              <w:tr2bl w:val="nil"/>
            </w:tcBorders>
          </w:tcPr>
          <w:p w14:paraId="78F90A89">
            <w:pPr>
              <w:pStyle w:val="43"/>
              <w:rPr>
                <w:color w:val="auto"/>
                <w:highlight w:val="none"/>
              </w:rPr>
            </w:pPr>
            <w:r>
              <w:rPr>
                <w:rFonts w:hint="eastAsia"/>
                <w:color w:val="auto"/>
                <w:highlight w:val="none"/>
              </w:rPr>
              <w:t>150</w:t>
            </w:r>
          </w:p>
        </w:tc>
        <w:tc>
          <w:tcPr>
            <w:tcW w:w="464" w:type="pct"/>
            <w:tcBorders>
              <w:tl2br w:val="nil"/>
              <w:tr2bl w:val="nil"/>
            </w:tcBorders>
          </w:tcPr>
          <w:p w14:paraId="3E1A1696">
            <w:pPr>
              <w:pStyle w:val="43"/>
              <w:rPr>
                <w:color w:val="auto"/>
                <w:highlight w:val="none"/>
              </w:rPr>
            </w:pPr>
            <w:r>
              <w:rPr>
                <w:rFonts w:hint="eastAsia"/>
                <w:color w:val="auto"/>
                <w:highlight w:val="none"/>
              </w:rPr>
              <w:t>1.0</w:t>
            </w:r>
          </w:p>
        </w:tc>
        <w:tc>
          <w:tcPr>
            <w:tcW w:w="464" w:type="pct"/>
            <w:tcBorders>
              <w:tl2br w:val="nil"/>
              <w:tr2bl w:val="nil"/>
            </w:tcBorders>
          </w:tcPr>
          <w:p w14:paraId="342C0CB4">
            <w:pPr>
              <w:pStyle w:val="43"/>
              <w:rPr>
                <w:color w:val="auto"/>
                <w:highlight w:val="none"/>
              </w:rPr>
            </w:pPr>
            <w:r>
              <w:rPr>
                <w:rFonts w:hint="eastAsia"/>
                <w:color w:val="auto"/>
                <w:highlight w:val="none"/>
              </w:rPr>
              <w:t>0.8</w:t>
            </w:r>
          </w:p>
        </w:tc>
        <w:tc>
          <w:tcPr>
            <w:tcW w:w="464" w:type="pct"/>
            <w:tcBorders>
              <w:tl2br w:val="nil"/>
              <w:tr2bl w:val="nil"/>
            </w:tcBorders>
          </w:tcPr>
          <w:p w14:paraId="6CA61D8E">
            <w:pPr>
              <w:pStyle w:val="43"/>
              <w:rPr>
                <w:color w:val="auto"/>
                <w:highlight w:val="none"/>
              </w:rPr>
            </w:pPr>
            <w:r>
              <w:rPr>
                <w:rFonts w:hint="eastAsia"/>
                <w:color w:val="auto"/>
                <w:highlight w:val="none"/>
              </w:rPr>
              <w:t>0.6</w:t>
            </w:r>
          </w:p>
        </w:tc>
        <w:tc>
          <w:tcPr>
            <w:tcW w:w="464" w:type="pct"/>
            <w:tcBorders>
              <w:tl2br w:val="nil"/>
              <w:tr2bl w:val="nil"/>
            </w:tcBorders>
          </w:tcPr>
          <w:p w14:paraId="000FB1B9">
            <w:pPr>
              <w:pStyle w:val="43"/>
              <w:rPr>
                <w:color w:val="auto"/>
                <w:highlight w:val="none"/>
              </w:rPr>
            </w:pPr>
            <w:r>
              <w:rPr>
                <w:rFonts w:hint="eastAsia"/>
                <w:color w:val="auto"/>
                <w:highlight w:val="none"/>
              </w:rPr>
              <w:t>0.5</w:t>
            </w:r>
          </w:p>
        </w:tc>
      </w:tr>
      <w:tr w14:paraId="4B4C1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1" w:type="pct"/>
            <w:tcBorders>
              <w:tl2br w:val="nil"/>
              <w:tr2bl w:val="nil"/>
            </w:tcBorders>
          </w:tcPr>
          <w:p w14:paraId="18E15912">
            <w:pPr>
              <w:pStyle w:val="43"/>
              <w:rPr>
                <w:color w:val="auto"/>
                <w:highlight w:val="none"/>
              </w:rPr>
            </w:pPr>
            <w:r>
              <w:rPr>
                <w:rFonts w:hint="eastAsia"/>
                <w:color w:val="auto"/>
                <w:highlight w:val="none"/>
              </w:rPr>
              <w:t>150</w:t>
            </w:r>
          </w:p>
        </w:tc>
        <w:tc>
          <w:tcPr>
            <w:tcW w:w="1650" w:type="pct"/>
            <w:tcBorders>
              <w:tl2br w:val="nil"/>
              <w:tr2bl w:val="nil"/>
            </w:tcBorders>
          </w:tcPr>
          <w:p w14:paraId="73ABF2B3">
            <w:pPr>
              <w:pStyle w:val="43"/>
              <w:rPr>
                <w:color w:val="auto"/>
                <w:highlight w:val="none"/>
              </w:rPr>
            </w:pPr>
            <w:r>
              <w:rPr>
                <w:rFonts w:hint="eastAsia"/>
                <w:color w:val="auto"/>
                <w:highlight w:val="none"/>
              </w:rPr>
              <w:t>300</w:t>
            </w:r>
          </w:p>
        </w:tc>
        <w:tc>
          <w:tcPr>
            <w:tcW w:w="464" w:type="pct"/>
            <w:tcBorders>
              <w:tl2br w:val="nil"/>
              <w:tr2bl w:val="nil"/>
            </w:tcBorders>
          </w:tcPr>
          <w:p w14:paraId="6F6305CF">
            <w:pPr>
              <w:pStyle w:val="43"/>
              <w:rPr>
                <w:color w:val="auto"/>
                <w:highlight w:val="none"/>
              </w:rPr>
            </w:pPr>
            <w:r>
              <w:rPr>
                <w:rFonts w:hint="eastAsia"/>
                <w:color w:val="auto"/>
                <w:highlight w:val="none"/>
              </w:rPr>
              <w:t>0.8</w:t>
            </w:r>
          </w:p>
        </w:tc>
        <w:tc>
          <w:tcPr>
            <w:tcW w:w="464" w:type="pct"/>
            <w:tcBorders>
              <w:tl2br w:val="nil"/>
              <w:tr2bl w:val="nil"/>
            </w:tcBorders>
          </w:tcPr>
          <w:p w14:paraId="57093AAE">
            <w:pPr>
              <w:pStyle w:val="43"/>
              <w:rPr>
                <w:color w:val="auto"/>
                <w:highlight w:val="none"/>
              </w:rPr>
            </w:pPr>
            <w:r>
              <w:rPr>
                <w:rFonts w:hint="eastAsia"/>
                <w:color w:val="auto"/>
                <w:highlight w:val="none"/>
              </w:rPr>
              <w:t>0.6</w:t>
            </w:r>
          </w:p>
        </w:tc>
        <w:tc>
          <w:tcPr>
            <w:tcW w:w="464" w:type="pct"/>
            <w:tcBorders>
              <w:tl2br w:val="nil"/>
              <w:tr2bl w:val="nil"/>
            </w:tcBorders>
          </w:tcPr>
          <w:p w14:paraId="515CBE33">
            <w:pPr>
              <w:pStyle w:val="43"/>
              <w:rPr>
                <w:color w:val="auto"/>
                <w:highlight w:val="none"/>
              </w:rPr>
            </w:pPr>
            <w:r>
              <w:rPr>
                <w:rFonts w:hint="eastAsia"/>
                <w:color w:val="auto"/>
                <w:highlight w:val="none"/>
              </w:rPr>
              <w:t>0.5</w:t>
            </w:r>
          </w:p>
        </w:tc>
        <w:tc>
          <w:tcPr>
            <w:tcW w:w="464" w:type="pct"/>
            <w:tcBorders>
              <w:tl2br w:val="nil"/>
              <w:tr2bl w:val="nil"/>
            </w:tcBorders>
          </w:tcPr>
          <w:p w14:paraId="5111C792">
            <w:pPr>
              <w:pStyle w:val="43"/>
              <w:rPr>
                <w:color w:val="auto"/>
                <w:highlight w:val="none"/>
              </w:rPr>
            </w:pPr>
            <w:r>
              <w:rPr>
                <w:rFonts w:hint="eastAsia"/>
                <w:color w:val="auto"/>
                <w:highlight w:val="none"/>
              </w:rPr>
              <w:t>0.4</w:t>
            </w:r>
          </w:p>
        </w:tc>
      </w:tr>
    </w:tbl>
    <w:p w14:paraId="3580073A">
      <w:pPr>
        <w:pStyle w:val="43"/>
        <w:jc w:val="left"/>
        <w:rPr>
          <w:color w:val="auto"/>
          <w:highlight w:val="none"/>
        </w:rPr>
      </w:pPr>
      <w:r>
        <w:rPr>
          <w:color w:val="auto"/>
          <w:highlight w:val="none"/>
        </w:rPr>
        <w:t>注：墙骨柱柱间无横撑剪力墙的抗剪强度可将有横撑剪力墙的抗剪强度乘以抗剪调整系数。有横撑剪力墙的面板边支座上钉的间距为150</w:t>
      </w:r>
      <w:r>
        <w:rPr>
          <w:rFonts w:hint="eastAsia"/>
          <w:color w:val="auto"/>
          <w:highlight w:val="none"/>
        </w:rPr>
        <w:t>㎜</w:t>
      </w:r>
      <w:r>
        <w:rPr>
          <w:color w:val="auto"/>
          <w:highlight w:val="none"/>
        </w:rPr>
        <w:t>，中间支座上钉的间距为300</w:t>
      </w:r>
      <w:r>
        <w:rPr>
          <w:rFonts w:hint="eastAsia"/>
          <w:color w:val="auto"/>
          <w:highlight w:val="none"/>
        </w:rPr>
        <w:t>㎜</w:t>
      </w:r>
      <w:r>
        <w:rPr>
          <w:color w:val="auto"/>
          <w:highlight w:val="none"/>
        </w:rPr>
        <w:t>。</w:t>
      </w:r>
    </w:p>
    <w:p w14:paraId="2168D2A2">
      <w:pPr>
        <w:pStyle w:val="4"/>
        <w:rPr>
          <w:color w:val="auto"/>
          <w:highlight w:val="none"/>
          <w:lang w:eastAsia="zh-CN"/>
        </w:rPr>
      </w:pPr>
      <w:r>
        <w:rPr>
          <w:color w:val="auto"/>
          <w:highlight w:val="none"/>
        </w:rPr>
        <w:t xml:space="preserve">   3 </w:t>
      </w:r>
      <w:r>
        <w:rPr>
          <w:rFonts w:hint="eastAsia"/>
          <w:color w:val="auto"/>
          <w:highlight w:val="none"/>
          <w:lang w:eastAsia="zh-CN"/>
        </w:rPr>
        <w:t xml:space="preserve"> </w:t>
      </w:r>
      <w:r>
        <w:rPr>
          <w:color w:val="auto"/>
          <w:highlight w:val="none"/>
        </w:rPr>
        <w:t>对于双面铺板的剪力墙，无论两侧是否采用相同材料的木基结构板材，剪力墙的受剪承载力设计值应取墙体两面受剪承载力设计值之和</w:t>
      </w:r>
      <w:r>
        <w:rPr>
          <w:rFonts w:hint="eastAsia"/>
          <w:color w:val="auto"/>
          <w:highlight w:val="none"/>
          <w:lang w:eastAsia="zh-CN"/>
        </w:rPr>
        <w:t>。</w:t>
      </w:r>
    </w:p>
    <w:p w14:paraId="611D8F0F">
      <w:pPr>
        <w:pStyle w:val="50"/>
        <w:ind w:firstLine="0" w:firstLineChars="0"/>
        <w:rPr>
          <w:color w:val="auto"/>
          <w:highlight w:val="none"/>
        </w:rPr>
      </w:pPr>
      <w:r>
        <w:rPr>
          <w:rFonts w:hint="eastAsia"/>
          <w:color w:val="auto"/>
          <w:highlight w:val="none"/>
        </w:rPr>
        <w:t>【条文说明】6.3.4</w:t>
      </w:r>
      <w:r>
        <w:rPr>
          <w:color w:val="auto"/>
          <w:highlight w:val="none"/>
        </w:rPr>
        <w:t xml:space="preserve"> 本条参考《加拿大木结构规范-2010》的</w:t>
      </w:r>
      <w:r>
        <w:rPr>
          <w:rFonts w:hint="eastAsia"/>
          <w:color w:val="auto"/>
          <w:highlight w:val="none"/>
        </w:rPr>
        <w:t>有关规定</w:t>
      </w:r>
      <w:r>
        <w:rPr>
          <w:color w:val="auto"/>
          <w:highlight w:val="none"/>
        </w:rPr>
        <w:t>。</w:t>
      </w:r>
      <w:r>
        <w:rPr>
          <w:rFonts w:hint="eastAsia"/>
          <w:color w:val="auto"/>
          <w:highlight w:val="none"/>
        </w:rPr>
        <w:t>剪力墙的受剪承载力只需要计算洞口间墙肢受剪承载力之和</w:t>
      </w:r>
      <w:r>
        <w:rPr>
          <w:color w:val="auto"/>
          <w:highlight w:val="none"/>
        </w:rPr>
        <w:t>，洞口部分受剪承载力忽略不计。剪力墙墙肢</w:t>
      </w:r>
      <w:r>
        <w:rPr>
          <w:rFonts w:hint="eastAsia"/>
          <w:color w:val="auto"/>
          <w:highlight w:val="none"/>
        </w:rPr>
        <w:t>高宽比</w:t>
      </w:r>
      <w:r>
        <w:rPr>
          <w:color w:val="auto"/>
          <w:highlight w:val="none"/>
        </w:rPr>
        <w:t>限制为3.5，这主要是为了保证墙肢的受力和变形以剪切受力和变形为主。当剪力墙墙肢的高宽比增加时，墙肢的结构表现接近于悬臂梁。</w:t>
      </w:r>
    </w:p>
    <w:p w14:paraId="2BCBA590">
      <w:pPr>
        <w:rPr>
          <w:color w:val="auto"/>
          <w:highlight w:val="none"/>
        </w:rPr>
      </w:pPr>
    </w:p>
    <w:p w14:paraId="1CE31BE1">
      <w:pPr>
        <w:pStyle w:val="4"/>
        <w:rPr>
          <w:color w:val="auto"/>
          <w:highlight w:val="none"/>
        </w:rPr>
      </w:pPr>
      <w:r>
        <w:rPr>
          <w:rFonts w:hint="eastAsia" w:cs="Times New Roman"/>
          <w:b/>
          <w:bCs/>
          <w:color w:val="auto"/>
          <w:highlight w:val="none"/>
          <w:lang w:eastAsia="zh-CN"/>
        </w:rPr>
        <w:t xml:space="preserve">6.3.5 </w:t>
      </w:r>
      <w:r>
        <w:rPr>
          <w:rFonts w:cs="Times New Roman"/>
          <w:color w:val="auto"/>
          <w:highlight w:val="none"/>
        </w:rPr>
        <w:t xml:space="preserve"> 剪</w:t>
      </w:r>
      <w:r>
        <w:rPr>
          <w:color w:val="auto"/>
          <w:highlight w:val="none"/>
        </w:rPr>
        <w:t>力墙两侧边界杆件所受的轴向力应按下式计算：</w:t>
      </w:r>
    </w:p>
    <w:p w14:paraId="3167F1F5">
      <w:pPr>
        <w:pStyle w:val="4"/>
        <w:wordWrap w:val="0"/>
        <w:jc w:val="right"/>
        <w:rPr>
          <w:rFonts w:hAnsi="Cambria Math"/>
          <w:color w:val="auto"/>
          <w:highlight w:val="none"/>
          <w:lang w:eastAsia="zh-CN"/>
        </w:rPr>
      </w:pPr>
      <m:oMath>
        <m:r>
          <m:rPr/>
          <w:rPr>
            <w:rFonts w:ascii="Cambria Math" w:hAnsi="Cambria Math"/>
            <w:color w:val="auto"/>
            <w:highlight w:val="none"/>
            <w:lang w:eastAsia="zh-CN"/>
          </w:rPr>
          <m:t>N</m:t>
        </m:r>
        <m:r>
          <m:rPr>
            <m:sty m:val="p"/>
          </m:rPr>
          <w:rPr>
            <w:rFonts w:ascii="Cambria Math" w:hAnsi="Cambria Math"/>
            <w:color w:val="auto"/>
            <w:highlight w:val="none"/>
            <w:lang w:eastAsia="zh-CN"/>
          </w:rPr>
          <m:t>=</m:t>
        </m:r>
        <m:f>
          <m:fPr>
            <m:ctrlPr>
              <w:rPr>
                <w:rFonts w:ascii="Cambria Math" w:hAnsi="Cambria Math"/>
                <w:color w:val="auto"/>
                <w:highlight w:val="none"/>
                <w:lang w:eastAsia="zh-CN"/>
              </w:rPr>
            </m:ctrlPr>
          </m:fPr>
          <m:num>
            <m:r>
              <m:rPr/>
              <w:rPr>
                <w:rFonts w:ascii="Cambria Math" w:hAnsi="Cambria Math"/>
                <w:color w:val="auto"/>
                <w:highlight w:val="none"/>
                <w:lang w:eastAsia="zh-CN"/>
              </w:rPr>
              <m:t>M</m:t>
            </m:r>
            <m:ctrlPr>
              <w:rPr>
                <w:rFonts w:ascii="Cambria Math" w:hAnsi="Cambria Math"/>
                <w:color w:val="auto"/>
                <w:highlight w:val="none"/>
                <w:lang w:eastAsia="zh-CN"/>
              </w:rPr>
            </m:ctrlPr>
          </m:num>
          <m:den>
            <m:sSub>
              <m:sSubPr>
                <m:ctrlPr>
                  <w:rPr>
                    <w:rFonts w:ascii="Cambria Math" w:hAnsi="Cambria Math"/>
                    <w:color w:val="auto"/>
                    <w:highlight w:val="none"/>
                    <w:lang w:eastAsia="zh-CN"/>
                  </w:rPr>
                </m:ctrlPr>
              </m:sSubPr>
              <m:e>
                <m:r>
                  <m:rPr/>
                  <w:rPr>
                    <w:rFonts w:ascii="Cambria Math" w:hAnsi="Cambria Math"/>
                    <w:color w:val="auto"/>
                    <w:highlight w:val="none"/>
                    <w:lang w:eastAsia="zh-CN"/>
                  </w:rPr>
                  <m:t>B</m:t>
                </m:r>
                <m:ctrlPr>
                  <w:rPr>
                    <w:rFonts w:ascii="Cambria Math" w:hAnsi="Cambria Math"/>
                    <w:color w:val="auto"/>
                    <w:highlight w:val="none"/>
                    <w:lang w:eastAsia="zh-CN"/>
                  </w:rPr>
                </m:ctrlPr>
              </m:e>
              <m:sub>
                <m:r>
                  <m:rPr>
                    <m:sty m:val="p"/>
                  </m:rPr>
                  <w:rPr>
                    <w:rFonts w:ascii="Cambria Math" w:hAnsi="Cambria Math"/>
                    <w:color w:val="auto"/>
                    <w:highlight w:val="none"/>
                    <w:lang w:eastAsia="zh-CN"/>
                  </w:rPr>
                  <m:t>0</m:t>
                </m:r>
                <m:ctrlPr>
                  <w:rPr>
                    <w:rFonts w:ascii="Cambria Math" w:hAnsi="Cambria Math"/>
                    <w:color w:val="auto"/>
                    <w:highlight w:val="none"/>
                    <w:lang w:eastAsia="zh-CN"/>
                  </w:rPr>
                </m:ctrlPr>
              </m:sub>
            </m:sSub>
            <m:ctrlPr>
              <w:rPr>
                <w:rFonts w:ascii="Cambria Math" w:hAnsi="Cambria Math"/>
                <w:color w:val="auto"/>
                <w:highlight w:val="none"/>
                <w:lang w:eastAsia="zh-CN"/>
              </w:rPr>
            </m:ctrlPr>
          </m:den>
        </m:f>
      </m:oMath>
      <w:r>
        <w:rPr>
          <w:rFonts w:hint="eastAsia" w:hAnsi="Cambria Math"/>
          <w:color w:val="auto"/>
          <w:highlight w:val="none"/>
          <w:lang w:eastAsia="zh-CN"/>
        </w:rPr>
        <w:t xml:space="preserve">                                  </w:t>
      </w:r>
      <w:r>
        <w:rPr>
          <w:rFonts w:hint="eastAsia"/>
          <w:color w:val="auto"/>
          <w:highlight w:val="none"/>
          <w:lang w:eastAsia="zh-CN"/>
        </w:rPr>
        <w:t>(6.3.5</w:t>
      </w:r>
      <w:r>
        <w:rPr>
          <w:color w:val="auto"/>
          <w:highlight w:val="none"/>
        </w:rPr>
        <w:t>)</w:t>
      </w:r>
    </w:p>
    <w:p w14:paraId="7AF1F912">
      <w:pPr>
        <w:pStyle w:val="4"/>
        <w:rPr>
          <w:color w:val="auto"/>
          <w:highlight w:val="none"/>
        </w:rPr>
      </w:pPr>
      <w:r>
        <w:rPr>
          <w:color w:val="auto"/>
          <w:highlight w:val="none"/>
        </w:rPr>
        <w:t>式中：</w:t>
      </w:r>
      <w:r>
        <w:rPr>
          <w:i/>
          <w:iCs/>
          <w:color w:val="auto"/>
          <w:highlight w:val="none"/>
        </w:rPr>
        <w:t>N</w:t>
      </w:r>
      <w:r>
        <w:rPr>
          <w:color w:val="auto"/>
          <w:highlight w:val="none"/>
        </w:rPr>
        <w:t>――剪力墙边界杆件的拉力或压力设计值（kN）；</w:t>
      </w:r>
    </w:p>
    <w:p w14:paraId="0E6B2105">
      <w:pPr>
        <w:ind w:firstLine="420"/>
        <w:rPr>
          <w:rFonts w:cs="Times New Roman"/>
          <w:color w:val="auto"/>
          <w:highlight w:val="none"/>
        </w:rPr>
      </w:pPr>
      <w:r>
        <w:rPr>
          <w:rFonts w:cs="Times New Roman"/>
          <w:color w:val="auto"/>
          <w:highlight w:val="none"/>
        </w:rPr>
        <w:t xml:space="preserve">  </w:t>
      </w:r>
      <w:r>
        <w:rPr>
          <w:rFonts w:cs="Times New Roman"/>
          <w:i/>
          <w:iCs/>
          <w:color w:val="auto"/>
          <w:highlight w:val="none"/>
        </w:rPr>
        <w:t>M</w:t>
      </w:r>
      <w:r>
        <w:rPr>
          <w:rFonts w:cs="Times New Roman"/>
          <w:color w:val="auto"/>
          <w:highlight w:val="none"/>
        </w:rPr>
        <w:t>――侧向荷载在剪力墙平面内产生的弯矩（kN</w:t>
      </w:r>
      <w:r>
        <w:rPr>
          <w:rFonts w:eastAsia="微软雅黑" w:cs="Times New Roman"/>
          <w:color w:val="auto"/>
          <w:highlight w:val="none"/>
        </w:rPr>
        <w:t>・</w:t>
      </w:r>
      <w:r>
        <w:rPr>
          <w:rFonts w:cs="Times New Roman"/>
          <w:color w:val="auto"/>
          <w:highlight w:val="none"/>
        </w:rPr>
        <w:t>m）；</w:t>
      </w:r>
    </w:p>
    <w:p w14:paraId="01E831B6">
      <w:pPr>
        <w:ind w:firstLine="420"/>
        <w:rPr>
          <w:rFonts w:cs="Times New Roman"/>
          <w:color w:val="auto"/>
          <w:highlight w:val="none"/>
        </w:rPr>
      </w:pPr>
      <w:r>
        <w:rPr>
          <w:rFonts w:cs="Times New Roman"/>
          <w:color w:val="auto"/>
          <w:highlight w:val="none"/>
        </w:rPr>
        <w:t xml:space="preserve">  </w:t>
      </w:r>
      <w:r>
        <w:rPr>
          <w:rFonts w:cs="Times New Roman"/>
          <w:i/>
          <w:iCs/>
          <w:color w:val="auto"/>
          <w:highlight w:val="none"/>
        </w:rPr>
        <w:t>B</w:t>
      </w:r>
      <w:r>
        <w:rPr>
          <w:rFonts w:cs="Times New Roman"/>
          <w:color w:val="auto"/>
          <w:highlight w:val="none"/>
          <w:vertAlign w:val="subscript"/>
        </w:rPr>
        <w:t>0</w:t>
      </w:r>
      <w:r>
        <w:rPr>
          <w:rFonts w:cs="Times New Roman"/>
          <w:color w:val="auto"/>
          <w:highlight w:val="none"/>
        </w:rPr>
        <w:t>――剪力墙两侧边界构件的中心距（m）。</w:t>
      </w:r>
    </w:p>
    <w:p w14:paraId="6A8E2368">
      <w:pPr>
        <w:pStyle w:val="50"/>
        <w:ind w:firstLine="0" w:firstLineChars="0"/>
        <w:rPr>
          <w:color w:val="auto"/>
          <w:highlight w:val="none"/>
        </w:rPr>
      </w:pPr>
      <w:r>
        <w:rPr>
          <w:rFonts w:hint="eastAsia"/>
          <w:color w:val="auto"/>
          <w:highlight w:val="none"/>
        </w:rPr>
        <w:t>【条文说明】6.3.5</w:t>
      </w:r>
      <w:r>
        <w:rPr>
          <w:color w:val="auto"/>
          <w:highlight w:val="none"/>
        </w:rPr>
        <w:t>剪力墙平面内的弯矩由剪力墙两端的边界墙骨柱承受。在验算受拉边界构件时，当上拔力大于重力荷载时，应设置抗拔紧固件将上拔力传递到下部结构</w:t>
      </w:r>
      <w:r>
        <w:rPr>
          <w:rFonts w:hint="eastAsia"/>
          <w:color w:val="auto"/>
          <w:highlight w:val="none"/>
        </w:rPr>
        <w:t>；</w:t>
      </w:r>
      <w:r>
        <w:rPr>
          <w:color w:val="auto"/>
          <w:highlight w:val="none"/>
        </w:rPr>
        <w:t>在验算受压边界构件时，应考虑上部结构传来的</w:t>
      </w:r>
      <w:r>
        <w:rPr>
          <w:rFonts w:hint="eastAsia"/>
          <w:color w:val="auto"/>
          <w:highlight w:val="none"/>
        </w:rPr>
        <w:t>竖</w:t>
      </w:r>
      <w:r>
        <w:rPr>
          <w:color w:val="auto"/>
          <w:highlight w:val="none"/>
        </w:rPr>
        <w:t>向力与平面外荷载的共同作用。</w:t>
      </w:r>
    </w:p>
    <w:p w14:paraId="21031BCF">
      <w:pPr>
        <w:rPr>
          <w:color w:val="auto"/>
          <w:highlight w:val="none"/>
        </w:rPr>
      </w:pPr>
    </w:p>
    <w:p w14:paraId="136F270C">
      <w:pPr>
        <w:pStyle w:val="4"/>
        <w:rPr>
          <w:color w:val="auto"/>
          <w:highlight w:val="none"/>
        </w:rPr>
      </w:pPr>
      <w:r>
        <w:rPr>
          <w:rFonts w:hint="eastAsia"/>
          <w:b/>
          <w:bCs/>
          <w:color w:val="auto"/>
          <w:highlight w:val="none"/>
          <w:lang w:eastAsia="zh-CN"/>
        </w:rPr>
        <w:t>6.3.6</w:t>
      </w:r>
      <w:r>
        <w:rPr>
          <w:b/>
          <w:bCs/>
          <w:color w:val="auto"/>
          <w:highlight w:val="none"/>
        </w:rPr>
        <w:t xml:space="preserve"> </w:t>
      </w:r>
      <w:r>
        <w:rPr>
          <w:rFonts w:hint="eastAsia"/>
          <w:color w:val="auto"/>
          <w:highlight w:val="none"/>
          <w:lang w:eastAsia="zh-CN"/>
        </w:rPr>
        <w:t xml:space="preserve"> </w:t>
      </w:r>
      <w:r>
        <w:rPr>
          <w:rFonts w:hint="eastAsia" w:cs="Times New Roman"/>
          <w:color w:val="auto"/>
          <w:highlight w:val="none"/>
        </w:rPr>
        <w:t>轻型木结构</w:t>
      </w:r>
      <w:r>
        <w:rPr>
          <w:color w:val="auto"/>
          <w:highlight w:val="none"/>
        </w:rPr>
        <w:t>剪力墙边界杆件在长度上宜连续。当中间断开时，应采取能够抵抗所承担轴向力的加强连接措施。剪力墙的覆面板不应作为边界杆件的连接板。</w:t>
      </w:r>
    </w:p>
    <w:p w14:paraId="77D742D1">
      <w:pPr>
        <w:pStyle w:val="4"/>
        <w:rPr>
          <w:rFonts w:cs="Times New Roman"/>
          <w:color w:val="auto"/>
          <w:highlight w:val="none"/>
        </w:rPr>
      </w:pPr>
      <w:r>
        <w:rPr>
          <w:rFonts w:hint="eastAsia" w:cs="Times New Roman"/>
          <w:b/>
          <w:bCs/>
          <w:color w:val="auto"/>
          <w:highlight w:val="none"/>
          <w:lang w:eastAsia="zh-CN"/>
        </w:rPr>
        <w:t>6.3.</w:t>
      </w:r>
      <w:r>
        <w:rPr>
          <w:rFonts w:cs="Times New Roman"/>
          <w:b/>
          <w:bCs/>
          <w:color w:val="auto"/>
          <w:highlight w:val="none"/>
        </w:rPr>
        <w:t xml:space="preserve">7 </w:t>
      </w:r>
      <w:r>
        <w:rPr>
          <w:rFonts w:hint="eastAsia" w:cs="Times New Roman"/>
          <w:b/>
          <w:bCs/>
          <w:color w:val="auto"/>
          <w:highlight w:val="none"/>
          <w:lang w:eastAsia="zh-CN"/>
        </w:rPr>
        <w:t xml:space="preserve"> </w:t>
      </w:r>
      <w:r>
        <w:rPr>
          <w:rFonts w:cs="Times New Roman"/>
          <w:color w:val="auto"/>
          <w:highlight w:val="none"/>
        </w:rPr>
        <w:t>钉连接的单面覆板剪力墙顶部的水平位移应按下式计算：</w:t>
      </w:r>
    </w:p>
    <w:p w14:paraId="565C5DC3">
      <w:pPr>
        <w:wordWrap w:val="0"/>
        <w:autoSpaceDE w:val="0"/>
        <w:autoSpaceDN w:val="0"/>
        <w:spacing w:line="480" w:lineRule="auto"/>
        <w:ind w:firstLine="960" w:firstLineChars="400"/>
        <w:jc w:val="right"/>
        <w:rPr>
          <w:rFonts w:hAnsi="Cambria Math" w:cs="Times New Roman"/>
          <w:iCs/>
          <w:color w:val="auto"/>
          <w:highlight w:val="none"/>
          <w:lang w:eastAsia="zh-CN"/>
        </w:rPr>
      </w:pPr>
      <m:oMath>
        <m:r>
          <m:rPr/>
          <w:rPr>
            <w:rFonts w:ascii="Cambria Math" w:hAnsi="Cambria Math" w:cs="Cambria Math"/>
            <w:color w:val="auto"/>
            <w:highlight w:val="none"/>
            <w:lang w:eastAsia="zh-CN"/>
          </w:rPr>
          <m:t>Δ</m:t>
        </m:r>
        <m:r>
          <m:rPr/>
          <w:rPr>
            <w:rFonts w:hint="eastAsia" w:ascii="Cambria Math" w:hAnsi="Cambria Math" w:cs="Times New Roman"/>
            <w:color w:val="auto"/>
            <w:highlight w:val="none"/>
            <w:lang w:eastAsia="zh-CN"/>
          </w:rPr>
          <m:t>=</m:t>
        </m:r>
        <m:f>
          <m:fPr>
            <m:ctrlPr>
              <w:rPr>
                <w:rFonts w:hint="eastAsia" w:ascii="Cambria Math" w:hAnsi="Cambria Math" w:cs="Times New Roman"/>
                <w:i/>
                <w:iCs/>
                <w:color w:val="auto"/>
                <w:highlight w:val="none"/>
                <w:lang w:eastAsia="zh-CN"/>
              </w:rPr>
            </m:ctrlPr>
          </m:fPr>
          <m:num>
            <m:r>
              <m:rPr/>
              <w:rPr>
                <w:rFonts w:ascii="Cambria Math" w:hAnsi="Cambria Math" w:cs="Times New Roman"/>
                <w:color w:val="auto"/>
                <w:highlight w:val="none"/>
                <w:lang w:eastAsia="zh-CN"/>
              </w:rPr>
              <m:t>V</m:t>
            </m:r>
            <m:sSubSup>
              <m:sSubSupPr>
                <m:ctrlPr>
                  <w:rPr>
                    <w:rFonts w:ascii="Cambria Math" w:hAnsi="Cambria Math" w:cs="Times New Roman"/>
                    <w:i/>
                    <w:iCs/>
                    <w:color w:val="auto"/>
                    <w:highlight w:val="none"/>
                    <w:lang w:eastAsia="zh-CN"/>
                  </w:rPr>
                </m:ctrlPr>
              </m:sSubSupPr>
              <m:e>
                <m:r>
                  <m:rPr/>
                  <w:rPr>
                    <w:rFonts w:ascii="Cambria Math" w:hAnsi="Cambria Math" w:cs="Times New Roman"/>
                    <w:color w:val="auto"/>
                    <w:highlight w:val="none"/>
                    <w:lang w:eastAsia="zh-CN"/>
                  </w:rPr>
                  <m:t>H</m:t>
                </m:r>
                <m:ctrlPr>
                  <w:rPr>
                    <w:rFonts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w</m:t>
                </m:r>
                <m:ctrlPr>
                  <w:rPr>
                    <w:rFonts w:ascii="Cambria Math" w:hAnsi="Cambria Math" w:cs="Times New Roman"/>
                    <w:i/>
                    <w:iCs/>
                    <w:color w:val="auto"/>
                    <w:highlight w:val="none"/>
                    <w:lang w:eastAsia="zh-CN"/>
                  </w:rPr>
                </m:ctrlPr>
              </m:sub>
              <m:sup>
                <m:r>
                  <m:rPr/>
                  <w:rPr>
                    <w:rFonts w:ascii="Cambria Math" w:hAnsi="Cambria Math" w:cs="Times New Roman"/>
                    <w:color w:val="auto"/>
                    <w:highlight w:val="none"/>
                    <w:lang w:eastAsia="zh-CN"/>
                  </w:rPr>
                  <m:t>3</m:t>
                </m:r>
                <m:ctrlPr>
                  <w:rPr>
                    <w:rFonts w:ascii="Cambria Math" w:hAnsi="Cambria Math" w:cs="Times New Roman"/>
                    <w:i/>
                    <w:iCs/>
                    <w:color w:val="auto"/>
                    <w:highlight w:val="none"/>
                    <w:lang w:eastAsia="zh-CN"/>
                  </w:rPr>
                </m:ctrlPr>
              </m:sup>
            </m:sSubSup>
            <m:ctrlPr>
              <w:rPr>
                <w:rFonts w:hint="eastAsia" w:ascii="Cambria Math" w:hAnsi="Cambria Math" w:cs="Times New Roman"/>
                <w:i/>
                <w:iCs/>
                <w:color w:val="auto"/>
                <w:highlight w:val="none"/>
                <w:lang w:eastAsia="zh-CN"/>
              </w:rPr>
            </m:ctrlPr>
          </m:num>
          <m:den>
            <m:r>
              <m:rPr/>
              <w:rPr>
                <w:rFonts w:ascii="Cambria Math" w:hAnsi="Cambria Math" w:cs="Times New Roman"/>
                <w:color w:val="auto"/>
                <w:highlight w:val="none"/>
                <w:lang w:eastAsia="zh-CN"/>
              </w:rPr>
              <m:t>3EI</m:t>
            </m:r>
            <m:ctrlPr>
              <w:rPr>
                <w:rFonts w:hint="eastAsia" w:ascii="Cambria Math" w:hAnsi="Cambria Math" w:cs="Times New Roman"/>
                <w:i/>
                <w:iCs/>
                <w:color w:val="auto"/>
                <w:highlight w:val="none"/>
                <w:lang w:eastAsia="zh-CN"/>
              </w:rPr>
            </m:ctrlPr>
          </m:den>
        </m:f>
        <m:r>
          <m:rPr/>
          <w:rPr>
            <w:rFonts w:ascii="Cambria Math" w:hAnsi="Cambria Math" w:cs="Times New Roman"/>
            <w:color w:val="auto"/>
            <w:highlight w:val="none"/>
            <w:lang w:eastAsia="zh-CN"/>
          </w:rPr>
          <m:t>+</m:t>
        </m:r>
        <m:f>
          <m:fPr>
            <m:ctrlPr>
              <w:rPr>
                <w:rFonts w:hint="eastAsia" w:ascii="Cambria Math" w:hAnsi="Cambria Math" w:cs="Times New Roman"/>
                <w:i/>
                <w:iCs/>
                <w:color w:val="auto"/>
                <w:highlight w:val="none"/>
                <w:lang w:eastAsia="zh-CN"/>
              </w:rPr>
            </m:ctrlPr>
          </m:fPr>
          <m:num>
            <m:r>
              <m:rPr/>
              <w:rPr>
                <w:rFonts w:ascii="Cambria Math" w:hAnsi="Cambria Math" w:cs="Times New Roman"/>
                <w:color w:val="auto"/>
                <w:highlight w:val="none"/>
                <w:lang w:eastAsia="zh-CN"/>
              </w:rPr>
              <m:t>V</m:t>
            </m:r>
            <m:sSubSup>
              <m:sSubSupPr>
                <m:ctrlPr>
                  <w:rPr>
                    <w:rFonts w:ascii="Cambria Math" w:hAnsi="Cambria Math" w:cs="Times New Roman"/>
                    <w:i/>
                    <w:iCs/>
                    <w:color w:val="auto"/>
                    <w:highlight w:val="none"/>
                    <w:lang w:eastAsia="zh-CN"/>
                  </w:rPr>
                </m:ctrlPr>
              </m:sSubSupPr>
              <m:e>
                <m:r>
                  <m:rPr/>
                  <w:rPr>
                    <w:rFonts w:ascii="Cambria Math" w:hAnsi="Cambria Math" w:cs="Times New Roman"/>
                    <w:color w:val="auto"/>
                    <w:highlight w:val="none"/>
                    <w:lang w:eastAsia="zh-CN"/>
                  </w:rPr>
                  <m:t>H</m:t>
                </m:r>
                <m:ctrlPr>
                  <w:rPr>
                    <w:rFonts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w</m:t>
                </m:r>
                <m:ctrlPr>
                  <w:rPr>
                    <w:rFonts w:ascii="Cambria Math" w:hAnsi="Cambria Math" w:cs="Times New Roman"/>
                    <w:i/>
                    <w:iCs/>
                    <w:color w:val="auto"/>
                    <w:highlight w:val="none"/>
                    <w:lang w:eastAsia="zh-CN"/>
                  </w:rPr>
                </m:ctrlPr>
              </m:sub>
              <m:sup>
                <m:r>
                  <m:rPr/>
                  <w:rPr>
                    <w:rFonts w:ascii="Cambria Math" w:hAnsi="Cambria Math" w:cs="Times New Roman"/>
                    <w:color w:val="auto"/>
                    <w:highlight w:val="none"/>
                    <w:lang w:eastAsia="zh-CN"/>
                  </w:rPr>
                  <m:t>2</m:t>
                </m:r>
                <m:ctrlPr>
                  <w:rPr>
                    <w:rFonts w:ascii="Cambria Math" w:hAnsi="Cambria Math" w:cs="Times New Roman"/>
                    <w:i/>
                    <w:iCs/>
                    <w:color w:val="auto"/>
                    <w:highlight w:val="none"/>
                    <w:lang w:eastAsia="zh-CN"/>
                  </w:rPr>
                </m:ctrlPr>
              </m:sup>
            </m:sSubSup>
            <m:ctrlPr>
              <w:rPr>
                <w:rFonts w:hint="eastAsia" w:ascii="Cambria Math" w:hAnsi="Cambria Math" w:cs="Times New Roman"/>
                <w:i/>
                <w:iCs/>
                <w:color w:val="auto"/>
                <w:highlight w:val="none"/>
                <w:lang w:eastAsia="zh-CN"/>
              </w:rPr>
            </m:ctrlPr>
          </m:num>
          <m:den>
            <m:r>
              <m:rPr/>
              <w:rPr>
                <w:rFonts w:ascii="Cambria Math" w:hAnsi="Cambria Math" w:cs="Times New Roman"/>
                <w:color w:val="auto"/>
                <w:highlight w:val="none"/>
                <w:lang w:eastAsia="zh-CN"/>
              </w:rPr>
              <m:t>2EI</m:t>
            </m:r>
            <m:ctrlPr>
              <w:rPr>
                <w:rFonts w:hint="eastAsia" w:ascii="Cambria Math" w:hAnsi="Cambria Math" w:cs="Times New Roman"/>
                <w:i/>
                <w:iCs/>
                <w:color w:val="auto"/>
                <w:highlight w:val="none"/>
                <w:lang w:eastAsia="zh-CN"/>
              </w:rPr>
            </m:ctrlPr>
          </m:den>
        </m:f>
        <m:r>
          <m:rPr/>
          <w:rPr>
            <w:rFonts w:ascii="Cambria Math" w:hAnsi="Cambria Math" w:cs="Times New Roman"/>
            <w:color w:val="auto"/>
            <w:highlight w:val="none"/>
            <w:lang w:eastAsia="zh-CN"/>
          </w:rPr>
          <m:t>+</m:t>
        </m:r>
        <m:f>
          <m:fPr>
            <m:ctrlPr>
              <w:rPr>
                <w:rFonts w:hint="eastAsia" w:ascii="Cambria Math" w:hAnsi="Cambria Math" w:cs="Times New Roman"/>
                <w:i/>
                <w:iCs/>
                <w:color w:val="auto"/>
                <w:highlight w:val="none"/>
                <w:lang w:eastAsia="zh-CN"/>
              </w:rPr>
            </m:ctrlPr>
          </m:fPr>
          <m:num>
            <m:r>
              <m:rPr/>
              <w:rPr>
                <w:rFonts w:ascii="Cambria Math" w:hAnsi="Cambria Math" w:cs="Times New Roman"/>
                <w:color w:val="auto"/>
                <w:highlight w:val="none"/>
                <w:lang w:eastAsia="zh-CN"/>
              </w:rPr>
              <m:t>V</m:t>
            </m:r>
            <m:sSub>
              <m:sSubPr>
                <m:ctrlPr>
                  <w:rPr>
                    <w:rFonts w:ascii="Cambria Math" w:hAnsi="Cambria Math" w:cs="Times New Roman"/>
                    <w:i/>
                    <w:iCs/>
                    <w:color w:val="auto"/>
                    <w:highlight w:val="none"/>
                    <w:lang w:eastAsia="zh-CN"/>
                  </w:rPr>
                </m:ctrlPr>
              </m:sSubPr>
              <m:e>
                <m:r>
                  <m:rPr/>
                  <w:rPr>
                    <w:rFonts w:ascii="Cambria Math" w:hAnsi="Cambria Math" w:cs="Times New Roman"/>
                    <w:color w:val="auto"/>
                    <w:highlight w:val="none"/>
                    <w:lang w:eastAsia="zh-CN"/>
                  </w:rPr>
                  <m:t>H</m:t>
                </m:r>
                <m:ctrlPr>
                  <w:rPr>
                    <w:rFonts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w</m:t>
                </m:r>
                <m:ctrlPr>
                  <w:rPr>
                    <w:rFonts w:ascii="Cambria Math" w:hAnsi="Cambria Math" w:cs="Times New Roman"/>
                    <w:i/>
                    <w:iCs/>
                    <w:color w:val="auto"/>
                    <w:highlight w:val="none"/>
                    <w:lang w:eastAsia="zh-CN"/>
                  </w:rPr>
                </m:ctrlPr>
              </m:sub>
            </m:sSub>
            <m:ctrlPr>
              <w:rPr>
                <w:rFonts w:hint="eastAsia" w:ascii="Cambria Math" w:hAnsi="Cambria Math" w:cs="Times New Roman"/>
                <w:i/>
                <w:iCs/>
                <w:color w:val="auto"/>
                <w:highlight w:val="none"/>
                <w:lang w:eastAsia="zh-CN"/>
              </w:rPr>
            </m:ctrlPr>
          </m:num>
          <m:den>
            <m:r>
              <m:rPr/>
              <w:rPr>
                <w:rFonts w:ascii="Cambria Math" w:hAnsi="Cambria Math" w:cs="Times New Roman"/>
                <w:color w:val="auto"/>
                <w:highlight w:val="none"/>
                <w:lang w:eastAsia="zh-CN"/>
              </w:rPr>
              <m:t>2EI</m:t>
            </m:r>
            <m:ctrlPr>
              <w:rPr>
                <w:rFonts w:hint="eastAsia" w:ascii="Cambria Math" w:hAnsi="Cambria Math" w:cs="Times New Roman"/>
                <w:i/>
                <w:iCs/>
                <w:color w:val="auto"/>
                <w:highlight w:val="none"/>
                <w:lang w:eastAsia="zh-CN"/>
              </w:rPr>
            </m:ctrlPr>
          </m:den>
        </m:f>
        <m:r>
          <m:rPr/>
          <w:rPr>
            <w:rFonts w:ascii="Cambria Math" w:hAnsi="Cambria Math" w:cs="Times New Roman"/>
            <w:color w:val="auto"/>
            <w:highlight w:val="none"/>
            <w:lang w:eastAsia="zh-CN"/>
          </w:rPr>
          <m:t>+</m:t>
        </m:r>
        <m:f>
          <m:fPr>
            <m:ctrlPr>
              <w:rPr>
                <w:rFonts w:ascii="Cambria Math" w:hAnsi="Cambria Math" w:cs="Times New Roman"/>
                <w:i/>
                <w:iCs/>
                <w:color w:val="auto"/>
                <w:highlight w:val="none"/>
                <w:lang w:eastAsia="zh-CN"/>
              </w:rPr>
            </m:ctrlPr>
          </m:fPr>
          <m:num>
            <m:sSub>
              <m:sSubPr>
                <m:ctrlPr>
                  <w:rPr>
                    <w:rFonts w:ascii="Cambria Math" w:hAnsi="Cambria Math" w:cs="Times New Roman"/>
                    <w:i/>
                    <w:iCs/>
                    <w:color w:val="auto"/>
                    <w:highlight w:val="none"/>
                    <w:lang w:eastAsia="zh-CN"/>
                  </w:rPr>
                </m:ctrlPr>
              </m:sSubPr>
              <m:e>
                <m:r>
                  <m:rPr/>
                  <w:rPr>
                    <w:rFonts w:ascii="Cambria Math" w:hAnsi="Cambria Math" w:cs="Times New Roman"/>
                    <w:color w:val="auto"/>
                    <w:highlight w:val="none"/>
                    <w:lang w:eastAsia="zh-CN"/>
                  </w:rPr>
                  <m:t>H</m:t>
                </m:r>
                <m:ctrlPr>
                  <w:rPr>
                    <w:rFonts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w</m:t>
                </m:r>
                <m:ctrlPr>
                  <w:rPr>
                    <w:rFonts w:ascii="Cambria Math" w:hAnsi="Cambria Math" w:cs="Times New Roman"/>
                    <w:i/>
                    <w:iCs/>
                    <w:color w:val="auto"/>
                    <w:highlight w:val="none"/>
                    <w:lang w:eastAsia="zh-CN"/>
                  </w:rPr>
                </m:ctrlPr>
              </m:sub>
            </m:sSub>
            <m:sSub>
              <m:sSubPr>
                <m:ctrlPr>
                  <w:rPr>
                    <w:rFonts w:ascii="Cambria Math" w:hAnsi="Cambria Math" w:cs="Times New Roman"/>
                    <w:i/>
                    <w:iCs/>
                    <w:color w:val="auto"/>
                    <w:highlight w:val="none"/>
                    <w:lang w:eastAsia="zh-CN"/>
                  </w:rPr>
                </m:ctrlPr>
              </m:sSubPr>
              <m:e>
                <m:r>
                  <m:rPr/>
                  <w:rPr>
                    <w:rFonts w:ascii="Cambria Math" w:hAnsi="Cambria Math" w:cs="Times New Roman"/>
                    <w:color w:val="auto"/>
                    <w:highlight w:val="none"/>
                    <w:lang w:eastAsia="zh-CN"/>
                  </w:rPr>
                  <m:t>d</m:t>
                </m:r>
                <m:ctrlPr>
                  <w:rPr>
                    <w:rFonts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a</m:t>
                </m:r>
                <m:ctrlPr>
                  <w:rPr>
                    <w:rFonts w:ascii="Cambria Math" w:hAnsi="Cambria Math" w:cs="Times New Roman"/>
                    <w:i/>
                    <w:iCs/>
                    <w:color w:val="auto"/>
                    <w:highlight w:val="none"/>
                    <w:lang w:eastAsia="zh-CN"/>
                  </w:rPr>
                </m:ctrlPr>
              </m:sub>
            </m:sSub>
            <m:ctrlPr>
              <w:rPr>
                <w:rFonts w:ascii="Cambria Math" w:hAnsi="Cambria Math" w:cs="Times New Roman"/>
                <w:i/>
                <w:iCs/>
                <w:color w:val="auto"/>
                <w:highlight w:val="none"/>
                <w:lang w:eastAsia="zh-CN"/>
              </w:rPr>
            </m:ctrlPr>
          </m:num>
          <m:den>
            <m:r>
              <m:rPr/>
              <w:rPr>
                <w:rFonts w:ascii="Cambria Math" w:hAnsi="Cambria Math" w:cs="Times New Roman"/>
                <w:color w:val="auto"/>
                <w:highlight w:val="none"/>
                <w:lang w:eastAsia="zh-CN"/>
              </w:rPr>
              <m:t>L</m:t>
            </m:r>
            <m:ctrlPr>
              <w:rPr>
                <w:rFonts w:ascii="Cambria Math" w:hAnsi="Cambria Math" w:cs="Times New Roman"/>
                <w:i/>
                <w:iCs/>
                <w:color w:val="auto"/>
                <w:highlight w:val="none"/>
                <w:lang w:eastAsia="zh-CN"/>
              </w:rPr>
            </m:ctrlPr>
          </m:den>
        </m:f>
        <m:r>
          <m:rPr/>
          <w:rPr>
            <w:rFonts w:ascii="Cambria Math" w:hAnsi="Cambria Math" w:cs="Times New Roman"/>
            <w:color w:val="auto"/>
            <w:highlight w:val="none"/>
            <w:lang w:eastAsia="zh-CN"/>
          </w:rPr>
          <m:t>+</m:t>
        </m:r>
        <m:sSub>
          <m:sSubPr>
            <m:ctrlPr>
              <w:rPr>
                <w:rFonts w:ascii="Cambria Math" w:hAnsi="Cambria Math" w:cs="Times New Roman"/>
                <w:i/>
                <w:iCs/>
                <w:color w:val="auto"/>
                <w:highlight w:val="none"/>
                <w:lang w:eastAsia="zh-CN"/>
              </w:rPr>
            </m:ctrlPr>
          </m:sSubPr>
          <m:e>
            <m:r>
              <m:rPr/>
              <w:rPr>
                <w:rFonts w:ascii="Cambria Math" w:hAnsi="Cambria Math" w:cs="Arial"/>
                <w:color w:val="auto"/>
                <w:highlight w:val="none"/>
                <w:lang w:eastAsia="zh-CN"/>
              </w:rPr>
              <m:t>θ</m:t>
            </m:r>
            <m:ctrlPr>
              <w:rPr>
                <w:rFonts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i</m:t>
            </m:r>
            <m:ctrlPr>
              <w:rPr>
                <w:rFonts w:ascii="Cambria Math" w:hAnsi="Cambria Math" w:cs="Times New Roman"/>
                <w:i/>
                <w:iCs/>
                <w:color w:val="auto"/>
                <w:highlight w:val="none"/>
                <w:lang w:eastAsia="zh-CN"/>
              </w:rPr>
            </m:ctrlPr>
          </m:sub>
        </m:sSub>
        <m:r>
          <m:rPr/>
          <w:rPr>
            <w:rFonts w:hint="eastAsia" w:ascii="Cambria Math" w:hAnsi="Cambria Math" w:cs="Times New Roman"/>
            <w:color w:val="auto"/>
            <w:highlight w:val="none"/>
            <w:lang w:eastAsia="zh-CN"/>
          </w:rPr>
          <m:t>·</m:t>
        </m:r>
        <m:sSub>
          <m:sSubPr>
            <m:ctrlPr>
              <w:rPr>
                <w:rFonts w:hint="eastAsia" w:ascii="Cambria Math" w:hAnsi="Cambria Math" w:cs="Times New Roman"/>
                <w:i/>
                <w:iCs/>
                <w:color w:val="auto"/>
                <w:highlight w:val="none"/>
                <w:lang w:eastAsia="zh-CN"/>
              </w:rPr>
            </m:ctrlPr>
          </m:sSubPr>
          <m:e>
            <m:r>
              <m:rPr/>
              <w:rPr>
                <w:rFonts w:ascii="Cambria Math" w:hAnsi="Cambria Math" w:cs="Times New Roman"/>
                <w:color w:val="auto"/>
                <w:highlight w:val="none"/>
                <w:lang w:eastAsia="zh-CN"/>
              </w:rPr>
              <m:t>H</m:t>
            </m:r>
            <m:ctrlPr>
              <w:rPr>
                <w:rFonts w:hint="eastAsia" w:ascii="Cambria Math" w:hAnsi="Cambria Math" w:cs="Times New Roman"/>
                <w:i/>
                <w:iCs/>
                <w:color w:val="auto"/>
                <w:highlight w:val="none"/>
                <w:lang w:eastAsia="zh-CN"/>
              </w:rPr>
            </m:ctrlPr>
          </m:e>
          <m:sub>
            <m:r>
              <m:rPr/>
              <w:rPr>
                <w:rFonts w:ascii="Cambria Math" w:hAnsi="Cambria Math" w:cs="Times New Roman"/>
                <w:color w:val="auto"/>
                <w:highlight w:val="none"/>
                <w:lang w:eastAsia="zh-CN"/>
              </w:rPr>
              <m:t>w</m:t>
            </m:r>
            <m:ctrlPr>
              <w:rPr>
                <w:rFonts w:hint="eastAsia" w:ascii="Cambria Math" w:hAnsi="Cambria Math" w:cs="Times New Roman"/>
                <w:i/>
                <w:iCs/>
                <w:color w:val="auto"/>
                <w:highlight w:val="none"/>
                <w:lang w:eastAsia="zh-CN"/>
              </w:rPr>
            </m:ctrlPr>
          </m:sub>
        </m:sSub>
      </m:oMath>
      <w:r>
        <w:rPr>
          <w:rFonts w:hint="eastAsia" w:hAnsi="Cambria Math" w:cs="Times New Roman"/>
          <w:iCs/>
          <w:color w:val="auto"/>
          <w:highlight w:val="none"/>
          <w:lang w:eastAsia="zh-CN"/>
        </w:rPr>
        <w:t xml:space="preserve">                   (</w:t>
      </w:r>
      <w:r>
        <w:rPr>
          <w:rFonts w:hint="eastAsia" w:cs="Times New Roman"/>
          <w:color w:val="auto"/>
          <w:highlight w:val="none"/>
          <w:lang w:eastAsia="zh-CN"/>
        </w:rPr>
        <w:t>6.3.</w:t>
      </w:r>
      <w:r>
        <w:rPr>
          <w:rFonts w:cs="Times New Roman"/>
          <w:color w:val="auto"/>
          <w:highlight w:val="none"/>
        </w:rPr>
        <w:t>7)</w:t>
      </w:r>
    </w:p>
    <w:p w14:paraId="440664F7">
      <w:pPr>
        <w:ind w:firstLine="420"/>
        <w:rPr>
          <w:rFonts w:cs="Times New Roman"/>
          <w:color w:val="auto"/>
          <w:highlight w:val="none"/>
        </w:rPr>
      </w:pPr>
      <w:r>
        <w:rPr>
          <w:rFonts w:cs="Times New Roman"/>
          <w:color w:val="auto"/>
          <w:highlight w:val="none"/>
        </w:rPr>
        <w:t>式中：</w:t>
      </w:r>
      <m:oMath>
        <m:r>
          <m:rPr/>
          <w:rPr>
            <w:rFonts w:ascii="Cambria Math" w:hAnsi="Cambria Math" w:cs="Cambria Math"/>
            <w:color w:val="auto"/>
            <w:highlight w:val="none"/>
            <w:lang w:eastAsia="zh-CN"/>
          </w:rPr>
          <m:t>Δ</m:t>
        </m:r>
      </m:oMath>
      <w:r>
        <w:rPr>
          <w:rFonts w:cs="Times New Roman"/>
          <w:color w:val="auto"/>
          <w:highlight w:val="none"/>
        </w:rPr>
        <w:t>――剪力墙顶部位移总和（</w:t>
      </w:r>
      <w:r>
        <w:rPr>
          <w:rFonts w:hint="eastAsia" w:cs="Times New Roman"/>
          <w:color w:val="auto"/>
          <w:highlight w:val="none"/>
          <w:lang w:eastAsia="zh-CN"/>
        </w:rPr>
        <w:t>㎜</w:t>
      </w:r>
      <w:r>
        <w:rPr>
          <w:rFonts w:cs="Times New Roman"/>
          <w:color w:val="auto"/>
          <w:highlight w:val="none"/>
        </w:rPr>
        <w:t>）；</w:t>
      </w:r>
    </w:p>
    <w:p w14:paraId="2C4F4EA8">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cs="Times New Roman"/>
          <w:i/>
          <w:iCs/>
          <w:color w:val="auto"/>
          <w:highlight w:val="none"/>
        </w:rPr>
        <w:t>V</w:t>
      </w:r>
      <w:r>
        <w:rPr>
          <w:rFonts w:cs="Times New Roman"/>
          <w:color w:val="auto"/>
          <w:highlight w:val="none"/>
        </w:rPr>
        <w:t>――剪力墙顶部最大剪力设计值（N）；</w:t>
      </w:r>
    </w:p>
    <w:p w14:paraId="32A07AEA">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cs="Times New Roman"/>
          <w:i/>
          <w:iCs/>
          <w:color w:val="auto"/>
          <w:highlight w:val="none"/>
        </w:rPr>
        <w:t>M</w:t>
      </w:r>
      <w:r>
        <w:rPr>
          <w:rFonts w:cs="Times New Roman"/>
          <w:color w:val="auto"/>
          <w:highlight w:val="none"/>
        </w:rPr>
        <w:t>――剪力墙顶部最大弯矩设计值（N</w:t>
      </w:r>
      <w:r>
        <w:rPr>
          <w:rFonts w:eastAsia="微软雅黑" w:cs="Times New Roman"/>
          <w:color w:val="auto"/>
          <w:highlight w:val="none"/>
        </w:rPr>
        <w:t>・</w:t>
      </w:r>
      <w:r>
        <w:rPr>
          <w:rFonts w:hint="eastAsia" w:eastAsia="微软雅黑" w:cs="Times New Roman"/>
          <w:color w:val="auto"/>
          <w:highlight w:val="none"/>
          <w:lang w:eastAsia="zh-CN"/>
        </w:rPr>
        <w:t>㎜</w:t>
      </w:r>
      <w:r>
        <w:rPr>
          <w:rFonts w:cs="Times New Roman"/>
          <w:color w:val="auto"/>
          <w:highlight w:val="none"/>
        </w:rPr>
        <w:t>）；</w:t>
      </w:r>
    </w:p>
    <w:p w14:paraId="3A208336">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cs="Times New Roman"/>
          <w:i/>
          <w:iCs/>
          <w:color w:val="auto"/>
          <w:highlight w:val="none"/>
        </w:rPr>
        <w:t>H</w:t>
      </w:r>
      <w:r>
        <w:rPr>
          <w:rFonts w:cs="Times New Roman"/>
          <w:i/>
          <w:iCs/>
          <w:color w:val="auto"/>
          <w:highlight w:val="none"/>
          <w:vertAlign w:val="subscript"/>
        </w:rPr>
        <w:t>w</w:t>
      </w:r>
      <w:r>
        <w:rPr>
          <w:rFonts w:cs="Times New Roman"/>
          <w:color w:val="auto"/>
          <w:highlight w:val="none"/>
        </w:rPr>
        <w:t>――剪力墙高度（</w:t>
      </w:r>
      <w:r>
        <w:rPr>
          <w:rFonts w:hint="eastAsia" w:cs="Times New Roman"/>
          <w:color w:val="auto"/>
          <w:highlight w:val="none"/>
          <w:lang w:eastAsia="zh-CN"/>
        </w:rPr>
        <w:t>㎜</w:t>
      </w:r>
      <w:r>
        <w:rPr>
          <w:rFonts w:cs="Times New Roman"/>
          <w:color w:val="auto"/>
          <w:highlight w:val="none"/>
        </w:rPr>
        <w:t>）；</w:t>
      </w:r>
    </w:p>
    <w:p w14:paraId="6C93E1F6">
      <w:pPr>
        <w:ind w:firstLine="420"/>
        <w:rPr>
          <w:rFonts w:cs="Times New Roman"/>
          <w:color w:val="auto"/>
          <w:highlight w:val="none"/>
          <w:lang w:eastAsia="zh-CN"/>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cs="Times New Roman"/>
          <w:i/>
          <w:iCs/>
          <w:color w:val="auto"/>
          <w:highlight w:val="none"/>
        </w:rPr>
        <w:t>I</w:t>
      </w:r>
      <w:r>
        <w:rPr>
          <w:rFonts w:cs="Times New Roman"/>
          <w:color w:val="auto"/>
          <w:highlight w:val="none"/>
        </w:rPr>
        <w:t>――</w:t>
      </w:r>
      <w:r>
        <w:rPr>
          <w:rFonts w:cs="Times New Roman"/>
          <w:color w:val="auto"/>
          <w:highlight w:val="none"/>
          <w:lang w:eastAsia="zh-CN"/>
        </w:rPr>
        <w:t>剪力墙</w:t>
      </w:r>
      <w:r>
        <w:rPr>
          <w:rFonts w:hint="eastAsia" w:cs="Times New Roman"/>
          <w:color w:val="auto"/>
          <w:highlight w:val="none"/>
          <w:lang w:eastAsia="zh-CN"/>
        </w:rPr>
        <w:t>转动</w:t>
      </w:r>
      <w:r>
        <w:rPr>
          <w:rFonts w:cs="Times New Roman"/>
          <w:color w:val="auto"/>
          <w:highlight w:val="none"/>
          <w:lang w:eastAsia="zh-CN"/>
        </w:rPr>
        <w:t>惯性矩（</w:t>
      </w:r>
      <w:r>
        <w:rPr>
          <w:rFonts w:hint="eastAsia" w:cs="Times New Roman"/>
          <w:color w:val="auto"/>
          <w:highlight w:val="none"/>
          <w:lang w:eastAsia="zh-CN"/>
        </w:rPr>
        <w:t>㎜</w:t>
      </w:r>
      <w:r>
        <w:rPr>
          <w:rFonts w:cs="Times New Roman"/>
          <w:color w:val="auto"/>
          <w:highlight w:val="none"/>
          <w:vertAlign w:val="superscript"/>
          <w:lang w:eastAsia="zh-CN"/>
        </w:rPr>
        <w:t>4</w:t>
      </w:r>
      <w:r>
        <w:rPr>
          <w:rFonts w:cs="Times New Roman"/>
          <w:color w:val="auto"/>
          <w:highlight w:val="none"/>
          <w:lang w:eastAsia="zh-CN"/>
        </w:rPr>
        <w:t>）；</w:t>
      </w:r>
    </w:p>
    <w:p w14:paraId="0F12D039">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i/>
          <w:iCs/>
          <w:color w:val="auto"/>
          <w:highlight w:val="none"/>
        </w:rPr>
        <w:t>E</w:t>
      </w:r>
      <w:r>
        <w:rPr>
          <w:rFonts w:cs="Times New Roman"/>
          <w:color w:val="auto"/>
          <w:highlight w:val="none"/>
        </w:rPr>
        <w:t>――墙体构件弹性模量（N/</w:t>
      </w:r>
      <w:r>
        <w:rPr>
          <w:rFonts w:hint="eastAsia" w:cs="Times New Roman"/>
          <w:color w:val="auto"/>
          <w:highlight w:val="none"/>
          <w:lang w:eastAsia="zh-CN"/>
        </w:rPr>
        <w:t>㎜</w:t>
      </w:r>
      <w:r>
        <w:rPr>
          <w:rFonts w:cs="Times New Roman"/>
          <w:color w:val="auto"/>
          <w:highlight w:val="none"/>
          <w:vertAlign w:val="superscript"/>
        </w:rPr>
        <w:t>2</w:t>
      </w:r>
      <w:r>
        <w:rPr>
          <w:rFonts w:cs="Times New Roman"/>
          <w:color w:val="auto"/>
          <w:highlight w:val="none"/>
        </w:rPr>
        <w:t>）；</w:t>
      </w:r>
    </w:p>
    <w:p w14:paraId="26D3291D">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cs="Times New Roman"/>
          <w:i/>
          <w:iCs/>
          <w:color w:val="auto"/>
          <w:highlight w:val="none"/>
        </w:rPr>
        <w:t>L</w:t>
      </w:r>
      <w:r>
        <w:rPr>
          <w:rFonts w:cs="Times New Roman"/>
          <w:color w:val="auto"/>
          <w:highlight w:val="none"/>
        </w:rPr>
        <w:t>――剪力墙长度（</w:t>
      </w:r>
      <w:r>
        <w:rPr>
          <w:rFonts w:hint="eastAsia" w:cs="Times New Roman"/>
          <w:color w:val="auto"/>
          <w:highlight w:val="none"/>
          <w:lang w:eastAsia="zh-CN"/>
        </w:rPr>
        <w:t>㎜</w:t>
      </w:r>
      <w:r>
        <w:rPr>
          <w:rFonts w:cs="Times New Roman"/>
          <w:color w:val="auto"/>
          <w:highlight w:val="none"/>
        </w:rPr>
        <w:t>）；</w:t>
      </w:r>
    </w:p>
    <w:p w14:paraId="0163D63B">
      <w:pPr>
        <w:ind w:firstLine="420"/>
        <w:rPr>
          <w:rFonts w:cs="Times New Roman"/>
          <w:color w:val="auto"/>
          <w:highlight w:val="none"/>
          <w:lang w:eastAsia="zh-CN"/>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color w:val="auto"/>
          <w:highlight w:val="none"/>
        </w:rPr>
        <w:t xml:space="preserve"> </w:t>
      </w:r>
      <w:r>
        <w:rPr>
          <w:rFonts w:cs="Times New Roman"/>
          <w:i/>
          <w:iCs/>
          <w:color w:val="auto"/>
          <w:highlight w:val="none"/>
        </w:rPr>
        <w:t>K</w:t>
      </w:r>
      <w:r>
        <w:rPr>
          <w:rFonts w:cs="Times New Roman"/>
          <w:color w:val="auto"/>
          <w:highlight w:val="none"/>
          <w:vertAlign w:val="subscript"/>
        </w:rPr>
        <w:t>w</w:t>
      </w:r>
      <w:r>
        <w:rPr>
          <w:rFonts w:cs="Times New Roman"/>
          <w:color w:val="auto"/>
          <w:highlight w:val="none"/>
        </w:rPr>
        <w:t>――剪力墙剪切刚度（N/</w:t>
      </w:r>
      <w:r>
        <w:rPr>
          <w:rFonts w:hint="eastAsia" w:cs="Times New Roman"/>
          <w:color w:val="auto"/>
          <w:highlight w:val="none"/>
          <w:lang w:eastAsia="zh-CN"/>
        </w:rPr>
        <w:t>㎜</w:t>
      </w:r>
      <w:r>
        <w:rPr>
          <w:rFonts w:cs="Times New Roman"/>
          <w:color w:val="auto"/>
          <w:highlight w:val="none"/>
        </w:rPr>
        <w:t>），包括木基结构板剪切变形和钉的滑移变形，</w:t>
      </w:r>
      <w:r>
        <w:rPr>
          <w:rFonts w:cs="Times New Roman"/>
          <w:color w:val="auto"/>
          <w:highlight w:val="none"/>
          <w:lang w:eastAsia="zh-CN"/>
        </w:rPr>
        <w:t>应按本标准附录</w:t>
      </w:r>
      <w:r>
        <w:rPr>
          <w:rFonts w:hint="eastAsia" w:cs="Times New Roman"/>
          <w:color w:val="auto"/>
          <w:highlight w:val="none"/>
          <w:lang w:eastAsia="zh-CN"/>
        </w:rPr>
        <w:t>D</w:t>
      </w:r>
      <w:r>
        <w:rPr>
          <w:rFonts w:cs="Times New Roman"/>
          <w:color w:val="auto"/>
          <w:highlight w:val="none"/>
          <w:lang w:eastAsia="zh-CN"/>
        </w:rPr>
        <w:t>的规定取值；</w:t>
      </w:r>
    </w:p>
    <w:p w14:paraId="47BF4BC8">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i/>
          <w:iCs/>
          <w:color w:val="auto"/>
          <w:highlight w:val="none"/>
        </w:rPr>
        <w:t>d</w:t>
      </w:r>
      <w:r>
        <w:rPr>
          <w:rFonts w:cs="Times New Roman"/>
          <w:i/>
          <w:iCs/>
          <w:color w:val="auto"/>
          <w:highlight w:val="none"/>
          <w:vertAlign w:val="subscript"/>
        </w:rPr>
        <w:t>a</w:t>
      </w:r>
      <w:r>
        <w:rPr>
          <w:rFonts w:cs="Times New Roman"/>
          <w:color w:val="auto"/>
          <w:highlight w:val="none"/>
        </w:rPr>
        <w:t>――墙体紧固件由剪力和弯矩引起的竖向伸长变形，包括抗拔紧固件的滑移、抗拔紧固件的伸长、连接板压坏等；</w:t>
      </w:r>
    </w:p>
    <w:p w14:paraId="3F78E970">
      <w:pPr>
        <w:ind w:firstLine="420"/>
        <w:rPr>
          <w:rFonts w:cs="Times New Roman"/>
          <w:color w:val="auto"/>
          <w:highlight w:val="none"/>
        </w:rPr>
      </w:pPr>
      <w:r>
        <w:rPr>
          <w:rFonts w:cs="Times New Roman"/>
          <w:color w:val="auto"/>
          <w:highlight w:val="none"/>
        </w:rPr>
        <w:t xml:space="preserve">    </w:t>
      </w:r>
      <w:r>
        <w:rPr>
          <w:rFonts w:hint="eastAsia" w:cs="Times New Roman"/>
          <w:color w:val="auto"/>
          <w:highlight w:val="none"/>
          <w:lang w:eastAsia="zh-CN"/>
        </w:rPr>
        <w:t xml:space="preserve"> </w:t>
      </w:r>
      <w:r>
        <w:rPr>
          <w:rFonts w:cs="Times New Roman"/>
          <w:i/>
          <w:iCs/>
          <w:color w:val="auto"/>
          <w:highlight w:val="none"/>
        </w:rPr>
        <w:t xml:space="preserve"> θ</w:t>
      </w:r>
      <w:r>
        <w:rPr>
          <w:rFonts w:cs="Times New Roman"/>
          <w:i/>
          <w:iCs/>
          <w:color w:val="auto"/>
          <w:highlight w:val="none"/>
          <w:vertAlign w:val="subscript"/>
        </w:rPr>
        <w:t>i</w:t>
      </w:r>
      <w:r>
        <w:rPr>
          <w:rFonts w:cs="Times New Roman"/>
          <w:color w:val="auto"/>
          <w:highlight w:val="none"/>
        </w:rPr>
        <w:t>――第</w:t>
      </w:r>
      <w:r>
        <w:rPr>
          <w:rFonts w:cs="Times New Roman"/>
          <w:i/>
          <w:iCs/>
          <w:color w:val="auto"/>
          <w:highlight w:val="none"/>
        </w:rPr>
        <w:t>i</w:t>
      </w:r>
      <w:r>
        <w:rPr>
          <w:rFonts w:cs="Times New Roman"/>
          <w:color w:val="auto"/>
          <w:highlight w:val="none"/>
        </w:rPr>
        <w:t>层剪力墙的转角，为该层及以下各层转角的累加。</w:t>
      </w:r>
    </w:p>
    <w:p w14:paraId="545DD0BE">
      <w:pPr>
        <w:pStyle w:val="50"/>
        <w:ind w:firstLine="0" w:firstLineChars="0"/>
        <w:rPr>
          <w:rFonts w:hint="eastAsia"/>
          <w:color w:val="auto"/>
          <w:highlight w:val="none"/>
        </w:rPr>
      </w:pPr>
      <w:r>
        <w:rPr>
          <w:rFonts w:hint="eastAsia"/>
          <w:color w:val="auto"/>
          <w:highlight w:val="none"/>
        </w:rPr>
        <w:t>【条文说明】6.3.</w:t>
      </w:r>
      <w:r>
        <w:rPr>
          <w:color w:val="auto"/>
          <w:highlight w:val="none"/>
        </w:rPr>
        <w:t xml:space="preserve">7 </w:t>
      </w:r>
      <w:r>
        <w:rPr>
          <w:rFonts w:hint="eastAsia"/>
          <w:color w:val="auto"/>
          <w:highlight w:val="none"/>
        </w:rPr>
        <w:t xml:space="preserve"> </w:t>
      </w:r>
      <w:r>
        <w:rPr>
          <w:color w:val="auto"/>
          <w:highlight w:val="none"/>
        </w:rPr>
        <w:t>剪力墙的水平位移参考加拿大《木结构设计规范》2014</w:t>
      </w:r>
      <w:r>
        <w:rPr>
          <w:rFonts w:hint="eastAsia"/>
          <w:color w:val="auto"/>
          <w:highlight w:val="none"/>
        </w:rPr>
        <w:t>年版</w:t>
      </w:r>
      <w:r>
        <w:rPr>
          <w:color w:val="auto"/>
          <w:highlight w:val="none"/>
        </w:rPr>
        <w:t>的相关计算公式。它是一个近似公式，包括四部分</w:t>
      </w:r>
      <w:r>
        <w:rPr>
          <w:rFonts w:hint="eastAsia"/>
          <w:color w:val="auto"/>
          <w:highlight w:val="none"/>
        </w:rPr>
        <w:t>：</w:t>
      </w:r>
      <w:r>
        <w:rPr>
          <w:color w:val="auto"/>
          <w:highlight w:val="none"/>
        </w:rPr>
        <w:t>第一项是由剪力和弯矩导致的位移</w:t>
      </w:r>
      <w:r>
        <w:rPr>
          <w:rFonts w:hint="eastAsia"/>
          <w:color w:val="auto"/>
          <w:highlight w:val="none"/>
        </w:rPr>
        <w:t>；</w:t>
      </w:r>
      <w:r>
        <w:rPr>
          <w:color w:val="auto"/>
          <w:highlight w:val="none"/>
        </w:rPr>
        <w:t>第二项是由抗拔紧固件伸长和边界受压构件压缩引起的位移</w:t>
      </w:r>
      <w:r>
        <w:rPr>
          <w:rFonts w:hint="eastAsia"/>
          <w:color w:val="auto"/>
          <w:highlight w:val="none"/>
        </w:rPr>
        <w:t>；</w:t>
      </w:r>
      <w:r>
        <w:rPr>
          <w:color w:val="auto"/>
          <w:highlight w:val="none"/>
        </w:rPr>
        <w:t>第三项是由木基结构板材的剪切变形和钉变形引起的位移</w:t>
      </w:r>
      <w:r>
        <w:rPr>
          <w:rFonts w:hint="eastAsia"/>
          <w:color w:val="auto"/>
          <w:highlight w:val="none"/>
        </w:rPr>
        <w:t>；</w:t>
      </w:r>
      <w:r>
        <w:rPr>
          <w:color w:val="auto"/>
          <w:highlight w:val="none"/>
        </w:rPr>
        <w:t>第四项是因剪力墙底部转动所引起的位移。抗拔紧固件的伸长变形</w:t>
      </w:r>
      <w:r>
        <w:rPr>
          <w:rFonts w:hint="eastAsia"/>
          <w:color w:val="auto"/>
          <w:highlight w:val="none"/>
        </w:rPr>
        <w:t>（</w:t>
      </w:r>
      <w:r>
        <w:rPr>
          <w:color w:val="auto"/>
          <w:highlight w:val="none"/>
        </w:rPr>
        <w:t>d</w:t>
      </w:r>
      <w:r>
        <w:rPr>
          <w:color w:val="auto"/>
          <w:highlight w:val="none"/>
          <w:vertAlign w:val="subscript"/>
        </w:rPr>
        <w:t>a</w:t>
      </w:r>
      <w:r>
        <w:rPr>
          <w:rFonts w:hint="eastAsia"/>
          <w:color w:val="auto"/>
          <w:highlight w:val="none"/>
        </w:rPr>
        <w:t>）</w:t>
      </w:r>
      <w:r>
        <w:rPr>
          <w:color w:val="auto"/>
          <w:highlight w:val="none"/>
        </w:rPr>
        <w:t>取决于紧固件的类型，d</w:t>
      </w:r>
      <w:r>
        <w:rPr>
          <w:color w:val="auto"/>
          <w:highlight w:val="none"/>
          <w:vertAlign w:val="subscript"/>
        </w:rPr>
        <w:t>a</w:t>
      </w:r>
      <w:r>
        <w:rPr>
          <w:color w:val="auto"/>
          <w:highlight w:val="none"/>
        </w:rPr>
        <w:t>的取值一般由厂家的技术资料给定</w:t>
      </w:r>
      <w:r>
        <w:rPr>
          <w:rFonts w:hint="eastAsia"/>
          <w:color w:val="auto"/>
          <w:highlight w:val="none"/>
        </w:rPr>
        <w:t>。</w:t>
      </w:r>
    </w:p>
    <w:p w14:paraId="4BFD025C">
      <w:pPr>
        <w:rPr>
          <w:color w:val="auto"/>
          <w:highlight w:val="none"/>
        </w:rPr>
      </w:pPr>
    </w:p>
    <w:p w14:paraId="637A08BF">
      <w:pPr>
        <w:pStyle w:val="4"/>
        <w:rPr>
          <w:color w:val="auto"/>
          <w:highlight w:val="none"/>
        </w:rPr>
      </w:pPr>
      <w:r>
        <w:rPr>
          <w:rFonts w:hint="eastAsia"/>
          <w:b/>
          <w:bCs/>
          <w:color w:val="auto"/>
          <w:highlight w:val="none"/>
          <w:lang w:eastAsia="zh-CN"/>
        </w:rPr>
        <w:t xml:space="preserve">6.3.8 </w:t>
      </w:r>
      <w:r>
        <w:rPr>
          <w:b/>
          <w:bCs/>
          <w:color w:val="auto"/>
          <w:highlight w:val="none"/>
        </w:rPr>
        <w:t xml:space="preserve"> </w:t>
      </w:r>
      <w:r>
        <w:rPr>
          <w:color w:val="auto"/>
          <w:highlight w:val="none"/>
        </w:rPr>
        <w:t>墙骨柱应按两端铰接的受压构件设计，构件在平面外的计算长度应为墙骨柱长度。当墙骨柱两侧布置木基结构板或石膏板等覆面板时，平面内可仅进行强度验算。</w:t>
      </w:r>
    </w:p>
    <w:p w14:paraId="6F0CAAD1">
      <w:pPr>
        <w:pStyle w:val="50"/>
        <w:ind w:firstLine="0" w:firstLineChars="0"/>
        <w:rPr>
          <w:rFonts w:hint="eastAsia"/>
          <w:color w:val="auto"/>
          <w:highlight w:val="none"/>
        </w:rPr>
      </w:pPr>
      <w:r>
        <w:rPr>
          <w:rFonts w:hint="eastAsia"/>
          <w:color w:val="auto"/>
          <w:highlight w:val="none"/>
        </w:rPr>
        <w:t>【条文说明】6.4.8</w:t>
      </w:r>
      <w:r>
        <w:rPr>
          <w:color w:val="auto"/>
          <w:highlight w:val="none"/>
        </w:rPr>
        <w:t xml:space="preserve"> </w:t>
      </w:r>
      <w:r>
        <w:rPr>
          <w:rFonts w:hint="eastAsia"/>
          <w:color w:val="auto"/>
          <w:highlight w:val="none"/>
        </w:rPr>
        <w:t xml:space="preserve"> </w:t>
      </w:r>
      <w:r>
        <w:rPr>
          <w:color w:val="auto"/>
          <w:highlight w:val="none"/>
        </w:rPr>
        <w:t>由于墙骨柱两端与顶梁板和底梁板一般用钉连接，因此可将墙骨柱与顶梁板和底梁板的连接假定为铰接。构件在平面外的计算长度为墙骨柱长度。由于墙骨柱两侧的木基结构板或石板等覆面板可阻止构件平面内失稳，因此构件在平面内只需要进行强度验算</w:t>
      </w:r>
      <w:r>
        <w:rPr>
          <w:rFonts w:hint="eastAsia"/>
          <w:color w:val="auto"/>
          <w:highlight w:val="none"/>
        </w:rPr>
        <w:t>。</w:t>
      </w:r>
    </w:p>
    <w:p w14:paraId="3F66505A">
      <w:pPr>
        <w:rPr>
          <w:color w:val="auto"/>
          <w:highlight w:val="none"/>
        </w:rPr>
      </w:pPr>
    </w:p>
    <w:p w14:paraId="52582339">
      <w:pPr>
        <w:pStyle w:val="4"/>
        <w:rPr>
          <w:color w:val="auto"/>
          <w:highlight w:val="none"/>
        </w:rPr>
      </w:pPr>
      <w:r>
        <w:rPr>
          <w:rFonts w:hint="eastAsia"/>
          <w:b/>
          <w:bCs/>
          <w:color w:val="auto"/>
          <w:highlight w:val="none"/>
          <w:lang w:eastAsia="zh-CN"/>
        </w:rPr>
        <w:t>6.3.9</w:t>
      </w:r>
      <w:r>
        <w:rPr>
          <w:b/>
          <w:bCs/>
          <w:color w:val="auto"/>
          <w:highlight w:val="none"/>
        </w:rPr>
        <w:t xml:space="preserve"> </w:t>
      </w:r>
      <w:r>
        <w:rPr>
          <w:rFonts w:hint="eastAsia"/>
          <w:b/>
          <w:bCs/>
          <w:color w:val="auto"/>
          <w:highlight w:val="none"/>
          <w:lang w:eastAsia="zh-CN"/>
        </w:rPr>
        <w:t xml:space="preserve"> </w:t>
      </w:r>
      <w:r>
        <w:rPr>
          <w:color w:val="auto"/>
          <w:highlight w:val="none"/>
        </w:rPr>
        <w:t>当墙骨柱的轴向压力的初始偏心距为零时，初始偏心距应按0</w:t>
      </w:r>
      <w:r>
        <w:rPr>
          <w:rFonts w:hint="eastAsia"/>
          <w:color w:val="auto"/>
          <w:highlight w:val="none"/>
        </w:rPr>
        <w:t>.</w:t>
      </w:r>
      <w:r>
        <w:rPr>
          <w:color w:val="auto"/>
          <w:highlight w:val="none"/>
        </w:rPr>
        <w:t>05倍的构件截面高度确定。</w:t>
      </w:r>
    </w:p>
    <w:p w14:paraId="0C06F4C1">
      <w:pPr>
        <w:pStyle w:val="4"/>
        <w:rPr>
          <w:color w:val="auto"/>
          <w:highlight w:val="none"/>
        </w:rPr>
      </w:pPr>
      <w:r>
        <w:rPr>
          <w:rFonts w:hint="eastAsia"/>
          <w:b/>
          <w:bCs/>
          <w:color w:val="auto"/>
          <w:highlight w:val="none"/>
          <w:lang w:eastAsia="zh-CN"/>
        </w:rPr>
        <w:t>6.3.10</w:t>
      </w:r>
      <w:r>
        <w:rPr>
          <w:b/>
          <w:bCs/>
          <w:color w:val="auto"/>
          <w:highlight w:val="none"/>
        </w:rPr>
        <w:t xml:space="preserve"> </w:t>
      </w:r>
      <w:r>
        <w:rPr>
          <w:rFonts w:hint="eastAsia"/>
          <w:b/>
          <w:bCs/>
          <w:color w:val="auto"/>
          <w:highlight w:val="none"/>
          <w:lang w:eastAsia="zh-CN"/>
        </w:rPr>
        <w:t xml:space="preserve"> </w:t>
      </w:r>
      <w:r>
        <w:rPr>
          <w:color w:val="auto"/>
          <w:highlight w:val="none"/>
        </w:rPr>
        <w:t>外墙墙骨柱应考虑风荷载效应组合，并应按两端铰接的压弯构件设计。当外墙围护材料采用砖石等较重材料时，应考虑围护材料产生的墙骨柱平面外的地震作用。</w:t>
      </w:r>
    </w:p>
    <w:p w14:paraId="61688A0A">
      <w:pPr>
        <w:pStyle w:val="4"/>
        <w:rPr>
          <w:color w:val="auto"/>
          <w:highlight w:val="none"/>
        </w:rPr>
      </w:pPr>
      <w:r>
        <w:rPr>
          <w:rFonts w:hint="eastAsia"/>
          <w:b/>
          <w:bCs/>
          <w:color w:val="auto"/>
          <w:highlight w:val="none"/>
          <w:lang w:eastAsia="zh-CN"/>
        </w:rPr>
        <w:t xml:space="preserve">6.3.11 </w:t>
      </w:r>
      <w:r>
        <w:rPr>
          <w:b/>
          <w:bCs/>
          <w:color w:val="auto"/>
          <w:highlight w:val="none"/>
        </w:rPr>
        <w:t xml:space="preserve"> </w:t>
      </w:r>
      <w:r>
        <w:rPr>
          <w:color w:val="auto"/>
          <w:highlight w:val="none"/>
        </w:rPr>
        <w:t>墙骨柱应符合下列规定：</w:t>
      </w:r>
    </w:p>
    <w:p w14:paraId="4CCC90AF">
      <w:pPr>
        <w:pStyle w:val="4"/>
        <w:ind w:firstLine="360" w:firstLineChars="150"/>
        <w:rPr>
          <w:color w:val="auto"/>
          <w:highlight w:val="none"/>
        </w:rPr>
      </w:pPr>
      <w:r>
        <w:rPr>
          <w:color w:val="auto"/>
          <w:highlight w:val="none"/>
        </w:rPr>
        <w:t>1</w:t>
      </w:r>
      <w:r>
        <w:rPr>
          <w:rFonts w:hint="eastAsia"/>
          <w:color w:val="auto"/>
          <w:highlight w:val="none"/>
          <w:lang w:eastAsia="zh-CN"/>
        </w:rPr>
        <w:t xml:space="preserve"> </w:t>
      </w:r>
      <w:r>
        <w:rPr>
          <w:color w:val="auto"/>
          <w:highlight w:val="none"/>
        </w:rPr>
        <w:t xml:space="preserve"> 承重墙的墙骨柱截面尺寸应由计算确定；</w:t>
      </w:r>
      <w:r>
        <w:rPr>
          <w:rFonts w:hint="eastAsia"/>
          <w:color w:val="auto"/>
          <w:highlight w:val="none"/>
        </w:rPr>
        <w:t xml:space="preserve"> </w:t>
      </w:r>
    </w:p>
    <w:p w14:paraId="46C83B2D">
      <w:pPr>
        <w:pStyle w:val="4"/>
        <w:ind w:firstLine="360" w:firstLineChars="150"/>
        <w:rPr>
          <w:color w:val="auto"/>
          <w:highlight w:val="none"/>
        </w:rPr>
      </w:pPr>
      <w:r>
        <w:rPr>
          <w:color w:val="auto"/>
          <w:highlight w:val="none"/>
        </w:rPr>
        <w:t>2</w:t>
      </w:r>
      <w:r>
        <w:rPr>
          <w:rFonts w:hint="eastAsia"/>
          <w:color w:val="auto"/>
          <w:highlight w:val="none"/>
          <w:lang w:eastAsia="zh-CN"/>
        </w:rPr>
        <w:t xml:space="preserve"> </w:t>
      </w:r>
      <w:r>
        <w:rPr>
          <w:color w:val="auto"/>
          <w:highlight w:val="none"/>
        </w:rPr>
        <w:t xml:space="preserve"> 墙骨柱在层高内应连续，可采用</w:t>
      </w:r>
      <w:r>
        <w:rPr>
          <w:rFonts w:hint="eastAsia"/>
          <w:color w:val="auto"/>
          <w:highlight w:val="none"/>
          <w:lang w:eastAsia="zh-CN"/>
        </w:rPr>
        <w:t>直接</w:t>
      </w:r>
      <w:r>
        <w:rPr>
          <w:color w:val="auto"/>
          <w:highlight w:val="none"/>
        </w:rPr>
        <w:t>连接，但不应采用连接板进行连接；</w:t>
      </w:r>
    </w:p>
    <w:p w14:paraId="0F447BA8">
      <w:pPr>
        <w:pStyle w:val="4"/>
        <w:ind w:firstLine="360" w:firstLineChars="150"/>
        <w:rPr>
          <w:color w:val="auto"/>
          <w:highlight w:val="none"/>
          <w:lang w:eastAsia="zh-CN"/>
        </w:rPr>
      </w:pPr>
      <w:r>
        <w:rPr>
          <w:color w:val="auto"/>
          <w:highlight w:val="none"/>
        </w:rPr>
        <w:t xml:space="preserve">3 </w:t>
      </w:r>
      <w:r>
        <w:rPr>
          <w:rFonts w:hint="eastAsia"/>
          <w:color w:val="auto"/>
          <w:highlight w:val="none"/>
          <w:lang w:eastAsia="zh-CN"/>
        </w:rPr>
        <w:t xml:space="preserve"> </w:t>
      </w:r>
      <w:r>
        <w:rPr>
          <w:color w:val="auto"/>
          <w:highlight w:val="none"/>
        </w:rPr>
        <w:t>墙骨柱间距不应大于610</w:t>
      </w:r>
      <w:r>
        <w:rPr>
          <w:rFonts w:hint="eastAsia"/>
          <w:color w:val="auto"/>
          <w:highlight w:val="none"/>
          <w:lang w:eastAsia="zh-CN"/>
        </w:rPr>
        <w:t>㎜；</w:t>
      </w:r>
    </w:p>
    <w:p w14:paraId="4C053C0D">
      <w:pPr>
        <w:pStyle w:val="4"/>
        <w:ind w:firstLine="360" w:firstLineChars="150"/>
        <w:rPr>
          <w:color w:val="auto"/>
          <w:highlight w:val="none"/>
        </w:rPr>
      </w:pPr>
      <w:r>
        <w:rPr>
          <w:color w:val="auto"/>
          <w:highlight w:val="none"/>
        </w:rPr>
        <w:t xml:space="preserve">4 </w:t>
      </w:r>
      <w:r>
        <w:rPr>
          <w:rFonts w:hint="eastAsia"/>
          <w:color w:val="auto"/>
          <w:highlight w:val="none"/>
          <w:lang w:eastAsia="zh-CN"/>
        </w:rPr>
        <w:t xml:space="preserve"> </w:t>
      </w:r>
      <w:r>
        <w:rPr>
          <w:color w:val="auto"/>
          <w:highlight w:val="none"/>
        </w:rPr>
        <w:t>墙骨柱在墙体转角和交接处应进行加强，转角处的墙骨柱数量不应少于3根（图</w:t>
      </w:r>
      <w:r>
        <w:rPr>
          <w:rFonts w:hint="eastAsia"/>
          <w:color w:val="auto"/>
          <w:highlight w:val="none"/>
          <w:lang w:eastAsia="zh-CN"/>
        </w:rPr>
        <w:t>6.3.11</w:t>
      </w:r>
      <w:r>
        <w:rPr>
          <w:color w:val="auto"/>
          <w:highlight w:val="none"/>
        </w:rPr>
        <w:t>）；</w:t>
      </w:r>
    </w:p>
    <w:p w14:paraId="06FF8C09">
      <w:pPr>
        <w:pStyle w:val="4"/>
        <w:ind w:firstLine="360" w:firstLineChars="150"/>
        <w:rPr>
          <w:color w:val="auto"/>
          <w:highlight w:val="none"/>
        </w:rPr>
      </w:pPr>
      <w:r>
        <w:rPr>
          <w:color w:val="auto"/>
          <w:highlight w:val="none"/>
        </w:rPr>
        <w:t xml:space="preserve">5 </w:t>
      </w:r>
      <w:r>
        <w:rPr>
          <w:rFonts w:hint="eastAsia"/>
          <w:color w:val="auto"/>
          <w:highlight w:val="none"/>
          <w:lang w:eastAsia="zh-CN"/>
        </w:rPr>
        <w:t xml:space="preserve"> </w:t>
      </w:r>
      <w:r>
        <w:rPr>
          <w:color w:val="auto"/>
          <w:highlight w:val="none"/>
        </w:rPr>
        <w:t>开孔宽度大于墙骨柱间距的墙体，开孔两侧的墙骨柱应采用双柱，开孔宽度小于或等于墙骨柱间净距并位于墙骨柱之间的墙体，开孔两侧可用单根墙骨柱；</w:t>
      </w:r>
    </w:p>
    <w:p w14:paraId="1F54867B">
      <w:pPr>
        <w:pStyle w:val="4"/>
        <w:ind w:firstLine="360" w:firstLineChars="150"/>
        <w:rPr>
          <w:color w:val="auto"/>
          <w:highlight w:val="none"/>
        </w:rPr>
      </w:pPr>
      <w:r>
        <w:rPr>
          <w:color w:val="auto"/>
          <w:highlight w:val="none"/>
        </w:rPr>
        <w:t xml:space="preserve">6 </w:t>
      </w:r>
      <w:r>
        <w:rPr>
          <w:rFonts w:hint="eastAsia"/>
          <w:color w:val="auto"/>
          <w:highlight w:val="none"/>
          <w:lang w:eastAsia="zh-CN"/>
        </w:rPr>
        <w:t xml:space="preserve"> </w:t>
      </w:r>
      <w:r>
        <w:rPr>
          <w:color w:val="auto"/>
          <w:highlight w:val="none"/>
        </w:rPr>
        <w:t>墙骨柱的最小截面尺寸和最大间距应符合本标准附录</w:t>
      </w:r>
      <w:r>
        <w:rPr>
          <w:rFonts w:hint="eastAsia"/>
          <w:color w:val="auto"/>
          <w:highlight w:val="none"/>
          <w:lang w:eastAsia="zh-CN"/>
        </w:rPr>
        <w:t>D</w:t>
      </w:r>
      <w:r>
        <w:rPr>
          <w:color w:val="auto"/>
          <w:highlight w:val="none"/>
        </w:rPr>
        <w:t>的规定；</w:t>
      </w:r>
    </w:p>
    <w:p w14:paraId="4B044B57">
      <w:pPr>
        <w:ind w:firstLine="360" w:firstLineChars="150"/>
        <w:rPr>
          <w:color w:val="auto"/>
          <w:highlight w:val="none"/>
        </w:rPr>
      </w:pPr>
      <w:r>
        <w:rPr>
          <w:color w:val="auto"/>
          <w:highlight w:val="none"/>
        </w:rPr>
        <w:t xml:space="preserve">7 </w:t>
      </w:r>
      <w:r>
        <w:rPr>
          <w:rFonts w:hint="eastAsia"/>
          <w:color w:val="auto"/>
          <w:highlight w:val="none"/>
          <w:lang w:eastAsia="zh-CN"/>
        </w:rPr>
        <w:t xml:space="preserve"> </w:t>
      </w:r>
      <w:r>
        <w:rPr>
          <w:color w:val="auto"/>
          <w:highlight w:val="none"/>
        </w:rPr>
        <w:t>对于非承重墙体的门洞，当墙体需要考虑耐火极限的要求时，门洞边应至少采用两根截面高度与底梁板宽度相同的规格材进行加强。</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46"/>
      </w:tblGrid>
      <w:tr w14:paraId="239C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3B34CB88">
            <w:pPr>
              <w:jc w:val="left"/>
              <w:rPr>
                <w:color w:val="auto"/>
                <w:highlight w:val="none"/>
              </w:rPr>
            </w:pPr>
            <w:r>
              <w:rPr>
                <w:rFonts w:cs="Times New Roman"/>
                <w:color w:val="auto"/>
                <w:highlight w:val="none"/>
                <w:lang w:eastAsia="zh-CN"/>
              </w:rPr>
              <w:drawing>
                <wp:inline distT="0" distB="0" distL="0" distR="0">
                  <wp:extent cx="4383405" cy="2947670"/>
                  <wp:effectExtent l="0" t="0" r="17145" b="5080"/>
                  <wp:docPr id="283792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2045" name="图片 1"/>
                          <pic:cNvPicPr>
                            <a:picLocks noChangeAspect="1"/>
                          </pic:cNvPicPr>
                        </pic:nvPicPr>
                        <pic:blipFill>
                          <a:blip r:embed="rId17" cstate="print"/>
                          <a:stretch>
                            <a:fillRect/>
                          </a:stretch>
                        </pic:blipFill>
                        <pic:spPr>
                          <a:xfrm>
                            <a:off x="0" y="0"/>
                            <a:ext cx="4383405" cy="2947670"/>
                          </a:xfrm>
                          <a:prstGeom prst="rect">
                            <a:avLst/>
                          </a:prstGeom>
                        </pic:spPr>
                      </pic:pic>
                    </a:graphicData>
                  </a:graphic>
                </wp:inline>
              </w:drawing>
            </w:r>
          </w:p>
        </w:tc>
      </w:tr>
      <w:tr w14:paraId="4E18D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0FFF4F16">
            <w:pPr>
              <w:pStyle w:val="44"/>
              <w:ind w:firstLine="198"/>
              <w:rPr>
                <w:color w:val="auto"/>
                <w:highlight w:val="none"/>
              </w:rPr>
            </w:pPr>
            <w:r>
              <w:rPr>
                <w:rFonts w:hint="eastAsia"/>
                <w:color w:val="auto"/>
                <w:highlight w:val="none"/>
              </w:rPr>
              <w:t>图6.3.11</w:t>
            </w:r>
            <w:r>
              <w:rPr>
                <w:color w:val="auto"/>
                <w:highlight w:val="none"/>
              </w:rPr>
              <w:t xml:space="preserve"> 墙骨柱在转角处和交接处加强示意</w:t>
            </w:r>
          </w:p>
          <w:p w14:paraId="0FF6F395">
            <w:pPr>
              <w:pStyle w:val="43"/>
              <w:rPr>
                <w:rFonts w:cs="Times New Roman"/>
                <w:color w:val="auto"/>
                <w:highlight w:val="none"/>
              </w:rPr>
            </w:pPr>
            <w:r>
              <w:rPr>
                <w:color w:val="auto"/>
                <w:highlight w:val="none"/>
              </w:rPr>
              <w:t>1-木填块</w:t>
            </w:r>
          </w:p>
        </w:tc>
      </w:tr>
    </w:tbl>
    <w:p w14:paraId="20EA07A5">
      <w:pPr>
        <w:pStyle w:val="50"/>
        <w:ind w:firstLine="0" w:firstLineChars="0"/>
        <w:rPr>
          <w:color w:val="auto"/>
          <w:highlight w:val="none"/>
        </w:rPr>
      </w:pPr>
      <w:r>
        <w:rPr>
          <w:rFonts w:hint="eastAsia"/>
          <w:color w:val="auto"/>
          <w:highlight w:val="none"/>
        </w:rPr>
        <w:t>【条文说明】6.3.11</w:t>
      </w:r>
      <w:r>
        <w:rPr>
          <w:color w:val="auto"/>
          <w:highlight w:val="none"/>
        </w:rPr>
        <w:t xml:space="preserve"> </w:t>
      </w:r>
      <w:r>
        <w:rPr>
          <w:rFonts w:hint="eastAsia"/>
          <w:color w:val="auto"/>
          <w:highlight w:val="none"/>
        </w:rPr>
        <w:t xml:space="preserve"> 轻型木结</w:t>
      </w:r>
      <w:r>
        <w:rPr>
          <w:color w:val="auto"/>
          <w:highlight w:val="none"/>
        </w:rPr>
        <w:t>构墙骨柱的</w:t>
      </w:r>
      <w:r>
        <w:rPr>
          <w:rFonts w:hint="eastAsia"/>
          <w:color w:val="auto"/>
          <w:highlight w:val="none"/>
        </w:rPr>
        <w:t>竖向荷载承载力</w:t>
      </w:r>
      <w:r>
        <w:rPr>
          <w:color w:val="auto"/>
          <w:highlight w:val="none"/>
        </w:rPr>
        <w:t>与墙骨柱本身截面的高度、墙骨柱之间的间距以及层高有关。竖向荷载作用下的墙骨柱的侧向弯曲和截面宽度与墙骨柱的高度比值有关。如果截面高度方向与墙面垂直，则墙体面板约束了墙骨柱侧向弯曲，同截面高度方向与墙面平行布置的方式相比，承载力</w:t>
      </w:r>
      <w:r>
        <w:rPr>
          <w:rFonts w:hint="eastAsia"/>
          <w:color w:val="auto"/>
          <w:highlight w:val="none"/>
        </w:rPr>
        <w:t>提高明显</w:t>
      </w:r>
      <w:r>
        <w:rPr>
          <w:color w:val="auto"/>
          <w:highlight w:val="none"/>
        </w:rPr>
        <w:t>。所以，除了在荷载很小的情况下，例如在阁楼的山墙面，墙骨柱可按截面高度方向与墙面平行的方向放置，否则墙骨柱的截面高度方向必须与墙面垂直。在地下室中，如用墙体代替柱和梁而墙体表面无面板时，应在墙骨柱之间加横撑防止墙骨柱的侧向弯曲。</w:t>
      </w:r>
    </w:p>
    <w:p w14:paraId="6B3F486C">
      <w:pPr>
        <w:pStyle w:val="50"/>
        <w:ind w:firstLine="480"/>
        <w:rPr>
          <w:color w:val="auto"/>
          <w:highlight w:val="none"/>
        </w:rPr>
      </w:pPr>
      <w:r>
        <w:rPr>
          <w:color w:val="auto"/>
          <w:highlight w:val="none"/>
        </w:rPr>
        <w:t>开孔两侧的双墙骨柱是为了加强开孔边构件传递荷载的能力。</w:t>
      </w:r>
    </w:p>
    <w:p w14:paraId="5695D6E4">
      <w:pPr>
        <w:pStyle w:val="3"/>
        <w:spacing w:before="156" w:after="156"/>
        <w:rPr>
          <w:color w:val="auto"/>
          <w:highlight w:val="none"/>
          <w:lang w:eastAsia="zh-CN"/>
        </w:rPr>
      </w:pPr>
      <w:bookmarkStart w:id="140" w:name="_Toc23905"/>
      <w:bookmarkStart w:id="141" w:name="_Toc16361"/>
      <w:bookmarkStart w:id="142" w:name="_Toc32467"/>
      <w:bookmarkStart w:id="143" w:name="_Toc9545"/>
      <w:bookmarkStart w:id="144" w:name="_Toc32271"/>
      <w:r>
        <w:rPr>
          <w:rFonts w:hint="eastAsia"/>
          <w:color w:val="auto"/>
          <w:highlight w:val="none"/>
          <w:lang w:eastAsia="zh-CN"/>
        </w:rPr>
        <w:t>6.4  墙面板</w:t>
      </w:r>
      <w:bookmarkEnd w:id="140"/>
      <w:bookmarkEnd w:id="141"/>
      <w:bookmarkEnd w:id="142"/>
      <w:bookmarkEnd w:id="143"/>
      <w:bookmarkEnd w:id="144"/>
    </w:p>
    <w:p w14:paraId="653B773B">
      <w:pPr>
        <w:pStyle w:val="4"/>
        <w:rPr>
          <w:color w:val="auto"/>
          <w:highlight w:val="none"/>
          <w:lang w:eastAsia="zh-CN"/>
        </w:rPr>
      </w:pPr>
      <w:r>
        <w:rPr>
          <w:rFonts w:hint="eastAsia"/>
          <w:b/>
          <w:bCs/>
          <w:color w:val="auto"/>
          <w:highlight w:val="none"/>
          <w:lang w:eastAsia="zh-CN"/>
        </w:rPr>
        <w:t>6.4.</w:t>
      </w:r>
      <w:r>
        <w:rPr>
          <w:b/>
          <w:bCs/>
          <w:color w:val="auto"/>
          <w:highlight w:val="none"/>
          <w:lang w:eastAsia="zh-CN"/>
        </w:rPr>
        <w:t xml:space="preserve">1 </w:t>
      </w:r>
      <w:r>
        <w:rPr>
          <w:rFonts w:hint="eastAsia"/>
          <w:b/>
          <w:bCs/>
          <w:color w:val="auto"/>
          <w:highlight w:val="none"/>
          <w:lang w:eastAsia="zh-CN"/>
        </w:rPr>
        <w:t xml:space="preserve"> </w:t>
      </w:r>
      <w:r>
        <w:rPr>
          <w:color w:val="auto"/>
          <w:highlight w:val="none"/>
          <w:lang w:eastAsia="zh-CN"/>
        </w:rPr>
        <w:t>当承重墙的开洞宽度大于墙骨柱间距时，应在洞顶加设由计算确定的过梁。</w:t>
      </w:r>
    </w:p>
    <w:p w14:paraId="7470F76C">
      <w:pPr>
        <w:pStyle w:val="4"/>
        <w:rPr>
          <w:color w:val="auto"/>
          <w:highlight w:val="none"/>
          <w:lang w:eastAsia="zh-CN"/>
        </w:rPr>
      </w:pPr>
      <w:r>
        <w:rPr>
          <w:rFonts w:hint="eastAsia"/>
          <w:b/>
          <w:bCs/>
          <w:color w:val="auto"/>
          <w:highlight w:val="none"/>
          <w:lang w:eastAsia="zh-CN"/>
        </w:rPr>
        <w:t>6.4.</w:t>
      </w:r>
      <w:r>
        <w:rPr>
          <w:b/>
          <w:bCs/>
          <w:color w:val="auto"/>
          <w:highlight w:val="none"/>
          <w:lang w:eastAsia="zh-CN"/>
        </w:rPr>
        <w:t xml:space="preserve">2 </w:t>
      </w:r>
      <w:r>
        <w:rPr>
          <w:rFonts w:hint="eastAsia"/>
          <w:b/>
          <w:bCs/>
          <w:color w:val="auto"/>
          <w:highlight w:val="none"/>
          <w:lang w:eastAsia="zh-CN"/>
        </w:rPr>
        <w:t xml:space="preserve"> </w:t>
      </w:r>
      <w:r>
        <w:rPr>
          <w:color w:val="auto"/>
          <w:highlight w:val="none"/>
          <w:lang w:eastAsia="zh-CN"/>
        </w:rPr>
        <w:t>当墙面板采用木基结构板作面板，且最大墙骨柱间距为410</w:t>
      </w:r>
      <w:r>
        <w:rPr>
          <w:rFonts w:hint="eastAsia"/>
          <w:color w:val="auto"/>
          <w:highlight w:val="none"/>
          <w:lang w:eastAsia="zh-CN"/>
        </w:rPr>
        <w:t>㎜</w:t>
      </w:r>
      <w:r>
        <w:rPr>
          <w:color w:val="auto"/>
          <w:highlight w:val="none"/>
          <w:lang w:eastAsia="zh-CN"/>
        </w:rPr>
        <w:t>时，板材的最小厚度不应小于9</w:t>
      </w:r>
      <w:r>
        <w:rPr>
          <w:rFonts w:hint="eastAsia"/>
          <w:color w:val="auto"/>
          <w:highlight w:val="none"/>
          <w:lang w:eastAsia="zh-CN"/>
        </w:rPr>
        <w:t>㎜</w:t>
      </w:r>
      <w:r>
        <w:rPr>
          <w:color w:val="auto"/>
          <w:highlight w:val="none"/>
          <w:lang w:eastAsia="zh-CN"/>
        </w:rPr>
        <w:t>；最大墙骨柱间距为610</w:t>
      </w:r>
      <w:r>
        <w:rPr>
          <w:rFonts w:hint="eastAsia"/>
          <w:color w:val="auto"/>
          <w:highlight w:val="none"/>
          <w:lang w:eastAsia="zh-CN"/>
        </w:rPr>
        <w:t>㎜</w:t>
      </w:r>
      <w:r>
        <w:rPr>
          <w:color w:val="auto"/>
          <w:highlight w:val="none"/>
          <w:lang w:eastAsia="zh-CN"/>
        </w:rPr>
        <w:t>时，板材的最小厚度不应小于11</w:t>
      </w:r>
      <w:r>
        <w:rPr>
          <w:rFonts w:hint="eastAsia"/>
          <w:color w:val="auto"/>
          <w:highlight w:val="none"/>
          <w:lang w:eastAsia="zh-CN"/>
        </w:rPr>
        <w:t>㎜</w:t>
      </w:r>
      <w:r>
        <w:rPr>
          <w:color w:val="auto"/>
          <w:highlight w:val="none"/>
          <w:lang w:eastAsia="zh-CN"/>
        </w:rPr>
        <w:t>。</w:t>
      </w:r>
    </w:p>
    <w:p w14:paraId="7CC6845C">
      <w:pPr>
        <w:pStyle w:val="50"/>
        <w:ind w:firstLine="0" w:firstLineChars="0"/>
        <w:rPr>
          <w:color w:val="auto"/>
          <w:highlight w:val="none"/>
        </w:rPr>
      </w:pPr>
      <w:r>
        <w:rPr>
          <w:rFonts w:hint="eastAsia"/>
          <w:color w:val="auto"/>
          <w:highlight w:val="none"/>
        </w:rPr>
        <w:t>【条文说明】6.5.</w:t>
      </w:r>
      <w:r>
        <w:rPr>
          <w:color w:val="auto"/>
          <w:highlight w:val="none"/>
        </w:rPr>
        <w:t>2</w:t>
      </w:r>
      <w:r>
        <w:rPr>
          <w:rFonts w:hint="eastAsia"/>
          <w:color w:val="auto"/>
          <w:highlight w:val="none"/>
        </w:rPr>
        <w:t xml:space="preserve">  </w:t>
      </w:r>
      <w:r>
        <w:rPr>
          <w:color w:val="auto"/>
          <w:highlight w:val="none"/>
        </w:rPr>
        <w:t>如果外墙</w:t>
      </w:r>
      <w:r>
        <w:rPr>
          <w:rFonts w:hint="eastAsia"/>
          <w:color w:val="auto"/>
          <w:highlight w:val="none"/>
        </w:rPr>
        <w:t>围护</w:t>
      </w:r>
      <w:r>
        <w:rPr>
          <w:color w:val="auto"/>
          <w:highlight w:val="none"/>
        </w:rPr>
        <w:t>材料直接固定在墙体骨架材料上</w:t>
      </w:r>
      <w:r>
        <w:rPr>
          <w:rFonts w:hint="eastAsia"/>
          <w:color w:val="auto"/>
          <w:highlight w:val="none"/>
        </w:rPr>
        <w:t>（</w:t>
      </w:r>
      <w:r>
        <w:rPr>
          <w:color w:val="auto"/>
          <w:highlight w:val="none"/>
        </w:rPr>
        <w:t>或固定在与面板上连接的木</w:t>
      </w:r>
      <w:r>
        <w:rPr>
          <w:rFonts w:hint="eastAsia"/>
          <w:color w:val="auto"/>
          <w:highlight w:val="none"/>
        </w:rPr>
        <w:t>筋</w:t>
      </w:r>
      <w:r>
        <w:rPr>
          <w:color w:val="auto"/>
          <w:highlight w:val="none"/>
        </w:rPr>
        <w:t>上</w:t>
      </w:r>
      <w:r>
        <w:rPr>
          <w:rFonts w:hint="eastAsia"/>
          <w:color w:val="auto"/>
          <w:highlight w:val="none"/>
        </w:rPr>
        <w:t>）</w:t>
      </w:r>
      <w:r>
        <w:rPr>
          <w:color w:val="auto"/>
          <w:highlight w:val="none"/>
        </w:rPr>
        <w:t>，面板采用何种材料对钉的抗拔力影响不大。但是，当维护材料直接固定在面板上时，只有结构胶合板和定向木片板才能提供所需的钉的抗拔力。这时，面板的厚度根据所需维护材料的要求而定。</w:t>
      </w:r>
    </w:p>
    <w:p w14:paraId="40CCFF97">
      <w:pPr>
        <w:pStyle w:val="50"/>
        <w:ind w:firstLine="480"/>
        <w:rPr>
          <w:color w:val="auto"/>
          <w:highlight w:val="none"/>
        </w:rPr>
      </w:pPr>
      <w:r>
        <w:rPr>
          <w:color w:val="auto"/>
          <w:highlight w:val="none"/>
        </w:rPr>
        <w:t>本条给出的墙面板材是针对根据板材的生产标准生产并适合室外用的结构板材，包括结构胶合板和定向木片板。最小厚度是指板材的名义厚度。</w:t>
      </w:r>
    </w:p>
    <w:p w14:paraId="36799FE9">
      <w:pPr>
        <w:rPr>
          <w:color w:val="auto"/>
          <w:highlight w:val="none"/>
        </w:rPr>
      </w:pPr>
    </w:p>
    <w:p w14:paraId="5B77EA5A">
      <w:pPr>
        <w:pStyle w:val="4"/>
        <w:rPr>
          <w:color w:val="auto"/>
          <w:highlight w:val="none"/>
          <w:lang w:eastAsia="zh-CN"/>
        </w:rPr>
      </w:pPr>
      <w:r>
        <w:rPr>
          <w:rFonts w:hint="eastAsia"/>
          <w:b/>
          <w:bCs/>
          <w:color w:val="auto"/>
          <w:highlight w:val="none"/>
          <w:lang w:eastAsia="zh-CN"/>
        </w:rPr>
        <w:t>6.4.</w:t>
      </w:r>
      <w:r>
        <w:rPr>
          <w:b/>
          <w:bCs/>
          <w:color w:val="auto"/>
          <w:highlight w:val="none"/>
          <w:lang w:eastAsia="zh-CN"/>
        </w:rPr>
        <w:t xml:space="preserve">3 </w:t>
      </w:r>
      <w:r>
        <w:rPr>
          <w:rFonts w:hint="eastAsia"/>
          <w:b/>
          <w:bCs/>
          <w:color w:val="auto"/>
          <w:highlight w:val="none"/>
          <w:lang w:eastAsia="zh-CN"/>
        </w:rPr>
        <w:t xml:space="preserve"> </w:t>
      </w:r>
      <w:r>
        <w:rPr>
          <w:color w:val="auto"/>
          <w:highlight w:val="none"/>
          <w:lang w:eastAsia="zh-CN"/>
        </w:rPr>
        <w:t>当墙面板采用石膏板作面板，且最大墙骨柱间距为410</w:t>
      </w:r>
      <w:r>
        <w:rPr>
          <w:rFonts w:hint="eastAsia"/>
          <w:color w:val="auto"/>
          <w:highlight w:val="none"/>
          <w:lang w:eastAsia="zh-CN"/>
        </w:rPr>
        <w:t>㎜</w:t>
      </w:r>
      <w:r>
        <w:rPr>
          <w:color w:val="auto"/>
          <w:highlight w:val="none"/>
          <w:lang w:eastAsia="zh-CN"/>
        </w:rPr>
        <w:t>时，板材的最小厚度不应小于9</w:t>
      </w:r>
      <w:r>
        <w:rPr>
          <w:rFonts w:hint="eastAsia"/>
          <w:color w:val="auto"/>
          <w:highlight w:val="none"/>
          <w:lang w:eastAsia="zh-CN"/>
        </w:rPr>
        <w:t>㎜</w:t>
      </w:r>
      <w:r>
        <w:rPr>
          <w:color w:val="auto"/>
          <w:highlight w:val="none"/>
          <w:lang w:eastAsia="zh-CN"/>
        </w:rPr>
        <w:t>；最大墙骨柱间距为610</w:t>
      </w:r>
      <w:r>
        <w:rPr>
          <w:rFonts w:hint="eastAsia"/>
          <w:color w:val="auto"/>
          <w:highlight w:val="none"/>
          <w:lang w:eastAsia="zh-CN"/>
        </w:rPr>
        <w:t>㎜</w:t>
      </w:r>
      <w:r>
        <w:rPr>
          <w:color w:val="auto"/>
          <w:highlight w:val="none"/>
          <w:lang w:eastAsia="zh-CN"/>
        </w:rPr>
        <w:t>时，板材的最小厚度不应小于12</w:t>
      </w:r>
      <w:r>
        <w:rPr>
          <w:rFonts w:hint="eastAsia"/>
          <w:color w:val="auto"/>
          <w:highlight w:val="none"/>
          <w:lang w:eastAsia="zh-CN"/>
        </w:rPr>
        <w:t>㎜</w:t>
      </w:r>
      <w:r>
        <w:rPr>
          <w:color w:val="auto"/>
          <w:highlight w:val="none"/>
          <w:lang w:eastAsia="zh-CN"/>
        </w:rPr>
        <w:t>。</w:t>
      </w:r>
    </w:p>
    <w:p w14:paraId="431BABD7">
      <w:pPr>
        <w:pStyle w:val="4"/>
        <w:rPr>
          <w:color w:val="auto"/>
          <w:highlight w:val="none"/>
          <w:lang w:eastAsia="zh-CN"/>
        </w:rPr>
      </w:pPr>
      <w:r>
        <w:rPr>
          <w:rFonts w:hint="eastAsia"/>
          <w:b/>
          <w:bCs/>
          <w:color w:val="auto"/>
          <w:highlight w:val="none"/>
          <w:lang w:eastAsia="zh-CN"/>
        </w:rPr>
        <w:t>6.4.</w:t>
      </w:r>
      <w:r>
        <w:rPr>
          <w:b/>
          <w:bCs/>
          <w:color w:val="auto"/>
          <w:highlight w:val="none"/>
          <w:lang w:eastAsia="zh-CN"/>
        </w:rPr>
        <w:t xml:space="preserve">4 </w:t>
      </w:r>
      <w:r>
        <w:rPr>
          <w:rFonts w:hint="eastAsia"/>
          <w:b/>
          <w:bCs/>
          <w:color w:val="auto"/>
          <w:highlight w:val="none"/>
          <w:lang w:eastAsia="zh-CN"/>
        </w:rPr>
        <w:t xml:space="preserve"> </w:t>
      </w:r>
      <w:r>
        <w:rPr>
          <w:color w:val="auto"/>
          <w:highlight w:val="none"/>
          <w:lang w:eastAsia="zh-CN"/>
        </w:rPr>
        <w:t>墙面板的设置应符合下列规定：</w:t>
      </w:r>
    </w:p>
    <w:p w14:paraId="41875CED">
      <w:pPr>
        <w:pStyle w:val="4"/>
        <w:ind w:firstLine="360" w:firstLineChars="150"/>
        <w:rPr>
          <w:color w:val="auto"/>
          <w:highlight w:val="none"/>
          <w:lang w:eastAsia="zh-CN"/>
        </w:rPr>
      </w:pPr>
      <w:r>
        <w:rPr>
          <w:color w:val="auto"/>
          <w:highlight w:val="none"/>
          <w:lang w:eastAsia="zh-CN"/>
        </w:rPr>
        <w:t>1</w:t>
      </w:r>
      <w:r>
        <w:rPr>
          <w:rFonts w:hint="eastAsia"/>
          <w:color w:val="auto"/>
          <w:highlight w:val="none"/>
          <w:lang w:eastAsia="zh-CN"/>
        </w:rPr>
        <w:t xml:space="preserve"> </w:t>
      </w:r>
      <w:r>
        <w:rPr>
          <w:color w:val="auto"/>
          <w:highlight w:val="none"/>
          <w:lang w:eastAsia="zh-CN"/>
        </w:rPr>
        <w:t xml:space="preserve"> 墙面板相邻面板之间的接缝应位于骨架构件上，面板可水平或竖向铺设，面板之间应留有不小于3</w:t>
      </w:r>
      <w:r>
        <w:rPr>
          <w:rFonts w:hint="eastAsia"/>
          <w:color w:val="auto"/>
          <w:highlight w:val="none"/>
          <w:lang w:eastAsia="zh-CN"/>
        </w:rPr>
        <w:t>㎜</w:t>
      </w:r>
      <w:r>
        <w:rPr>
          <w:color w:val="auto"/>
          <w:highlight w:val="none"/>
          <w:lang w:eastAsia="zh-CN"/>
        </w:rPr>
        <w:t>的缝隙。</w:t>
      </w:r>
    </w:p>
    <w:p w14:paraId="71D9698C">
      <w:pPr>
        <w:pStyle w:val="4"/>
        <w:ind w:firstLine="360" w:firstLineChars="150"/>
        <w:rPr>
          <w:color w:val="auto"/>
          <w:highlight w:val="none"/>
          <w:lang w:eastAsia="zh-CN"/>
        </w:rPr>
      </w:pPr>
      <w:r>
        <w:rPr>
          <w:color w:val="auto"/>
          <w:highlight w:val="none"/>
          <w:lang w:eastAsia="zh-CN"/>
        </w:rPr>
        <w:t>2</w:t>
      </w:r>
      <w:r>
        <w:rPr>
          <w:rFonts w:hint="eastAsia"/>
          <w:color w:val="auto"/>
          <w:highlight w:val="none"/>
          <w:lang w:eastAsia="zh-CN"/>
        </w:rPr>
        <w:t xml:space="preserve"> </w:t>
      </w:r>
      <w:r>
        <w:rPr>
          <w:color w:val="auto"/>
          <w:highlight w:val="none"/>
          <w:lang w:eastAsia="zh-CN"/>
        </w:rPr>
        <w:t xml:space="preserve"> 墙面板的尺寸不应小于1</w:t>
      </w:r>
      <w:r>
        <w:rPr>
          <w:rFonts w:hint="eastAsia"/>
          <w:color w:val="auto"/>
          <w:highlight w:val="none"/>
          <w:lang w:eastAsia="zh-CN"/>
        </w:rPr>
        <w:t>.</w:t>
      </w:r>
      <w:r>
        <w:rPr>
          <w:color w:val="auto"/>
          <w:highlight w:val="none"/>
          <w:lang w:eastAsia="zh-CN"/>
        </w:rPr>
        <w:t>2m</w:t>
      </w:r>
      <w:r>
        <w:rPr>
          <w:rFonts w:ascii="宋体" w:hAnsi="宋体"/>
          <w:color w:val="auto"/>
          <w:highlight w:val="none"/>
          <w:lang w:eastAsia="zh-CN"/>
        </w:rPr>
        <w:t>×</w:t>
      </w:r>
      <w:r>
        <w:rPr>
          <w:color w:val="auto"/>
          <w:highlight w:val="none"/>
          <w:lang w:eastAsia="zh-CN"/>
        </w:rPr>
        <w:t>2</w:t>
      </w:r>
      <w:r>
        <w:rPr>
          <w:rFonts w:hint="eastAsia"/>
          <w:color w:val="auto"/>
          <w:highlight w:val="none"/>
          <w:lang w:eastAsia="zh-CN"/>
        </w:rPr>
        <w:t>.</w:t>
      </w:r>
      <w:r>
        <w:rPr>
          <w:color w:val="auto"/>
          <w:highlight w:val="none"/>
          <w:lang w:eastAsia="zh-CN"/>
        </w:rPr>
        <w:t>4m，在墙面边界或开孔处，可使用宽度不小于300</w:t>
      </w:r>
      <w:r>
        <w:rPr>
          <w:rFonts w:hint="eastAsia"/>
          <w:color w:val="auto"/>
          <w:highlight w:val="none"/>
          <w:lang w:eastAsia="zh-CN"/>
        </w:rPr>
        <w:t>㎜</w:t>
      </w:r>
      <w:r>
        <w:rPr>
          <w:color w:val="auto"/>
          <w:highlight w:val="none"/>
          <w:lang w:eastAsia="zh-CN"/>
        </w:rPr>
        <w:t>的窄板，但不应多于两块；当墙面板的宽度小于300</w:t>
      </w:r>
      <w:r>
        <w:rPr>
          <w:rFonts w:hint="eastAsia"/>
          <w:color w:val="auto"/>
          <w:highlight w:val="none"/>
          <w:lang w:eastAsia="zh-CN"/>
        </w:rPr>
        <w:t>㎜</w:t>
      </w:r>
      <w:r>
        <w:rPr>
          <w:color w:val="auto"/>
          <w:highlight w:val="none"/>
          <w:lang w:eastAsia="zh-CN"/>
        </w:rPr>
        <w:t>时，应加设用于固定墙面板的填块。</w:t>
      </w:r>
    </w:p>
    <w:p w14:paraId="1A333499">
      <w:pPr>
        <w:pStyle w:val="4"/>
        <w:ind w:firstLine="360" w:firstLineChars="150"/>
        <w:rPr>
          <w:color w:val="auto"/>
          <w:highlight w:val="none"/>
          <w:lang w:eastAsia="zh-CN"/>
        </w:rPr>
      </w:pPr>
      <w:r>
        <w:rPr>
          <w:color w:val="auto"/>
          <w:highlight w:val="none"/>
          <w:lang w:eastAsia="zh-CN"/>
        </w:rPr>
        <w:t xml:space="preserve">3 </w:t>
      </w:r>
      <w:r>
        <w:rPr>
          <w:rFonts w:hint="eastAsia"/>
          <w:color w:val="auto"/>
          <w:highlight w:val="none"/>
          <w:lang w:eastAsia="zh-CN"/>
        </w:rPr>
        <w:t xml:space="preserve"> </w:t>
      </w:r>
      <w:r>
        <w:rPr>
          <w:color w:val="auto"/>
          <w:highlight w:val="none"/>
          <w:lang w:eastAsia="zh-CN"/>
        </w:rPr>
        <w:t>当墙体两侧均有面板，且每侧面板边缘钉间距小于150</w:t>
      </w:r>
      <w:r>
        <w:rPr>
          <w:rFonts w:hint="eastAsia"/>
          <w:color w:val="auto"/>
          <w:highlight w:val="none"/>
          <w:lang w:eastAsia="zh-CN"/>
        </w:rPr>
        <w:t>㎜</w:t>
      </w:r>
      <w:r>
        <w:rPr>
          <w:color w:val="auto"/>
          <w:highlight w:val="none"/>
          <w:lang w:eastAsia="zh-CN"/>
        </w:rPr>
        <w:t>时，墙体两侧面板的接缝应互相错开一个墙骨柱的间距，不应固定在同一根骨架构件上；当骨架构件的宽度大于65</w:t>
      </w:r>
      <w:r>
        <w:rPr>
          <w:rFonts w:hint="eastAsia"/>
          <w:color w:val="auto"/>
          <w:highlight w:val="none"/>
          <w:lang w:eastAsia="zh-CN"/>
        </w:rPr>
        <w:t>㎜</w:t>
      </w:r>
      <w:r>
        <w:rPr>
          <w:color w:val="auto"/>
          <w:highlight w:val="none"/>
          <w:lang w:eastAsia="zh-CN"/>
        </w:rPr>
        <w:t>时，墙体两侧面板拼缝可固定在同一根构件上，但钉应交错布置。</w:t>
      </w:r>
    </w:p>
    <w:p w14:paraId="76D8208D">
      <w:pPr>
        <w:pStyle w:val="50"/>
        <w:ind w:firstLine="0" w:firstLineChars="0"/>
        <w:rPr>
          <w:color w:val="auto"/>
          <w:highlight w:val="none"/>
        </w:rPr>
      </w:pPr>
      <w:r>
        <w:rPr>
          <w:rFonts w:hint="eastAsia"/>
          <w:color w:val="auto"/>
          <w:highlight w:val="none"/>
        </w:rPr>
        <w:t>【条文说明】6.5.</w:t>
      </w:r>
      <w:r>
        <w:rPr>
          <w:color w:val="auto"/>
          <w:highlight w:val="none"/>
        </w:rPr>
        <w:t>4</w:t>
      </w:r>
      <w:r>
        <w:rPr>
          <w:rFonts w:hint="eastAsia"/>
          <w:color w:val="auto"/>
          <w:highlight w:val="none"/>
        </w:rPr>
        <w:t xml:space="preserve">  </w:t>
      </w:r>
      <w:r>
        <w:rPr>
          <w:color w:val="auto"/>
          <w:highlight w:val="none"/>
        </w:rPr>
        <w:t>施工时应采用正确的施工方法保证剪力墙能满足设计承载力要求。</w:t>
      </w:r>
    </w:p>
    <w:p w14:paraId="215143E2">
      <w:pPr>
        <w:pStyle w:val="50"/>
        <w:ind w:firstLine="480"/>
        <w:rPr>
          <w:color w:val="auto"/>
          <w:highlight w:val="none"/>
        </w:rPr>
      </w:pPr>
      <w:r>
        <w:rPr>
          <w:color w:val="auto"/>
          <w:highlight w:val="none"/>
        </w:rPr>
        <w:t>当用木基结构板材时，为了适应板材变形，板材之间应留有3</w:t>
      </w:r>
      <w:r>
        <w:rPr>
          <w:rFonts w:hint="eastAsia"/>
          <w:color w:val="auto"/>
          <w:highlight w:val="none"/>
        </w:rPr>
        <w:t>㎜</w:t>
      </w:r>
      <w:r>
        <w:rPr>
          <w:color w:val="auto"/>
          <w:highlight w:val="none"/>
        </w:rPr>
        <w:t>空隙。板材随着含水率的变化，</w:t>
      </w:r>
      <w:r>
        <w:rPr>
          <w:rFonts w:hint="eastAsia"/>
          <w:color w:val="auto"/>
          <w:highlight w:val="none"/>
        </w:rPr>
        <w:t>空隙的宽度</w:t>
      </w:r>
      <w:r>
        <w:rPr>
          <w:color w:val="auto"/>
          <w:highlight w:val="none"/>
        </w:rPr>
        <w:t>会有所变化。</w:t>
      </w:r>
    </w:p>
    <w:p w14:paraId="2BFC7405">
      <w:pPr>
        <w:pStyle w:val="50"/>
        <w:ind w:firstLine="480"/>
        <w:rPr>
          <w:color w:val="auto"/>
          <w:highlight w:val="none"/>
        </w:rPr>
      </w:pPr>
      <w:r>
        <w:rPr>
          <w:color w:val="auto"/>
          <w:highlight w:val="none"/>
        </w:rPr>
        <w:t>面板上的钉不应过度打入。这是因为钉的过度打入会对剪力墙的承载力和延性有极大的破坏。所以建议钉距板和框架材料边缘至少10</w:t>
      </w:r>
      <w:r>
        <w:rPr>
          <w:rFonts w:hint="eastAsia"/>
          <w:color w:val="auto"/>
          <w:highlight w:val="none"/>
        </w:rPr>
        <w:t>㎜</w:t>
      </w:r>
      <w:r>
        <w:rPr>
          <w:color w:val="auto"/>
          <w:highlight w:val="none"/>
        </w:rPr>
        <w:t>，以减少框架材料的可能劈裂以及防止钉从板边被拉出。</w:t>
      </w:r>
    </w:p>
    <w:p w14:paraId="3F65340B">
      <w:pPr>
        <w:pStyle w:val="50"/>
        <w:ind w:firstLine="480"/>
        <w:rPr>
          <w:color w:val="auto"/>
          <w:highlight w:val="none"/>
        </w:rPr>
      </w:pPr>
      <w:r>
        <w:rPr>
          <w:color w:val="auto"/>
          <w:highlight w:val="none"/>
        </w:rPr>
        <w:t>剪力墙的单位受剪承载力通过板材的足尺试验得到。试验发现，过度使用窄长板材会导致剪力墙和楼、屋盖的受剪承载力降低。所以为了保证最小受剪承载力，窄板的数量应有所限制。</w:t>
      </w:r>
    </w:p>
    <w:p w14:paraId="5A667591">
      <w:pPr>
        <w:pStyle w:val="50"/>
        <w:ind w:firstLine="480"/>
        <w:rPr>
          <w:color w:val="auto"/>
          <w:highlight w:val="none"/>
        </w:rPr>
      </w:pPr>
      <w:r>
        <w:rPr>
          <w:color w:val="auto"/>
          <w:highlight w:val="none"/>
        </w:rPr>
        <w:t>足尺试验还表明，如果剪力墙两侧安装同类型的木基结构板材，墙体的受剪承载力约</w:t>
      </w:r>
      <w:r>
        <w:rPr>
          <w:rFonts w:hint="eastAsia"/>
          <w:color w:val="auto"/>
          <w:highlight w:val="none"/>
        </w:rPr>
        <w:t>是墙体只有单面墙板的</w:t>
      </w:r>
      <w:r>
        <w:rPr>
          <w:color w:val="auto"/>
          <w:highlight w:val="none"/>
        </w:rPr>
        <w:t>2</w:t>
      </w:r>
      <w:r>
        <w:rPr>
          <w:rFonts w:hint="eastAsia"/>
          <w:color w:val="auto"/>
          <w:highlight w:val="none"/>
        </w:rPr>
        <w:t>倍</w:t>
      </w:r>
      <w:r>
        <w:rPr>
          <w:color w:val="auto"/>
          <w:highlight w:val="none"/>
        </w:rPr>
        <w:t>。为了达到这一承载力，板材接缝应互相错开</w:t>
      </w:r>
      <w:r>
        <w:rPr>
          <w:rFonts w:hint="eastAsia"/>
          <w:color w:val="auto"/>
          <w:highlight w:val="none"/>
        </w:rPr>
        <w:t>；</w:t>
      </w:r>
      <w:r>
        <w:rPr>
          <w:color w:val="auto"/>
          <w:highlight w:val="none"/>
        </w:rPr>
        <w:t>当墙体两侧的面板拼缝不能互相错开时，墙骨柱的宽度必须至少为65</w:t>
      </w:r>
      <w:r>
        <w:rPr>
          <w:rFonts w:hint="eastAsia"/>
          <w:color w:val="auto"/>
          <w:highlight w:val="none"/>
        </w:rPr>
        <w:t>㎜（</w:t>
      </w:r>
      <w:r>
        <w:rPr>
          <w:color w:val="auto"/>
          <w:highlight w:val="none"/>
        </w:rPr>
        <w:t>或用两根截面为40</w:t>
      </w:r>
      <w:r>
        <w:rPr>
          <w:rFonts w:hint="eastAsia"/>
          <w:color w:val="auto"/>
          <w:highlight w:val="none"/>
        </w:rPr>
        <w:t>㎜</w:t>
      </w:r>
      <w:r>
        <w:rPr>
          <w:color w:val="auto"/>
          <w:highlight w:val="none"/>
        </w:rPr>
        <w:t>宽的构件组合在一起</w:t>
      </w:r>
      <w:r>
        <w:rPr>
          <w:rFonts w:hint="eastAsia"/>
          <w:color w:val="auto"/>
          <w:highlight w:val="none"/>
        </w:rPr>
        <w:t>）</w:t>
      </w:r>
      <w:r>
        <w:rPr>
          <w:color w:val="auto"/>
          <w:highlight w:val="none"/>
        </w:rPr>
        <w:t>。</w:t>
      </w:r>
    </w:p>
    <w:p w14:paraId="2C28D774">
      <w:pPr>
        <w:rPr>
          <w:color w:val="auto"/>
          <w:highlight w:val="none"/>
        </w:rPr>
      </w:pPr>
    </w:p>
    <w:p w14:paraId="12E7CB79">
      <w:pPr>
        <w:pStyle w:val="4"/>
        <w:rPr>
          <w:color w:val="auto"/>
          <w:highlight w:val="none"/>
          <w:lang w:eastAsia="zh-CN"/>
        </w:rPr>
      </w:pPr>
      <w:r>
        <w:rPr>
          <w:rFonts w:hint="eastAsia"/>
          <w:b/>
          <w:bCs/>
          <w:color w:val="auto"/>
          <w:highlight w:val="none"/>
          <w:lang w:eastAsia="zh-CN"/>
        </w:rPr>
        <w:t xml:space="preserve">6.4.5 </w:t>
      </w:r>
      <w:r>
        <w:rPr>
          <w:color w:val="auto"/>
          <w:highlight w:val="none"/>
          <w:lang w:eastAsia="zh-CN"/>
        </w:rPr>
        <w:t xml:space="preserve"> </w:t>
      </w:r>
      <w:r>
        <w:rPr>
          <w:rFonts w:hint="eastAsia"/>
          <w:color w:val="auto"/>
          <w:highlight w:val="none"/>
          <w:lang w:eastAsia="zh-CN"/>
        </w:rPr>
        <w:t>轻型木</w:t>
      </w:r>
      <w:r>
        <w:rPr>
          <w:color w:val="auto"/>
          <w:highlight w:val="none"/>
          <w:lang w:eastAsia="zh-CN"/>
        </w:rPr>
        <w:t>结构构件之间采用钉连接时，钉的直径不应小于2</w:t>
      </w:r>
      <w:r>
        <w:rPr>
          <w:rFonts w:hint="eastAsia"/>
          <w:color w:val="auto"/>
          <w:highlight w:val="none"/>
          <w:lang w:eastAsia="zh-CN"/>
        </w:rPr>
        <w:t>.</w:t>
      </w:r>
      <w:r>
        <w:rPr>
          <w:color w:val="auto"/>
          <w:highlight w:val="none"/>
          <w:lang w:eastAsia="zh-CN"/>
        </w:rPr>
        <w:t>8</w:t>
      </w:r>
      <w:r>
        <w:rPr>
          <w:rFonts w:hint="eastAsia"/>
          <w:color w:val="auto"/>
          <w:highlight w:val="none"/>
          <w:lang w:eastAsia="zh-CN"/>
        </w:rPr>
        <w:t>㎜</w:t>
      </w:r>
      <w:r>
        <w:rPr>
          <w:color w:val="auto"/>
          <w:highlight w:val="none"/>
          <w:lang w:eastAsia="zh-CN"/>
        </w:rPr>
        <w:t>，并应符合本标准附录</w:t>
      </w:r>
      <w:r>
        <w:rPr>
          <w:rFonts w:hint="eastAsia"/>
          <w:color w:val="auto"/>
          <w:highlight w:val="none"/>
          <w:lang w:eastAsia="zh-CN"/>
        </w:rPr>
        <w:t>E</w:t>
      </w:r>
      <w:r>
        <w:rPr>
          <w:color w:val="auto"/>
          <w:highlight w:val="none"/>
          <w:lang w:eastAsia="zh-CN"/>
        </w:rPr>
        <w:t>第</w:t>
      </w:r>
      <w:r>
        <w:rPr>
          <w:rFonts w:hint="eastAsia"/>
          <w:color w:val="auto"/>
          <w:highlight w:val="none"/>
          <w:lang w:eastAsia="zh-CN"/>
        </w:rPr>
        <w:t>E.2.3</w:t>
      </w:r>
      <w:r>
        <w:rPr>
          <w:color w:val="auto"/>
          <w:highlight w:val="none"/>
          <w:lang w:eastAsia="zh-CN"/>
        </w:rPr>
        <w:t>条的规定。楼面板、屋面板及墙面板与</w:t>
      </w:r>
      <w:r>
        <w:rPr>
          <w:rFonts w:hint="eastAsia"/>
          <w:color w:val="auto"/>
          <w:highlight w:val="none"/>
          <w:lang w:eastAsia="zh-CN"/>
        </w:rPr>
        <w:t>轻型木</w:t>
      </w:r>
      <w:r>
        <w:rPr>
          <w:color w:val="auto"/>
          <w:highlight w:val="none"/>
          <w:lang w:eastAsia="zh-CN"/>
        </w:rPr>
        <w:t>结构构架的钉连接应符合本标准附录</w:t>
      </w:r>
      <w:r>
        <w:rPr>
          <w:rFonts w:hint="eastAsia"/>
          <w:color w:val="auto"/>
          <w:highlight w:val="none"/>
          <w:lang w:eastAsia="zh-CN"/>
        </w:rPr>
        <w:t xml:space="preserve"> E </w:t>
      </w:r>
      <w:r>
        <w:rPr>
          <w:color w:val="auto"/>
          <w:highlight w:val="none"/>
          <w:lang w:eastAsia="zh-CN"/>
        </w:rPr>
        <w:t>第</w:t>
      </w:r>
      <w:r>
        <w:rPr>
          <w:rFonts w:hint="eastAsia"/>
          <w:color w:val="auto"/>
          <w:highlight w:val="none"/>
          <w:lang w:eastAsia="zh-CN"/>
        </w:rPr>
        <w:t xml:space="preserve"> E.2.2</w:t>
      </w:r>
      <w:r>
        <w:rPr>
          <w:color w:val="auto"/>
          <w:highlight w:val="none"/>
          <w:lang w:eastAsia="zh-CN"/>
        </w:rPr>
        <w:t>条的规定。</w:t>
      </w:r>
    </w:p>
    <w:p w14:paraId="5E741325">
      <w:pPr>
        <w:pStyle w:val="4"/>
        <w:rPr>
          <w:rFonts w:cs="Times New Roman"/>
          <w:color w:val="auto"/>
          <w:highlight w:val="none"/>
          <w:lang w:eastAsia="zh-CN"/>
        </w:rPr>
      </w:pPr>
      <w:r>
        <w:rPr>
          <w:rFonts w:hint="eastAsia"/>
          <w:b/>
          <w:bCs/>
          <w:color w:val="auto"/>
          <w:highlight w:val="none"/>
          <w:lang w:eastAsia="zh-CN"/>
        </w:rPr>
        <w:t xml:space="preserve">6.4.6 </w:t>
      </w:r>
      <w:r>
        <w:rPr>
          <w:b/>
          <w:bCs/>
          <w:color w:val="auto"/>
          <w:highlight w:val="none"/>
          <w:lang w:eastAsia="zh-CN"/>
        </w:rPr>
        <w:t xml:space="preserve"> </w:t>
      </w:r>
      <w:r>
        <w:rPr>
          <w:rFonts w:hint="eastAsia"/>
          <w:color w:val="auto"/>
          <w:highlight w:val="none"/>
          <w:lang w:eastAsia="zh-CN"/>
        </w:rPr>
        <w:t>剪力</w:t>
      </w:r>
      <w:r>
        <w:rPr>
          <w:rFonts w:cs="Times New Roman"/>
          <w:color w:val="auto"/>
          <w:highlight w:val="none"/>
          <w:lang w:eastAsia="zh-CN"/>
        </w:rPr>
        <w:t>墙墙骨柱截面开孔或开凿缺口后的剩余高度不应小于截面高度的2/3</w:t>
      </w:r>
      <w:r>
        <w:rPr>
          <w:rFonts w:hint="eastAsia" w:cs="Times New Roman"/>
          <w:color w:val="auto"/>
          <w:highlight w:val="none"/>
          <w:lang w:eastAsia="zh-CN"/>
        </w:rPr>
        <w:t>，</w:t>
      </w:r>
      <w:r>
        <w:rPr>
          <w:rFonts w:cs="Times New Roman"/>
          <w:color w:val="auto"/>
          <w:highlight w:val="none"/>
          <w:lang w:eastAsia="zh-CN"/>
        </w:rPr>
        <w:t>非承重墙不应小于40</w:t>
      </w:r>
      <w:r>
        <w:rPr>
          <w:rFonts w:hint="eastAsia" w:cs="Times New Roman"/>
          <w:color w:val="auto"/>
          <w:highlight w:val="none"/>
          <w:lang w:eastAsia="zh-CN"/>
        </w:rPr>
        <w:t>㎜</w:t>
      </w:r>
      <w:r>
        <w:rPr>
          <w:rFonts w:cs="Times New Roman"/>
          <w:color w:val="auto"/>
          <w:highlight w:val="none"/>
          <w:lang w:eastAsia="zh-CN"/>
        </w:rPr>
        <w:t>；墙体顶梁板的开孔或开凿缺口后的剩余宽度不应小于50</w:t>
      </w:r>
      <w:r>
        <w:rPr>
          <w:rFonts w:hint="eastAsia" w:cs="Times New Roman"/>
          <w:color w:val="auto"/>
          <w:highlight w:val="none"/>
          <w:lang w:eastAsia="zh-CN"/>
        </w:rPr>
        <w:t>㎜。</w:t>
      </w:r>
    </w:p>
    <w:p w14:paraId="2B3900A3">
      <w:pPr>
        <w:pStyle w:val="4"/>
        <w:rPr>
          <w:color w:val="auto"/>
          <w:highlight w:val="none"/>
          <w:lang w:eastAsia="zh-CN"/>
        </w:rPr>
      </w:pPr>
      <w:r>
        <w:rPr>
          <w:rFonts w:hint="eastAsia"/>
          <w:b/>
          <w:bCs/>
          <w:color w:val="auto"/>
          <w:highlight w:val="none"/>
          <w:lang w:eastAsia="zh-CN"/>
        </w:rPr>
        <w:t>6.4.7</w:t>
      </w:r>
      <w:r>
        <w:rPr>
          <w:b/>
          <w:bCs/>
          <w:color w:val="auto"/>
          <w:highlight w:val="none"/>
          <w:lang w:eastAsia="zh-CN"/>
        </w:rPr>
        <w:t xml:space="preserve"> </w:t>
      </w:r>
      <w:r>
        <w:rPr>
          <w:color w:val="auto"/>
          <w:highlight w:val="none"/>
          <w:lang w:eastAsia="zh-CN"/>
        </w:rPr>
        <w:t>梁在支座上的搁置长度不应小于90</w:t>
      </w:r>
      <w:r>
        <w:rPr>
          <w:rFonts w:hint="eastAsia"/>
          <w:color w:val="auto"/>
          <w:highlight w:val="none"/>
          <w:lang w:eastAsia="zh-CN"/>
        </w:rPr>
        <w:t>㎜</w:t>
      </w:r>
      <w:r>
        <w:rPr>
          <w:color w:val="auto"/>
          <w:highlight w:val="none"/>
          <w:lang w:eastAsia="zh-CN"/>
        </w:rPr>
        <w:t>，支座表面应平整，梁与支座应紧密接触。</w:t>
      </w:r>
    </w:p>
    <w:p w14:paraId="36EF4F6D">
      <w:pPr>
        <w:pStyle w:val="4"/>
        <w:rPr>
          <w:color w:val="auto"/>
          <w:highlight w:val="none"/>
          <w:lang w:eastAsia="zh-CN"/>
        </w:rPr>
      </w:pPr>
      <w:r>
        <w:rPr>
          <w:rFonts w:hint="eastAsia"/>
          <w:b/>
          <w:bCs/>
          <w:color w:val="auto"/>
          <w:highlight w:val="none"/>
          <w:lang w:eastAsia="zh-CN"/>
        </w:rPr>
        <w:t>6.4.8</w:t>
      </w:r>
      <w:r>
        <w:rPr>
          <w:b/>
          <w:bCs/>
          <w:color w:val="auto"/>
          <w:highlight w:val="none"/>
          <w:lang w:eastAsia="zh-CN"/>
        </w:rPr>
        <w:t xml:space="preserve"> </w:t>
      </w:r>
      <w:r>
        <w:rPr>
          <w:color w:val="auto"/>
          <w:highlight w:val="none"/>
          <w:lang w:eastAsia="zh-CN"/>
        </w:rPr>
        <w:t>由多根规格材用钉连接制作成的拼合截面梁（</w:t>
      </w:r>
      <w:r>
        <w:rPr>
          <w:rFonts w:hint="eastAsia"/>
          <w:color w:val="auto"/>
          <w:highlight w:val="none"/>
          <w:lang w:eastAsia="zh-CN"/>
        </w:rPr>
        <w:t>图6.4.8</w:t>
      </w:r>
      <w:r>
        <w:rPr>
          <w:color w:val="auto"/>
          <w:highlight w:val="none"/>
          <w:lang w:eastAsia="zh-CN"/>
        </w:rPr>
        <w:t>）应符合下列规定：</w:t>
      </w:r>
    </w:p>
    <w:p w14:paraId="2CE906EC">
      <w:pPr>
        <w:ind w:firstLine="360" w:firstLineChars="150"/>
        <w:rPr>
          <w:rFonts w:cs="Times New Roman"/>
          <w:color w:val="auto"/>
          <w:highlight w:val="none"/>
          <w:lang w:eastAsia="zh-CN"/>
        </w:rPr>
      </w:pPr>
      <w:r>
        <w:rPr>
          <w:rFonts w:cs="Times New Roman"/>
          <w:color w:val="auto"/>
          <w:highlight w:val="none"/>
          <w:lang w:eastAsia="zh-CN"/>
        </w:rPr>
        <w:t>1</w:t>
      </w:r>
      <w:r>
        <w:rPr>
          <w:rFonts w:hint="eastAsia" w:cs="Times New Roman"/>
          <w:color w:val="auto"/>
          <w:highlight w:val="none"/>
          <w:lang w:eastAsia="zh-CN"/>
        </w:rPr>
        <w:t xml:space="preserve"> </w:t>
      </w:r>
      <w:r>
        <w:rPr>
          <w:rFonts w:cs="Times New Roman"/>
          <w:color w:val="auto"/>
          <w:highlight w:val="none"/>
          <w:lang w:eastAsia="zh-CN"/>
        </w:rPr>
        <w:t xml:space="preserve"> 拼合截面梁中单根规格材的对接位置应位于梁的支座处。</w:t>
      </w:r>
    </w:p>
    <w:p w14:paraId="59B09F3E">
      <w:pPr>
        <w:ind w:firstLine="360" w:firstLineChars="150"/>
        <w:rPr>
          <w:rFonts w:cs="Times New Roman"/>
          <w:color w:val="auto"/>
          <w:highlight w:val="none"/>
          <w:lang w:eastAsia="zh-CN"/>
        </w:rPr>
      </w:pPr>
      <w:r>
        <w:rPr>
          <w:rFonts w:cs="Times New Roman"/>
          <w:color w:val="auto"/>
          <w:highlight w:val="none"/>
          <w:lang w:eastAsia="zh-CN"/>
        </w:rPr>
        <w:t>2</w:t>
      </w:r>
      <w:r>
        <w:rPr>
          <w:rFonts w:hint="eastAsia" w:cs="Times New Roman"/>
          <w:color w:val="auto"/>
          <w:highlight w:val="none"/>
          <w:lang w:eastAsia="zh-CN"/>
        </w:rPr>
        <w:t xml:space="preserve"> </w:t>
      </w:r>
      <w:r>
        <w:rPr>
          <w:rFonts w:cs="Times New Roman"/>
          <w:color w:val="auto"/>
          <w:highlight w:val="none"/>
          <w:lang w:eastAsia="zh-CN"/>
        </w:rPr>
        <w:t xml:space="preserve"> 拼合截面梁为连续梁时，梁中单根规格材的对接位置应位于距支座1/4梁净跨150</w:t>
      </w:r>
      <w:r>
        <w:rPr>
          <w:rFonts w:hint="eastAsia" w:cs="Times New Roman"/>
          <w:color w:val="auto"/>
          <w:highlight w:val="none"/>
          <w:lang w:eastAsia="zh-CN"/>
        </w:rPr>
        <w:t>㎜</w:t>
      </w:r>
      <w:r>
        <w:rPr>
          <w:rFonts w:cs="Times New Roman"/>
          <w:color w:val="auto"/>
          <w:highlight w:val="none"/>
          <w:lang w:eastAsia="zh-CN"/>
        </w:rPr>
        <w:t>的范围内；相邻的单根规格材不应在同一位置上对接；在同一截面上对接的规格材数量不应超过拼合梁规格材总数的一半；任一根规格材在同一跨内不应有两个或两个以上的接头，并在有接头的相邻一跨内不应再次对接；边跨内不应对接。</w:t>
      </w:r>
    </w:p>
    <w:p w14:paraId="5EDDDA58">
      <w:pPr>
        <w:ind w:firstLine="360" w:firstLineChars="150"/>
        <w:rPr>
          <w:rFonts w:cs="Times New Roman"/>
          <w:color w:val="auto"/>
          <w:highlight w:val="none"/>
          <w:lang w:eastAsia="zh-CN"/>
        </w:rPr>
      </w:pPr>
      <w:r>
        <w:rPr>
          <w:rFonts w:cs="Times New Roman"/>
          <w:color w:val="auto"/>
          <w:highlight w:val="none"/>
          <w:lang w:eastAsia="zh-CN"/>
        </w:rPr>
        <w:t>3</w:t>
      </w:r>
      <w:r>
        <w:rPr>
          <w:rFonts w:hint="eastAsia" w:cs="Times New Roman"/>
          <w:color w:val="auto"/>
          <w:highlight w:val="none"/>
          <w:lang w:eastAsia="zh-CN"/>
        </w:rPr>
        <w:t xml:space="preserve"> </w:t>
      </w:r>
      <w:r>
        <w:rPr>
          <w:rFonts w:cs="Times New Roman"/>
          <w:color w:val="auto"/>
          <w:highlight w:val="none"/>
          <w:lang w:eastAsia="zh-CN"/>
        </w:rPr>
        <w:t xml:space="preserve"> 当拼合截面梁采用40</w:t>
      </w:r>
      <w:r>
        <w:rPr>
          <w:rFonts w:hint="eastAsia" w:cs="Times New Roman"/>
          <w:color w:val="auto"/>
          <w:highlight w:val="none"/>
          <w:lang w:eastAsia="zh-CN"/>
        </w:rPr>
        <w:t>㎜</w:t>
      </w:r>
      <w:r>
        <w:rPr>
          <w:rFonts w:cs="Times New Roman"/>
          <w:color w:val="auto"/>
          <w:highlight w:val="none"/>
          <w:lang w:eastAsia="zh-CN"/>
        </w:rPr>
        <w:t>宽的规格材组成时，规格材之间应沿梁高采用等分布置的两排钉连接，钉长不应小于90</w:t>
      </w:r>
      <w:r>
        <w:rPr>
          <w:rFonts w:hint="eastAsia" w:cs="Times New Roman"/>
          <w:color w:val="auto"/>
          <w:highlight w:val="none"/>
          <w:lang w:eastAsia="zh-CN"/>
        </w:rPr>
        <w:t>㎜</w:t>
      </w:r>
      <w:r>
        <w:rPr>
          <w:rFonts w:cs="Times New Roman"/>
          <w:color w:val="auto"/>
          <w:highlight w:val="none"/>
          <w:lang w:eastAsia="zh-CN"/>
        </w:rPr>
        <w:t>，钉的间距不应大于450</w:t>
      </w:r>
      <w:r>
        <w:rPr>
          <w:rFonts w:hint="eastAsia" w:cs="Times New Roman"/>
          <w:color w:val="auto"/>
          <w:highlight w:val="none"/>
          <w:lang w:eastAsia="zh-CN"/>
        </w:rPr>
        <w:t>㎜</w:t>
      </w:r>
      <w:r>
        <w:rPr>
          <w:rFonts w:cs="Times New Roman"/>
          <w:color w:val="auto"/>
          <w:highlight w:val="none"/>
          <w:lang w:eastAsia="zh-CN"/>
        </w:rPr>
        <w:t>，钉的端距为</w:t>
      </w:r>
      <w:r>
        <w:rPr>
          <w:rFonts w:hint="eastAsia" w:cs="Times New Roman"/>
          <w:color w:val="auto"/>
          <w:highlight w:val="none"/>
          <w:lang w:eastAsia="zh-CN"/>
        </w:rPr>
        <w:t>100㎜</w:t>
      </w:r>
      <w:r>
        <w:rPr>
          <w:rFonts w:cs="Times New Roman"/>
          <w:color w:val="auto"/>
          <w:highlight w:val="none"/>
          <w:lang w:eastAsia="zh-CN"/>
        </w:rPr>
        <w:t>～150</w:t>
      </w:r>
      <w:r>
        <w:rPr>
          <w:rFonts w:hint="eastAsia" w:cs="Times New Roman"/>
          <w:color w:val="auto"/>
          <w:highlight w:val="none"/>
          <w:lang w:eastAsia="zh-CN"/>
        </w:rPr>
        <w:t>㎜</w:t>
      </w:r>
      <w:r>
        <w:rPr>
          <w:rFonts w:cs="Times New Roman"/>
          <w:color w:val="auto"/>
          <w:highlight w:val="none"/>
          <w:lang w:eastAsia="zh-CN"/>
        </w:rPr>
        <w:t>。</w:t>
      </w:r>
    </w:p>
    <w:p w14:paraId="35EC5778">
      <w:pPr>
        <w:ind w:firstLine="360" w:firstLineChars="150"/>
        <w:rPr>
          <w:rFonts w:cs="Times New Roman"/>
          <w:color w:val="auto"/>
          <w:highlight w:val="none"/>
          <w:lang w:eastAsia="zh-CN"/>
        </w:rPr>
      </w:pPr>
      <w:r>
        <w:rPr>
          <w:rFonts w:cs="Times New Roman"/>
          <w:color w:val="auto"/>
          <w:highlight w:val="none"/>
          <w:lang w:eastAsia="zh-CN"/>
        </w:rPr>
        <w:t>4</w:t>
      </w:r>
      <w:r>
        <w:rPr>
          <w:rFonts w:hint="eastAsia" w:cs="Times New Roman"/>
          <w:color w:val="auto"/>
          <w:highlight w:val="none"/>
          <w:lang w:eastAsia="zh-CN"/>
        </w:rPr>
        <w:t xml:space="preserve"> </w:t>
      </w:r>
      <w:r>
        <w:rPr>
          <w:rFonts w:cs="Times New Roman"/>
          <w:color w:val="auto"/>
          <w:highlight w:val="none"/>
          <w:lang w:eastAsia="zh-CN"/>
        </w:rPr>
        <w:t xml:space="preserve"> 当拼合截面梁采用40</w:t>
      </w:r>
      <w:r>
        <w:rPr>
          <w:rFonts w:hint="eastAsia" w:cs="Times New Roman"/>
          <w:color w:val="auto"/>
          <w:highlight w:val="none"/>
          <w:lang w:eastAsia="zh-CN"/>
        </w:rPr>
        <w:t>㎜</w:t>
      </w:r>
      <w:r>
        <w:rPr>
          <w:rFonts w:cs="Times New Roman"/>
          <w:color w:val="auto"/>
          <w:highlight w:val="none"/>
          <w:lang w:eastAsia="zh-CN"/>
        </w:rPr>
        <w:t>宽的规格材以螺栓连接时，螺栓直径不应小于12</w:t>
      </w:r>
      <w:r>
        <w:rPr>
          <w:rFonts w:hint="eastAsia" w:cs="Times New Roman"/>
          <w:color w:val="auto"/>
          <w:highlight w:val="none"/>
          <w:lang w:eastAsia="zh-CN"/>
        </w:rPr>
        <w:t>㎜</w:t>
      </w:r>
      <w:r>
        <w:rPr>
          <w:rFonts w:cs="Times New Roman"/>
          <w:color w:val="auto"/>
          <w:highlight w:val="none"/>
          <w:lang w:eastAsia="zh-CN"/>
        </w:rPr>
        <w:t>，螺栓中距不应大于1</w:t>
      </w:r>
      <w:r>
        <w:rPr>
          <w:rFonts w:hint="eastAsia" w:cs="Times New Roman"/>
          <w:color w:val="auto"/>
          <w:highlight w:val="none"/>
          <w:lang w:eastAsia="zh-CN"/>
        </w:rPr>
        <w:t>.</w:t>
      </w:r>
      <w:r>
        <w:rPr>
          <w:rFonts w:cs="Times New Roman"/>
          <w:color w:val="auto"/>
          <w:highlight w:val="none"/>
          <w:lang w:eastAsia="zh-CN"/>
        </w:rPr>
        <w:t>2m，螺栓端距不应大于600</w:t>
      </w:r>
      <w:r>
        <w:rPr>
          <w:rFonts w:hint="eastAsia" w:cs="Times New Roman"/>
          <w:color w:val="auto"/>
          <w:highlight w:val="none"/>
          <w:lang w:eastAsia="zh-CN"/>
        </w:rPr>
        <w:t>㎜</w:t>
      </w:r>
      <w:r>
        <w:rPr>
          <w:rFonts w:cs="Times New Roman"/>
          <w:color w:val="auto"/>
          <w:highlight w:val="none"/>
          <w:lang w:eastAsia="zh-CN"/>
        </w:rPr>
        <w:t>。</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6E18B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0CDF099F">
            <w:pPr>
              <w:jc w:val="both"/>
              <w:rPr>
                <w:color w:val="auto"/>
                <w:highlight w:val="none"/>
                <w:lang w:eastAsia="zh-CN"/>
              </w:rPr>
            </w:pPr>
            <w:r>
              <w:rPr>
                <w:rFonts w:cs="Times New Roman"/>
                <w:color w:val="auto"/>
                <w:highlight w:val="none"/>
                <w:lang w:eastAsia="zh-CN"/>
              </w:rPr>
              <w:drawing>
                <wp:anchor distT="0" distB="0" distL="0" distR="0" simplePos="0" relativeHeight="251671552" behindDoc="0" locked="0" layoutInCell="1" allowOverlap="1">
                  <wp:simplePos x="0" y="0"/>
                  <wp:positionH relativeFrom="column">
                    <wp:posOffset>486410</wp:posOffset>
                  </wp:positionH>
                  <wp:positionV relativeFrom="paragraph">
                    <wp:posOffset>212725</wp:posOffset>
                  </wp:positionV>
                  <wp:extent cx="2832100" cy="1762125"/>
                  <wp:effectExtent l="0" t="0" r="6350" b="9525"/>
                  <wp:wrapTopAndBottom/>
                  <wp:docPr id="2104124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24554" name="图片 1"/>
                          <pic:cNvPicPr>
                            <a:picLocks noChangeAspect="1"/>
                          </pic:cNvPicPr>
                        </pic:nvPicPr>
                        <pic:blipFill>
                          <a:blip r:embed="rId18" cstate="print"/>
                          <a:stretch>
                            <a:fillRect/>
                          </a:stretch>
                        </pic:blipFill>
                        <pic:spPr>
                          <a:xfrm>
                            <a:off x="0" y="0"/>
                            <a:ext cx="2832100" cy="1762125"/>
                          </a:xfrm>
                          <a:prstGeom prst="rect">
                            <a:avLst/>
                          </a:prstGeom>
                        </pic:spPr>
                      </pic:pic>
                    </a:graphicData>
                  </a:graphic>
                </wp:anchor>
              </w:drawing>
            </w:r>
          </w:p>
        </w:tc>
      </w:tr>
      <w:tr w14:paraId="0CCD3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6113" w:type="dxa"/>
          </w:tcPr>
          <w:p w14:paraId="4DBEED8F">
            <w:pPr>
              <w:pStyle w:val="44"/>
              <w:ind w:firstLine="198"/>
              <w:rPr>
                <w:color w:val="auto"/>
                <w:highlight w:val="none"/>
              </w:rPr>
            </w:pPr>
            <w:r>
              <w:rPr>
                <w:color w:val="auto"/>
                <w:highlight w:val="none"/>
              </w:rPr>
              <w:t>图</w:t>
            </w:r>
            <w:r>
              <w:rPr>
                <w:rFonts w:hint="eastAsia"/>
                <w:color w:val="auto"/>
                <w:highlight w:val="none"/>
              </w:rPr>
              <w:t>6.4.8</w:t>
            </w:r>
            <w:r>
              <w:rPr>
                <w:color w:val="auto"/>
                <w:highlight w:val="none"/>
              </w:rPr>
              <w:t xml:space="preserve"> 钉连接拼合截面梁示意</w:t>
            </w:r>
          </w:p>
        </w:tc>
      </w:tr>
    </w:tbl>
    <w:p w14:paraId="40D3BCAA">
      <w:pPr>
        <w:pStyle w:val="50"/>
        <w:ind w:firstLine="0" w:firstLineChars="0"/>
        <w:rPr>
          <w:color w:val="auto"/>
          <w:highlight w:val="none"/>
        </w:rPr>
      </w:pPr>
      <w:r>
        <w:rPr>
          <w:rFonts w:hint="eastAsia"/>
          <w:color w:val="auto"/>
          <w:highlight w:val="none"/>
        </w:rPr>
        <w:t xml:space="preserve">【条文说明】6.4.8  </w:t>
      </w:r>
      <w:r>
        <w:rPr>
          <w:color w:val="auto"/>
          <w:highlight w:val="none"/>
        </w:rPr>
        <w:t>承受均布荷载的等跨连续梁，最大弯矩一般出现在支座和跨中，在每跨距支座1/4点附近的弯矩几乎为零，所以接缝位置最好设在每跨的1/4点附近。</w:t>
      </w:r>
    </w:p>
    <w:p w14:paraId="1ADA3D03">
      <w:pPr>
        <w:pStyle w:val="50"/>
        <w:ind w:firstLine="480"/>
        <w:rPr>
          <w:color w:val="auto"/>
          <w:highlight w:val="none"/>
        </w:rPr>
      </w:pPr>
      <w:r>
        <w:rPr>
          <w:color w:val="auto"/>
          <w:highlight w:val="none"/>
        </w:rPr>
        <w:t>同一截面上的接缝数量应有限制以保证梁的连续性。除此之外，单根构件的接缝数量在任何一跨内不能超过一个，这也是为了保证梁的连续性。横向相邻构件的接缝不能出现在同一点。</w:t>
      </w:r>
    </w:p>
    <w:p w14:paraId="528D8FC9">
      <w:pPr>
        <w:rPr>
          <w:color w:val="auto"/>
          <w:highlight w:val="none"/>
        </w:rPr>
      </w:pPr>
    </w:p>
    <w:p w14:paraId="758878E0">
      <w:pPr>
        <w:pStyle w:val="4"/>
        <w:rPr>
          <w:color w:val="auto"/>
          <w:highlight w:val="none"/>
          <w:lang w:eastAsia="zh-CN"/>
        </w:rPr>
      </w:pPr>
      <w:r>
        <w:rPr>
          <w:rFonts w:hint="eastAsia"/>
          <w:b/>
          <w:bCs/>
          <w:color w:val="auto"/>
          <w:highlight w:val="none"/>
          <w:lang w:eastAsia="zh-CN"/>
        </w:rPr>
        <w:t>6.4.9</w:t>
      </w:r>
      <w:r>
        <w:rPr>
          <w:b/>
          <w:bCs/>
          <w:color w:val="auto"/>
          <w:highlight w:val="none"/>
          <w:lang w:eastAsia="zh-CN"/>
        </w:rPr>
        <w:t xml:space="preserve">  </w:t>
      </w:r>
      <w:r>
        <w:rPr>
          <w:color w:val="auto"/>
          <w:highlight w:val="none"/>
          <w:lang w:eastAsia="zh-CN"/>
        </w:rPr>
        <w:t>规格材组成的拼合柱应符合下列规定：</w:t>
      </w:r>
    </w:p>
    <w:p w14:paraId="52DE245B">
      <w:pPr>
        <w:pStyle w:val="4"/>
        <w:ind w:firstLine="360" w:firstLineChars="150"/>
        <w:rPr>
          <w:color w:val="auto"/>
          <w:highlight w:val="none"/>
          <w:lang w:eastAsia="zh-CN"/>
        </w:rPr>
      </w:pPr>
      <w:r>
        <w:rPr>
          <w:color w:val="auto"/>
          <w:highlight w:val="none"/>
          <w:lang w:eastAsia="zh-CN"/>
        </w:rPr>
        <w:t>1</w:t>
      </w:r>
      <w:r>
        <w:rPr>
          <w:rFonts w:hint="eastAsia"/>
          <w:color w:val="auto"/>
          <w:highlight w:val="none"/>
          <w:lang w:eastAsia="zh-CN"/>
        </w:rPr>
        <w:t xml:space="preserve"> </w:t>
      </w:r>
      <w:r>
        <w:rPr>
          <w:color w:val="auto"/>
          <w:highlight w:val="none"/>
          <w:lang w:eastAsia="zh-CN"/>
        </w:rPr>
        <w:t xml:space="preserve"> 当拼合柱采用钉连接时，拼合柱的连接应符合下列规定：</w:t>
      </w:r>
    </w:p>
    <w:p w14:paraId="7E9906D2">
      <w:pPr>
        <w:pStyle w:val="4"/>
        <w:ind w:firstLine="360" w:firstLineChars="150"/>
        <w:rPr>
          <w:color w:val="auto"/>
          <w:highlight w:val="none"/>
          <w:lang w:eastAsia="zh-CN"/>
        </w:rPr>
      </w:pPr>
      <w:r>
        <w:rPr>
          <w:color w:val="auto"/>
          <w:highlight w:val="none"/>
          <w:lang w:eastAsia="zh-CN"/>
        </w:rPr>
        <w:t>1） 沿柱长度方向的钉间距不应大于单根规格材厚度的6倍，且不应小于20倍钉的直径d，钉的端距应大于15d，且应小于18d；</w:t>
      </w:r>
    </w:p>
    <w:p w14:paraId="2B903CC8">
      <w:pPr>
        <w:pStyle w:val="4"/>
        <w:ind w:firstLine="360" w:firstLineChars="150"/>
        <w:rPr>
          <w:color w:val="auto"/>
          <w:highlight w:val="none"/>
          <w:lang w:eastAsia="zh-CN"/>
        </w:rPr>
      </w:pPr>
      <w:r>
        <w:rPr>
          <w:color w:val="auto"/>
          <w:highlight w:val="none"/>
          <w:lang w:eastAsia="zh-CN"/>
        </w:rPr>
        <w:t>2）</w:t>
      </w:r>
      <w:r>
        <w:rPr>
          <w:rFonts w:hint="eastAsia"/>
          <w:color w:val="auto"/>
          <w:highlight w:val="none"/>
          <w:lang w:eastAsia="zh-CN"/>
        </w:rPr>
        <w:t xml:space="preserve"> </w:t>
      </w:r>
      <w:r>
        <w:rPr>
          <w:color w:val="auto"/>
          <w:highlight w:val="none"/>
          <w:lang w:eastAsia="zh-CN"/>
        </w:rPr>
        <w:t>钉应贯穿拼合柱的所有规格材，且钉入最后一根规格材的深度不应小于规格材厚度的3/4，相邻钉应分别在柱的两侧沿柱长度方向交错打入；</w:t>
      </w:r>
    </w:p>
    <w:p w14:paraId="4170A188">
      <w:pPr>
        <w:pStyle w:val="4"/>
        <w:ind w:firstLine="360" w:firstLineChars="150"/>
        <w:rPr>
          <w:color w:val="auto"/>
          <w:highlight w:val="none"/>
          <w:lang w:eastAsia="zh-CN"/>
        </w:rPr>
      </w:pPr>
      <w:r>
        <w:rPr>
          <w:color w:val="auto"/>
          <w:highlight w:val="none"/>
          <w:lang w:eastAsia="zh-CN"/>
        </w:rPr>
        <w:t>3） 当拼合柱中单根规格材的宽度大于其厚度的3倍时，在宽度方向应至少布置两排钉；</w:t>
      </w:r>
    </w:p>
    <w:p w14:paraId="50E3C964">
      <w:pPr>
        <w:pStyle w:val="4"/>
        <w:ind w:firstLine="360" w:firstLineChars="150"/>
        <w:rPr>
          <w:color w:val="auto"/>
          <w:highlight w:val="none"/>
          <w:lang w:eastAsia="zh-CN"/>
        </w:rPr>
      </w:pPr>
      <w:r>
        <w:rPr>
          <w:color w:val="auto"/>
          <w:highlight w:val="none"/>
          <w:lang w:eastAsia="zh-CN"/>
        </w:rPr>
        <w:t xml:space="preserve">4） </w:t>
      </w:r>
      <w:r>
        <w:rPr>
          <w:rFonts w:hint="eastAsia"/>
          <w:color w:val="auto"/>
          <w:highlight w:val="none"/>
          <w:lang w:eastAsia="zh-CN"/>
        </w:rPr>
        <w:t xml:space="preserve"> </w:t>
      </w:r>
      <w:r>
        <w:rPr>
          <w:color w:val="auto"/>
          <w:highlight w:val="none"/>
          <w:lang w:eastAsia="zh-CN"/>
        </w:rPr>
        <w:t>当在柱宽度方向布置两排及两排以上的钉时，钉的行距不应小于</w:t>
      </w:r>
      <w:r>
        <w:rPr>
          <w:rFonts w:hint="eastAsia"/>
          <w:color w:val="auto"/>
          <w:highlight w:val="none"/>
          <w:lang w:eastAsia="zh-CN"/>
        </w:rPr>
        <w:t>10</w:t>
      </w:r>
      <w:r>
        <w:rPr>
          <w:color w:val="auto"/>
          <w:highlight w:val="none"/>
          <w:lang w:eastAsia="zh-CN"/>
        </w:rPr>
        <w:t>d，且不应大于20d；边距不应小于5d，且不应大于</w:t>
      </w:r>
      <w:r>
        <w:rPr>
          <w:rFonts w:hint="eastAsia"/>
          <w:color w:val="auto"/>
          <w:highlight w:val="none"/>
          <w:lang w:eastAsia="zh-CN"/>
        </w:rPr>
        <w:t xml:space="preserve"> </w:t>
      </w:r>
      <w:r>
        <w:rPr>
          <w:color w:val="auto"/>
          <w:highlight w:val="none"/>
          <w:lang w:eastAsia="zh-CN"/>
        </w:rPr>
        <w:t>20d；</w:t>
      </w:r>
    </w:p>
    <w:p w14:paraId="51DBAB08">
      <w:pPr>
        <w:pStyle w:val="4"/>
        <w:ind w:firstLine="360" w:firstLineChars="150"/>
        <w:rPr>
          <w:color w:val="auto"/>
          <w:highlight w:val="none"/>
          <w:lang w:eastAsia="zh-CN"/>
        </w:rPr>
      </w:pPr>
      <w:r>
        <w:rPr>
          <w:color w:val="auto"/>
          <w:highlight w:val="none"/>
          <w:lang w:eastAsia="zh-CN"/>
        </w:rPr>
        <w:t>5） 当拼合柱仅有一排钉时，相邻的钉应错开钉</w:t>
      </w:r>
      <w:r>
        <w:rPr>
          <w:rFonts w:hint="eastAsia"/>
          <w:color w:val="auto"/>
          <w:highlight w:val="none"/>
          <w:lang w:eastAsia="zh-CN"/>
        </w:rPr>
        <w:t>入</w:t>
      </w:r>
      <w:r>
        <w:rPr>
          <w:color w:val="auto"/>
          <w:highlight w:val="none"/>
          <w:lang w:eastAsia="zh-CN"/>
        </w:rPr>
        <w:t>，当超过两排钉时，相邻列的钉应错开钉</w:t>
      </w:r>
      <w:r>
        <w:rPr>
          <w:rFonts w:hint="eastAsia"/>
          <w:color w:val="auto"/>
          <w:highlight w:val="none"/>
          <w:lang w:eastAsia="zh-CN"/>
        </w:rPr>
        <w:t>入</w:t>
      </w:r>
      <w:r>
        <w:rPr>
          <w:color w:val="auto"/>
          <w:highlight w:val="none"/>
          <w:lang w:eastAsia="zh-CN"/>
        </w:rPr>
        <w:t>。</w:t>
      </w:r>
    </w:p>
    <w:p w14:paraId="0C67955E">
      <w:pPr>
        <w:pStyle w:val="4"/>
        <w:ind w:firstLine="360" w:firstLineChars="150"/>
        <w:rPr>
          <w:color w:val="auto"/>
          <w:highlight w:val="none"/>
          <w:lang w:eastAsia="zh-CN"/>
        </w:rPr>
      </w:pPr>
      <w:r>
        <w:rPr>
          <w:color w:val="auto"/>
          <w:highlight w:val="none"/>
          <w:lang w:eastAsia="zh-CN"/>
        </w:rPr>
        <w:t>2</w:t>
      </w:r>
      <w:r>
        <w:rPr>
          <w:rFonts w:hint="eastAsia"/>
          <w:color w:val="auto"/>
          <w:highlight w:val="none"/>
          <w:lang w:eastAsia="zh-CN"/>
        </w:rPr>
        <w:t xml:space="preserve"> </w:t>
      </w:r>
      <w:r>
        <w:rPr>
          <w:color w:val="auto"/>
          <w:highlight w:val="none"/>
          <w:lang w:eastAsia="zh-CN"/>
        </w:rPr>
        <w:t xml:space="preserve"> 当拼合柱采用螺栓连接时，拼合柱的连接应符合下列规定：</w:t>
      </w:r>
    </w:p>
    <w:p w14:paraId="5B9BE804">
      <w:pPr>
        <w:pStyle w:val="4"/>
        <w:ind w:firstLine="360" w:firstLineChars="150"/>
        <w:rPr>
          <w:color w:val="auto"/>
          <w:highlight w:val="none"/>
          <w:lang w:eastAsia="zh-CN"/>
        </w:rPr>
      </w:pPr>
      <w:r>
        <w:rPr>
          <w:color w:val="auto"/>
          <w:highlight w:val="none"/>
          <w:lang w:eastAsia="zh-CN"/>
        </w:rPr>
        <w:t>1）规格材与螺母之间应采用金属垫片，螺母拧紧后，规格材之间应紧密接触；</w:t>
      </w:r>
    </w:p>
    <w:p w14:paraId="2E38A47F">
      <w:pPr>
        <w:pStyle w:val="4"/>
        <w:ind w:firstLine="360" w:firstLineChars="150"/>
        <w:rPr>
          <w:color w:val="auto"/>
          <w:highlight w:val="none"/>
          <w:lang w:eastAsia="zh-CN"/>
        </w:rPr>
      </w:pPr>
      <w:r>
        <w:rPr>
          <w:color w:val="auto"/>
          <w:highlight w:val="none"/>
          <w:lang w:eastAsia="zh-CN"/>
        </w:rPr>
        <w:t>2） 沿柱长度方向的螺栓间距不应大于单根规格材厚度的6倍，且不应小于4倍螺栓直径d，螺栓的端距应大于7d，且应小于8</w:t>
      </w:r>
      <w:r>
        <w:rPr>
          <w:rFonts w:hint="eastAsia"/>
          <w:color w:val="auto"/>
          <w:highlight w:val="none"/>
          <w:lang w:eastAsia="zh-CN"/>
        </w:rPr>
        <w:t>.</w:t>
      </w:r>
      <w:r>
        <w:rPr>
          <w:color w:val="auto"/>
          <w:highlight w:val="none"/>
          <w:lang w:eastAsia="zh-CN"/>
        </w:rPr>
        <w:t>5d；</w:t>
      </w:r>
    </w:p>
    <w:p w14:paraId="5FB944A8">
      <w:pPr>
        <w:pStyle w:val="4"/>
        <w:ind w:firstLine="360" w:firstLineChars="150"/>
        <w:rPr>
          <w:color w:val="auto"/>
          <w:highlight w:val="none"/>
          <w:lang w:eastAsia="zh-CN"/>
        </w:rPr>
      </w:pPr>
      <w:r>
        <w:rPr>
          <w:color w:val="auto"/>
          <w:highlight w:val="none"/>
          <w:lang w:eastAsia="zh-CN"/>
        </w:rPr>
        <w:t>3）当拼合柱中单根规格材的宽度大于其厚度的3倍时，在宽度方向应至少布置两排螺栓；</w:t>
      </w:r>
    </w:p>
    <w:p w14:paraId="1F670AE4">
      <w:pPr>
        <w:pStyle w:val="4"/>
        <w:ind w:firstLine="360" w:firstLineChars="150"/>
        <w:rPr>
          <w:color w:val="auto"/>
          <w:highlight w:val="none"/>
          <w:lang w:eastAsia="zh-CN"/>
        </w:rPr>
      </w:pPr>
      <w:r>
        <w:rPr>
          <w:color w:val="auto"/>
          <w:highlight w:val="none"/>
          <w:lang w:eastAsia="zh-CN"/>
        </w:rPr>
        <w:t>4）当在柱宽度方向布置两排及两排以上的螺栓时，螺栓的行距不应小于1</w:t>
      </w:r>
      <w:r>
        <w:rPr>
          <w:rFonts w:hint="eastAsia"/>
          <w:color w:val="auto"/>
          <w:highlight w:val="none"/>
          <w:lang w:eastAsia="zh-CN"/>
        </w:rPr>
        <w:t>.</w:t>
      </w:r>
      <w:r>
        <w:rPr>
          <w:color w:val="auto"/>
          <w:highlight w:val="none"/>
          <w:lang w:eastAsia="zh-CN"/>
        </w:rPr>
        <w:t>5d，且不应大于1</w:t>
      </w:r>
      <w:r>
        <w:rPr>
          <w:rFonts w:hint="eastAsia"/>
          <w:color w:val="auto"/>
          <w:highlight w:val="none"/>
          <w:lang w:eastAsia="zh-CN"/>
        </w:rPr>
        <w:t>0</w:t>
      </w:r>
      <w:r>
        <w:rPr>
          <w:color w:val="auto"/>
          <w:highlight w:val="none"/>
          <w:lang w:eastAsia="zh-CN"/>
        </w:rPr>
        <w:t>d，边距不应小于1</w:t>
      </w:r>
      <w:r>
        <w:rPr>
          <w:rFonts w:hint="eastAsia"/>
          <w:color w:val="auto"/>
          <w:highlight w:val="none"/>
          <w:lang w:eastAsia="zh-CN"/>
        </w:rPr>
        <w:t>.</w:t>
      </w:r>
      <w:r>
        <w:rPr>
          <w:color w:val="auto"/>
          <w:highlight w:val="none"/>
          <w:lang w:eastAsia="zh-CN"/>
        </w:rPr>
        <w:t>5d，且不应大于</w:t>
      </w:r>
      <w:r>
        <w:rPr>
          <w:rFonts w:hint="eastAsia"/>
          <w:color w:val="auto"/>
          <w:highlight w:val="none"/>
          <w:lang w:eastAsia="zh-CN"/>
        </w:rPr>
        <w:t xml:space="preserve"> </w:t>
      </w:r>
      <w:r>
        <w:rPr>
          <w:color w:val="auto"/>
          <w:highlight w:val="none"/>
          <w:lang w:eastAsia="zh-CN"/>
        </w:rPr>
        <w:t>1</w:t>
      </w:r>
      <w:r>
        <w:rPr>
          <w:rFonts w:hint="eastAsia"/>
          <w:color w:val="auto"/>
          <w:highlight w:val="none"/>
          <w:lang w:eastAsia="zh-CN"/>
        </w:rPr>
        <w:t>0</w:t>
      </w:r>
      <w:r>
        <w:rPr>
          <w:color w:val="auto"/>
          <w:highlight w:val="none"/>
          <w:lang w:eastAsia="zh-CN"/>
        </w:rPr>
        <w:t>d。</w:t>
      </w:r>
    </w:p>
    <w:p w14:paraId="16595E80">
      <w:pPr>
        <w:rPr>
          <w:color w:val="auto"/>
          <w:highlight w:val="none"/>
          <w:lang w:eastAsia="zh-CN"/>
        </w:rPr>
      </w:pPr>
    </w:p>
    <w:p w14:paraId="6CE6D808">
      <w:pPr>
        <w:pStyle w:val="4"/>
        <w:rPr>
          <w:color w:val="auto"/>
          <w:highlight w:val="none"/>
          <w:lang w:eastAsia="zh-CN"/>
        </w:rPr>
      </w:pPr>
      <w:r>
        <w:rPr>
          <w:rFonts w:hint="eastAsia"/>
          <w:b/>
          <w:bCs/>
          <w:color w:val="auto"/>
          <w:highlight w:val="none"/>
          <w:lang w:eastAsia="zh-CN"/>
        </w:rPr>
        <w:t>6.4.10</w:t>
      </w:r>
      <w:r>
        <w:rPr>
          <w:b/>
          <w:bCs/>
          <w:color w:val="auto"/>
          <w:highlight w:val="none"/>
          <w:lang w:eastAsia="zh-CN"/>
        </w:rPr>
        <w:t xml:space="preserve">  </w:t>
      </w:r>
      <w:r>
        <w:rPr>
          <w:color w:val="auto"/>
          <w:highlight w:val="none"/>
          <w:lang w:eastAsia="zh-CN"/>
        </w:rPr>
        <w:t>与基础顶面连接的地梁板应采用直径不小于12</w:t>
      </w:r>
      <w:r>
        <w:rPr>
          <w:rFonts w:hint="eastAsia"/>
          <w:color w:val="auto"/>
          <w:highlight w:val="none"/>
          <w:lang w:eastAsia="zh-CN"/>
        </w:rPr>
        <w:t>㎜</w:t>
      </w:r>
      <w:r>
        <w:rPr>
          <w:color w:val="auto"/>
          <w:highlight w:val="none"/>
          <w:lang w:eastAsia="zh-CN"/>
        </w:rPr>
        <w:t>的锚栓与基础锚固，间距不应大于2</w:t>
      </w:r>
      <w:r>
        <w:rPr>
          <w:rFonts w:hint="eastAsia"/>
          <w:color w:val="auto"/>
          <w:highlight w:val="none"/>
          <w:lang w:eastAsia="zh-CN"/>
        </w:rPr>
        <w:t>.0</w:t>
      </w:r>
      <w:r>
        <w:rPr>
          <w:color w:val="auto"/>
          <w:highlight w:val="none"/>
          <w:lang w:eastAsia="zh-CN"/>
        </w:rPr>
        <w:t>m。锚栓埋</w:t>
      </w:r>
      <w:r>
        <w:rPr>
          <w:rFonts w:hint="eastAsia"/>
          <w:color w:val="auto"/>
          <w:highlight w:val="none"/>
          <w:lang w:eastAsia="zh-CN"/>
        </w:rPr>
        <w:t>入</w:t>
      </w:r>
      <w:r>
        <w:rPr>
          <w:color w:val="auto"/>
          <w:highlight w:val="none"/>
          <w:lang w:eastAsia="zh-CN"/>
        </w:rPr>
        <w:t>基础深度不应小于</w:t>
      </w:r>
      <w:r>
        <w:rPr>
          <w:rFonts w:hint="eastAsia"/>
          <w:color w:val="auto"/>
          <w:highlight w:val="none"/>
          <w:lang w:eastAsia="zh-CN"/>
        </w:rPr>
        <w:t xml:space="preserve"> </w:t>
      </w:r>
      <w:r>
        <w:rPr>
          <w:color w:val="auto"/>
          <w:highlight w:val="none"/>
          <w:lang w:eastAsia="zh-CN"/>
        </w:rPr>
        <w:t>300</w:t>
      </w:r>
      <w:r>
        <w:rPr>
          <w:rFonts w:hint="eastAsia"/>
          <w:color w:val="auto"/>
          <w:highlight w:val="none"/>
          <w:lang w:eastAsia="zh-CN"/>
        </w:rPr>
        <w:t>㎜</w:t>
      </w:r>
      <w:r>
        <w:rPr>
          <w:color w:val="auto"/>
          <w:highlight w:val="none"/>
          <w:lang w:eastAsia="zh-CN"/>
        </w:rPr>
        <w:t>，每根地梁板两端应各有一根锚栓，端距应为1</w:t>
      </w:r>
      <w:r>
        <w:rPr>
          <w:rFonts w:hint="eastAsia"/>
          <w:color w:val="auto"/>
          <w:highlight w:val="none"/>
          <w:lang w:eastAsia="zh-CN"/>
        </w:rPr>
        <w:t>00㎜</w:t>
      </w:r>
      <w:r>
        <w:rPr>
          <w:color w:val="auto"/>
          <w:highlight w:val="none"/>
          <w:lang w:eastAsia="zh-CN"/>
        </w:rPr>
        <w:t>～300</w:t>
      </w:r>
      <w:r>
        <w:rPr>
          <w:rFonts w:hint="eastAsia"/>
          <w:color w:val="auto"/>
          <w:highlight w:val="none"/>
          <w:lang w:eastAsia="zh-CN"/>
        </w:rPr>
        <w:t>㎜</w:t>
      </w:r>
      <w:r>
        <w:rPr>
          <w:color w:val="auto"/>
          <w:highlight w:val="none"/>
          <w:lang w:eastAsia="zh-CN"/>
        </w:rPr>
        <w:t>。</w:t>
      </w:r>
    </w:p>
    <w:p w14:paraId="29379F73">
      <w:pPr>
        <w:pStyle w:val="4"/>
        <w:rPr>
          <w:color w:val="auto"/>
          <w:highlight w:val="none"/>
          <w:lang w:eastAsia="zh-CN"/>
        </w:rPr>
      </w:pPr>
      <w:r>
        <w:rPr>
          <w:rFonts w:hint="eastAsia"/>
          <w:b/>
          <w:bCs/>
          <w:color w:val="auto"/>
          <w:highlight w:val="none"/>
          <w:lang w:eastAsia="zh-CN"/>
        </w:rPr>
        <w:t>6.4.11</w:t>
      </w:r>
      <w:r>
        <w:rPr>
          <w:b/>
          <w:bCs/>
          <w:color w:val="auto"/>
          <w:highlight w:val="none"/>
          <w:lang w:eastAsia="zh-CN"/>
        </w:rPr>
        <w:t xml:space="preserve"> </w:t>
      </w:r>
      <w:r>
        <w:rPr>
          <w:rFonts w:hint="eastAsia"/>
          <w:b/>
          <w:bCs/>
          <w:color w:val="auto"/>
          <w:highlight w:val="none"/>
          <w:lang w:eastAsia="zh-CN"/>
        </w:rPr>
        <w:t xml:space="preserve"> </w:t>
      </w:r>
      <w:r>
        <w:rPr>
          <w:rFonts w:hint="eastAsia"/>
          <w:color w:val="auto"/>
          <w:highlight w:val="none"/>
          <w:lang w:eastAsia="zh-CN"/>
        </w:rPr>
        <w:t>轻型木</w:t>
      </w:r>
      <w:r>
        <w:rPr>
          <w:color w:val="auto"/>
          <w:highlight w:val="none"/>
          <w:lang w:eastAsia="zh-CN"/>
        </w:rPr>
        <w:t>结构的墙体应支承在混凝土基础或砌体基础顶面的混凝土圈梁上，混凝土基础或圈梁顶面砂浆应平整，倾斜度不应大于2％</w:t>
      </w:r>
      <w:r>
        <w:rPr>
          <w:rFonts w:hint="eastAsia"/>
          <w:color w:val="auto"/>
          <w:highlight w:val="none"/>
          <w:lang w:eastAsia="zh-CN"/>
        </w:rPr>
        <w:t xml:space="preserve"> 。</w:t>
      </w:r>
    </w:p>
    <w:p w14:paraId="3EB30B36">
      <w:pPr>
        <w:pStyle w:val="2"/>
        <w:spacing w:before="312"/>
        <w:rPr>
          <w:color w:val="auto"/>
          <w:highlight w:val="none"/>
          <w:lang w:eastAsia="zh-CN"/>
        </w:rPr>
      </w:pPr>
      <w:bookmarkStart w:id="145" w:name="_Toc14571"/>
      <w:bookmarkStart w:id="146" w:name="_Toc32259"/>
      <w:bookmarkStart w:id="147" w:name="_Toc4137"/>
      <w:bookmarkStart w:id="148" w:name="_Toc20527"/>
      <w:r>
        <w:rPr>
          <w:rFonts w:hint="eastAsia"/>
          <w:color w:val="auto"/>
          <w:highlight w:val="none"/>
          <w:lang w:eastAsia="zh-CN"/>
        </w:rPr>
        <w:t>7  方木原木结构</w:t>
      </w:r>
      <w:bookmarkEnd w:id="145"/>
      <w:bookmarkEnd w:id="146"/>
      <w:bookmarkEnd w:id="147"/>
      <w:bookmarkEnd w:id="148"/>
    </w:p>
    <w:p w14:paraId="0271AE5D">
      <w:pPr>
        <w:pStyle w:val="3"/>
        <w:spacing w:before="156" w:after="156"/>
        <w:rPr>
          <w:color w:val="auto"/>
          <w:highlight w:val="none"/>
        </w:rPr>
      </w:pPr>
      <w:bookmarkStart w:id="149" w:name="_Toc2096"/>
      <w:bookmarkStart w:id="150" w:name="_Toc14239"/>
      <w:bookmarkStart w:id="151" w:name="_Toc1180"/>
      <w:bookmarkStart w:id="152" w:name="_Toc17491"/>
      <w:r>
        <w:rPr>
          <w:rFonts w:hint="eastAsia"/>
          <w:color w:val="auto"/>
          <w:highlight w:val="none"/>
          <w:lang w:eastAsia="zh-CN"/>
        </w:rPr>
        <w:t xml:space="preserve">7.1  </w:t>
      </w:r>
      <w:r>
        <w:rPr>
          <w:rFonts w:hint="eastAsia"/>
          <w:color w:val="auto"/>
          <w:highlight w:val="none"/>
        </w:rPr>
        <w:t>一般规定</w:t>
      </w:r>
      <w:bookmarkEnd w:id="149"/>
      <w:bookmarkEnd w:id="150"/>
      <w:bookmarkEnd w:id="151"/>
      <w:bookmarkEnd w:id="152"/>
    </w:p>
    <w:p w14:paraId="4A90E4BA">
      <w:pPr>
        <w:pStyle w:val="4"/>
        <w:rPr>
          <w:color w:val="auto"/>
          <w:highlight w:val="none"/>
          <w:lang w:eastAsia="zh-CN"/>
        </w:rPr>
      </w:pPr>
      <w:r>
        <w:rPr>
          <w:rFonts w:hint="eastAsia"/>
          <w:b/>
          <w:bCs/>
          <w:color w:val="auto"/>
          <w:highlight w:val="none"/>
          <w:lang w:eastAsia="zh-CN"/>
        </w:rPr>
        <w:t>7.1</w:t>
      </w:r>
      <w:r>
        <w:rPr>
          <w:rFonts w:hint="eastAsia"/>
          <w:b/>
          <w:bCs/>
          <w:color w:val="auto"/>
          <w:highlight w:val="none"/>
        </w:rPr>
        <w:t>.1</w:t>
      </w:r>
      <w:r>
        <w:rPr>
          <w:b/>
          <w:bCs/>
          <w:color w:val="auto"/>
          <w:highlight w:val="none"/>
        </w:rPr>
        <w:t xml:space="preserve"> </w:t>
      </w:r>
      <w:r>
        <w:rPr>
          <w:rFonts w:hint="eastAsia"/>
          <w:b/>
          <w:bCs/>
          <w:color w:val="auto"/>
          <w:highlight w:val="none"/>
          <w:lang w:eastAsia="zh-CN"/>
        </w:rPr>
        <w:t xml:space="preserve"> </w:t>
      </w:r>
      <w:r>
        <w:rPr>
          <w:color w:val="auto"/>
          <w:highlight w:val="none"/>
        </w:rPr>
        <w:t>方木原木结构</w:t>
      </w:r>
      <w:r>
        <w:rPr>
          <w:rFonts w:hint="eastAsia"/>
          <w:color w:val="auto"/>
          <w:highlight w:val="none"/>
          <w:lang w:eastAsia="zh-CN"/>
        </w:rPr>
        <w:t>宜</w:t>
      </w:r>
      <w:r>
        <w:rPr>
          <w:color w:val="auto"/>
          <w:highlight w:val="none"/>
        </w:rPr>
        <w:t>采用木框架剪力墙结构</w:t>
      </w:r>
      <w:r>
        <w:rPr>
          <w:rFonts w:hint="eastAsia"/>
          <w:color w:val="auto"/>
          <w:highlight w:val="none"/>
          <w:lang w:eastAsia="zh-CN"/>
        </w:rPr>
        <w:t>、</w:t>
      </w:r>
      <w:r>
        <w:rPr>
          <w:color w:val="auto"/>
          <w:highlight w:val="none"/>
        </w:rPr>
        <w:t>梁柱式木结构</w:t>
      </w:r>
      <w:r>
        <w:rPr>
          <w:rFonts w:hint="eastAsia"/>
          <w:color w:val="auto"/>
          <w:highlight w:val="none"/>
          <w:lang w:eastAsia="zh-CN"/>
        </w:rPr>
        <w:t>及</w:t>
      </w:r>
      <w:r>
        <w:rPr>
          <w:color w:val="auto"/>
          <w:highlight w:val="none"/>
        </w:rPr>
        <w:t>作为楼盖或屋盖在混凝土结构、砌体结构、钢结构中组合使用的混合木结构。</w:t>
      </w:r>
    </w:p>
    <w:p w14:paraId="47630302">
      <w:pPr>
        <w:pStyle w:val="50"/>
        <w:bidi w:val="0"/>
        <w:rPr>
          <w:color w:val="auto"/>
          <w:highlight w:val="none"/>
          <w:lang w:eastAsia="zh-CN"/>
        </w:rPr>
      </w:pPr>
      <w:r>
        <w:rPr>
          <w:rFonts w:hint="eastAsia"/>
          <w:color w:val="auto"/>
          <w:highlight w:val="none"/>
          <w:lang w:eastAsia="zh-CN"/>
        </w:rPr>
        <w:t>【条文说明】7.1.1  方木原木结构中包括了多种结构形式，在本次修订时，对方木原木结构的结构形式作出了具体规定，是为了在实际工程中更好地应用方木原木结构。</w:t>
      </w:r>
    </w:p>
    <w:p w14:paraId="2EC29FE8">
      <w:pPr>
        <w:pStyle w:val="50"/>
        <w:bidi w:val="0"/>
        <w:rPr>
          <w:color w:val="auto"/>
          <w:highlight w:val="none"/>
          <w:lang w:eastAsia="zh-CN"/>
        </w:rPr>
      </w:pPr>
      <w:r>
        <w:rPr>
          <w:rFonts w:hint="eastAsia"/>
          <w:color w:val="auto"/>
          <w:highlight w:val="none"/>
          <w:lang w:eastAsia="zh-CN"/>
        </w:rPr>
        <w:t>木框架剪力墙结构是方木原木结构的主要结构形式之一，在现代木结构建筑中得到广泛应用。</w:t>
      </w:r>
    </w:p>
    <w:p w14:paraId="2918B814">
      <w:pPr>
        <w:pStyle w:val="50"/>
        <w:bidi w:val="0"/>
        <w:rPr>
          <w:rFonts w:hint="eastAsia"/>
          <w:color w:val="auto"/>
          <w:highlight w:val="none"/>
          <w:lang w:eastAsia="zh-CN"/>
        </w:rPr>
      </w:pPr>
      <w:r>
        <w:rPr>
          <w:rFonts w:hint="eastAsia"/>
          <w:color w:val="auto"/>
          <w:highlight w:val="none"/>
          <w:lang w:eastAsia="zh-CN"/>
        </w:rPr>
        <w:t>随着木结构的发展，传统的梁柱式木结构在多地震、多台风地区已经发展演化成为在柱上铺设结构木基结构板材而构成剪力墙，在楼面梁或屋架上铺设木基结构板材而构成水平构件的木框架剪力墙结构形式。即木框架剪力墙结构是以木框架承受轴向荷载，以剪力墙、楼盖、屋盖构件抵抗地震、台风等剪力的结构形式。</w:t>
      </w:r>
    </w:p>
    <w:p w14:paraId="48E96D86">
      <w:pPr>
        <w:ind w:firstLine="480" w:firstLineChars="200"/>
        <w:rPr>
          <w:rFonts w:hint="eastAsia"/>
          <w:color w:val="auto"/>
          <w:highlight w:val="none"/>
          <w:lang w:eastAsia="zh-CN"/>
        </w:rPr>
      </w:pPr>
    </w:p>
    <w:p w14:paraId="545E48ED">
      <w:pPr>
        <w:pStyle w:val="4"/>
        <w:rPr>
          <w:color w:val="auto"/>
          <w:highlight w:val="none"/>
          <w:lang w:eastAsia="zh-CN"/>
        </w:rPr>
      </w:pPr>
      <w:r>
        <w:rPr>
          <w:rFonts w:hint="eastAsia"/>
          <w:b/>
          <w:bCs/>
          <w:color w:val="auto"/>
          <w:highlight w:val="none"/>
          <w:lang w:eastAsia="zh-CN"/>
        </w:rPr>
        <w:t>7.1</w:t>
      </w:r>
      <w:r>
        <w:rPr>
          <w:rFonts w:hint="eastAsia"/>
          <w:b/>
          <w:bCs/>
          <w:color w:val="auto"/>
          <w:highlight w:val="none"/>
        </w:rPr>
        <w:t>.2</w:t>
      </w:r>
      <w:r>
        <w:rPr>
          <w:rFonts w:hint="eastAsia"/>
          <w:b/>
          <w:bCs/>
          <w:color w:val="auto"/>
          <w:highlight w:val="none"/>
          <w:lang w:eastAsia="zh-CN"/>
        </w:rPr>
        <w:t xml:space="preserve">  </w:t>
      </w:r>
      <w:r>
        <w:rPr>
          <w:rFonts w:hint="eastAsia"/>
          <w:color w:val="auto"/>
          <w:highlight w:val="none"/>
        </w:rPr>
        <w:t>方木原木结构构件应采用经施工现场分级或工厂分等分级的方木、原木制作，亦可采用结构复合木材和胶合原木制作</w:t>
      </w:r>
      <w:r>
        <w:rPr>
          <w:color w:val="auto"/>
          <w:highlight w:val="none"/>
        </w:rPr>
        <w:t>。</w:t>
      </w:r>
    </w:p>
    <w:p w14:paraId="4EC564B9">
      <w:pPr>
        <w:pStyle w:val="50"/>
        <w:bidi w:val="0"/>
        <w:rPr>
          <w:rFonts w:hint="eastAsia"/>
          <w:color w:val="auto"/>
          <w:highlight w:val="none"/>
          <w:lang w:eastAsia="zh-CN"/>
        </w:rPr>
      </w:pPr>
      <w:r>
        <w:rPr>
          <w:rFonts w:hint="eastAsia"/>
          <w:color w:val="auto"/>
          <w:highlight w:val="none"/>
          <w:lang w:eastAsia="zh-CN"/>
        </w:rPr>
        <w:t xml:space="preserve">【条文说明】7.1.2  方木原木结构的承重构件一般由原木或锯材制作，随着木材工业的发展，一些承重构件也可采用结构复合材和胶合原木制作。特别是木框架剪力墙结构的构件制作时可使用锯材，也可使用符合强度和耐久性能要求的胶合木材、单板层积材(LVL)、胶合板等材料制作。  </w:t>
      </w:r>
    </w:p>
    <w:p w14:paraId="7BCFFEAA">
      <w:pPr>
        <w:rPr>
          <w:rFonts w:hint="eastAsia"/>
          <w:color w:val="auto"/>
          <w:highlight w:val="none"/>
          <w:lang w:eastAsia="zh-CN"/>
        </w:rPr>
      </w:pPr>
    </w:p>
    <w:p w14:paraId="3F6BEE4D">
      <w:pPr>
        <w:pStyle w:val="4"/>
        <w:rPr>
          <w:color w:val="auto"/>
          <w:highlight w:val="none"/>
        </w:rPr>
      </w:pPr>
      <w:r>
        <w:rPr>
          <w:rFonts w:hint="eastAsia"/>
          <w:b/>
          <w:bCs/>
          <w:color w:val="auto"/>
          <w:highlight w:val="none"/>
          <w:lang w:eastAsia="zh-CN"/>
        </w:rPr>
        <w:t>7.1</w:t>
      </w:r>
      <w:r>
        <w:rPr>
          <w:rFonts w:hint="eastAsia"/>
          <w:b/>
          <w:bCs/>
          <w:color w:val="auto"/>
          <w:highlight w:val="none"/>
        </w:rPr>
        <w:t>.3</w:t>
      </w:r>
      <w:r>
        <w:rPr>
          <w:rFonts w:hint="eastAsia"/>
          <w:b/>
          <w:bCs/>
          <w:color w:val="auto"/>
          <w:highlight w:val="none"/>
          <w:lang w:eastAsia="zh-CN"/>
        </w:rPr>
        <w:t xml:space="preserve">  </w:t>
      </w:r>
      <w:r>
        <w:rPr>
          <w:color w:val="auto"/>
          <w:highlight w:val="none"/>
        </w:rPr>
        <w:t>由地震作用或风荷载产生的水平力应由柱、剪力墙、楼盖和屋盖共同承受。</w:t>
      </w:r>
    </w:p>
    <w:p w14:paraId="7A6ABAAF">
      <w:pPr>
        <w:rPr>
          <w:color w:val="auto"/>
          <w:highlight w:val="none"/>
        </w:rPr>
      </w:pPr>
      <w:r>
        <w:rPr>
          <w:rFonts w:hint="eastAsia"/>
          <w:b/>
          <w:bCs/>
          <w:color w:val="auto"/>
          <w:highlight w:val="none"/>
          <w:lang w:eastAsia="zh-CN"/>
        </w:rPr>
        <w:t>7.1</w:t>
      </w:r>
      <w:r>
        <w:rPr>
          <w:rFonts w:hint="eastAsia"/>
          <w:b/>
          <w:bCs/>
          <w:color w:val="auto"/>
          <w:highlight w:val="none"/>
        </w:rPr>
        <w:t>.4</w:t>
      </w:r>
      <w:r>
        <w:rPr>
          <w:b/>
          <w:bCs/>
          <w:color w:val="auto"/>
          <w:highlight w:val="none"/>
        </w:rPr>
        <w:t xml:space="preserve"> </w:t>
      </w:r>
      <w:r>
        <w:rPr>
          <w:rFonts w:hint="eastAsia"/>
          <w:b/>
          <w:bCs/>
          <w:color w:val="auto"/>
          <w:highlight w:val="none"/>
          <w:lang w:eastAsia="zh-CN"/>
        </w:rPr>
        <w:t xml:space="preserve"> </w:t>
      </w:r>
      <w:r>
        <w:rPr>
          <w:color w:val="auto"/>
          <w:highlight w:val="none"/>
        </w:rPr>
        <w:t>方木原木结构设计应符合下列要求：</w:t>
      </w:r>
    </w:p>
    <w:p w14:paraId="2F69CAB3">
      <w:pPr>
        <w:rPr>
          <w:color w:val="auto"/>
          <w:highlight w:val="none"/>
        </w:rPr>
      </w:pPr>
      <w:r>
        <w:rPr>
          <w:color w:val="auto"/>
          <w:highlight w:val="none"/>
        </w:rPr>
        <w:t xml:space="preserve">   1</w:t>
      </w:r>
      <w:r>
        <w:rPr>
          <w:rFonts w:hint="eastAsia"/>
          <w:color w:val="auto"/>
          <w:highlight w:val="none"/>
          <w:lang w:eastAsia="zh-CN"/>
        </w:rPr>
        <w:t xml:space="preserve"> </w:t>
      </w:r>
      <w:r>
        <w:rPr>
          <w:color w:val="auto"/>
          <w:highlight w:val="none"/>
        </w:rPr>
        <w:t xml:space="preserve"> 木材宜用于结构的受压或受弯构件；</w:t>
      </w:r>
    </w:p>
    <w:p w14:paraId="6DA35291">
      <w:pPr>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在受弯构件的受拉边，不应打孔或开设缺口；</w:t>
      </w:r>
    </w:p>
    <w:p w14:paraId="1F9FD0D9">
      <w:pPr>
        <w:rPr>
          <w:color w:val="auto"/>
          <w:highlight w:val="none"/>
        </w:rPr>
      </w:pPr>
      <w:r>
        <w:rPr>
          <w:color w:val="auto"/>
          <w:highlight w:val="none"/>
        </w:rPr>
        <w:t xml:space="preserve">   3 </w:t>
      </w:r>
      <w:r>
        <w:rPr>
          <w:rFonts w:hint="eastAsia"/>
          <w:color w:val="auto"/>
          <w:highlight w:val="none"/>
          <w:lang w:eastAsia="zh-CN"/>
        </w:rPr>
        <w:t xml:space="preserve"> </w:t>
      </w:r>
      <w:r>
        <w:rPr>
          <w:color w:val="auto"/>
          <w:highlight w:val="none"/>
        </w:rPr>
        <w:t>对于在干燥过程中容易翘裂的树种木材，用于制作桁架时，宜采用钢下弦；当采用木下弦，对于原木其跨度不宜大于15m，对于方木其跨度不应大于12m，且应采取防止裂缝的有效措施；</w:t>
      </w:r>
    </w:p>
    <w:p w14:paraId="197BD831">
      <w:pPr>
        <w:rPr>
          <w:color w:val="auto"/>
          <w:highlight w:val="none"/>
        </w:rPr>
      </w:pPr>
      <w:r>
        <w:rPr>
          <w:color w:val="auto"/>
          <w:highlight w:val="none"/>
        </w:rPr>
        <w:t xml:space="preserve">   4 </w:t>
      </w:r>
      <w:r>
        <w:rPr>
          <w:rFonts w:hint="eastAsia"/>
          <w:color w:val="auto"/>
          <w:highlight w:val="none"/>
          <w:lang w:eastAsia="zh-CN"/>
        </w:rPr>
        <w:t xml:space="preserve"> </w:t>
      </w:r>
      <w:r>
        <w:rPr>
          <w:color w:val="auto"/>
          <w:highlight w:val="none"/>
        </w:rPr>
        <w:t>木屋盖宜采用外排水，采用内排水时，不应采用木制天沟；</w:t>
      </w:r>
    </w:p>
    <w:p w14:paraId="1901A483">
      <w:pPr>
        <w:rPr>
          <w:color w:val="auto"/>
          <w:highlight w:val="none"/>
        </w:rPr>
      </w:pPr>
      <w:r>
        <w:rPr>
          <w:color w:val="auto"/>
          <w:highlight w:val="none"/>
        </w:rPr>
        <w:t xml:space="preserve">   5 </w:t>
      </w:r>
      <w:r>
        <w:rPr>
          <w:rFonts w:hint="eastAsia"/>
          <w:color w:val="auto"/>
          <w:highlight w:val="none"/>
          <w:lang w:eastAsia="zh-CN"/>
        </w:rPr>
        <w:t xml:space="preserve"> </w:t>
      </w:r>
      <w:r>
        <w:rPr>
          <w:color w:val="auto"/>
          <w:highlight w:val="none"/>
        </w:rPr>
        <w:t>应保证木构件，特别是钢木桁架，在运输和安装过程中的强度、刚度和稳定性，宜在施工图中提出注意事项；</w:t>
      </w:r>
    </w:p>
    <w:p w14:paraId="7B13E9DA">
      <w:pPr>
        <w:rPr>
          <w:color w:val="auto"/>
          <w:highlight w:val="none"/>
          <w:lang w:eastAsia="zh-CN"/>
        </w:rPr>
      </w:pPr>
      <w:r>
        <w:rPr>
          <w:color w:val="auto"/>
          <w:highlight w:val="none"/>
        </w:rPr>
        <w:t xml:space="preserve">   6</w:t>
      </w:r>
      <w:r>
        <w:rPr>
          <w:rFonts w:hint="eastAsia"/>
          <w:color w:val="auto"/>
          <w:highlight w:val="none"/>
          <w:lang w:eastAsia="zh-CN"/>
        </w:rPr>
        <w:t xml:space="preserve"> </w:t>
      </w:r>
      <w:r>
        <w:rPr>
          <w:color w:val="auto"/>
          <w:highlight w:val="none"/>
        </w:rPr>
        <w:t xml:space="preserve"> 木结构的钢材部分应有防锈措施。</w:t>
      </w:r>
    </w:p>
    <w:p w14:paraId="46E61E91">
      <w:pPr>
        <w:pStyle w:val="50"/>
        <w:bidi w:val="0"/>
        <w:rPr>
          <w:rFonts w:hint="eastAsia"/>
          <w:color w:val="auto"/>
          <w:highlight w:val="none"/>
          <w:lang w:eastAsia="zh-CN"/>
        </w:rPr>
      </w:pPr>
      <w:r>
        <w:rPr>
          <w:rFonts w:hint="eastAsia"/>
          <w:color w:val="auto"/>
          <w:highlight w:val="none"/>
          <w:lang w:eastAsia="zh-CN"/>
        </w:rPr>
        <w:t>【条文说明】7.1.4  选用合理的结构形式和构造方法，可以保证木结构的正常工作和延长结构的使用年限，能够收到良好的技术经济效果。</w:t>
      </w:r>
    </w:p>
    <w:p w14:paraId="0D0F01A6">
      <w:pPr>
        <w:rPr>
          <w:rFonts w:hint="eastAsia"/>
          <w:color w:val="auto"/>
          <w:highlight w:val="none"/>
          <w:lang w:eastAsia="zh-CN"/>
        </w:rPr>
      </w:pPr>
    </w:p>
    <w:p w14:paraId="702C1A8C">
      <w:pPr>
        <w:rPr>
          <w:color w:val="auto"/>
          <w:highlight w:val="none"/>
        </w:rPr>
      </w:pPr>
      <w:r>
        <w:rPr>
          <w:rFonts w:hint="eastAsia"/>
          <w:b/>
          <w:bCs/>
          <w:color w:val="auto"/>
          <w:highlight w:val="none"/>
          <w:lang w:eastAsia="zh-CN"/>
        </w:rPr>
        <w:t>7.1</w:t>
      </w:r>
      <w:r>
        <w:rPr>
          <w:rFonts w:hint="eastAsia"/>
          <w:b/>
          <w:bCs/>
          <w:color w:val="auto"/>
          <w:highlight w:val="none"/>
        </w:rPr>
        <w:t>.5</w:t>
      </w:r>
      <w:r>
        <w:rPr>
          <w:b/>
          <w:bCs/>
          <w:color w:val="auto"/>
          <w:highlight w:val="none"/>
        </w:rPr>
        <w:t xml:space="preserve"> </w:t>
      </w:r>
      <w:r>
        <w:rPr>
          <w:rFonts w:hint="eastAsia"/>
          <w:b/>
          <w:bCs/>
          <w:color w:val="auto"/>
          <w:highlight w:val="none"/>
          <w:lang w:eastAsia="zh-CN"/>
        </w:rPr>
        <w:t xml:space="preserve"> </w:t>
      </w:r>
      <w:r>
        <w:rPr>
          <w:color w:val="auto"/>
          <w:highlight w:val="none"/>
        </w:rPr>
        <w:t>在可能造成灾害的台风地区和山区风口地段，方木原木结构的设计应采取提高建筑物抗风能力的有效措施，并应符合下列规定：</w:t>
      </w:r>
    </w:p>
    <w:p w14:paraId="3634360D">
      <w:pPr>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应尽量减小天窗的高度和跨度；</w:t>
      </w:r>
    </w:p>
    <w:p w14:paraId="45C65DAA">
      <w:pPr>
        <w:rPr>
          <w:color w:val="auto"/>
          <w:highlight w:val="none"/>
        </w:rPr>
      </w:pPr>
      <w:r>
        <w:rPr>
          <w:color w:val="auto"/>
          <w:highlight w:val="none"/>
        </w:rPr>
        <w:t xml:space="preserve">   2</w:t>
      </w:r>
      <w:r>
        <w:rPr>
          <w:rFonts w:hint="eastAsia"/>
          <w:color w:val="auto"/>
          <w:highlight w:val="none"/>
          <w:lang w:eastAsia="zh-CN"/>
        </w:rPr>
        <w:t xml:space="preserve"> </w:t>
      </w:r>
      <w:r>
        <w:rPr>
          <w:color w:val="auto"/>
          <w:highlight w:val="none"/>
        </w:rPr>
        <w:t xml:space="preserve"> 应采用短出檐或封闭出檐，除檐口的瓦面应加压砖或座灰外，其余部位的瓦面也宜加压砖或座灰；</w:t>
      </w:r>
    </w:p>
    <w:p w14:paraId="2A2A66AB">
      <w:pPr>
        <w:rPr>
          <w:color w:val="auto"/>
          <w:highlight w:val="none"/>
        </w:rPr>
      </w:pPr>
      <w:r>
        <w:rPr>
          <w:color w:val="auto"/>
          <w:highlight w:val="none"/>
        </w:rPr>
        <w:t xml:space="preserve">   3 </w:t>
      </w:r>
      <w:r>
        <w:rPr>
          <w:rFonts w:hint="eastAsia"/>
          <w:color w:val="auto"/>
          <w:highlight w:val="none"/>
          <w:lang w:eastAsia="zh-CN"/>
        </w:rPr>
        <w:t xml:space="preserve"> </w:t>
      </w:r>
      <w:r>
        <w:rPr>
          <w:color w:val="auto"/>
          <w:highlight w:val="none"/>
        </w:rPr>
        <w:t>山墙宜采用硬山墙；</w:t>
      </w:r>
    </w:p>
    <w:p w14:paraId="744F1664">
      <w:pPr>
        <w:rPr>
          <w:color w:val="auto"/>
          <w:highlight w:val="none"/>
          <w:lang w:eastAsia="zh-CN"/>
        </w:rPr>
      </w:pPr>
      <w:r>
        <w:rPr>
          <w:color w:val="auto"/>
          <w:highlight w:val="none"/>
        </w:rPr>
        <w:t xml:space="preserve">   4</w:t>
      </w:r>
      <w:r>
        <w:rPr>
          <w:rFonts w:hint="eastAsia"/>
          <w:color w:val="auto"/>
          <w:highlight w:val="none"/>
          <w:lang w:eastAsia="zh-CN"/>
        </w:rPr>
        <w:t xml:space="preserve"> </w:t>
      </w:r>
      <w:r>
        <w:rPr>
          <w:color w:val="auto"/>
          <w:highlight w:val="none"/>
        </w:rPr>
        <w:t xml:space="preserve"> 檩条与桁架或山墙、桁架与墙或柱、门窗框与墙体等的连接均应采取可靠锚固措施。</w:t>
      </w:r>
    </w:p>
    <w:p w14:paraId="6654F5F0">
      <w:pPr>
        <w:pStyle w:val="50"/>
        <w:bidi w:val="0"/>
        <w:rPr>
          <w:color w:val="auto"/>
          <w:highlight w:val="none"/>
          <w:lang w:eastAsia="zh-CN"/>
        </w:rPr>
      </w:pPr>
      <w:r>
        <w:rPr>
          <w:rFonts w:hint="eastAsia"/>
          <w:color w:val="auto"/>
          <w:highlight w:val="none"/>
          <w:lang w:eastAsia="zh-CN"/>
        </w:rPr>
        <w:t>【条文说明】7.1.5  为了减少风灾对木结构的破坏影响，构造措施方面应注意下列几点：</w:t>
      </w:r>
    </w:p>
    <w:p w14:paraId="254CB91B">
      <w:pPr>
        <w:pStyle w:val="50"/>
        <w:bidi w:val="0"/>
        <w:rPr>
          <w:color w:val="auto"/>
          <w:highlight w:val="none"/>
          <w:lang w:eastAsia="zh-CN"/>
        </w:rPr>
      </w:pPr>
      <w:r>
        <w:rPr>
          <w:rFonts w:hint="eastAsia"/>
          <w:color w:val="auto"/>
          <w:highlight w:val="none"/>
          <w:lang w:eastAsia="zh-CN"/>
        </w:rPr>
        <w:t>1 为防止瞬间风吸力超过屋盖各个部件的自重，避免屋瓦等被掀揭，宜采用增加屋面自重和加强瓦材与屋盖木基层整体性的办法（如压砖、坐灰、瓦材加以固定等）。</w:t>
      </w:r>
    </w:p>
    <w:p w14:paraId="2CA78C18">
      <w:pPr>
        <w:pStyle w:val="50"/>
        <w:bidi w:val="0"/>
        <w:rPr>
          <w:color w:val="auto"/>
          <w:highlight w:val="none"/>
          <w:lang w:eastAsia="zh-CN"/>
        </w:rPr>
      </w:pPr>
      <w:r>
        <w:rPr>
          <w:rFonts w:hint="eastAsia"/>
          <w:color w:val="auto"/>
          <w:highlight w:val="none"/>
          <w:lang w:eastAsia="zh-CN"/>
        </w:rPr>
        <w:t>2 应防止门窗扇和门窗框被刮掉。因为这将使原来封闭的建筑变为局部开敞式，改变了整个建筑的风载体型系数，这是造成房屋倒塌的重要因素。因此，除使用应注意经常维修外，强调门窗应予锚固。</w:t>
      </w:r>
    </w:p>
    <w:p w14:paraId="7DF40E61">
      <w:pPr>
        <w:pStyle w:val="50"/>
        <w:bidi w:val="0"/>
        <w:rPr>
          <w:color w:val="auto"/>
          <w:highlight w:val="none"/>
          <w:lang w:eastAsia="zh-CN"/>
        </w:rPr>
      </w:pPr>
      <w:r>
        <w:rPr>
          <w:rFonts w:hint="eastAsia"/>
          <w:color w:val="auto"/>
          <w:highlight w:val="none"/>
          <w:lang w:eastAsia="zh-CN"/>
        </w:rPr>
        <w:t>3 应注意局部构造处理以减少风力的作用。例如，檐口处出檐与不出檐，檐口封闭与不封闭，其局部表面的风载体型系数相差甚大。因此，出檐要短或做成封闭出檐，山墙宜做成硬山，以及在满足采光和通风要求下尽量减少天窗的高度和跨度等，都是减少风害的有效措施。</w:t>
      </w:r>
    </w:p>
    <w:p w14:paraId="5051D805">
      <w:pPr>
        <w:pStyle w:val="50"/>
        <w:bidi w:val="0"/>
        <w:rPr>
          <w:rFonts w:hint="eastAsia"/>
          <w:color w:val="auto"/>
          <w:highlight w:val="none"/>
          <w:lang w:eastAsia="zh-CN"/>
        </w:rPr>
      </w:pPr>
      <w:r>
        <w:rPr>
          <w:rFonts w:hint="eastAsia"/>
          <w:color w:val="auto"/>
          <w:highlight w:val="none"/>
          <w:lang w:eastAsia="zh-CN"/>
        </w:rPr>
        <w:t>4 应加强房屋的整体性和锚固措施，锚固可采用不同的构造方式，但其做法应足以抵抗风力。</w:t>
      </w:r>
    </w:p>
    <w:p w14:paraId="00A4C17A">
      <w:pPr>
        <w:rPr>
          <w:rFonts w:hint="eastAsia"/>
          <w:color w:val="auto"/>
          <w:highlight w:val="none"/>
          <w:lang w:eastAsia="zh-CN"/>
        </w:rPr>
      </w:pPr>
    </w:p>
    <w:p w14:paraId="667D12B0">
      <w:pPr>
        <w:rPr>
          <w:color w:val="auto"/>
          <w:highlight w:val="none"/>
        </w:rPr>
      </w:pPr>
      <w:r>
        <w:rPr>
          <w:rFonts w:hint="eastAsia"/>
          <w:b/>
          <w:bCs/>
          <w:color w:val="auto"/>
          <w:highlight w:val="none"/>
          <w:lang w:eastAsia="zh-CN"/>
        </w:rPr>
        <w:t>7.1</w:t>
      </w:r>
      <w:r>
        <w:rPr>
          <w:rFonts w:hint="eastAsia"/>
          <w:b/>
          <w:bCs/>
          <w:color w:val="auto"/>
          <w:highlight w:val="none"/>
        </w:rPr>
        <w:t>.6</w:t>
      </w:r>
      <w:r>
        <w:rPr>
          <w:rFonts w:hint="eastAsia"/>
          <w:b/>
          <w:bCs/>
          <w:color w:val="auto"/>
          <w:highlight w:val="none"/>
          <w:lang w:eastAsia="zh-CN"/>
        </w:rPr>
        <w:t xml:space="preserve"> </w:t>
      </w:r>
      <w:r>
        <w:rPr>
          <w:b/>
          <w:bCs/>
          <w:color w:val="auto"/>
          <w:highlight w:val="none"/>
        </w:rPr>
        <w:t xml:space="preserve"> </w:t>
      </w:r>
      <w:r>
        <w:rPr>
          <w:color w:val="auto"/>
          <w:highlight w:val="none"/>
        </w:rPr>
        <w:t>在结构的同一节点或接头中有两种或多种不同的连接方式时，计算时应只考虑一种连接传递内力，不应考虑几种连接的共同工作。</w:t>
      </w:r>
    </w:p>
    <w:p w14:paraId="06D48307">
      <w:pPr>
        <w:rPr>
          <w:color w:val="auto"/>
          <w:highlight w:val="none"/>
        </w:rPr>
      </w:pPr>
      <w:r>
        <w:rPr>
          <w:rFonts w:hint="eastAsia"/>
          <w:b/>
          <w:bCs/>
          <w:color w:val="auto"/>
          <w:highlight w:val="none"/>
          <w:lang w:eastAsia="zh-CN"/>
        </w:rPr>
        <w:t>7.1</w:t>
      </w:r>
      <w:r>
        <w:rPr>
          <w:rFonts w:hint="eastAsia"/>
          <w:b/>
          <w:bCs/>
          <w:color w:val="auto"/>
          <w:highlight w:val="none"/>
        </w:rPr>
        <w:t>.7</w:t>
      </w:r>
      <w:r>
        <w:rPr>
          <w:b/>
          <w:bCs/>
          <w:color w:val="auto"/>
          <w:highlight w:val="none"/>
        </w:rPr>
        <w:t xml:space="preserve"> </w:t>
      </w:r>
      <w:r>
        <w:rPr>
          <w:rFonts w:hint="eastAsia"/>
          <w:b/>
          <w:bCs/>
          <w:color w:val="auto"/>
          <w:highlight w:val="none"/>
          <w:lang w:eastAsia="zh-CN"/>
        </w:rPr>
        <w:t xml:space="preserve"> </w:t>
      </w:r>
      <w:r>
        <w:rPr>
          <w:color w:val="auto"/>
          <w:highlight w:val="none"/>
        </w:rPr>
        <w:t>杆系结构中的木构件，当有对称削弱时，其净截面面积不应小于构件毛截面面积的50％；当有不对称削弱时，其净截面面积不应小于构件毛截面面积的60％。</w:t>
      </w:r>
    </w:p>
    <w:p w14:paraId="2612DDB6">
      <w:pPr>
        <w:rPr>
          <w:color w:val="auto"/>
          <w:highlight w:val="none"/>
        </w:rPr>
      </w:pPr>
      <w:r>
        <w:rPr>
          <w:rFonts w:hint="eastAsia"/>
          <w:b/>
          <w:bCs/>
          <w:color w:val="auto"/>
          <w:highlight w:val="none"/>
          <w:lang w:eastAsia="zh-CN"/>
        </w:rPr>
        <w:t>7.1</w:t>
      </w:r>
      <w:r>
        <w:rPr>
          <w:rFonts w:hint="eastAsia"/>
          <w:b/>
          <w:bCs/>
          <w:color w:val="auto"/>
          <w:highlight w:val="none"/>
        </w:rPr>
        <w:t>.</w:t>
      </w:r>
      <w:r>
        <w:rPr>
          <w:rFonts w:hint="eastAsia"/>
          <w:b/>
          <w:bCs/>
          <w:color w:val="auto"/>
          <w:highlight w:val="none"/>
          <w:lang w:eastAsia="zh-CN"/>
        </w:rPr>
        <w:t>8</w:t>
      </w:r>
      <w:r>
        <w:rPr>
          <w:b/>
          <w:bCs/>
          <w:color w:val="auto"/>
          <w:highlight w:val="none"/>
        </w:rPr>
        <w:t xml:space="preserve"> </w:t>
      </w:r>
      <w:r>
        <w:rPr>
          <w:rFonts w:hint="eastAsia"/>
          <w:b/>
          <w:bCs/>
          <w:color w:val="auto"/>
          <w:highlight w:val="none"/>
          <w:lang w:eastAsia="zh-CN"/>
        </w:rPr>
        <w:t xml:space="preserve"> </w:t>
      </w:r>
      <w:r>
        <w:rPr>
          <w:color w:val="auto"/>
          <w:highlight w:val="none"/>
        </w:rPr>
        <w:t>圆钢拉杆和拉力螺栓的直径，应按计算确定，但不宜小于12</w:t>
      </w:r>
      <w:r>
        <w:rPr>
          <w:rFonts w:hint="eastAsia"/>
          <w:color w:val="auto"/>
          <w:highlight w:val="none"/>
          <w:lang w:eastAsia="zh-CN"/>
        </w:rPr>
        <w:t>㎜</w:t>
      </w:r>
      <w:r>
        <w:rPr>
          <w:color w:val="auto"/>
          <w:highlight w:val="none"/>
        </w:rPr>
        <w:t>。圆钢拉杆和拉力螺栓的方形钢垫板尺寸，可按下列公式计算：</w:t>
      </w:r>
    </w:p>
    <w:p w14:paraId="0D4D983F">
      <w:pPr>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垫板面积（</w:t>
      </w:r>
      <w:r>
        <w:rPr>
          <w:rFonts w:hint="eastAsia"/>
          <w:color w:val="auto"/>
          <w:highlight w:val="none"/>
          <w:lang w:eastAsia="zh-CN"/>
        </w:rPr>
        <w:t>㎜</w:t>
      </w:r>
      <w:r>
        <w:rPr>
          <w:color w:val="auto"/>
          <w:highlight w:val="none"/>
          <w:vertAlign w:val="superscript"/>
        </w:rPr>
        <w:t>2</w:t>
      </w:r>
      <w:r>
        <w:rPr>
          <w:color w:val="auto"/>
          <w:highlight w:val="none"/>
        </w:rPr>
        <w:t>）</w:t>
      </w:r>
    </w:p>
    <w:p w14:paraId="03B00426">
      <w:pPr>
        <w:wordWrap w:val="0"/>
        <w:jc w:val="right"/>
        <w:rPr>
          <w:rFonts w:hAnsi="Cambria Math"/>
          <w:iCs/>
          <w:color w:val="auto"/>
          <w:highlight w:val="none"/>
          <w:lang w:eastAsia="zh-CN"/>
        </w:rPr>
      </w:pPr>
      <m:oMath>
        <m:r>
          <m:rPr/>
          <w:rPr>
            <w:rFonts w:ascii="Cambria Math" w:hAnsi="Cambria Math"/>
            <w:color w:val="auto"/>
            <w:highlight w:val="none"/>
            <w:lang w:eastAsia="zh-CN"/>
          </w:rPr>
          <m:t>A=</m:t>
        </m:r>
        <m:f>
          <m:fPr>
            <m:ctrlPr>
              <w:rPr>
                <w:rFonts w:ascii="Cambria Math" w:hAnsi="Cambria Math"/>
                <w:i/>
                <w:iCs/>
                <w:color w:val="auto"/>
                <w:highlight w:val="none"/>
                <w:lang w:eastAsia="zh-CN"/>
              </w:rPr>
            </m:ctrlPr>
          </m:fPr>
          <m:num>
            <m:r>
              <m:rPr/>
              <w:rPr>
                <w:rFonts w:ascii="Cambria Math" w:hAnsi="Cambria Math"/>
                <w:color w:val="auto"/>
                <w:highlight w:val="none"/>
                <w:lang w:eastAsia="zh-CN"/>
              </w:rPr>
              <m:t>N</m:t>
            </m:r>
            <m:ctrlPr>
              <w:rPr>
                <w:rFonts w:ascii="Cambria Math" w:hAnsi="Cambria Math"/>
                <w:i/>
                <w:iCs/>
                <w:color w:val="auto"/>
                <w:highlight w:val="none"/>
                <w:lang w:eastAsia="zh-CN"/>
              </w:rPr>
            </m:ctrlPr>
          </m:num>
          <m:den>
            <m:sSub>
              <m:sSubPr>
                <m:ctrlPr>
                  <w:rPr>
                    <w:rFonts w:ascii="Cambria Math" w:hAnsi="Cambria Math"/>
                    <w:i/>
                    <w:iCs/>
                    <w:color w:val="auto"/>
                    <w:highlight w:val="none"/>
                    <w:lang w:eastAsia="zh-CN"/>
                  </w:rPr>
                </m:ctrlPr>
              </m:sSubPr>
              <m:e>
                <m:r>
                  <m:rPr/>
                  <w:rPr>
                    <w:rFonts w:ascii="Cambria Math" w:hAnsi="Cambria Math" w:cs="Cambria Math"/>
                    <w:color w:val="auto"/>
                    <w:highlight w:val="none"/>
                    <w:lang w:eastAsia="zh-CN"/>
                  </w:rPr>
                  <m:t>ƒ</m:t>
                </m:r>
                <m:ctrlPr>
                  <w:rPr>
                    <w:rFonts w:ascii="Cambria Math" w:hAnsi="Cambria Math"/>
                    <w:i/>
                    <w:iCs/>
                    <w:color w:val="auto"/>
                    <w:highlight w:val="none"/>
                    <w:lang w:eastAsia="zh-CN"/>
                  </w:rPr>
                </m:ctrlPr>
              </m:e>
              <m:sub>
                <m:r>
                  <m:rPr/>
                  <w:rPr>
                    <w:rFonts w:ascii="Cambria Math" w:hAnsi="Cambria Math"/>
                    <w:color w:val="auto"/>
                    <w:highlight w:val="none"/>
                    <w:lang w:eastAsia="zh-CN"/>
                  </w:rPr>
                  <m:t>ca</m:t>
                </m:r>
                <m:ctrlPr>
                  <w:rPr>
                    <w:rFonts w:ascii="Cambria Math" w:hAnsi="Cambria Math"/>
                    <w:i/>
                    <w:iCs/>
                    <w:color w:val="auto"/>
                    <w:highlight w:val="none"/>
                    <w:lang w:eastAsia="zh-CN"/>
                  </w:rPr>
                </m:ctrlPr>
              </m:sub>
            </m:sSub>
            <m:ctrlPr>
              <w:rPr>
                <w:rFonts w:ascii="Cambria Math" w:hAnsi="Cambria Math"/>
                <w:i/>
                <w:iCs/>
                <w:color w:val="auto"/>
                <w:highlight w:val="none"/>
                <w:lang w:eastAsia="zh-CN"/>
              </w:rPr>
            </m:ctrlPr>
          </m:den>
        </m:f>
      </m:oMath>
      <w:r>
        <w:rPr>
          <w:rFonts w:hint="eastAsia" w:hAnsi="Cambria Math"/>
          <w:iCs/>
          <w:color w:val="auto"/>
          <w:highlight w:val="none"/>
          <w:lang w:eastAsia="zh-CN"/>
        </w:rPr>
        <w:t xml:space="preserve">                            </w:t>
      </w:r>
      <w:r>
        <w:rPr>
          <w:rFonts w:hint="eastAsia"/>
          <w:color w:val="auto"/>
          <w:highlight w:val="none"/>
        </w:rPr>
        <w:t>（</w:t>
      </w:r>
      <w:r>
        <w:rPr>
          <w:rFonts w:hint="eastAsia"/>
          <w:color w:val="auto"/>
          <w:highlight w:val="none"/>
          <w:lang w:eastAsia="zh-CN"/>
        </w:rPr>
        <w:t>7.1</w:t>
      </w:r>
      <w:r>
        <w:rPr>
          <w:rFonts w:hint="eastAsia"/>
          <w:color w:val="auto"/>
          <w:highlight w:val="none"/>
        </w:rPr>
        <w:t>.</w:t>
      </w:r>
      <w:r>
        <w:rPr>
          <w:rFonts w:hint="eastAsia"/>
          <w:color w:val="auto"/>
          <w:highlight w:val="none"/>
          <w:lang w:eastAsia="zh-CN"/>
        </w:rPr>
        <w:t>8</w:t>
      </w:r>
      <w:r>
        <w:rPr>
          <w:rFonts w:hint="eastAsia"/>
          <w:color w:val="auto"/>
          <w:highlight w:val="none"/>
        </w:rPr>
        <w:t>-1）</w:t>
      </w:r>
    </w:p>
    <w:p w14:paraId="25FE43A1">
      <w:pPr>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垫板厚度（</w:t>
      </w:r>
      <w:r>
        <w:rPr>
          <w:rFonts w:hint="eastAsia"/>
          <w:color w:val="auto"/>
          <w:highlight w:val="none"/>
          <w:lang w:eastAsia="zh-CN"/>
        </w:rPr>
        <w:t>㎜</w:t>
      </w:r>
      <w:r>
        <w:rPr>
          <w:color w:val="auto"/>
          <w:highlight w:val="none"/>
        </w:rPr>
        <w:t>）</w:t>
      </w:r>
    </w:p>
    <w:p w14:paraId="090C9804">
      <w:pPr>
        <w:wordWrap w:val="0"/>
        <w:jc w:val="right"/>
        <w:rPr>
          <w:rFonts w:hAnsi="Cambria Math"/>
          <w:color w:val="auto"/>
          <w:highlight w:val="none"/>
          <w:lang w:eastAsia="zh-CN"/>
        </w:rPr>
      </w:pPr>
      <m:oMath>
        <m:r>
          <m:rPr>
            <m:sty m:val="p"/>
          </m:rPr>
          <w:rPr>
            <w:rFonts w:hint="eastAsia" w:ascii="Cambria Math" w:hAnsi="Cambria Math"/>
            <w:color w:val="auto"/>
            <w:highlight w:val="none"/>
            <w:lang w:eastAsia="zh-CN"/>
          </w:rPr>
          <m:t>t</m:t>
        </m:r>
        <m:r>
          <m:rPr>
            <m:sty m:val="p"/>
          </m:rPr>
          <w:rPr>
            <w:rFonts w:ascii="Cambria Math" w:hAnsi="Cambria Math"/>
            <w:color w:val="auto"/>
            <w:highlight w:val="none"/>
            <w:lang w:eastAsia="zh-CN"/>
          </w:rPr>
          <m:t>=</m:t>
        </m:r>
        <m:rad>
          <m:radPr>
            <m:degHide m:val="1"/>
            <m:ctrlPr>
              <w:rPr>
                <w:rFonts w:ascii="Cambria Math" w:hAnsi="Cambria Math"/>
                <w:color w:val="auto"/>
                <w:highlight w:val="none"/>
                <w:lang w:eastAsia="zh-CN"/>
              </w:rPr>
            </m:ctrlPr>
          </m:radPr>
          <m:deg>
            <m:ctrlPr>
              <w:rPr>
                <w:rFonts w:ascii="Cambria Math" w:hAnsi="Cambria Math"/>
                <w:color w:val="auto"/>
                <w:highlight w:val="none"/>
                <w:lang w:eastAsia="zh-CN"/>
              </w:rPr>
            </m:ctrlPr>
          </m:deg>
          <m:e>
            <m:f>
              <m:fPr>
                <m:ctrlPr>
                  <w:rPr>
                    <w:rFonts w:ascii="Cambria Math" w:hAnsi="Cambria Math"/>
                    <w:color w:val="auto"/>
                    <w:highlight w:val="none"/>
                    <w:lang w:eastAsia="zh-CN"/>
                  </w:rPr>
                </m:ctrlPr>
              </m:fPr>
              <m:num>
                <m:r>
                  <m:rPr>
                    <m:sty m:val="p"/>
                  </m:rPr>
                  <w:rPr>
                    <w:rFonts w:ascii="Cambria Math" w:hAnsi="Cambria Math"/>
                    <w:color w:val="auto"/>
                    <w:highlight w:val="none"/>
                    <w:lang w:eastAsia="zh-CN"/>
                  </w:rPr>
                  <m:t>N</m:t>
                </m:r>
                <m:ctrlPr>
                  <w:rPr>
                    <w:rFonts w:ascii="Cambria Math" w:hAnsi="Cambria Math"/>
                    <w:color w:val="auto"/>
                    <w:highlight w:val="none"/>
                    <w:lang w:eastAsia="zh-CN"/>
                  </w:rPr>
                </m:ctrlPr>
              </m:num>
              <m:den>
                <m:r>
                  <m:rPr>
                    <m:sty m:val="p"/>
                  </m:rPr>
                  <w:rPr>
                    <w:rFonts w:ascii="Cambria Math" w:hAnsi="Cambria Math"/>
                    <w:color w:val="auto"/>
                    <w:highlight w:val="none"/>
                    <w:lang w:eastAsia="zh-CN"/>
                  </w:rPr>
                  <m:t>2</m:t>
                </m:r>
                <m:r>
                  <m:rPr>
                    <m:sty m:val="p"/>
                  </m:rPr>
                  <w:rPr>
                    <w:rFonts w:ascii="Cambria Math" w:hAnsi="Cambria Math" w:cs="Times New Roman"/>
                    <w:color w:val="auto"/>
                    <w:highlight w:val="none"/>
                  </w:rPr>
                  <m:t>f</m:t>
                </m:r>
                <m:ctrlPr>
                  <w:rPr>
                    <w:rFonts w:ascii="Cambria Math" w:hAnsi="Cambria Math"/>
                    <w:color w:val="auto"/>
                    <w:highlight w:val="none"/>
                    <w:lang w:eastAsia="zh-CN"/>
                  </w:rPr>
                </m:ctrlPr>
              </m:den>
            </m:f>
            <m:ctrlPr>
              <w:rPr>
                <w:rFonts w:ascii="Cambria Math" w:hAnsi="Cambria Math"/>
                <w:color w:val="auto"/>
                <w:highlight w:val="none"/>
                <w:lang w:eastAsia="zh-CN"/>
              </w:rPr>
            </m:ctrlPr>
          </m:e>
        </m:rad>
      </m:oMath>
      <w:r>
        <w:rPr>
          <w:rFonts w:hint="eastAsia" w:hAnsi="Cambria Math"/>
          <w:color w:val="auto"/>
          <w:highlight w:val="none"/>
          <w:lang w:eastAsia="zh-CN"/>
        </w:rPr>
        <w:t xml:space="preserve">                             </w:t>
      </w:r>
      <w:r>
        <w:rPr>
          <w:rFonts w:hint="eastAsia"/>
          <w:color w:val="auto"/>
          <w:highlight w:val="none"/>
          <w:lang w:eastAsia="zh-CN"/>
        </w:rPr>
        <w:t>7.1</w:t>
      </w:r>
      <w:r>
        <w:rPr>
          <w:rFonts w:hint="eastAsia"/>
          <w:color w:val="auto"/>
          <w:highlight w:val="none"/>
        </w:rPr>
        <w:t>.</w:t>
      </w:r>
      <w:r>
        <w:rPr>
          <w:rFonts w:hint="eastAsia"/>
          <w:color w:val="auto"/>
          <w:highlight w:val="none"/>
          <w:lang w:eastAsia="zh-CN"/>
        </w:rPr>
        <w:t>8</w:t>
      </w:r>
      <w:r>
        <w:rPr>
          <w:rFonts w:hint="eastAsia"/>
          <w:color w:val="auto"/>
          <w:highlight w:val="none"/>
        </w:rPr>
        <w:t>-2）</w:t>
      </w:r>
    </w:p>
    <w:p w14:paraId="687557FA">
      <w:pPr>
        <w:rPr>
          <w:color w:val="auto"/>
          <w:highlight w:val="none"/>
        </w:rPr>
      </w:pPr>
      <w:r>
        <w:rPr>
          <w:rFonts w:hint="eastAsia"/>
          <w:color w:val="auto"/>
          <w:highlight w:val="none"/>
        </w:rPr>
        <w:t>式中：</w:t>
      </w:r>
      <w:r>
        <w:rPr>
          <w:color w:val="auto"/>
          <w:highlight w:val="none"/>
        </w:rPr>
        <w:t>N――轴心拉力设计值（N）；</w:t>
      </w:r>
    </w:p>
    <w:p w14:paraId="305DD62F">
      <w:pPr>
        <w:rPr>
          <w:color w:val="auto"/>
          <w:highlight w:val="none"/>
        </w:rPr>
      </w:pPr>
      <w:r>
        <w:rPr>
          <w:color w:val="auto"/>
          <w:highlight w:val="none"/>
        </w:rPr>
        <w:t xml:space="preserve">    </w:t>
      </w:r>
      <w:r>
        <w:rPr>
          <w:rFonts w:hint="eastAsia"/>
          <w:color w:val="auto"/>
          <w:highlight w:val="none"/>
          <w:lang w:eastAsia="zh-CN"/>
        </w:rPr>
        <w:t xml:space="preserve"> </w:t>
      </w:r>
      <w:r>
        <w:rPr>
          <w:color w:val="auto"/>
          <w:highlight w:val="none"/>
        </w:rPr>
        <w:t xml:space="preserve"> </w:t>
      </w:r>
      <w:r>
        <w:rPr>
          <w:rFonts w:cs="Times New Roman"/>
          <w:i/>
          <w:iCs/>
          <w:color w:val="auto"/>
          <w:highlight w:val="none"/>
        </w:rPr>
        <w:t>f</w:t>
      </w:r>
      <w:r>
        <w:rPr>
          <w:rFonts w:cs="Times New Roman"/>
          <w:i/>
          <w:iCs/>
          <w:color w:val="auto"/>
          <w:highlight w:val="none"/>
          <w:vertAlign w:val="subscript"/>
        </w:rPr>
        <w:t>cα</w:t>
      </w:r>
      <w:r>
        <w:rPr>
          <w:color w:val="auto"/>
          <w:highlight w:val="none"/>
        </w:rPr>
        <w:t>――木材斜纹承压强度设计值（N/</w:t>
      </w:r>
      <w:r>
        <w:rPr>
          <w:rFonts w:hint="eastAsia"/>
          <w:color w:val="auto"/>
          <w:highlight w:val="none"/>
          <w:lang w:eastAsia="zh-CN"/>
        </w:rPr>
        <w:t>㎜</w:t>
      </w:r>
      <w:r>
        <w:rPr>
          <w:color w:val="auto"/>
          <w:highlight w:val="none"/>
          <w:vertAlign w:val="superscript"/>
        </w:rPr>
        <w:t>2</w:t>
      </w:r>
      <w:r>
        <w:rPr>
          <w:color w:val="auto"/>
          <w:highlight w:val="none"/>
        </w:rPr>
        <w:t>），应根据轴心拉力N与垫板下木构件木纹方向的夹角，按本标准第</w:t>
      </w:r>
      <w:r>
        <w:rPr>
          <w:rFonts w:hint="eastAsia"/>
          <w:color w:val="auto"/>
          <w:highlight w:val="none"/>
          <w:lang w:eastAsia="zh-CN"/>
        </w:rPr>
        <w:t>4章</w:t>
      </w:r>
      <w:r>
        <w:rPr>
          <w:color w:val="auto"/>
          <w:highlight w:val="none"/>
        </w:rPr>
        <w:t>的规定确定；</w:t>
      </w:r>
    </w:p>
    <w:p w14:paraId="2CEA9980">
      <w:pPr>
        <w:rPr>
          <w:color w:val="auto"/>
          <w:highlight w:val="none"/>
          <w:lang w:eastAsia="zh-CN"/>
        </w:rPr>
      </w:pPr>
      <w:r>
        <w:rPr>
          <w:color w:val="auto"/>
          <w:highlight w:val="none"/>
        </w:rPr>
        <w:t xml:space="preserve">   </w:t>
      </w:r>
      <w:r>
        <w:rPr>
          <w:rFonts w:hint="eastAsia"/>
          <w:color w:val="auto"/>
          <w:highlight w:val="none"/>
          <w:lang w:eastAsia="zh-CN"/>
        </w:rPr>
        <w:t xml:space="preserve"> </w:t>
      </w:r>
      <w:r>
        <w:rPr>
          <w:color w:val="auto"/>
          <w:highlight w:val="none"/>
        </w:rPr>
        <w:t xml:space="preserve">  </w:t>
      </w:r>
      <w:r>
        <w:rPr>
          <w:rFonts w:cs="Times New Roman"/>
          <w:i/>
          <w:iCs/>
          <w:color w:val="auto"/>
          <w:highlight w:val="none"/>
        </w:rPr>
        <w:t>f</w:t>
      </w:r>
      <w:r>
        <w:rPr>
          <w:color w:val="auto"/>
          <w:highlight w:val="none"/>
        </w:rPr>
        <w:t>――钢材抗弯强度设计值（N/</w:t>
      </w:r>
      <w:r>
        <w:rPr>
          <w:rFonts w:hint="eastAsia"/>
          <w:color w:val="auto"/>
          <w:highlight w:val="none"/>
          <w:lang w:eastAsia="zh-CN"/>
        </w:rPr>
        <w:t>㎜</w:t>
      </w:r>
      <w:r>
        <w:rPr>
          <w:color w:val="auto"/>
          <w:highlight w:val="none"/>
          <w:vertAlign w:val="superscript"/>
        </w:rPr>
        <w:t>2</w:t>
      </w:r>
      <w:r>
        <w:rPr>
          <w:color w:val="auto"/>
          <w:highlight w:val="none"/>
        </w:rPr>
        <w:t>）。</w:t>
      </w:r>
    </w:p>
    <w:p w14:paraId="1CD1A730">
      <w:pPr>
        <w:pStyle w:val="50"/>
        <w:bidi w:val="0"/>
        <w:rPr>
          <w:color w:val="auto"/>
          <w:highlight w:val="none"/>
          <w:lang w:eastAsia="zh-CN"/>
        </w:rPr>
      </w:pPr>
      <w:r>
        <w:rPr>
          <w:rFonts w:hint="eastAsia"/>
          <w:color w:val="auto"/>
          <w:highlight w:val="none"/>
          <w:lang w:eastAsia="zh-CN"/>
        </w:rPr>
        <w:t>【条文说明】7.1.8  计算垫板尺寸时注意下列两点：</w:t>
      </w:r>
    </w:p>
    <w:p w14:paraId="368DC6CF">
      <w:pPr>
        <w:pStyle w:val="50"/>
        <w:bidi w:val="0"/>
        <w:rPr>
          <w:color w:val="auto"/>
          <w:highlight w:val="none"/>
          <w:lang w:eastAsia="zh-CN"/>
        </w:rPr>
      </w:pPr>
      <w:r>
        <w:rPr>
          <w:rFonts w:hint="eastAsia"/>
          <w:color w:val="auto"/>
          <w:highlight w:val="none"/>
          <w:lang w:eastAsia="zh-CN"/>
        </w:rPr>
        <w:t>1 若钢垫板不是方形，则不能套用此公式，应根据具体情况另行计算。</w:t>
      </w:r>
    </w:p>
    <w:p w14:paraId="1014CF3E">
      <w:pPr>
        <w:pStyle w:val="50"/>
        <w:bidi w:val="0"/>
        <w:rPr>
          <w:rFonts w:hint="eastAsia"/>
          <w:color w:val="auto"/>
          <w:highlight w:val="none"/>
          <w:lang w:eastAsia="zh-CN"/>
        </w:rPr>
      </w:pPr>
      <w:r>
        <w:rPr>
          <w:rFonts w:hint="eastAsia"/>
          <w:color w:val="auto"/>
          <w:highlight w:val="none"/>
          <w:lang w:eastAsia="zh-CN"/>
        </w:rPr>
        <w:t>2 当计算支座节点或脊节点的钢垫板时，考虑到这些部位的木纹不连续，垫板下木材横纹承压强度设计值应按木材局部表面和齿面的数值确定。</w:t>
      </w:r>
    </w:p>
    <w:p w14:paraId="4887C0E6">
      <w:pPr>
        <w:ind w:firstLine="360" w:firstLineChars="150"/>
        <w:rPr>
          <w:rFonts w:hint="eastAsia"/>
          <w:color w:val="auto"/>
          <w:highlight w:val="none"/>
          <w:lang w:eastAsia="zh-CN"/>
        </w:rPr>
      </w:pPr>
    </w:p>
    <w:p w14:paraId="4C7C1414">
      <w:pPr>
        <w:rPr>
          <w:color w:val="auto"/>
          <w:highlight w:val="none"/>
        </w:rPr>
      </w:pPr>
      <w:r>
        <w:rPr>
          <w:rFonts w:hint="eastAsia"/>
          <w:b/>
          <w:bCs/>
          <w:color w:val="auto"/>
          <w:highlight w:val="none"/>
          <w:lang w:eastAsia="zh-CN"/>
        </w:rPr>
        <w:t>7.1</w:t>
      </w:r>
      <w:r>
        <w:rPr>
          <w:rFonts w:hint="eastAsia"/>
          <w:b/>
          <w:bCs/>
          <w:color w:val="auto"/>
          <w:highlight w:val="none"/>
        </w:rPr>
        <w:t>.9</w:t>
      </w:r>
      <w:r>
        <w:rPr>
          <w:b/>
          <w:bCs/>
          <w:color w:val="auto"/>
          <w:highlight w:val="none"/>
        </w:rPr>
        <w:t xml:space="preserve"> </w:t>
      </w:r>
      <w:r>
        <w:rPr>
          <w:rFonts w:hint="eastAsia"/>
          <w:b/>
          <w:bCs/>
          <w:color w:val="auto"/>
          <w:highlight w:val="none"/>
          <w:lang w:eastAsia="zh-CN"/>
        </w:rPr>
        <w:t xml:space="preserve"> </w:t>
      </w:r>
      <w:r>
        <w:rPr>
          <w:color w:val="auto"/>
          <w:highlight w:val="none"/>
        </w:rPr>
        <w:t>系紧螺栓的钢垫板尺寸可按构造要求确定，其厚度不宜小于0</w:t>
      </w:r>
      <w:r>
        <w:rPr>
          <w:rFonts w:hint="eastAsia"/>
          <w:color w:val="auto"/>
          <w:highlight w:val="none"/>
          <w:lang w:eastAsia="zh-CN"/>
        </w:rPr>
        <w:t>.</w:t>
      </w:r>
      <w:r>
        <w:rPr>
          <w:color w:val="auto"/>
          <w:highlight w:val="none"/>
        </w:rPr>
        <w:t>3倍螺栓直径，其边长不应小于3</w:t>
      </w:r>
      <w:r>
        <w:rPr>
          <w:rFonts w:hint="eastAsia"/>
          <w:color w:val="auto"/>
          <w:highlight w:val="none"/>
          <w:lang w:eastAsia="zh-CN"/>
        </w:rPr>
        <w:t>.</w:t>
      </w:r>
      <w:r>
        <w:rPr>
          <w:color w:val="auto"/>
          <w:highlight w:val="none"/>
        </w:rPr>
        <w:t>5倍螺栓直径。当为圆形垫板时，其直径不应小于4倍螺栓直径。</w:t>
      </w:r>
    </w:p>
    <w:p w14:paraId="1655F771">
      <w:pPr>
        <w:rPr>
          <w:color w:val="auto"/>
          <w:highlight w:val="none"/>
          <w:lang w:eastAsia="zh-CN"/>
        </w:rPr>
      </w:pPr>
      <w:r>
        <w:rPr>
          <w:rFonts w:hint="eastAsia"/>
          <w:b/>
          <w:bCs/>
          <w:color w:val="auto"/>
          <w:highlight w:val="none"/>
          <w:lang w:eastAsia="zh-CN"/>
        </w:rPr>
        <w:t>7.1</w:t>
      </w:r>
      <w:r>
        <w:rPr>
          <w:rFonts w:hint="eastAsia"/>
          <w:b/>
          <w:bCs/>
          <w:color w:val="auto"/>
          <w:highlight w:val="none"/>
        </w:rPr>
        <w:t>.10</w:t>
      </w:r>
      <w:r>
        <w:rPr>
          <w:b/>
          <w:bCs/>
          <w:color w:val="auto"/>
          <w:highlight w:val="none"/>
        </w:rPr>
        <w:t xml:space="preserve"> </w:t>
      </w:r>
      <w:r>
        <w:rPr>
          <w:rFonts w:hint="eastAsia"/>
          <w:b/>
          <w:bCs/>
          <w:color w:val="auto"/>
          <w:highlight w:val="none"/>
          <w:lang w:eastAsia="zh-CN"/>
        </w:rPr>
        <w:t xml:space="preserve"> </w:t>
      </w:r>
      <w:r>
        <w:rPr>
          <w:color w:val="auto"/>
          <w:highlight w:val="none"/>
        </w:rPr>
        <w:t>桁架的圆钢下弦、三角形桁架跨中竖向钢拉杆、受振动荷载影响的钢拉杆以及直径等于或大于20</w:t>
      </w:r>
      <w:r>
        <w:rPr>
          <w:rFonts w:hint="eastAsia"/>
          <w:color w:val="auto"/>
          <w:highlight w:val="none"/>
          <w:lang w:eastAsia="zh-CN"/>
        </w:rPr>
        <w:t>㎜</w:t>
      </w:r>
      <w:r>
        <w:rPr>
          <w:color w:val="auto"/>
          <w:highlight w:val="none"/>
        </w:rPr>
        <w:t>的钢拉杆和拉力螺栓，应采用双螺帽。</w:t>
      </w:r>
    </w:p>
    <w:p w14:paraId="3CB0EC2C">
      <w:pPr>
        <w:pStyle w:val="50"/>
        <w:bidi w:val="0"/>
        <w:rPr>
          <w:rFonts w:hint="eastAsia"/>
          <w:color w:val="auto"/>
          <w:highlight w:val="none"/>
          <w:lang w:eastAsia="zh-CN"/>
        </w:rPr>
      </w:pPr>
      <w:r>
        <w:rPr>
          <w:rFonts w:hint="eastAsia"/>
          <w:color w:val="auto"/>
          <w:highlight w:val="none"/>
          <w:lang w:eastAsia="zh-CN"/>
        </w:rPr>
        <w:t>【条文说明】7.1.10  根据工程实践经验，对较重要的圆钢构件采用双螺帽，拧紧后能防止意外的螺帽松脱事故，在有振动的场所，其作用尤为显著。</w:t>
      </w:r>
    </w:p>
    <w:p w14:paraId="26C53668">
      <w:pPr>
        <w:rPr>
          <w:rFonts w:hint="eastAsia"/>
          <w:color w:val="auto"/>
          <w:highlight w:val="none"/>
          <w:lang w:eastAsia="zh-CN"/>
        </w:rPr>
      </w:pPr>
    </w:p>
    <w:p w14:paraId="6AE7DC8C">
      <w:pPr>
        <w:rPr>
          <w:color w:val="auto"/>
          <w:highlight w:val="none"/>
        </w:rPr>
      </w:pPr>
      <w:r>
        <w:rPr>
          <w:rFonts w:hint="eastAsia"/>
          <w:b/>
          <w:bCs/>
          <w:color w:val="auto"/>
          <w:highlight w:val="none"/>
          <w:lang w:eastAsia="zh-CN"/>
        </w:rPr>
        <w:t>7.1</w:t>
      </w:r>
      <w:r>
        <w:rPr>
          <w:rFonts w:hint="eastAsia"/>
          <w:b/>
          <w:bCs/>
          <w:color w:val="auto"/>
          <w:highlight w:val="none"/>
        </w:rPr>
        <w:t>.1</w:t>
      </w:r>
      <w:r>
        <w:rPr>
          <w:rFonts w:hint="eastAsia"/>
          <w:b/>
          <w:bCs/>
          <w:color w:val="auto"/>
          <w:highlight w:val="none"/>
          <w:lang w:eastAsia="zh-CN"/>
        </w:rPr>
        <w:t xml:space="preserve">1  </w:t>
      </w:r>
      <w:r>
        <w:rPr>
          <w:color w:val="auto"/>
          <w:highlight w:val="none"/>
        </w:rPr>
        <w:t>当采用两根圆钢共同受拉时，钢材的强度设计值宜乘以0</w:t>
      </w:r>
      <w:r>
        <w:rPr>
          <w:rFonts w:hint="eastAsia"/>
          <w:color w:val="auto"/>
          <w:highlight w:val="none"/>
          <w:lang w:eastAsia="zh-CN"/>
        </w:rPr>
        <w:t>.</w:t>
      </w:r>
      <w:r>
        <w:rPr>
          <w:color w:val="auto"/>
          <w:highlight w:val="none"/>
        </w:rPr>
        <w:t>85的调整系数。对圆钢拉杆验算螺纹部分的净截面受拉，其强度设计值应按现行国家标准《钢结构设计标准》GB 50017采用。</w:t>
      </w:r>
    </w:p>
    <w:p w14:paraId="01C0324E">
      <w:pPr>
        <w:pStyle w:val="50"/>
        <w:bidi w:val="0"/>
        <w:rPr>
          <w:rFonts w:hint="eastAsia"/>
          <w:color w:val="auto"/>
          <w:highlight w:val="none"/>
          <w:lang w:eastAsia="zh-CN"/>
        </w:rPr>
      </w:pPr>
      <w:r>
        <w:rPr>
          <w:rFonts w:hint="eastAsia"/>
          <w:color w:val="auto"/>
          <w:highlight w:val="none"/>
          <w:lang w:eastAsia="zh-CN"/>
        </w:rPr>
        <w:t>【条文说明】7.1.11  两根圆钢共同受拉是钢木桁架常见的构造。考虑到其受力不均的影响，本标准根据有关单位的实测数据和长期的设计经验，作出了钢材的强度设计值应乘以0.85调整系数的补充规定。</w:t>
      </w:r>
    </w:p>
    <w:p w14:paraId="61F395BC">
      <w:pPr>
        <w:rPr>
          <w:rFonts w:hint="eastAsia"/>
          <w:color w:val="auto"/>
          <w:highlight w:val="none"/>
          <w:lang w:eastAsia="zh-CN"/>
        </w:rPr>
      </w:pPr>
    </w:p>
    <w:p w14:paraId="3AA4ABD1">
      <w:pPr>
        <w:rPr>
          <w:color w:val="auto"/>
          <w:highlight w:val="none"/>
          <w:lang w:eastAsia="zh-CN"/>
        </w:rPr>
      </w:pPr>
      <w:r>
        <w:rPr>
          <w:rFonts w:hint="eastAsia"/>
          <w:b/>
          <w:bCs/>
          <w:color w:val="auto"/>
          <w:highlight w:val="none"/>
          <w:lang w:eastAsia="zh-CN"/>
        </w:rPr>
        <w:t>7</w:t>
      </w:r>
      <w:r>
        <w:rPr>
          <w:rFonts w:hint="eastAsia"/>
          <w:b/>
          <w:bCs/>
          <w:color w:val="auto"/>
          <w:highlight w:val="none"/>
        </w:rPr>
        <w:t>.1.1</w:t>
      </w:r>
      <w:r>
        <w:rPr>
          <w:rFonts w:hint="eastAsia"/>
          <w:b/>
          <w:bCs/>
          <w:color w:val="auto"/>
          <w:highlight w:val="none"/>
          <w:lang w:eastAsia="zh-CN"/>
        </w:rPr>
        <w:t>2</w:t>
      </w:r>
      <w:r>
        <w:rPr>
          <w:b/>
          <w:bCs/>
          <w:color w:val="auto"/>
          <w:highlight w:val="none"/>
        </w:rPr>
        <w:t xml:space="preserve"> </w:t>
      </w:r>
      <w:r>
        <w:rPr>
          <w:rFonts w:hint="eastAsia"/>
          <w:b/>
          <w:bCs/>
          <w:color w:val="auto"/>
          <w:highlight w:val="none"/>
          <w:lang w:eastAsia="zh-CN"/>
        </w:rPr>
        <w:t xml:space="preserve"> </w:t>
      </w:r>
      <w:r>
        <w:rPr>
          <w:color w:val="auto"/>
          <w:highlight w:val="none"/>
        </w:rPr>
        <w:t>当剪力墙或木屋盖与砌体结构、钢筋混凝土结构或钢结构等下部结构连接时，应将作用在连接点的水平力和上拔力乘以1</w:t>
      </w:r>
      <w:r>
        <w:rPr>
          <w:rFonts w:hint="eastAsia"/>
          <w:color w:val="auto"/>
          <w:highlight w:val="none"/>
          <w:lang w:eastAsia="zh-CN"/>
        </w:rPr>
        <w:t>.</w:t>
      </w:r>
      <w:r>
        <w:rPr>
          <w:color w:val="auto"/>
          <w:highlight w:val="none"/>
        </w:rPr>
        <w:t>2倍的放大系数。</w:t>
      </w:r>
    </w:p>
    <w:p w14:paraId="554AD893">
      <w:pPr>
        <w:pStyle w:val="50"/>
        <w:bidi w:val="0"/>
        <w:rPr>
          <w:color w:val="auto"/>
          <w:highlight w:val="none"/>
          <w:lang w:eastAsia="zh-CN"/>
        </w:rPr>
      </w:pPr>
      <w:r>
        <w:rPr>
          <w:rFonts w:hint="eastAsia"/>
          <w:color w:val="auto"/>
          <w:highlight w:val="none"/>
          <w:lang w:eastAsia="zh-CN"/>
        </w:rPr>
        <w:t>【条文说明】7.1.12  对于方木原木结构与砌体结构、钢筋混凝土结构或钢结构组成的混合结构，在两种不同材料的结构连接处，连接点的设计是十分关键的，需要提高连接点处的作用力，保证连接的可靠性。</w:t>
      </w:r>
    </w:p>
    <w:p w14:paraId="73516759">
      <w:pPr>
        <w:pStyle w:val="3"/>
        <w:spacing w:before="156" w:after="156"/>
        <w:rPr>
          <w:color w:val="auto"/>
          <w:highlight w:val="none"/>
        </w:rPr>
      </w:pPr>
      <w:bookmarkStart w:id="153" w:name="_Toc31655"/>
      <w:bookmarkStart w:id="154" w:name="_Toc22850"/>
      <w:bookmarkStart w:id="155" w:name="_Toc20140"/>
      <w:bookmarkStart w:id="156" w:name="_Toc32463"/>
      <w:r>
        <w:rPr>
          <w:rFonts w:hint="eastAsia"/>
          <w:color w:val="auto"/>
          <w:highlight w:val="none"/>
          <w:lang w:eastAsia="zh-CN"/>
        </w:rPr>
        <w:t xml:space="preserve">7.2  </w:t>
      </w:r>
      <w:r>
        <w:rPr>
          <w:rFonts w:hint="eastAsia"/>
          <w:color w:val="auto"/>
          <w:highlight w:val="none"/>
        </w:rPr>
        <w:t>梁和柱</w:t>
      </w:r>
      <w:bookmarkEnd w:id="153"/>
      <w:bookmarkEnd w:id="154"/>
      <w:bookmarkEnd w:id="155"/>
      <w:bookmarkEnd w:id="156"/>
    </w:p>
    <w:p w14:paraId="4C9FCF28">
      <w:pPr>
        <w:pStyle w:val="4"/>
        <w:rPr>
          <w:color w:val="auto"/>
          <w:highlight w:val="none"/>
          <w:lang w:eastAsia="zh-CN"/>
        </w:rPr>
      </w:pPr>
      <w:r>
        <w:rPr>
          <w:rFonts w:hint="eastAsia"/>
          <w:b/>
          <w:bCs/>
          <w:color w:val="auto"/>
          <w:highlight w:val="none"/>
          <w:lang w:eastAsia="zh-CN"/>
        </w:rPr>
        <w:t>7.2</w:t>
      </w:r>
      <w:r>
        <w:rPr>
          <w:rFonts w:hint="eastAsia"/>
          <w:b/>
          <w:bCs/>
          <w:color w:val="auto"/>
          <w:highlight w:val="none"/>
        </w:rPr>
        <w:t>.1</w:t>
      </w:r>
      <w:r>
        <w:rPr>
          <w:b/>
          <w:bCs/>
          <w:color w:val="auto"/>
          <w:highlight w:val="none"/>
        </w:rPr>
        <w:t xml:space="preserve"> </w:t>
      </w:r>
      <w:r>
        <w:rPr>
          <w:rFonts w:hint="eastAsia"/>
          <w:b/>
          <w:bCs/>
          <w:color w:val="auto"/>
          <w:highlight w:val="none"/>
          <w:lang w:eastAsia="zh-CN"/>
        </w:rPr>
        <w:t xml:space="preserve"> </w:t>
      </w:r>
      <w:r>
        <w:rPr>
          <w:color w:val="auto"/>
          <w:highlight w:val="none"/>
        </w:rPr>
        <w:t>当木梁的两端由墙或梁支承时，应按两端简支的受弯构件计算，柱应按两端铰接计算。</w:t>
      </w:r>
    </w:p>
    <w:p w14:paraId="5C2938C9">
      <w:pPr>
        <w:pStyle w:val="50"/>
        <w:bidi w:val="0"/>
        <w:rPr>
          <w:rFonts w:hint="eastAsia"/>
          <w:color w:val="auto"/>
          <w:highlight w:val="none"/>
          <w:lang w:eastAsia="zh-CN"/>
        </w:rPr>
      </w:pPr>
      <w:r>
        <w:rPr>
          <w:rFonts w:hint="eastAsia"/>
          <w:color w:val="auto"/>
          <w:highlight w:val="none"/>
          <w:lang w:eastAsia="zh-CN"/>
        </w:rPr>
        <w:t>【条文说明】7.2.1  方木原木结构中的柱一般按两端铰连接的受压构件设计，梁一般按单跨简支受弯构件设计。对于木框架剪力墙结构，虽然梁柱的连接基本采用特殊的金属连接件，但是，柱还是按两端铰连接的受压构件设计，梁还是按单跨简支梁设计。</w:t>
      </w:r>
    </w:p>
    <w:p w14:paraId="624632ED">
      <w:pPr>
        <w:rPr>
          <w:rFonts w:hint="eastAsia"/>
          <w:color w:val="auto"/>
          <w:highlight w:val="none"/>
          <w:lang w:eastAsia="zh-CN"/>
        </w:rPr>
      </w:pPr>
    </w:p>
    <w:p w14:paraId="066C7D33">
      <w:pPr>
        <w:pStyle w:val="4"/>
        <w:rPr>
          <w:color w:val="auto"/>
          <w:highlight w:val="none"/>
          <w:lang w:eastAsia="zh-CN"/>
        </w:rPr>
      </w:pPr>
      <w:r>
        <w:rPr>
          <w:rFonts w:hint="eastAsia"/>
          <w:b/>
          <w:bCs/>
          <w:color w:val="auto"/>
          <w:highlight w:val="none"/>
          <w:lang w:eastAsia="zh-CN"/>
        </w:rPr>
        <w:t>7.2.</w:t>
      </w:r>
      <w:r>
        <w:rPr>
          <w:b/>
          <w:bCs/>
          <w:color w:val="auto"/>
          <w:highlight w:val="none"/>
        </w:rPr>
        <w:t xml:space="preserve">2 </w:t>
      </w:r>
      <w:r>
        <w:rPr>
          <w:rFonts w:hint="eastAsia"/>
          <w:b/>
          <w:bCs/>
          <w:color w:val="auto"/>
          <w:highlight w:val="none"/>
          <w:lang w:eastAsia="zh-CN"/>
        </w:rPr>
        <w:t xml:space="preserve"> </w:t>
      </w:r>
      <w:r>
        <w:rPr>
          <w:color w:val="auto"/>
          <w:highlight w:val="none"/>
        </w:rPr>
        <w:t>矩形木柱截面尺寸不宜小于100</w:t>
      </w:r>
      <w:r>
        <w:rPr>
          <w:rFonts w:hint="eastAsia"/>
          <w:color w:val="auto"/>
          <w:highlight w:val="none"/>
          <w:lang w:eastAsia="zh-CN"/>
        </w:rPr>
        <w:t>㎜</w:t>
      </w:r>
      <w:r>
        <w:rPr>
          <w:color w:val="auto"/>
          <w:highlight w:val="none"/>
        </w:rPr>
        <w:t>×100</w:t>
      </w:r>
      <w:r>
        <w:rPr>
          <w:rFonts w:hint="eastAsia"/>
          <w:color w:val="auto"/>
          <w:highlight w:val="none"/>
          <w:lang w:eastAsia="zh-CN"/>
        </w:rPr>
        <w:t>㎜</w:t>
      </w:r>
      <w:r>
        <w:rPr>
          <w:color w:val="auto"/>
          <w:highlight w:val="none"/>
        </w:rPr>
        <w:t>，且不应小于柱支承的构件截面宽度。</w:t>
      </w:r>
    </w:p>
    <w:p w14:paraId="554DC12E">
      <w:pPr>
        <w:pStyle w:val="50"/>
        <w:bidi w:val="0"/>
        <w:rPr>
          <w:rFonts w:hint="eastAsia"/>
          <w:color w:val="auto"/>
          <w:highlight w:val="none"/>
          <w:lang w:eastAsia="zh-CN"/>
        </w:rPr>
      </w:pPr>
      <w:r>
        <w:rPr>
          <w:rFonts w:hint="eastAsia"/>
          <w:color w:val="auto"/>
          <w:highlight w:val="none"/>
          <w:lang w:eastAsia="zh-CN"/>
        </w:rPr>
        <w:t>【条文说明】7.2.2  在木框架剪力墙结构中，为了避免柱发生屈曲．其截面尺寸应不小于100mm×100mm 。木框架剪力墙结构中常用的截面尺寸为105mm×105mm、120mm×120mm、150mm×150mm等。</w:t>
      </w:r>
    </w:p>
    <w:p w14:paraId="647ECF13">
      <w:pPr>
        <w:rPr>
          <w:rFonts w:hint="eastAsia"/>
          <w:color w:val="auto"/>
          <w:highlight w:val="none"/>
          <w:lang w:eastAsia="zh-CN"/>
        </w:rPr>
      </w:pPr>
    </w:p>
    <w:p w14:paraId="08FA18D0">
      <w:pPr>
        <w:pStyle w:val="4"/>
        <w:rPr>
          <w:color w:val="auto"/>
          <w:highlight w:val="none"/>
          <w:lang w:eastAsia="zh-CN"/>
        </w:rPr>
      </w:pPr>
      <w:r>
        <w:rPr>
          <w:rFonts w:hint="eastAsia"/>
          <w:b/>
          <w:bCs/>
          <w:color w:val="auto"/>
          <w:highlight w:val="none"/>
          <w:lang w:eastAsia="zh-CN"/>
        </w:rPr>
        <w:t>7.2.</w:t>
      </w:r>
      <w:r>
        <w:rPr>
          <w:b/>
          <w:bCs/>
          <w:color w:val="auto"/>
          <w:highlight w:val="none"/>
        </w:rPr>
        <w:t>3</w:t>
      </w:r>
      <w:r>
        <w:rPr>
          <w:rFonts w:hint="eastAsia"/>
          <w:b/>
          <w:bCs/>
          <w:color w:val="auto"/>
          <w:highlight w:val="none"/>
          <w:lang w:eastAsia="zh-CN"/>
        </w:rPr>
        <w:t xml:space="preserve"> </w:t>
      </w:r>
      <w:r>
        <w:rPr>
          <w:b/>
          <w:bCs/>
          <w:color w:val="auto"/>
          <w:highlight w:val="none"/>
        </w:rPr>
        <w:t xml:space="preserve"> </w:t>
      </w:r>
      <w:r>
        <w:rPr>
          <w:color w:val="auto"/>
          <w:highlight w:val="none"/>
        </w:rPr>
        <w:t>柱底与基础或与固定在基础上的地梁应有可靠锚固。木柱与混凝土基础接触面应采取防腐防潮措施。位于底层的木柱底面应高于室外地平面300</w:t>
      </w:r>
      <w:r>
        <w:rPr>
          <w:rFonts w:hint="eastAsia"/>
          <w:color w:val="auto"/>
          <w:highlight w:val="none"/>
          <w:lang w:eastAsia="zh-CN"/>
        </w:rPr>
        <w:t>㎜</w:t>
      </w:r>
      <w:r>
        <w:rPr>
          <w:color w:val="auto"/>
          <w:highlight w:val="none"/>
        </w:rPr>
        <w:t>。柱与基础的锚固可采用U形扁钢、角钢和柱靴。</w:t>
      </w:r>
    </w:p>
    <w:p w14:paraId="3BDCDBB2">
      <w:pPr>
        <w:pStyle w:val="4"/>
        <w:rPr>
          <w:color w:val="auto"/>
          <w:highlight w:val="none"/>
          <w:lang w:eastAsia="zh-CN"/>
        </w:rPr>
      </w:pPr>
      <w:r>
        <w:rPr>
          <w:rFonts w:hint="eastAsia"/>
          <w:b/>
          <w:bCs/>
          <w:color w:val="auto"/>
          <w:highlight w:val="none"/>
          <w:lang w:eastAsia="zh-CN"/>
        </w:rPr>
        <w:t>7.2.</w:t>
      </w:r>
      <w:r>
        <w:rPr>
          <w:b/>
          <w:bCs/>
          <w:color w:val="auto"/>
          <w:highlight w:val="none"/>
        </w:rPr>
        <w:t>4</w:t>
      </w:r>
      <w:r>
        <w:rPr>
          <w:rFonts w:hint="eastAsia"/>
          <w:b/>
          <w:bCs/>
          <w:color w:val="auto"/>
          <w:highlight w:val="none"/>
          <w:lang w:eastAsia="zh-CN"/>
        </w:rPr>
        <w:t xml:space="preserve"> </w:t>
      </w:r>
      <w:r>
        <w:rPr>
          <w:b/>
          <w:bCs/>
          <w:color w:val="auto"/>
          <w:highlight w:val="none"/>
        </w:rPr>
        <w:t xml:space="preserve"> </w:t>
      </w:r>
      <w:r>
        <w:rPr>
          <w:color w:val="auto"/>
          <w:highlight w:val="none"/>
        </w:rPr>
        <w:t>梁在支座上的最小支承长度不应小于90</w:t>
      </w:r>
      <w:r>
        <w:rPr>
          <w:rFonts w:hint="eastAsia"/>
          <w:color w:val="auto"/>
          <w:highlight w:val="none"/>
          <w:lang w:eastAsia="zh-CN"/>
        </w:rPr>
        <w:t>㎜</w:t>
      </w:r>
      <w:r>
        <w:rPr>
          <w:color w:val="auto"/>
          <w:highlight w:val="none"/>
        </w:rPr>
        <w:t>，梁与支座应紧密接触。</w:t>
      </w:r>
    </w:p>
    <w:p w14:paraId="15D6BFC0">
      <w:pPr>
        <w:pStyle w:val="4"/>
        <w:rPr>
          <w:color w:val="auto"/>
          <w:highlight w:val="none"/>
        </w:rPr>
      </w:pPr>
      <w:r>
        <w:rPr>
          <w:rFonts w:hint="eastAsia"/>
          <w:b/>
          <w:bCs/>
          <w:color w:val="auto"/>
          <w:highlight w:val="none"/>
          <w:lang w:eastAsia="zh-CN"/>
        </w:rPr>
        <w:t>7.2.</w:t>
      </w:r>
      <w:r>
        <w:rPr>
          <w:b/>
          <w:bCs/>
          <w:color w:val="auto"/>
          <w:highlight w:val="none"/>
        </w:rPr>
        <w:t>5</w:t>
      </w:r>
      <w:r>
        <w:rPr>
          <w:rFonts w:hint="eastAsia"/>
          <w:b/>
          <w:bCs/>
          <w:color w:val="auto"/>
          <w:highlight w:val="none"/>
          <w:lang w:eastAsia="zh-CN"/>
        </w:rPr>
        <w:t xml:space="preserve"> </w:t>
      </w:r>
      <w:r>
        <w:rPr>
          <w:b/>
          <w:bCs/>
          <w:color w:val="auto"/>
          <w:highlight w:val="none"/>
        </w:rPr>
        <w:t xml:space="preserve"> </w:t>
      </w:r>
      <w:r>
        <w:rPr>
          <w:color w:val="auto"/>
          <w:highlight w:val="none"/>
        </w:rPr>
        <w:t>木梁在支座处应设置防止其侧倾的侧向支承和防止其侧向位移的可靠锚固。当梁采用方木制作时，其截面高宽比不宜大于4。对于高宽比大于4的木梁应根据稳定承载力的验算结果，采取必要的保证侧向稳定的措施。</w:t>
      </w:r>
    </w:p>
    <w:p w14:paraId="7F188B2F">
      <w:pPr>
        <w:pStyle w:val="4"/>
        <w:rPr>
          <w:color w:val="auto"/>
          <w:highlight w:val="none"/>
          <w:lang w:eastAsia="zh-CN"/>
        </w:rPr>
      </w:pPr>
      <w:r>
        <w:rPr>
          <w:rFonts w:hint="eastAsia"/>
          <w:b/>
          <w:bCs/>
          <w:color w:val="auto"/>
          <w:highlight w:val="none"/>
          <w:lang w:eastAsia="zh-CN"/>
        </w:rPr>
        <w:t>7.2.</w:t>
      </w:r>
      <w:r>
        <w:rPr>
          <w:b/>
          <w:bCs/>
          <w:color w:val="auto"/>
          <w:highlight w:val="none"/>
        </w:rPr>
        <w:t xml:space="preserve">6 </w:t>
      </w:r>
      <w:r>
        <w:rPr>
          <w:rFonts w:hint="eastAsia"/>
          <w:b/>
          <w:bCs/>
          <w:color w:val="auto"/>
          <w:highlight w:val="none"/>
          <w:lang w:eastAsia="zh-CN"/>
        </w:rPr>
        <w:t xml:space="preserve"> </w:t>
      </w:r>
      <w:r>
        <w:rPr>
          <w:color w:val="auto"/>
          <w:highlight w:val="none"/>
        </w:rPr>
        <w:t>木梁与木柱或钢柱在支座处，可采用U形连接件或连接钢板连接。木梁与砌体或混凝土连接时，木梁不应与砌体或混凝土构件直接接触，并应设置防潮层。</w:t>
      </w:r>
    </w:p>
    <w:p w14:paraId="5702AE35">
      <w:pPr>
        <w:pStyle w:val="50"/>
        <w:bidi w:val="0"/>
        <w:rPr>
          <w:color w:val="auto"/>
          <w:highlight w:val="none"/>
          <w:lang w:eastAsia="zh-CN"/>
        </w:rPr>
      </w:pPr>
      <w:r>
        <w:rPr>
          <w:rFonts w:hint="eastAsia"/>
          <w:color w:val="auto"/>
          <w:highlight w:val="none"/>
          <w:lang w:eastAsia="zh-CN"/>
        </w:rPr>
        <w:t>【条文说明】7.2.3～7.2.6  柱与基础、柱与梁的连接形式多种多样，没有统一的形式，在保证连接安全可靠的基础上，可以进行各种设计。</w:t>
      </w:r>
    </w:p>
    <w:p w14:paraId="691249E7">
      <w:pPr>
        <w:rPr>
          <w:color w:val="auto"/>
          <w:highlight w:val="none"/>
          <w:lang w:eastAsia="zh-CN"/>
        </w:rPr>
      </w:pPr>
    </w:p>
    <w:p w14:paraId="264DBF23">
      <w:pPr>
        <w:pStyle w:val="3"/>
        <w:spacing w:before="156" w:after="156"/>
        <w:rPr>
          <w:color w:val="auto"/>
          <w:highlight w:val="none"/>
          <w:lang w:eastAsia="zh-CN"/>
        </w:rPr>
      </w:pPr>
      <w:bookmarkStart w:id="157" w:name="_Toc20522"/>
      <w:bookmarkStart w:id="158" w:name="_Toc31790"/>
      <w:bookmarkStart w:id="159" w:name="_Toc12189"/>
      <w:bookmarkStart w:id="160" w:name="_Toc18261"/>
      <w:r>
        <w:rPr>
          <w:rFonts w:hint="eastAsia"/>
          <w:color w:val="auto"/>
          <w:highlight w:val="none"/>
          <w:lang w:eastAsia="zh-CN"/>
        </w:rPr>
        <w:t>7.3</w:t>
      </w:r>
      <w:r>
        <w:rPr>
          <w:color w:val="auto"/>
          <w:highlight w:val="none"/>
        </w:rPr>
        <w:t xml:space="preserve"> </w:t>
      </w:r>
      <w:r>
        <w:rPr>
          <w:rFonts w:hint="eastAsia"/>
          <w:color w:val="auto"/>
          <w:highlight w:val="none"/>
          <w:lang w:eastAsia="zh-CN"/>
        </w:rPr>
        <w:t xml:space="preserve"> </w:t>
      </w:r>
      <w:r>
        <w:rPr>
          <w:rFonts w:hint="eastAsia"/>
          <w:color w:val="auto"/>
          <w:highlight w:val="none"/>
        </w:rPr>
        <w:t>墙</w:t>
      </w:r>
      <w:r>
        <w:rPr>
          <w:color w:val="auto"/>
          <w:highlight w:val="none"/>
        </w:rPr>
        <w:t xml:space="preserve"> </w:t>
      </w:r>
      <w:r>
        <w:rPr>
          <w:rFonts w:hint="eastAsia"/>
          <w:color w:val="auto"/>
          <w:highlight w:val="none"/>
          <w:lang w:eastAsia="zh-CN"/>
        </w:rPr>
        <w:t xml:space="preserve"> </w:t>
      </w:r>
      <w:r>
        <w:rPr>
          <w:color w:val="auto"/>
          <w:highlight w:val="none"/>
        </w:rPr>
        <w:t>体</w:t>
      </w:r>
      <w:bookmarkEnd w:id="157"/>
      <w:bookmarkEnd w:id="158"/>
      <w:bookmarkEnd w:id="159"/>
      <w:bookmarkEnd w:id="160"/>
    </w:p>
    <w:p w14:paraId="723870D4">
      <w:pPr>
        <w:pStyle w:val="4"/>
        <w:rPr>
          <w:color w:val="auto"/>
          <w:highlight w:val="none"/>
        </w:rPr>
      </w:pPr>
      <w:r>
        <w:rPr>
          <w:rFonts w:hint="eastAsia"/>
          <w:b/>
          <w:bCs/>
          <w:color w:val="auto"/>
          <w:highlight w:val="none"/>
          <w:lang w:eastAsia="zh-CN"/>
        </w:rPr>
        <w:t>7.3</w:t>
      </w:r>
      <w:r>
        <w:rPr>
          <w:rFonts w:hint="eastAsia"/>
          <w:b/>
          <w:bCs/>
          <w:color w:val="auto"/>
          <w:highlight w:val="none"/>
        </w:rPr>
        <w:t>.1</w:t>
      </w:r>
      <w:r>
        <w:rPr>
          <w:rFonts w:hint="eastAsia"/>
          <w:b/>
          <w:bCs/>
          <w:color w:val="auto"/>
          <w:highlight w:val="none"/>
          <w:lang w:eastAsia="zh-CN"/>
        </w:rPr>
        <w:t xml:space="preserve">  </w:t>
      </w:r>
      <w:r>
        <w:rPr>
          <w:color w:val="auto"/>
          <w:highlight w:val="none"/>
        </w:rPr>
        <w:t>方木原木结构的墙体应按下列构造类型选用：</w:t>
      </w:r>
    </w:p>
    <w:p w14:paraId="12F6F258">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墙体应采用轻质材料墙板作为填充墙，并应直接与木框架进行连接；</w:t>
      </w:r>
    </w:p>
    <w:p w14:paraId="7FC6BE42">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木骨架组合墙体应采用墙面板、规格材作为墙体材料，并应直接与木框架进行连接；</w:t>
      </w:r>
    </w:p>
    <w:p w14:paraId="1D5F4D57">
      <w:pPr>
        <w:pStyle w:val="4"/>
        <w:rPr>
          <w:color w:val="auto"/>
          <w:highlight w:val="none"/>
        </w:rPr>
      </w:pPr>
      <w:r>
        <w:rPr>
          <w:color w:val="auto"/>
          <w:highlight w:val="none"/>
        </w:rPr>
        <w:t xml:space="preserve">   3</w:t>
      </w:r>
      <w:r>
        <w:rPr>
          <w:rFonts w:hint="eastAsia"/>
          <w:color w:val="auto"/>
          <w:highlight w:val="none"/>
          <w:lang w:eastAsia="zh-CN"/>
        </w:rPr>
        <w:t xml:space="preserve"> </w:t>
      </w:r>
      <w:r>
        <w:rPr>
          <w:color w:val="auto"/>
          <w:highlight w:val="none"/>
        </w:rPr>
        <w:t xml:space="preserve"> 木框架剪力墙应采用墙面板、间柱和方木构件作为墙体材料，并与木框架的梁柱进行连接，木框架剪力墙应分为隐柱墙和明柱墙两种（</w:t>
      </w:r>
      <w:r>
        <w:rPr>
          <w:rFonts w:hint="eastAsia"/>
          <w:color w:val="auto"/>
          <w:highlight w:val="none"/>
          <w:lang w:eastAsia="zh-CN"/>
        </w:rPr>
        <w:t>图7.</w:t>
      </w:r>
      <w:r>
        <w:rPr>
          <w:color w:val="auto"/>
          <w:highlight w:val="none"/>
        </w:rPr>
        <w:t>3</w:t>
      </w:r>
      <w:r>
        <w:rPr>
          <w:rFonts w:hint="eastAsia"/>
          <w:color w:val="auto"/>
          <w:highlight w:val="none"/>
          <w:lang w:eastAsia="zh-CN"/>
        </w:rPr>
        <w:t>.</w:t>
      </w:r>
      <w:r>
        <w:rPr>
          <w:color w:val="auto"/>
          <w:highlight w:val="none"/>
        </w:rPr>
        <w:t>1）；</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2"/>
      </w:tblGrid>
      <w:tr w14:paraId="7A741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5000" w:type="pct"/>
          </w:tcPr>
          <w:p w14:paraId="11E570DA">
            <w:pPr>
              <w:jc w:val="center"/>
              <w:rPr>
                <w:color w:val="auto"/>
                <w:highlight w:val="none"/>
              </w:rPr>
            </w:pPr>
            <w:r>
              <w:rPr>
                <w:color w:val="auto"/>
                <w:highlight w:val="none"/>
                <w:lang w:eastAsia="zh-CN"/>
              </w:rPr>
              <w:drawing>
                <wp:inline distT="0" distB="0" distL="0" distR="0">
                  <wp:extent cx="4367530" cy="1651000"/>
                  <wp:effectExtent l="0" t="0" r="13970" b="6350"/>
                  <wp:docPr id="349894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94707" name="图片 1"/>
                          <pic:cNvPicPr>
                            <a:picLocks noChangeAspect="1"/>
                          </pic:cNvPicPr>
                        </pic:nvPicPr>
                        <pic:blipFill>
                          <a:blip r:embed="rId19" cstate="print"/>
                          <a:stretch>
                            <a:fillRect/>
                          </a:stretch>
                        </pic:blipFill>
                        <pic:spPr>
                          <a:xfrm>
                            <a:off x="0" y="0"/>
                            <a:ext cx="4367530" cy="1651000"/>
                          </a:xfrm>
                          <a:prstGeom prst="rect">
                            <a:avLst/>
                          </a:prstGeom>
                        </pic:spPr>
                      </pic:pic>
                    </a:graphicData>
                  </a:graphic>
                </wp:inline>
              </w:drawing>
            </w:r>
          </w:p>
        </w:tc>
      </w:tr>
      <w:tr w14:paraId="095AC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34DA7ACF">
            <w:pPr>
              <w:pStyle w:val="44"/>
              <w:ind w:firstLine="198"/>
              <w:rPr>
                <w:color w:val="auto"/>
                <w:highlight w:val="none"/>
              </w:rPr>
            </w:pPr>
            <w:r>
              <w:rPr>
                <w:rFonts w:hint="eastAsia"/>
                <w:color w:val="auto"/>
                <w:highlight w:val="none"/>
              </w:rPr>
              <w:t>图7.</w:t>
            </w:r>
            <w:r>
              <w:rPr>
                <w:color w:val="auto"/>
                <w:highlight w:val="none"/>
              </w:rPr>
              <w:t>3</w:t>
            </w:r>
            <w:r>
              <w:rPr>
                <w:rFonts w:hint="eastAsia"/>
                <w:color w:val="auto"/>
                <w:highlight w:val="none"/>
              </w:rPr>
              <w:t>.</w:t>
            </w:r>
            <w:r>
              <w:rPr>
                <w:color w:val="auto"/>
                <w:highlight w:val="none"/>
              </w:rPr>
              <w:t>1 木框架剪力墙构造示意</w:t>
            </w:r>
          </w:p>
          <w:p w14:paraId="6601B282">
            <w:pPr>
              <w:pStyle w:val="43"/>
              <w:rPr>
                <w:color w:val="auto"/>
                <w:highlight w:val="none"/>
              </w:rPr>
            </w:pPr>
            <w:r>
              <w:rPr>
                <w:color w:val="auto"/>
                <w:highlight w:val="none"/>
              </w:rPr>
              <w:t xml:space="preserve">  1</w:t>
            </w:r>
            <w:r>
              <w:rPr>
                <w:rFonts w:hint="eastAsia"/>
                <w:color w:val="auto"/>
                <w:highlight w:val="none"/>
              </w:rPr>
              <w:t>－</w:t>
            </w:r>
            <w:r>
              <w:rPr>
                <w:color w:val="auto"/>
                <w:highlight w:val="none"/>
              </w:rPr>
              <w:t>与框架柱截面高度相同的间柱；2</w:t>
            </w:r>
            <w:r>
              <w:rPr>
                <w:rFonts w:hint="eastAsia"/>
                <w:color w:val="auto"/>
                <w:highlight w:val="none"/>
              </w:rPr>
              <w:t>－</w:t>
            </w:r>
            <w:r>
              <w:rPr>
                <w:color w:val="auto"/>
                <w:highlight w:val="none"/>
              </w:rPr>
              <w:t>截面高度小于框架柱的间柱；3</w:t>
            </w:r>
            <w:r>
              <w:rPr>
                <w:rFonts w:hint="eastAsia"/>
                <w:color w:val="auto"/>
                <w:highlight w:val="none"/>
              </w:rPr>
              <w:t>－</w:t>
            </w:r>
            <w:r>
              <w:rPr>
                <w:color w:val="auto"/>
                <w:highlight w:val="none"/>
              </w:rPr>
              <w:t>墙面板</w:t>
            </w:r>
          </w:p>
        </w:tc>
      </w:tr>
    </w:tbl>
    <w:p w14:paraId="4D680AA0">
      <w:pPr>
        <w:pStyle w:val="50"/>
        <w:bidi w:val="0"/>
        <w:rPr>
          <w:rFonts w:hint="eastAsia"/>
          <w:color w:val="auto"/>
          <w:highlight w:val="none"/>
          <w:lang w:eastAsia="zh-CN"/>
        </w:rPr>
      </w:pPr>
      <w:r>
        <w:rPr>
          <w:rFonts w:hint="eastAsia"/>
          <w:color w:val="auto"/>
          <w:highlight w:val="none"/>
          <w:lang w:eastAsia="zh-CN"/>
        </w:rPr>
        <w:t>【条文说明】7.3.1  木框架剪力墙结构中的墙因构造不同可分为隐柱墙和明柱墙。隐柱墙即在柱、梁等结构构件外侧固定胶合板等面板而构成的剪力墙，该类墙的柱、梁等结构构件隐蔽在墙内而不外露于墙面板外，施工简单，墙的性能稳定。明柱墙则是在柱、梁等结构构件内侧用钉固定横撑材后将胶合板等面板再固定在横撑材所构成的墙，该类墙的柱、梁等结构构件外露于墙面板外，施工虽然相对隐柱墙而言稍微麻烦，由于柱、梁等木材构件外露于室内而令人感受到木结构住宅中木材的存在，同时由于木材对室内湿气的调节功能等更能发挥，让居住者更能感受到木结构住宅的舒适性和健康性。</w:t>
      </w:r>
    </w:p>
    <w:p w14:paraId="2C341F78">
      <w:pPr>
        <w:rPr>
          <w:rFonts w:hint="eastAsia"/>
          <w:color w:val="auto"/>
          <w:highlight w:val="none"/>
          <w:lang w:eastAsia="zh-CN"/>
        </w:rPr>
      </w:pPr>
    </w:p>
    <w:p w14:paraId="72CB07BC">
      <w:pPr>
        <w:pStyle w:val="4"/>
        <w:rPr>
          <w:color w:val="auto"/>
          <w:highlight w:val="none"/>
        </w:rPr>
      </w:pPr>
      <w:r>
        <w:rPr>
          <w:rFonts w:hint="eastAsia"/>
          <w:b/>
          <w:bCs/>
          <w:color w:val="auto"/>
          <w:highlight w:val="none"/>
          <w:lang w:eastAsia="zh-CN"/>
        </w:rPr>
        <w:t>7.</w:t>
      </w:r>
      <w:r>
        <w:rPr>
          <w:b/>
          <w:bCs/>
          <w:color w:val="auto"/>
          <w:highlight w:val="none"/>
        </w:rPr>
        <w:t>3</w:t>
      </w:r>
      <w:r>
        <w:rPr>
          <w:rFonts w:hint="eastAsia"/>
          <w:b/>
          <w:bCs/>
          <w:color w:val="auto"/>
          <w:highlight w:val="none"/>
          <w:lang w:eastAsia="zh-CN"/>
        </w:rPr>
        <w:t>.</w:t>
      </w:r>
      <w:r>
        <w:rPr>
          <w:b/>
          <w:bCs/>
          <w:color w:val="auto"/>
          <w:highlight w:val="none"/>
        </w:rPr>
        <w:t xml:space="preserve">2 </w:t>
      </w:r>
      <w:r>
        <w:rPr>
          <w:rFonts w:hint="eastAsia"/>
          <w:b/>
          <w:bCs/>
          <w:color w:val="auto"/>
          <w:highlight w:val="none"/>
          <w:lang w:eastAsia="zh-CN"/>
        </w:rPr>
        <w:t xml:space="preserve"> </w:t>
      </w:r>
      <w:r>
        <w:rPr>
          <w:color w:val="auto"/>
          <w:highlight w:val="none"/>
        </w:rPr>
        <w:t>轻质材料墙体按构造要求设计，可不进行结构计算。</w:t>
      </w:r>
    </w:p>
    <w:p w14:paraId="14B4F2E9">
      <w:pPr>
        <w:pStyle w:val="4"/>
        <w:rPr>
          <w:color w:val="auto"/>
          <w:highlight w:val="none"/>
        </w:rPr>
      </w:pPr>
      <w:r>
        <w:rPr>
          <w:rFonts w:hint="eastAsia"/>
          <w:b/>
          <w:bCs/>
          <w:color w:val="auto"/>
          <w:highlight w:val="none"/>
          <w:lang w:eastAsia="zh-CN"/>
        </w:rPr>
        <w:t>7.3</w:t>
      </w:r>
      <w:r>
        <w:rPr>
          <w:rFonts w:hint="eastAsia"/>
          <w:b/>
          <w:bCs/>
          <w:color w:val="auto"/>
          <w:highlight w:val="none"/>
        </w:rPr>
        <w:t>.3</w:t>
      </w:r>
      <w:r>
        <w:rPr>
          <w:b/>
          <w:bCs/>
          <w:color w:val="auto"/>
          <w:highlight w:val="none"/>
        </w:rPr>
        <w:t xml:space="preserve"> </w:t>
      </w:r>
      <w:r>
        <w:rPr>
          <w:rFonts w:hint="eastAsia"/>
          <w:b/>
          <w:bCs/>
          <w:color w:val="auto"/>
          <w:highlight w:val="none"/>
          <w:lang w:eastAsia="zh-CN"/>
        </w:rPr>
        <w:t xml:space="preserve"> </w:t>
      </w:r>
      <w:r>
        <w:rPr>
          <w:color w:val="auto"/>
          <w:highlight w:val="none"/>
        </w:rPr>
        <w:t>木骨架组合墙体应分为承重墙体或非承重墙体。墙体的墙骨柱宽度不应小于40</w:t>
      </w:r>
      <w:r>
        <w:rPr>
          <w:rFonts w:hint="eastAsia"/>
          <w:color w:val="auto"/>
          <w:highlight w:val="none"/>
          <w:lang w:eastAsia="zh-CN"/>
        </w:rPr>
        <w:t>㎜</w:t>
      </w:r>
      <w:r>
        <w:rPr>
          <w:color w:val="auto"/>
          <w:highlight w:val="none"/>
        </w:rPr>
        <w:t>，最大间距应为610</w:t>
      </w:r>
      <w:r>
        <w:rPr>
          <w:rFonts w:hint="eastAsia"/>
          <w:color w:val="auto"/>
          <w:highlight w:val="none"/>
          <w:lang w:eastAsia="zh-CN"/>
        </w:rPr>
        <w:t>㎜</w:t>
      </w:r>
      <w:r>
        <w:rPr>
          <w:color w:val="auto"/>
          <w:highlight w:val="none"/>
        </w:rPr>
        <w:t>。当承重墙的墙面板采用木基结构板时，其厚度不应小于11</w:t>
      </w:r>
      <w:r>
        <w:rPr>
          <w:rFonts w:hint="eastAsia"/>
          <w:color w:val="auto"/>
          <w:highlight w:val="none"/>
          <w:lang w:eastAsia="zh-CN"/>
        </w:rPr>
        <w:t>㎜</w:t>
      </w:r>
      <w:r>
        <w:rPr>
          <w:color w:val="auto"/>
          <w:highlight w:val="none"/>
        </w:rPr>
        <w:t>；当非承重墙的墙面板采用木基结构板时，其厚度不应小于9</w:t>
      </w:r>
      <w:r>
        <w:rPr>
          <w:rFonts w:hint="eastAsia"/>
          <w:color w:val="auto"/>
          <w:highlight w:val="none"/>
          <w:lang w:eastAsia="zh-CN"/>
        </w:rPr>
        <w:t>㎜</w:t>
      </w:r>
      <w:r>
        <w:rPr>
          <w:color w:val="auto"/>
          <w:highlight w:val="none"/>
        </w:rPr>
        <w:t>；墙体构造应符合现行国家标准《木骨架组合墙体技术规范》GB/T 50361中规定的相关构造要求。</w:t>
      </w:r>
    </w:p>
    <w:p w14:paraId="0E39B577">
      <w:pPr>
        <w:pStyle w:val="4"/>
        <w:rPr>
          <w:color w:val="auto"/>
          <w:highlight w:val="none"/>
        </w:rPr>
      </w:pPr>
      <w:r>
        <w:rPr>
          <w:rFonts w:hint="eastAsia"/>
          <w:b/>
          <w:bCs/>
          <w:color w:val="auto"/>
          <w:highlight w:val="none"/>
          <w:lang w:eastAsia="zh-CN"/>
        </w:rPr>
        <w:t>7.3</w:t>
      </w:r>
      <w:r>
        <w:rPr>
          <w:rFonts w:hint="eastAsia"/>
          <w:b/>
          <w:bCs/>
          <w:color w:val="auto"/>
          <w:highlight w:val="none"/>
        </w:rPr>
        <w:t>.4</w:t>
      </w:r>
      <w:r>
        <w:rPr>
          <w:b/>
          <w:bCs/>
          <w:color w:val="auto"/>
          <w:highlight w:val="none"/>
        </w:rPr>
        <w:t xml:space="preserve"> </w:t>
      </w:r>
      <w:r>
        <w:rPr>
          <w:rFonts w:hint="eastAsia"/>
          <w:b/>
          <w:bCs/>
          <w:color w:val="auto"/>
          <w:highlight w:val="none"/>
          <w:lang w:eastAsia="zh-CN"/>
        </w:rPr>
        <w:t xml:space="preserve"> </w:t>
      </w:r>
      <w:r>
        <w:rPr>
          <w:color w:val="auto"/>
          <w:highlight w:val="none"/>
        </w:rPr>
        <w:t>当木骨架组合墙体作为承重墙体时，墙骨柱应按两端铰接的轴心受压构件计算，构件在平面外的计算长度应为墙骨柱长度。当墙骨柱两侧布置墙面板时，平面内应进行强度验算；外墙墙骨柱应考虑风荷载影响，按两端铰接的压弯构件计算。</w:t>
      </w:r>
    </w:p>
    <w:p w14:paraId="64E0149F">
      <w:pPr>
        <w:pStyle w:val="4"/>
        <w:rPr>
          <w:color w:val="auto"/>
          <w:highlight w:val="none"/>
        </w:rPr>
      </w:pPr>
      <w:r>
        <w:rPr>
          <w:b/>
          <w:bCs/>
          <w:color w:val="auto"/>
          <w:highlight w:val="none"/>
        </w:rPr>
        <w:t>7</w:t>
      </w:r>
      <w:r>
        <w:rPr>
          <w:rFonts w:hint="eastAsia"/>
          <w:b/>
          <w:bCs/>
          <w:color w:val="auto"/>
          <w:highlight w:val="none"/>
          <w:lang w:eastAsia="zh-CN"/>
        </w:rPr>
        <w:t xml:space="preserve">.3.5  </w:t>
      </w:r>
      <w:r>
        <w:rPr>
          <w:color w:val="auto"/>
          <w:highlight w:val="none"/>
        </w:rPr>
        <w:t>木框架剪力墙结构的墙体作为剪力墙时，剪力墙受剪承载力设计值</w:t>
      </w:r>
      <w:r>
        <w:rPr>
          <w:rFonts w:hint="eastAsia"/>
          <w:i/>
          <w:iCs/>
          <w:color w:val="auto"/>
          <w:highlight w:val="none"/>
          <w:lang w:eastAsia="zh-CN"/>
        </w:rPr>
        <w:t xml:space="preserve"> </w:t>
      </w:r>
      <w:r>
        <w:rPr>
          <w:i/>
          <w:iCs/>
          <w:color w:val="auto"/>
          <w:highlight w:val="none"/>
        </w:rPr>
        <w:t>V</w:t>
      </w:r>
      <w:r>
        <w:rPr>
          <w:i/>
          <w:iCs/>
          <w:color w:val="auto"/>
          <w:highlight w:val="none"/>
          <w:vertAlign w:val="subscript"/>
        </w:rPr>
        <w:t>d</w:t>
      </w:r>
      <w:r>
        <w:rPr>
          <w:rFonts w:hint="eastAsia"/>
          <w:i/>
          <w:iCs/>
          <w:color w:val="auto"/>
          <w:highlight w:val="none"/>
          <w:vertAlign w:val="subscript"/>
          <w:lang w:eastAsia="zh-CN"/>
        </w:rPr>
        <w:t xml:space="preserve"> </w:t>
      </w:r>
      <w:r>
        <w:rPr>
          <w:color w:val="auto"/>
          <w:highlight w:val="none"/>
        </w:rPr>
        <w:t>应按下式进行计算：</w:t>
      </w:r>
    </w:p>
    <w:p w14:paraId="2146608B">
      <w:pPr>
        <w:ind w:firstLine="4560" w:firstLineChars="1900"/>
        <w:rPr>
          <w:color w:val="auto"/>
          <w:highlight w:val="none"/>
        </w:rPr>
      </w:pPr>
      <m:oMath>
        <m:sSub>
          <m:sSubPr>
            <m:ctrlPr>
              <w:rPr>
                <w:rFonts w:ascii="Cambria Math" w:hAnsi="Cambria Math"/>
                <w:color w:val="auto"/>
                <w:highlight w:val="none"/>
                <w:lang w:eastAsia="zh-CN"/>
              </w:rPr>
            </m:ctrlPr>
          </m:sSubPr>
          <m:e>
            <m:r>
              <m:rPr>
                <m:sty m:val="p"/>
              </m:rPr>
              <w:rPr>
                <w:rFonts w:ascii="Cambria Math" w:hAnsi="Cambria Math"/>
                <w:color w:val="auto"/>
                <w:highlight w:val="none"/>
              </w:rPr>
              <m:t>V</m:t>
            </m:r>
            <m:ctrlPr>
              <w:rPr>
                <w:rFonts w:ascii="Cambria Math" w:hAnsi="Cambria Math"/>
                <w:color w:val="auto"/>
                <w:highlight w:val="none"/>
                <w:lang w:eastAsia="zh-CN"/>
              </w:rPr>
            </m:ctrlPr>
          </m:e>
          <m:sub>
            <m:r>
              <m:rPr>
                <m:sty m:val="p"/>
              </m:rPr>
              <w:rPr>
                <w:rFonts w:ascii="Cambria Math" w:hAnsi="Cambria Math"/>
                <w:color w:val="auto"/>
                <w:highlight w:val="none"/>
                <w:vertAlign w:val="subscript"/>
              </w:rPr>
              <m:t>d</m:t>
            </m:r>
            <m:ctrlPr>
              <w:rPr>
                <w:rFonts w:ascii="Cambria Math" w:hAnsi="Cambria Math"/>
                <w:color w:val="auto"/>
                <w:highlight w:val="none"/>
                <w:lang w:eastAsia="zh-CN"/>
              </w:rPr>
            </m:ctrlPr>
          </m:sub>
        </m:sSub>
        <m:r>
          <m:rPr>
            <m:sty m:val="p"/>
          </m:rPr>
          <w:rPr>
            <w:rFonts w:ascii="Cambria Math" w:hAnsi="Cambria Math"/>
            <w:color w:val="auto"/>
            <w:highlight w:val="none"/>
            <w:lang w:eastAsia="zh-CN"/>
          </w:rPr>
          <m:t>=</m:t>
        </m:r>
        <m:nary>
          <m:naryPr>
            <m:chr m:val="∑"/>
            <m:limLoc m:val="undOvr"/>
            <m:subHide m:val="1"/>
            <m:supHide m:val="1"/>
            <m:ctrlPr>
              <w:rPr>
                <w:rFonts w:ascii="Cambria Math" w:hAnsi="Cambria Math"/>
                <w:color w:val="auto"/>
                <w:highlight w:val="none"/>
                <w:lang w:eastAsia="zh-CN"/>
              </w:rPr>
            </m:ctrlPr>
          </m:naryPr>
          <m:sub>
            <m:ctrlPr>
              <w:rPr>
                <w:rFonts w:ascii="Cambria Math" w:hAnsi="Cambria Math"/>
                <w:color w:val="auto"/>
                <w:highlight w:val="none"/>
                <w:lang w:eastAsia="zh-CN"/>
              </w:rPr>
            </m:ctrlPr>
          </m:sub>
          <m:sup>
            <m:ctrlPr>
              <w:rPr>
                <w:rFonts w:ascii="Cambria Math" w:hAnsi="Cambria Math"/>
                <w:color w:val="auto"/>
                <w:highlight w:val="none"/>
                <w:lang w:eastAsia="zh-CN"/>
              </w:rPr>
            </m:ctrlPr>
          </m:sup>
          <m:e>
            <m:sSub>
              <m:sSubPr>
                <m:ctrlPr>
                  <w:rPr>
                    <w:rFonts w:ascii="Cambria Math" w:hAnsi="Cambria Math" w:cs="Times New Roman"/>
                    <w:i/>
                    <w:iCs/>
                    <w:color w:val="auto"/>
                    <w:highlight w:val="none"/>
                  </w:rPr>
                </m:ctrlPr>
              </m:sSubPr>
              <m:e>
                <m:r>
                  <m:rPr>
                    <m:sty m:val="p"/>
                  </m:rPr>
                  <w:rPr>
                    <w:rFonts w:ascii="Cambria Math" w:hAnsi="Cambria Math" w:cs="Times New Roman"/>
                    <w:color w:val="auto"/>
                    <w:highlight w:val="none"/>
                  </w:rPr>
                  <m:t>f</m:t>
                </m:r>
                <m:ctrlPr>
                  <w:rPr>
                    <w:rFonts w:ascii="Cambria Math" w:hAnsi="Cambria Math" w:cs="Times New Roman"/>
                    <w:i/>
                    <w:iCs/>
                    <w:color w:val="auto"/>
                    <w:highlight w:val="none"/>
                  </w:rPr>
                </m:ctrlPr>
              </m:e>
              <m:sub>
                <m:r>
                  <m:rPr>
                    <m:sty m:val="p"/>
                  </m:rPr>
                  <w:rPr>
                    <w:color w:val="auto"/>
                    <w:highlight w:val="none"/>
                    <w:vertAlign w:val="subscript"/>
                  </w:rPr>
                  <m:t>vd</m:t>
                </m:r>
                <m:ctrlPr>
                  <w:rPr>
                    <w:rFonts w:ascii="Cambria Math" w:hAnsi="Cambria Math" w:cs="Times New Roman"/>
                    <w:i/>
                    <w:iCs/>
                    <w:color w:val="auto"/>
                    <w:highlight w:val="none"/>
                  </w:rPr>
                </m:ctrlPr>
              </m:sub>
            </m:sSub>
            <m:ctrlPr>
              <w:rPr>
                <w:rFonts w:ascii="Cambria Math" w:hAnsi="Cambria Math"/>
                <w:color w:val="auto"/>
                <w:highlight w:val="none"/>
                <w:lang w:eastAsia="zh-CN"/>
              </w:rPr>
            </m:ctrlPr>
          </m:e>
        </m:nary>
        <m:r>
          <m:rPr>
            <m:sty m:val="p"/>
          </m:rPr>
          <w:rPr>
            <w:rFonts w:ascii="Cambria Math" w:hAnsi="Cambria Math" w:cs="Times New Roman"/>
            <w:color w:val="auto"/>
            <w:highlight w:val="none"/>
          </w:rPr>
          <m:t>l</m:t>
        </m:r>
      </m:oMath>
      <w:r>
        <w:rPr>
          <w:rFonts w:hint="eastAsia"/>
          <w:color w:val="auto"/>
          <w:highlight w:val="none"/>
        </w:rPr>
        <w:t xml:space="preserve">     </w:t>
      </w:r>
      <w:r>
        <w:rPr>
          <w:rFonts w:hint="eastAsia"/>
          <w:color w:val="auto"/>
          <w:highlight w:val="none"/>
          <w:lang w:eastAsia="zh-CN"/>
        </w:rPr>
        <w:t xml:space="preserve">                  </w:t>
      </w:r>
      <w:r>
        <w:rPr>
          <w:rFonts w:hint="eastAsia"/>
          <w:color w:val="auto"/>
          <w:highlight w:val="none"/>
        </w:rPr>
        <w:t xml:space="preserve">    （</w:t>
      </w:r>
      <w:r>
        <w:rPr>
          <w:rFonts w:hint="eastAsia"/>
          <w:color w:val="auto"/>
          <w:highlight w:val="none"/>
          <w:lang w:eastAsia="zh-CN"/>
        </w:rPr>
        <w:t>7.3</w:t>
      </w:r>
      <w:r>
        <w:rPr>
          <w:rFonts w:hint="eastAsia"/>
          <w:color w:val="auto"/>
          <w:highlight w:val="none"/>
        </w:rPr>
        <w:t>.5）</w:t>
      </w:r>
    </w:p>
    <w:p w14:paraId="4C5421CA">
      <w:pPr>
        <w:pStyle w:val="4"/>
        <w:rPr>
          <w:color w:val="auto"/>
          <w:highlight w:val="none"/>
        </w:rPr>
      </w:pPr>
      <w:r>
        <w:rPr>
          <w:rFonts w:hint="eastAsia"/>
          <w:color w:val="auto"/>
          <w:highlight w:val="none"/>
        </w:rPr>
        <w:t>式中：</w:t>
      </w:r>
      <w:r>
        <w:rPr>
          <w:rFonts w:cs="Times New Roman"/>
          <w:i/>
          <w:iCs/>
          <w:color w:val="auto"/>
          <w:highlight w:val="none"/>
        </w:rPr>
        <w:t>f</w:t>
      </w:r>
      <w:r>
        <w:rPr>
          <w:color w:val="auto"/>
          <w:highlight w:val="none"/>
          <w:vertAlign w:val="subscript"/>
        </w:rPr>
        <w:t>vd</w:t>
      </w:r>
      <w:r>
        <w:rPr>
          <w:color w:val="auto"/>
          <w:highlight w:val="none"/>
        </w:rPr>
        <w:t>――单面采用木基结构板作面板的剪力墙的抗剪强度设计值（kN/m），应按本标准附录</w:t>
      </w:r>
      <w:r>
        <w:rPr>
          <w:rFonts w:hint="eastAsia"/>
          <w:color w:val="auto"/>
          <w:highlight w:val="none"/>
          <w:lang w:eastAsia="zh-CN"/>
        </w:rPr>
        <w:t>D</w:t>
      </w:r>
      <w:r>
        <w:rPr>
          <w:color w:val="auto"/>
          <w:highlight w:val="none"/>
        </w:rPr>
        <w:t>的规定取值；</w:t>
      </w:r>
    </w:p>
    <w:p w14:paraId="7E0D59A1">
      <w:pPr>
        <w:pStyle w:val="4"/>
        <w:rPr>
          <w:color w:val="auto"/>
          <w:highlight w:val="none"/>
        </w:rPr>
      </w:pPr>
      <w:r>
        <w:rPr>
          <w:color w:val="auto"/>
          <w:highlight w:val="none"/>
        </w:rPr>
        <w:t xml:space="preserve">    </w:t>
      </w:r>
      <w:r>
        <w:rPr>
          <w:rFonts w:hint="eastAsia"/>
          <w:color w:val="auto"/>
          <w:highlight w:val="none"/>
          <w:lang w:eastAsia="zh-CN"/>
        </w:rPr>
        <w:t xml:space="preserve"> </w:t>
      </w:r>
      <w:r>
        <w:rPr>
          <w:color w:val="auto"/>
          <w:highlight w:val="none"/>
        </w:rPr>
        <w:t xml:space="preserve"> </w:t>
      </w:r>
      <w:r>
        <w:rPr>
          <w:rFonts w:cs="Times New Roman"/>
          <w:i/>
          <w:iCs/>
          <w:color w:val="auto"/>
          <w:highlight w:val="none"/>
        </w:rPr>
        <w:t>l</w:t>
      </w:r>
      <w:r>
        <w:rPr>
          <w:color w:val="auto"/>
          <w:highlight w:val="none"/>
        </w:rPr>
        <w:t>――平行于荷载方向的剪力墙墙肢长度（m）。</w:t>
      </w:r>
    </w:p>
    <w:p w14:paraId="0BD1EBDB">
      <w:pPr>
        <w:pStyle w:val="4"/>
        <w:rPr>
          <w:color w:val="auto"/>
          <w:highlight w:val="none"/>
        </w:rPr>
      </w:pPr>
      <w:r>
        <w:rPr>
          <w:rFonts w:hint="eastAsia"/>
          <w:b/>
          <w:bCs/>
          <w:color w:val="auto"/>
          <w:highlight w:val="none"/>
          <w:lang w:eastAsia="zh-CN"/>
        </w:rPr>
        <w:t>7.3</w:t>
      </w:r>
      <w:r>
        <w:rPr>
          <w:rFonts w:hint="eastAsia"/>
          <w:b/>
          <w:bCs/>
          <w:color w:val="auto"/>
          <w:highlight w:val="none"/>
        </w:rPr>
        <w:t>.6</w:t>
      </w:r>
      <w:r>
        <w:rPr>
          <w:b/>
          <w:bCs/>
          <w:color w:val="auto"/>
          <w:highlight w:val="none"/>
        </w:rPr>
        <w:t xml:space="preserve"> </w:t>
      </w:r>
      <w:r>
        <w:rPr>
          <w:rFonts w:hint="eastAsia"/>
          <w:b/>
          <w:bCs/>
          <w:color w:val="auto"/>
          <w:highlight w:val="none"/>
          <w:lang w:eastAsia="zh-CN"/>
        </w:rPr>
        <w:t xml:space="preserve"> </w:t>
      </w:r>
      <w:r>
        <w:rPr>
          <w:color w:val="auto"/>
          <w:highlight w:val="none"/>
        </w:rPr>
        <w:t>木框架剪力墙结构的剪力墙应符合下列规定：</w:t>
      </w:r>
    </w:p>
    <w:p w14:paraId="4A05B65B">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墙体两端连接部应设置截面不小于105</w:t>
      </w:r>
      <w:r>
        <w:rPr>
          <w:rFonts w:hint="eastAsia"/>
          <w:color w:val="auto"/>
          <w:highlight w:val="none"/>
          <w:lang w:eastAsia="zh-CN"/>
        </w:rPr>
        <w:t>㎜</w:t>
      </w:r>
      <w:r>
        <w:rPr>
          <w:color w:val="auto"/>
          <w:highlight w:val="none"/>
        </w:rPr>
        <w:t>×105</w:t>
      </w:r>
      <w:r>
        <w:rPr>
          <w:rFonts w:hint="eastAsia"/>
          <w:color w:val="auto"/>
          <w:highlight w:val="none"/>
          <w:lang w:eastAsia="zh-CN"/>
        </w:rPr>
        <w:t>㎜</w:t>
      </w:r>
      <w:r>
        <w:rPr>
          <w:color w:val="auto"/>
          <w:highlight w:val="none"/>
        </w:rPr>
        <w:t>的端柱；</w:t>
      </w:r>
    </w:p>
    <w:p w14:paraId="0417F7F0">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当墙体采用的木基结构板厚度不小于24</w:t>
      </w:r>
      <w:r>
        <w:rPr>
          <w:rFonts w:hint="eastAsia"/>
          <w:color w:val="auto"/>
          <w:highlight w:val="none"/>
          <w:lang w:eastAsia="zh-CN"/>
        </w:rPr>
        <w:t>㎜</w:t>
      </w:r>
      <w:r>
        <w:rPr>
          <w:color w:val="auto"/>
          <w:highlight w:val="none"/>
        </w:rPr>
        <w:t>、墙体长度不小于1000</w:t>
      </w:r>
      <w:r>
        <w:rPr>
          <w:rFonts w:hint="eastAsia"/>
          <w:color w:val="auto"/>
          <w:highlight w:val="none"/>
          <w:lang w:eastAsia="zh-CN"/>
        </w:rPr>
        <w:t>㎜</w:t>
      </w:r>
      <w:r>
        <w:rPr>
          <w:color w:val="auto"/>
          <w:highlight w:val="none"/>
        </w:rPr>
        <w:t>时，应在墙体中间设置柱子或间柱；</w:t>
      </w:r>
    </w:p>
    <w:p w14:paraId="474AC64D">
      <w:pPr>
        <w:pStyle w:val="4"/>
        <w:rPr>
          <w:color w:val="auto"/>
          <w:highlight w:val="none"/>
        </w:rPr>
      </w:pPr>
      <w:r>
        <w:rPr>
          <w:color w:val="auto"/>
          <w:highlight w:val="none"/>
        </w:rPr>
        <w:t xml:space="preserve">   3 </w:t>
      </w:r>
      <w:r>
        <w:rPr>
          <w:rFonts w:hint="eastAsia"/>
          <w:color w:val="auto"/>
          <w:highlight w:val="none"/>
          <w:lang w:eastAsia="zh-CN"/>
        </w:rPr>
        <w:t xml:space="preserve"> </w:t>
      </w:r>
      <w:r>
        <w:rPr>
          <w:color w:val="auto"/>
          <w:highlight w:val="none"/>
        </w:rPr>
        <w:t>当采用的木基结构板厚度小于24</w:t>
      </w:r>
      <w:r>
        <w:rPr>
          <w:rFonts w:hint="eastAsia"/>
          <w:color w:val="auto"/>
          <w:highlight w:val="none"/>
          <w:lang w:eastAsia="zh-CN"/>
        </w:rPr>
        <w:t>㎜</w:t>
      </w:r>
      <w:r>
        <w:rPr>
          <w:color w:val="auto"/>
          <w:highlight w:val="none"/>
        </w:rPr>
        <w:t>、墙体长度不小于600</w:t>
      </w:r>
      <w:r>
        <w:rPr>
          <w:rFonts w:hint="eastAsia"/>
          <w:color w:val="auto"/>
          <w:highlight w:val="none"/>
          <w:lang w:eastAsia="zh-CN"/>
        </w:rPr>
        <w:t>㎜</w:t>
      </w:r>
      <w:r>
        <w:rPr>
          <w:color w:val="auto"/>
          <w:highlight w:val="none"/>
        </w:rPr>
        <w:t>时，应在墙体中间设置间柱；</w:t>
      </w:r>
    </w:p>
    <w:p w14:paraId="1417F98A">
      <w:pPr>
        <w:pStyle w:val="4"/>
        <w:rPr>
          <w:color w:val="auto"/>
          <w:highlight w:val="none"/>
        </w:rPr>
      </w:pPr>
      <w:r>
        <w:rPr>
          <w:color w:val="auto"/>
          <w:highlight w:val="none"/>
        </w:rPr>
        <w:t xml:space="preserve">   4 </w:t>
      </w:r>
      <w:r>
        <w:rPr>
          <w:rFonts w:hint="eastAsia"/>
          <w:color w:val="auto"/>
          <w:highlight w:val="none"/>
          <w:lang w:eastAsia="zh-CN"/>
        </w:rPr>
        <w:t xml:space="preserve"> </w:t>
      </w:r>
      <w:r>
        <w:rPr>
          <w:color w:val="auto"/>
          <w:highlight w:val="none"/>
        </w:rPr>
        <w:t>墙体面板宜采用竖向铺设，当采用横向铺设时，面板拼接缝部位应设置横撑；墙体面板应采用钉子将面板与横撑、间柱或柱子连接；</w:t>
      </w:r>
    </w:p>
    <w:p w14:paraId="7E34BEAD">
      <w:pPr>
        <w:pStyle w:val="4"/>
        <w:rPr>
          <w:color w:val="auto"/>
          <w:highlight w:val="none"/>
        </w:rPr>
      </w:pPr>
      <w:r>
        <w:rPr>
          <w:color w:val="auto"/>
          <w:highlight w:val="none"/>
        </w:rPr>
        <w:t xml:space="preserve">   5 </w:t>
      </w:r>
      <w:r>
        <w:rPr>
          <w:rFonts w:hint="eastAsia"/>
          <w:color w:val="auto"/>
          <w:highlight w:val="none"/>
          <w:lang w:eastAsia="zh-CN"/>
        </w:rPr>
        <w:t xml:space="preserve"> </w:t>
      </w:r>
      <w:r>
        <w:rPr>
          <w:color w:val="auto"/>
          <w:highlight w:val="none"/>
        </w:rPr>
        <w:t>间柱截面尺寸应大于30</w:t>
      </w:r>
      <w:r>
        <w:rPr>
          <w:rFonts w:hint="eastAsia"/>
          <w:color w:val="auto"/>
          <w:highlight w:val="none"/>
          <w:lang w:eastAsia="zh-CN"/>
        </w:rPr>
        <w:t>㎜</w:t>
      </w:r>
      <w:r>
        <w:rPr>
          <w:color w:val="auto"/>
          <w:highlight w:val="none"/>
        </w:rPr>
        <w:t>×60</w:t>
      </w:r>
      <w:r>
        <w:rPr>
          <w:rFonts w:hint="eastAsia"/>
          <w:color w:val="auto"/>
          <w:highlight w:val="none"/>
          <w:lang w:eastAsia="zh-CN"/>
        </w:rPr>
        <w:t>㎜</w:t>
      </w:r>
      <w:r>
        <w:rPr>
          <w:color w:val="auto"/>
          <w:highlight w:val="none"/>
        </w:rPr>
        <w:t>，墙体端部用于连接的间柱截面尺寸应大于45</w:t>
      </w:r>
      <w:r>
        <w:rPr>
          <w:rFonts w:hint="eastAsia"/>
          <w:color w:val="auto"/>
          <w:highlight w:val="none"/>
          <w:lang w:eastAsia="zh-CN"/>
        </w:rPr>
        <w:t>㎜</w:t>
      </w:r>
      <w:r>
        <w:rPr>
          <w:color w:val="auto"/>
          <w:highlight w:val="none"/>
        </w:rPr>
        <w:t>×60</w:t>
      </w:r>
      <w:r>
        <w:rPr>
          <w:rFonts w:hint="eastAsia"/>
          <w:color w:val="auto"/>
          <w:highlight w:val="none"/>
          <w:lang w:eastAsia="zh-CN"/>
        </w:rPr>
        <w:t>㎜</w:t>
      </w:r>
      <w:r>
        <w:rPr>
          <w:color w:val="auto"/>
          <w:highlight w:val="none"/>
        </w:rPr>
        <w:t>。</w:t>
      </w:r>
    </w:p>
    <w:p w14:paraId="1B6D78D1">
      <w:pPr>
        <w:pStyle w:val="50"/>
        <w:bidi w:val="0"/>
        <w:rPr>
          <w:rFonts w:hint="eastAsia"/>
          <w:color w:val="auto"/>
          <w:highlight w:val="none"/>
          <w:lang w:eastAsia="zh-CN"/>
        </w:rPr>
      </w:pPr>
      <w:r>
        <w:rPr>
          <w:rFonts w:hint="eastAsia"/>
          <w:color w:val="auto"/>
          <w:highlight w:val="none"/>
          <w:lang w:eastAsia="zh-CN"/>
        </w:rPr>
        <w:t>【条文说明】7.3.6  本条对木框架剪力墙结构的剪力墙构造要求给出了规定。剪力墙两端的端柱截面要求不小于105mm×105mm，是为了防止柱子的弯曲变形和确保钉连接部位的连接性能。当墙面板采用横向铺设时，为了传递剪力需要在墙面板相连接部位设置横撑，并用钉将横撑的两端固定在端柱或间柱之上。</w:t>
      </w:r>
    </w:p>
    <w:p w14:paraId="7C5D1DB1">
      <w:pPr>
        <w:rPr>
          <w:rFonts w:hint="eastAsia"/>
          <w:color w:val="auto"/>
          <w:highlight w:val="none"/>
          <w:lang w:eastAsia="zh-CN"/>
        </w:rPr>
      </w:pPr>
    </w:p>
    <w:p w14:paraId="4B93441C">
      <w:pPr>
        <w:pStyle w:val="4"/>
        <w:rPr>
          <w:color w:val="auto"/>
          <w:highlight w:val="none"/>
        </w:rPr>
      </w:pPr>
      <w:r>
        <w:rPr>
          <w:rFonts w:hint="eastAsia"/>
          <w:b/>
          <w:bCs/>
          <w:color w:val="auto"/>
          <w:highlight w:val="none"/>
          <w:lang w:eastAsia="zh-CN"/>
        </w:rPr>
        <w:t>7.3</w:t>
      </w:r>
      <w:r>
        <w:rPr>
          <w:rFonts w:hint="eastAsia"/>
          <w:b/>
          <w:bCs/>
          <w:color w:val="auto"/>
          <w:highlight w:val="none"/>
        </w:rPr>
        <w:t xml:space="preserve">.7 </w:t>
      </w:r>
      <w:r>
        <w:rPr>
          <w:rFonts w:hint="eastAsia"/>
          <w:b/>
          <w:bCs/>
          <w:color w:val="auto"/>
          <w:highlight w:val="none"/>
          <w:lang w:eastAsia="zh-CN"/>
        </w:rPr>
        <w:t xml:space="preserve"> </w:t>
      </w:r>
      <w:r>
        <w:rPr>
          <w:color w:val="auto"/>
          <w:highlight w:val="none"/>
        </w:rPr>
        <w:t>当木框架剪力墙结构采用明柱剪力墙时，剪力墙的间柱和端部连接柱截面尺寸应大于30</w:t>
      </w:r>
      <w:r>
        <w:rPr>
          <w:rFonts w:hint="eastAsia"/>
          <w:color w:val="auto"/>
          <w:highlight w:val="none"/>
          <w:lang w:eastAsia="zh-CN"/>
        </w:rPr>
        <w:t>㎜</w:t>
      </w:r>
      <w:r>
        <w:rPr>
          <w:color w:val="auto"/>
          <w:highlight w:val="none"/>
        </w:rPr>
        <w:t>×60</w:t>
      </w:r>
      <w:r>
        <w:rPr>
          <w:rFonts w:hint="eastAsia"/>
          <w:color w:val="auto"/>
          <w:highlight w:val="none"/>
          <w:lang w:eastAsia="zh-CN"/>
        </w:rPr>
        <w:t>㎜</w:t>
      </w:r>
      <w:r>
        <w:rPr>
          <w:color w:val="auto"/>
          <w:highlight w:val="none"/>
        </w:rPr>
        <w:t>。端部连接柱应采用直径大于3</w:t>
      </w:r>
      <w:r>
        <w:rPr>
          <w:rFonts w:hint="eastAsia"/>
          <w:color w:val="auto"/>
          <w:highlight w:val="none"/>
          <w:lang w:eastAsia="zh-CN"/>
        </w:rPr>
        <w:t>.</w:t>
      </w:r>
      <w:r>
        <w:rPr>
          <w:color w:val="auto"/>
          <w:highlight w:val="none"/>
        </w:rPr>
        <w:t>40</w:t>
      </w:r>
      <w:r>
        <w:rPr>
          <w:rFonts w:hint="eastAsia"/>
          <w:color w:val="auto"/>
          <w:highlight w:val="none"/>
          <w:lang w:eastAsia="zh-CN"/>
        </w:rPr>
        <w:t>㎜</w:t>
      </w:r>
      <w:r>
        <w:rPr>
          <w:color w:val="auto"/>
          <w:highlight w:val="none"/>
        </w:rPr>
        <w:t>、长度大于75</w:t>
      </w:r>
      <w:r>
        <w:rPr>
          <w:rFonts w:hint="eastAsia"/>
          <w:color w:val="auto"/>
          <w:highlight w:val="none"/>
          <w:lang w:eastAsia="zh-CN"/>
        </w:rPr>
        <w:t>㎜</w:t>
      </w:r>
      <w:r>
        <w:rPr>
          <w:color w:val="auto"/>
          <w:highlight w:val="none"/>
        </w:rPr>
        <w:t>和间距应小于200</w:t>
      </w:r>
      <w:r>
        <w:rPr>
          <w:rFonts w:hint="eastAsia"/>
          <w:color w:val="auto"/>
          <w:highlight w:val="none"/>
          <w:lang w:eastAsia="zh-CN"/>
        </w:rPr>
        <w:t>㎜</w:t>
      </w:r>
      <w:r>
        <w:rPr>
          <w:color w:val="auto"/>
          <w:highlight w:val="none"/>
        </w:rPr>
        <w:t>的钉子与柱和梁连接。当面板厚度不小于24</w:t>
      </w:r>
      <w:r>
        <w:rPr>
          <w:rFonts w:hint="eastAsia"/>
          <w:color w:val="auto"/>
          <w:highlight w:val="none"/>
          <w:lang w:eastAsia="zh-CN"/>
        </w:rPr>
        <w:t>㎜</w:t>
      </w:r>
      <w:r>
        <w:rPr>
          <w:color w:val="auto"/>
          <w:highlight w:val="none"/>
        </w:rPr>
        <w:t>时，固定端部连接柱的钉子直径应大于3</w:t>
      </w:r>
      <w:r>
        <w:rPr>
          <w:rFonts w:hint="eastAsia"/>
          <w:color w:val="auto"/>
          <w:highlight w:val="none"/>
          <w:lang w:eastAsia="zh-CN"/>
        </w:rPr>
        <w:t>.</w:t>
      </w:r>
      <w:r>
        <w:rPr>
          <w:color w:val="auto"/>
          <w:highlight w:val="none"/>
        </w:rPr>
        <w:t>8</w:t>
      </w:r>
      <w:r>
        <w:rPr>
          <w:rFonts w:hint="eastAsia"/>
          <w:color w:val="auto"/>
          <w:highlight w:val="none"/>
          <w:lang w:eastAsia="zh-CN"/>
        </w:rPr>
        <w:t>㎜</w:t>
      </w:r>
      <w:r>
        <w:rPr>
          <w:color w:val="auto"/>
          <w:highlight w:val="none"/>
        </w:rPr>
        <w:t>，长度应大于90</w:t>
      </w:r>
      <w:r>
        <w:rPr>
          <w:rFonts w:hint="eastAsia"/>
          <w:color w:val="auto"/>
          <w:highlight w:val="none"/>
          <w:lang w:eastAsia="zh-CN"/>
        </w:rPr>
        <w:t>㎜</w:t>
      </w:r>
      <w:r>
        <w:rPr>
          <w:color w:val="auto"/>
          <w:highlight w:val="none"/>
        </w:rPr>
        <w:t>，间距应小于100</w:t>
      </w:r>
      <w:r>
        <w:rPr>
          <w:rFonts w:hint="eastAsia"/>
          <w:color w:val="auto"/>
          <w:highlight w:val="none"/>
          <w:lang w:eastAsia="zh-CN"/>
        </w:rPr>
        <w:t>㎜</w:t>
      </w:r>
      <w:r>
        <w:rPr>
          <w:color w:val="auto"/>
          <w:highlight w:val="none"/>
        </w:rPr>
        <w:t>。</w:t>
      </w:r>
    </w:p>
    <w:p w14:paraId="1D4B2D3C">
      <w:pPr>
        <w:pStyle w:val="50"/>
        <w:bidi w:val="0"/>
        <w:rPr>
          <w:rFonts w:hint="eastAsia"/>
          <w:color w:val="auto"/>
          <w:highlight w:val="none"/>
          <w:lang w:eastAsia="zh-CN"/>
        </w:rPr>
      </w:pPr>
      <w:r>
        <w:rPr>
          <w:rFonts w:hint="eastAsia"/>
          <w:color w:val="auto"/>
          <w:highlight w:val="none"/>
          <w:lang w:eastAsia="zh-CN"/>
        </w:rPr>
        <w:t>【条文说明】7.3.7  隐柱墙的横撑材的截面尺寸也应大于30mm×60mm。在墙体安装时，固定横撑材的钉子尺寸应根据墙面板的厚度不同而不同，在施工中应加以注意。</w:t>
      </w:r>
    </w:p>
    <w:p w14:paraId="14AF616F">
      <w:pPr>
        <w:rPr>
          <w:rFonts w:hint="eastAsia"/>
          <w:color w:val="auto"/>
          <w:highlight w:val="none"/>
          <w:lang w:eastAsia="zh-CN"/>
        </w:rPr>
      </w:pPr>
    </w:p>
    <w:p w14:paraId="1E831A8A">
      <w:pPr>
        <w:pStyle w:val="4"/>
        <w:rPr>
          <w:color w:val="auto"/>
          <w:highlight w:val="none"/>
        </w:rPr>
      </w:pPr>
      <w:r>
        <w:rPr>
          <w:rFonts w:hint="eastAsia"/>
          <w:b/>
          <w:bCs/>
          <w:color w:val="auto"/>
          <w:highlight w:val="none"/>
          <w:lang w:eastAsia="zh-CN"/>
        </w:rPr>
        <w:t xml:space="preserve">7.3.8 </w:t>
      </w:r>
      <w:r>
        <w:rPr>
          <w:color w:val="auto"/>
          <w:highlight w:val="none"/>
        </w:rPr>
        <w:t>钉连接的单面覆板剪力墙顶部的水平位移应按下式计算：</w:t>
      </w:r>
    </w:p>
    <w:p w14:paraId="7A2EF7F0">
      <w:pPr>
        <w:wordWrap w:val="0"/>
        <w:jc w:val="right"/>
        <w:rPr>
          <w:color w:val="auto"/>
          <w:highlight w:val="none"/>
        </w:rPr>
      </w:pPr>
      <m:oMath>
        <m:r>
          <m:rPr>
            <m:sty m:val="p"/>
          </m:rPr>
          <w:rPr>
            <w:rFonts w:ascii="Cambria Math" w:hAnsi="Cambria Math" w:cs="Cambria Math"/>
            <w:color w:val="auto"/>
            <w:highlight w:val="none"/>
          </w:rPr>
          <m:t>Δ</m:t>
        </m:r>
        <m:r>
          <m:rPr>
            <m:sty m:val="p"/>
          </m:rPr>
          <w:rPr>
            <w:rFonts w:ascii="Cambria Math" w:hAnsi="Cambria Math" w:cs="Cambria Math"/>
            <w:color w:val="auto"/>
            <w:highlight w:val="none"/>
            <w:lang w:eastAsia="zh-CN"/>
          </w:rPr>
          <m:t>=</m:t>
        </m:r>
        <m:f>
          <m:fPr>
            <m:ctrlPr>
              <w:rPr>
                <w:rFonts w:ascii="Cambria Math" w:hAnsi="Cambria Math"/>
                <w:i/>
                <w:color w:val="auto"/>
                <w:highlight w:val="none"/>
              </w:rPr>
            </m:ctrlPr>
          </m:fPr>
          <m:num>
            <m:sSub>
              <m:sSubPr>
                <m:ctrlPr>
                  <w:rPr>
                    <w:rFonts w:ascii="Cambria Math" w:hAnsi="Cambria Math"/>
                    <w:i/>
                    <w:color w:val="auto"/>
                    <w:highlight w:val="none"/>
                  </w:rPr>
                </m:ctrlPr>
              </m:sSubPr>
              <m:e>
                <m:r>
                  <m:rPr/>
                  <w:rPr>
                    <w:rFonts w:ascii="Cambria Math" w:hAnsi="Cambria Math"/>
                    <w:color w:val="auto"/>
                    <w:highlight w:val="none"/>
                    <w:lang w:eastAsia="zh-CN"/>
                  </w:rPr>
                  <m:t>V</m:t>
                </m:r>
                <m:ctrlPr>
                  <w:rPr>
                    <w:rFonts w:ascii="Cambria Math" w:hAnsi="Cambria Math"/>
                    <w:i/>
                    <w:color w:val="auto"/>
                    <w:highlight w:val="none"/>
                  </w:rPr>
                </m:ctrlPr>
              </m:e>
              <m:sub>
                <m:r>
                  <m:rPr/>
                  <w:rPr>
                    <w:rFonts w:ascii="Cambria Math" w:hAnsi="Cambria Math"/>
                    <w:color w:val="auto"/>
                    <w:highlight w:val="none"/>
                    <w:lang w:eastAsia="zh-CN"/>
                  </w:rPr>
                  <m:t>k</m:t>
                </m:r>
                <m:ctrlPr>
                  <w:rPr>
                    <w:rFonts w:ascii="Cambria Math" w:hAnsi="Cambria Math"/>
                    <w:i/>
                    <w:color w:val="auto"/>
                    <w:highlight w:val="none"/>
                  </w:rPr>
                </m:ctrlPr>
              </m:sub>
            </m:sSub>
            <m:sSub>
              <m:sSubPr>
                <m:ctrlPr>
                  <w:rPr>
                    <w:rFonts w:ascii="Cambria Math" w:hAnsi="Cambria Math"/>
                    <w:i/>
                    <w:color w:val="auto"/>
                    <w:highlight w:val="none"/>
                  </w:rPr>
                </m:ctrlPr>
              </m:sSubPr>
              <m:e>
                <m:r>
                  <m:rPr/>
                  <w:rPr>
                    <w:rFonts w:ascii="Cambria Math" w:hAnsi="Cambria Math"/>
                    <w:color w:val="auto"/>
                    <w:highlight w:val="none"/>
                    <w:lang w:eastAsia="zh-CN"/>
                  </w:rPr>
                  <m:t>ℎ</m:t>
                </m:r>
                <m:ctrlPr>
                  <w:rPr>
                    <w:rFonts w:ascii="Cambria Math" w:hAnsi="Cambria Math"/>
                    <w:i/>
                    <w:color w:val="auto"/>
                    <w:highlight w:val="none"/>
                  </w:rPr>
                </m:ctrlPr>
              </m:e>
              <m:sub>
                <m:r>
                  <m:rPr/>
                  <w:rPr>
                    <w:rFonts w:ascii="Cambria Math" w:hAnsi="Cambria Math"/>
                    <w:color w:val="auto"/>
                    <w:highlight w:val="none"/>
                    <w:lang w:eastAsia="zh-CN"/>
                  </w:rPr>
                  <m:t>w</m:t>
                </m:r>
                <m:ctrlPr>
                  <w:rPr>
                    <w:rFonts w:ascii="Cambria Math" w:hAnsi="Cambria Math"/>
                    <w:i/>
                    <w:color w:val="auto"/>
                    <w:highlight w:val="none"/>
                  </w:rPr>
                </m:ctrlPr>
              </m:sub>
            </m:sSub>
            <m:ctrlPr>
              <w:rPr>
                <w:rFonts w:ascii="Cambria Math" w:hAnsi="Cambria Math"/>
                <w:i/>
                <w:color w:val="auto"/>
                <w:highlight w:val="none"/>
              </w:rPr>
            </m:ctrlPr>
          </m:num>
          <m:den>
            <m:sSub>
              <m:sSubPr>
                <m:ctrlPr>
                  <w:rPr>
                    <w:rFonts w:ascii="Cambria Math" w:hAnsi="Cambria Math"/>
                    <w:i/>
                    <w:color w:val="auto"/>
                    <w:highlight w:val="none"/>
                  </w:rPr>
                </m:ctrlPr>
              </m:sSubPr>
              <m:e>
                <m:r>
                  <m:rPr/>
                  <w:rPr>
                    <w:rFonts w:ascii="Cambria Math" w:hAnsi="Cambria Math"/>
                    <w:color w:val="auto"/>
                    <w:highlight w:val="none"/>
                    <w:lang w:eastAsia="zh-CN"/>
                  </w:rPr>
                  <m:t>K</m:t>
                </m:r>
                <m:ctrlPr>
                  <w:rPr>
                    <w:rFonts w:ascii="Cambria Math" w:hAnsi="Cambria Math"/>
                    <w:i/>
                    <w:color w:val="auto"/>
                    <w:highlight w:val="none"/>
                  </w:rPr>
                </m:ctrlPr>
              </m:e>
              <m:sub>
                <m:r>
                  <m:rPr/>
                  <w:rPr>
                    <w:rFonts w:ascii="Cambria Math" w:hAnsi="Cambria Math"/>
                    <w:color w:val="auto"/>
                    <w:highlight w:val="none"/>
                    <w:lang w:eastAsia="zh-CN"/>
                  </w:rPr>
                  <m:t>w</m:t>
                </m:r>
                <m:ctrlPr>
                  <w:rPr>
                    <w:rFonts w:ascii="Cambria Math" w:hAnsi="Cambria Math"/>
                    <w:i/>
                    <w:color w:val="auto"/>
                    <w:highlight w:val="none"/>
                  </w:rPr>
                </m:ctrlPr>
              </m:sub>
            </m:sSub>
            <m:ctrlPr>
              <w:rPr>
                <w:rFonts w:ascii="Cambria Math" w:hAnsi="Cambria Math"/>
                <w:i/>
                <w:color w:val="auto"/>
                <w:highlight w:val="none"/>
              </w:rPr>
            </m:ctrlPr>
          </m:den>
        </m:f>
      </m:oMath>
      <w:r>
        <w:rPr>
          <w:rFonts w:hint="eastAsia" w:hAnsi="Cambria Math"/>
          <w:color w:val="auto"/>
          <w:highlight w:val="none"/>
          <w:lang w:eastAsia="zh-CN"/>
        </w:rPr>
        <w:t xml:space="preserve">                             </w:t>
      </w:r>
      <w:r>
        <w:rPr>
          <w:rFonts w:hint="eastAsia"/>
          <w:color w:val="auto"/>
          <w:highlight w:val="none"/>
          <w:lang w:eastAsia="zh-CN"/>
        </w:rPr>
        <w:t xml:space="preserve">  </w:t>
      </w:r>
      <w:r>
        <w:rPr>
          <w:rFonts w:hint="eastAsia"/>
          <w:color w:val="auto"/>
          <w:highlight w:val="none"/>
        </w:rPr>
        <w:t xml:space="preserve"> （</w:t>
      </w:r>
      <w:r>
        <w:rPr>
          <w:rFonts w:hint="eastAsia"/>
          <w:color w:val="auto"/>
          <w:highlight w:val="none"/>
          <w:lang w:eastAsia="zh-CN"/>
        </w:rPr>
        <w:t>7.3</w:t>
      </w:r>
      <w:r>
        <w:rPr>
          <w:rFonts w:hint="eastAsia"/>
          <w:color w:val="auto"/>
          <w:highlight w:val="none"/>
        </w:rPr>
        <w:t>.8）</w:t>
      </w:r>
    </w:p>
    <w:p w14:paraId="2BF14225">
      <w:pPr>
        <w:pStyle w:val="4"/>
        <w:rPr>
          <w:color w:val="auto"/>
          <w:highlight w:val="none"/>
        </w:rPr>
      </w:pPr>
      <w:r>
        <w:rPr>
          <w:rFonts w:hint="eastAsia"/>
          <w:color w:val="auto"/>
          <w:highlight w:val="none"/>
        </w:rPr>
        <w:t>式中：</w:t>
      </w:r>
      <w:r>
        <w:rPr>
          <w:rFonts w:ascii="Cambria Math" w:hAnsi="Cambria Math" w:cs="Cambria Math"/>
          <w:color w:val="auto"/>
          <w:highlight w:val="none"/>
        </w:rPr>
        <w:t>Δ</w:t>
      </w:r>
      <w:r>
        <w:rPr>
          <w:rFonts w:hint="eastAsia"/>
          <w:color w:val="auto"/>
          <w:highlight w:val="none"/>
        </w:rPr>
        <w:t>――剪力墙顶部水平位移（</w:t>
      </w:r>
      <w:r>
        <w:rPr>
          <w:rFonts w:hint="eastAsia"/>
          <w:color w:val="auto"/>
          <w:highlight w:val="none"/>
          <w:lang w:eastAsia="zh-CN"/>
        </w:rPr>
        <w:t>㎜</w:t>
      </w:r>
      <w:r>
        <w:rPr>
          <w:color w:val="auto"/>
          <w:highlight w:val="none"/>
        </w:rPr>
        <w:t>）；</w:t>
      </w:r>
    </w:p>
    <w:p w14:paraId="3088F845">
      <w:pPr>
        <w:pStyle w:val="4"/>
        <w:rPr>
          <w:rFonts w:cs="Times New Roman"/>
          <w:color w:val="auto"/>
          <w:highlight w:val="none"/>
        </w:rPr>
      </w:pPr>
      <w:r>
        <w:rPr>
          <w:color w:val="auto"/>
          <w:highlight w:val="none"/>
        </w:rPr>
        <w:t xml:space="preserve">     </w:t>
      </w:r>
      <w:r>
        <w:rPr>
          <w:rFonts w:cs="Times New Roman"/>
          <w:i/>
          <w:iCs/>
          <w:color w:val="auto"/>
          <w:highlight w:val="none"/>
        </w:rPr>
        <w:t>V</w:t>
      </w:r>
      <w:r>
        <w:rPr>
          <w:rFonts w:cs="Times New Roman"/>
          <w:i/>
          <w:iCs/>
          <w:color w:val="auto"/>
          <w:highlight w:val="none"/>
          <w:vertAlign w:val="subscript"/>
        </w:rPr>
        <w:t>k</w:t>
      </w:r>
      <w:r>
        <w:rPr>
          <w:rFonts w:cs="Times New Roman"/>
          <w:color w:val="auto"/>
          <w:highlight w:val="none"/>
        </w:rPr>
        <w:t>――每米长度上剪力墙顶部承受的水平剪力标准值（kN/m）；</w:t>
      </w:r>
    </w:p>
    <w:p w14:paraId="0534FB76">
      <w:pPr>
        <w:pStyle w:val="4"/>
        <w:rPr>
          <w:rFonts w:cs="Times New Roman"/>
          <w:color w:val="auto"/>
          <w:highlight w:val="none"/>
        </w:rPr>
      </w:pPr>
      <w:r>
        <w:rPr>
          <w:rFonts w:cs="Times New Roman"/>
          <w:color w:val="auto"/>
          <w:highlight w:val="none"/>
        </w:rPr>
        <w:t xml:space="preserve">     </w:t>
      </w:r>
      <w:r>
        <w:rPr>
          <w:rFonts w:cs="Times New Roman"/>
          <w:i/>
          <w:iCs/>
          <w:color w:val="auto"/>
          <w:highlight w:val="none"/>
        </w:rPr>
        <w:t>h</w:t>
      </w:r>
      <w:r>
        <w:rPr>
          <w:rFonts w:cs="Times New Roman"/>
          <w:i/>
          <w:iCs/>
          <w:color w:val="auto"/>
          <w:highlight w:val="none"/>
          <w:vertAlign w:val="subscript"/>
        </w:rPr>
        <w:t>w</w:t>
      </w:r>
      <w:r>
        <w:rPr>
          <w:rFonts w:cs="Times New Roman"/>
          <w:color w:val="auto"/>
          <w:highlight w:val="none"/>
        </w:rPr>
        <w:t>――剪力墙的高度（</w:t>
      </w:r>
      <w:r>
        <w:rPr>
          <w:rFonts w:hint="eastAsia" w:cs="Times New Roman"/>
          <w:color w:val="auto"/>
          <w:highlight w:val="none"/>
          <w:lang w:eastAsia="zh-CN"/>
        </w:rPr>
        <w:t>㎜</w:t>
      </w:r>
      <w:r>
        <w:rPr>
          <w:rFonts w:cs="Times New Roman"/>
          <w:color w:val="auto"/>
          <w:highlight w:val="none"/>
        </w:rPr>
        <w:t>）；</w:t>
      </w:r>
    </w:p>
    <w:p w14:paraId="5060A56F">
      <w:pPr>
        <w:pStyle w:val="4"/>
        <w:rPr>
          <w:rFonts w:cs="Times New Roman"/>
          <w:color w:val="auto"/>
          <w:highlight w:val="none"/>
          <w:lang w:eastAsia="zh-CN"/>
        </w:rPr>
      </w:pPr>
      <w:r>
        <w:rPr>
          <w:rFonts w:cs="Times New Roman"/>
          <w:color w:val="auto"/>
          <w:highlight w:val="none"/>
        </w:rPr>
        <w:t xml:space="preserve">     </w:t>
      </w:r>
      <w:r>
        <w:rPr>
          <w:rFonts w:cs="Times New Roman"/>
          <w:i/>
          <w:iCs/>
          <w:color w:val="auto"/>
          <w:highlight w:val="none"/>
        </w:rPr>
        <w:t>K</w:t>
      </w:r>
      <w:r>
        <w:rPr>
          <w:rFonts w:cs="Times New Roman"/>
          <w:i/>
          <w:iCs/>
          <w:color w:val="auto"/>
          <w:highlight w:val="none"/>
          <w:vertAlign w:val="subscript"/>
        </w:rPr>
        <w:t>w</w:t>
      </w:r>
      <w:r>
        <w:rPr>
          <w:rFonts w:cs="Times New Roman"/>
          <w:color w:val="auto"/>
          <w:highlight w:val="none"/>
        </w:rPr>
        <w:t>――剪力墙的抗剪刚度，应按本标准附录表</w:t>
      </w:r>
      <w:r>
        <w:rPr>
          <w:rFonts w:hint="eastAsia" w:cs="Times New Roman"/>
          <w:color w:val="auto"/>
          <w:highlight w:val="none"/>
          <w:lang w:eastAsia="zh-CN"/>
        </w:rPr>
        <w:t>D</w:t>
      </w:r>
      <w:r>
        <w:rPr>
          <w:rFonts w:cs="Times New Roman"/>
          <w:color w:val="auto"/>
          <w:highlight w:val="none"/>
        </w:rPr>
        <w:t>的规定取值。</w:t>
      </w:r>
    </w:p>
    <w:p w14:paraId="7E031C20">
      <w:pPr>
        <w:rPr>
          <w:color w:val="auto"/>
          <w:highlight w:val="none"/>
          <w:lang w:eastAsia="zh-CN"/>
        </w:rPr>
      </w:pPr>
    </w:p>
    <w:p w14:paraId="16FEBF3A">
      <w:pPr>
        <w:pStyle w:val="3"/>
        <w:spacing w:before="156" w:after="156"/>
        <w:rPr>
          <w:color w:val="auto"/>
          <w:highlight w:val="none"/>
        </w:rPr>
      </w:pPr>
      <w:bookmarkStart w:id="161" w:name="_Toc27382"/>
      <w:bookmarkStart w:id="162" w:name="_Toc25154"/>
      <w:bookmarkStart w:id="163" w:name="_Toc4633"/>
      <w:bookmarkStart w:id="164" w:name="_Toc4037"/>
      <w:r>
        <w:rPr>
          <w:rFonts w:hint="eastAsia"/>
          <w:color w:val="auto"/>
          <w:highlight w:val="none"/>
          <w:lang w:eastAsia="zh-CN"/>
        </w:rPr>
        <w:t>7.4</w:t>
      </w:r>
      <w:r>
        <w:rPr>
          <w:color w:val="auto"/>
          <w:highlight w:val="none"/>
        </w:rPr>
        <w:t xml:space="preserve"> </w:t>
      </w:r>
      <w:r>
        <w:rPr>
          <w:rFonts w:hint="eastAsia"/>
          <w:color w:val="auto"/>
          <w:highlight w:val="none"/>
          <w:lang w:eastAsia="zh-CN"/>
        </w:rPr>
        <w:t xml:space="preserve"> </w:t>
      </w:r>
      <w:r>
        <w:rPr>
          <w:rFonts w:hint="eastAsia"/>
          <w:color w:val="auto"/>
          <w:highlight w:val="none"/>
        </w:rPr>
        <w:t>楼盖及屋盖</w:t>
      </w:r>
      <w:bookmarkEnd w:id="161"/>
      <w:bookmarkEnd w:id="162"/>
      <w:bookmarkEnd w:id="163"/>
      <w:bookmarkEnd w:id="164"/>
    </w:p>
    <w:p w14:paraId="5965C069">
      <w:pPr>
        <w:pStyle w:val="4"/>
        <w:rPr>
          <w:color w:val="auto"/>
          <w:highlight w:val="none"/>
        </w:rPr>
      </w:pPr>
      <w:r>
        <w:rPr>
          <w:rFonts w:hint="eastAsia"/>
          <w:b/>
          <w:bCs/>
          <w:color w:val="auto"/>
          <w:highlight w:val="none"/>
          <w:lang w:eastAsia="zh-CN"/>
        </w:rPr>
        <w:t>7.4</w:t>
      </w:r>
      <w:r>
        <w:rPr>
          <w:rFonts w:hint="eastAsia"/>
          <w:b/>
          <w:bCs/>
          <w:color w:val="auto"/>
          <w:highlight w:val="none"/>
        </w:rPr>
        <w:t>.1</w:t>
      </w:r>
      <w:r>
        <w:rPr>
          <w:b/>
          <w:bCs/>
          <w:color w:val="auto"/>
          <w:highlight w:val="none"/>
        </w:rPr>
        <w:t xml:space="preserve"> </w:t>
      </w:r>
      <w:r>
        <w:rPr>
          <w:rFonts w:hint="eastAsia"/>
          <w:b/>
          <w:bCs/>
          <w:color w:val="auto"/>
          <w:highlight w:val="none"/>
          <w:lang w:eastAsia="zh-CN"/>
        </w:rPr>
        <w:t xml:space="preserve"> </w:t>
      </w:r>
      <w:r>
        <w:rPr>
          <w:rFonts w:hint="eastAsia"/>
          <w:color w:val="auto"/>
          <w:highlight w:val="none"/>
        </w:rPr>
        <w:t>木屋面木基层宜由挂瓦条、屋面板、椽条、檩条等构件组成。设计时应根据所用屋面防水材料、房屋使用要求和当地气象条件，选用不同的木基层的组成形式。</w:t>
      </w:r>
    </w:p>
    <w:p w14:paraId="56AB1035">
      <w:pPr>
        <w:pStyle w:val="4"/>
        <w:rPr>
          <w:color w:val="auto"/>
          <w:highlight w:val="none"/>
        </w:rPr>
      </w:pPr>
      <w:r>
        <w:rPr>
          <w:rFonts w:hint="eastAsia"/>
          <w:b/>
          <w:bCs/>
          <w:color w:val="auto"/>
          <w:highlight w:val="none"/>
          <w:lang w:eastAsia="zh-CN"/>
        </w:rPr>
        <w:t>7.4</w:t>
      </w:r>
      <w:r>
        <w:rPr>
          <w:rFonts w:hint="eastAsia"/>
          <w:b/>
          <w:bCs/>
          <w:color w:val="auto"/>
          <w:highlight w:val="none"/>
        </w:rPr>
        <w:t>.2</w:t>
      </w:r>
      <w:r>
        <w:rPr>
          <w:rFonts w:hint="eastAsia"/>
          <w:b/>
          <w:bCs/>
          <w:color w:val="auto"/>
          <w:highlight w:val="none"/>
          <w:lang w:eastAsia="zh-CN"/>
        </w:rPr>
        <w:t xml:space="preserve"> </w:t>
      </w:r>
      <w:r>
        <w:rPr>
          <w:b/>
          <w:bCs/>
          <w:color w:val="auto"/>
          <w:highlight w:val="none"/>
        </w:rPr>
        <w:t xml:space="preserve"> </w:t>
      </w:r>
      <w:r>
        <w:rPr>
          <w:color w:val="auto"/>
          <w:highlight w:val="none"/>
        </w:rPr>
        <w:t>屋面木基层中的受弯构件的验算应符合下列规定：</w:t>
      </w:r>
    </w:p>
    <w:p w14:paraId="6851099F">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强度应按恒荷载和活荷载，或恒荷载和雪荷载组合，以及恒荷载和施工集中荷载组合进行验算；</w:t>
      </w:r>
    </w:p>
    <w:p w14:paraId="60F76C61">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挠度应按恒荷载和活荷载，或恒荷载和雪荷载组合进行验算；</w:t>
      </w:r>
    </w:p>
    <w:p w14:paraId="73C123B7">
      <w:pPr>
        <w:pStyle w:val="4"/>
        <w:rPr>
          <w:color w:val="auto"/>
          <w:highlight w:val="none"/>
          <w:lang w:eastAsia="zh-CN"/>
        </w:rPr>
      </w:pPr>
      <w:r>
        <w:rPr>
          <w:color w:val="auto"/>
          <w:highlight w:val="none"/>
        </w:rPr>
        <w:t xml:space="preserve">   3 </w:t>
      </w:r>
      <w:r>
        <w:rPr>
          <w:rFonts w:hint="eastAsia"/>
          <w:color w:val="auto"/>
          <w:highlight w:val="none"/>
          <w:lang w:eastAsia="zh-CN"/>
        </w:rPr>
        <w:t xml:space="preserve"> </w:t>
      </w:r>
      <w:r>
        <w:rPr>
          <w:color w:val="auto"/>
          <w:highlight w:val="none"/>
        </w:rPr>
        <w:t>在恒荷载和施工集中荷载作用下，进行施工或维修阶段承载能力验算时，构件材料强度设计值应乘以调整系数。</w:t>
      </w:r>
    </w:p>
    <w:p w14:paraId="04A06C67">
      <w:pPr>
        <w:pStyle w:val="4"/>
        <w:rPr>
          <w:color w:val="auto"/>
          <w:highlight w:val="none"/>
          <w:lang w:eastAsia="zh-CN"/>
        </w:rPr>
      </w:pPr>
      <w:r>
        <w:rPr>
          <w:rFonts w:hint="eastAsia"/>
          <w:b/>
          <w:bCs/>
          <w:color w:val="auto"/>
          <w:highlight w:val="none"/>
          <w:lang w:eastAsia="zh-CN"/>
        </w:rPr>
        <w:t>7.4</w:t>
      </w:r>
      <w:r>
        <w:rPr>
          <w:rFonts w:hint="eastAsia"/>
          <w:b/>
          <w:bCs/>
          <w:color w:val="auto"/>
          <w:highlight w:val="none"/>
        </w:rPr>
        <w:t>.3</w:t>
      </w:r>
      <w:r>
        <w:rPr>
          <w:b/>
          <w:bCs/>
          <w:color w:val="auto"/>
          <w:highlight w:val="none"/>
        </w:rPr>
        <w:t xml:space="preserve"> </w:t>
      </w:r>
      <w:r>
        <w:rPr>
          <w:rFonts w:hint="eastAsia"/>
          <w:b/>
          <w:bCs/>
          <w:color w:val="auto"/>
          <w:highlight w:val="none"/>
          <w:lang w:eastAsia="zh-CN"/>
        </w:rPr>
        <w:t xml:space="preserve"> </w:t>
      </w:r>
      <w:r>
        <w:rPr>
          <w:color w:val="auto"/>
          <w:highlight w:val="none"/>
        </w:rPr>
        <w:t>对设有锻锤或其他较大振动设备的木结构房屋，屋面宜设置由木基结构板材构成的屋面结构层。</w:t>
      </w:r>
    </w:p>
    <w:p w14:paraId="7BF78FF1">
      <w:pPr>
        <w:pStyle w:val="50"/>
        <w:bidi w:val="0"/>
        <w:rPr>
          <w:rFonts w:hint="eastAsia"/>
          <w:color w:val="auto"/>
          <w:highlight w:val="none"/>
          <w:lang w:eastAsia="zh-CN"/>
        </w:rPr>
      </w:pPr>
      <w:r>
        <w:rPr>
          <w:rFonts w:hint="eastAsia"/>
          <w:color w:val="auto"/>
          <w:highlight w:val="none"/>
          <w:lang w:eastAsia="zh-CN"/>
        </w:rPr>
        <w:t>【条文说明】7.4.3  有锻锤或其他较大振动设备的房屋因振动较大，造成屋面瓦材滑移或掉落的事故而采取的措施。</w:t>
      </w:r>
    </w:p>
    <w:p w14:paraId="52A716F9">
      <w:pPr>
        <w:rPr>
          <w:rFonts w:hint="eastAsia"/>
          <w:color w:val="auto"/>
          <w:highlight w:val="none"/>
          <w:lang w:eastAsia="zh-CN"/>
        </w:rPr>
      </w:pPr>
    </w:p>
    <w:p w14:paraId="2B4FDBF3">
      <w:pPr>
        <w:pStyle w:val="4"/>
        <w:rPr>
          <w:color w:val="auto"/>
          <w:highlight w:val="none"/>
        </w:rPr>
      </w:pPr>
      <w:r>
        <w:rPr>
          <w:rFonts w:hint="eastAsia"/>
          <w:b/>
          <w:bCs/>
          <w:color w:val="auto"/>
          <w:highlight w:val="none"/>
          <w:lang w:eastAsia="zh-CN"/>
        </w:rPr>
        <w:t>7.4</w:t>
      </w:r>
      <w:r>
        <w:rPr>
          <w:rFonts w:hint="eastAsia"/>
          <w:b/>
          <w:bCs/>
          <w:color w:val="auto"/>
          <w:highlight w:val="none"/>
        </w:rPr>
        <w:t>.4</w:t>
      </w:r>
      <w:r>
        <w:rPr>
          <w:rFonts w:hint="eastAsia"/>
          <w:b/>
          <w:bCs/>
          <w:color w:val="auto"/>
          <w:highlight w:val="none"/>
          <w:lang w:eastAsia="zh-CN"/>
        </w:rPr>
        <w:t xml:space="preserve">  </w:t>
      </w:r>
      <w:r>
        <w:rPr>
          <w:color w:val="auto"/>
          <w:highlight w:val="none"/>
        </w:rPr>
        <w:t>木框架剪力墙结构的楼盖、屋盖受剪承载力设计值应按下式进行计算：</w:t>
      </w:r>
    </w:p>
    <w:p w14:paraId="43F75716">
      <w:pPr>
        <w:ind w:firstLine="4320" w:firstLineChars="1800"/>
        <w:rPr>
          <w:color w:val="auto"/>
          <w:highlight w:val="none"/>
        </w:rPr>
      </w:pPr>
      <m:oMath>
        <m:sSub>
          <m:sSubPr>
            <m:ctrlPr>
              <w:rPr>
                <w:rFonts w:ascii="Cambria Math" w:hAnsi="Cambria Math"/>
                <w:color w:val="auto"/>
                <w:highlight w:val="none"/>
                <w:lang w:eastAsia="zh-CN"/>
              </w:rPr>
            </m:ctrlPr>
          </m:sSubPr>
          <m:e>
            <m:r>
              <m:rPr>
                <m:sty m:val="p"/>
              </m:rPr>
              <w:rPr>
                <w:rFonts w:ascii="Cambria Math" w:hAnsi="Cambria Math"/>
                <w:color w:val="auto"/>
                <w:highlight w:val="none"/>
              </w:rPr>
              <m:t>V</m:t>
            </m:r>
            <m:ctrlPr>
              <w:rPr>
                <w:rFonts w:ascii="Cambria Math" w:hAnsi="Cambria Math"/>
                <w:color w:val="auto"/>
                <w:highlight w:val="none"/>
                <w:lang w:eastAsia="zh-CN"/>
              </w:rPr>
            </m:ctrlPr>
          </m:e>
          <m:sub>
            <m:r>
              <m:rPr>
                <m:sty m:val="p"/>
              </m:rPr>
              <w:rPr>
                <w:rFonts w:ascii="Cambria Math" w:hAnsi="Cambria Math"/>
                <w:color w:val="auto"/>
                <w:highlight w:val="none"/>
                <w:vertAlign w:val="subscript"/>
              </w:rPr>
              <m:t>d</m:t>
            </m:r>
            <m:ctrlPr>
              <w:rPr>
                <w:rFonts w:ascii="Cambria Math" w:hAnsi="Cambria Math"/>
                <w:color w:val="auto"/>
                <w:highlight w:val="none"/>
                <w:lang w:eastAsia="zh-CN"/>
              </w:rPr>
            </m:ctrlPr>
          </m:sub>
        </m:sSub>
        <m:r>
          <m:rPr>
            <m:sty m:val="p"/>
          </m:rPr>
          <w:rPr>
            <w:rFonts w:ascii="Cambria Math" w:hAnsi="Cambria Math"/>
            <w:color w:val="auto"/>
            <w:highlight w:val="none"/>
            <w:lang w:eastAsia="zh-CN"/>
          </w:rPr>
          <m:t>=</m:t>
        </m:r>
        <m:sSub>
          <m:sSubPr>
            <m:ctrlPr>
              <w:rPr>
                <w:rFonts w:ascii="Cambria Math" w:hAnsi="Cambria Math"/>
                <w:i/>
                <w:iCs/>
                <w:color w:val="auto"/>
                <w:highlight w:val="none"/>
                <w:lang w:eastAsia="zh-CN"/>
              </w:rPr>
            </m:ctrlPr>
          </m:sSubPr>
          <m:e>
            <m:r>
              <m:rPr>
                <m:sty m:val="p"/>
              </m:rPr>
              <w:rPr>
                <w:rFonts w:ascii="Cambria Math" w:hAnsi="Cambria Math" w:cs="Times New Roman"/>
                <w:color w:val="auto"/>
                <w:highlight w:val="none"/>
              </w:rPr>
              <m:t>f</m:t>
            </m:r>
            <m:ctrlPr>
              <w:rPr>
                <w:rFonts w:ascii="Cambria Math" w:hAnsi="Cambria Math"/>
                <w:i/>
                <w:iCs/>
                <w:color w:val="auto"/>
                <w:highlight w:val="none"/>
                <w:lang w:eastAsia="zh-CN"/>
              </w:rPr>
            </m:ctrlPr>
          </m:e>
          <m:sub>
            <m:r>
              <m:rPr/>
              <w:rPr>
                <w:rFonts w:ascii="Cambria Math" w:hAnsi="Cambria Math"/>
                <w:color w:val="auto"/>
                <w:highlight w:val="none"/>
                <w:lang w:eastAsia="zh-CN"/>
              </w:rPr>
              <m:t>vd</m:t>
            </m:r>
            <m:ctrlPr>
              <w:rPr>
                <w:rFonts w:ascii="Cambria Math" w:hAnsi="Cambria Math"/>
                <w:i/>
                <w:iCs/>
                <w:color w:val="auto"/>
                <w:highlight w:val="none"/>
                <w:lang w:eastAsia="zh-CN"/>
              </w:rPr>
            </m:ctrlPr>
          </m:sub>
        </m:sSub>
        <m:sSub>
          <m:sSubPr>
            <m:ctrlPr>
              <w:rPr>
                <w:rFonts w:ascii="Cambria Math" w:hAnsi="Cambria Math"/>
                <w:i/>
                <w:iCs/>
                <w:color w:val="auto"/>
                <w:highlight w:val="none"/>
                <w:lang w:eastAsia="zh-CN"/>
              </w:rPr>
            </m:ctrlPr>
          </m:sSubPr>
          <m:e>
            <m:r>
              <m:rPr/>
              <w:rPr>
                <w:rFonts w:ascii="Cambria Math" w:hAnsi="Cambria Math"/>
                <w:color w:val="auto"/>
                <w:highlight w:val="none"/>
                <w:lang w:eastAsia="zh-CN"/>
              </w:rPr>
              <m:t>B</m:t>
            </m:r>
            <m:ctrlPr>
              <w:rPr>
                <w:rFonts w:ascii="Cambria Math" w:hAnsi="Cambria Math"/>
                <w:i/>
                <w:iCs/>
                <w:color w:val="auto"/>
                <w:highlight w:val="none"/>
                <w:lang w:eastAsia="zh-CN"/>
              </w:rPr>
            </m:ctrlPr>
          </m:e>
          <m:sub>
            <m:r>
              <m:rPr/>
              <w:rPr>
                <w:rFonts w:ascii="Cambria Math" w:hAnsi="Cambria Math"/>
                <w:color w:val="auto"/>
                <w:highlight w:val="none"/>
                <w:lang w:eastAsia="zh-CN"/>
              </w:rPr>
              <m:t>e</m:t>
            </m:r>
            <m:ctrlPr>
              <w:rPr>
                <w:rFonts w:ascii="Cambria Math" w:hAnsi="Cambria Math"/>
                <w:i/>
                <w:iCs/>
                <w:color w:val="auto"/>
                <w:highlight w:val="none"/>
                <w:lang w:eastAsia="zh-CN"/>
              </w:rPr>
            </m:ctrlPr>
          </m:sub>
        </m:sSub>
      </m:oMath>
      <w:r>
        <w:rPr>
          <w:rFonts w:hint="eastAsia"/>
          <w:color w:val="auto"/>
          <w:position w:val="-12"/>
          <w:highlight w:val="none"/>
          <w:lang w:eastAsia="zh-CN"/>
        </w:rPr>
        <w:t xml:space="preserve">  </w:t>
      </w:r>
      <w:r>
        <w:rPr>
          <w:rFonts w:hint="eastAsia"/>
          <w:color w:val="auto"/>
          <w:highlight w:val="none"/>
        </w:rPr>
        <w:t xml:space="preserve">        </w:t>
      </w:r>
      <w:r>
        <w:rPr>
          <w:rFonts w:hint="eastAsia"/>
          <w:color w:val="auto"/>
          <w:highlight w:val="none"/>
          <w:lang w:eastAsia="zh-CN"/>
        </w:rPr>
        <w:t xml:space="preserve">                 </w:t>
      </w:r>
      <w:r>
        <w:rPr>
          <w:rFonts w:hint="eastAsia"/>
          <w:color w:val="auto"/>
          <w:highlight w:val="none"/>
        </w:rPr>
        <w:t xml:space="preserve">  （</w:t>
      </w:r>
      <w:r>
        <w:rPr>
          <w:rFonts w:hint="eastAsia"/>
          <w:color w:val="auto"/>
          <w:highlight w:val="none"/>
          <w:lang w:eastAsia="zh-CN"/>
        </w:rPr>
        <w:t>7.4</w:t>
      </w:r>
      <w:r>
        <w:rPr>
          <w:rFonts w:hint="eastAsia"/>
          <w:color w:val="auto"/>
          <w:highlight w:val="none"/>
        </w:rPr>
        <w:t>.4）</w:t>
      </w:r>
    </w:p>
    <w:p w14:paraId="2F683AF1">
      <w:pPr>
        <w:pStyle w:val="4"/>
        <w:rPr>
          <w:color w:val="auto"/>
          <w:highlight w:val="none"/>
          <w:lang w:eastAsia="zh-CN"/>
        </w:rPr>
      </w:pPr>
      <w:r>
        <w:rPr>
          <w:rFonts w:hint="eastAsia"/>
          <w:color w:val="auto"/>
          <w:highlight w:val="none"/>
        </w:rPr>
        <w:t>式中：</w:t>
      </w:r>
      <w:r>
        <w:rPr>
          <w:rFonts w:cs="Times New Roman"/>
          <w:i/>
          <w:iCs/>
          <w:color w:val="auto"/>
          <w:highlight w:val="none"/>
        </w:rPr>
        <w:t>f</w:t>
      </w:r>
      <w:r>
        <w:rPr>
          <w:i/>
          <w:iCs/>
          <w:color w:val="auto"/>
          <w:highlight w:val="none"/>
          <w:vertAlign w:val="subscript"/>
        </w:rPr>
        <w:t>vd</w:t>
      </w:r>
      <w:r>
        <w:rPr>
          <w:color w:val="auto"/>
          <w:highlight w:val="none"/>
        </w:rPr>
        <w:t>――采用木基结构板的楼盖、屋盖抗剪强度设计值（kN/m），应</w:t>
      </w:r>
      <w:r>
        <w:rPr>
          <w:rFonts w:hint="eastAsia"/>
          <w:color w:val="auto"/>
          <w:highlight w:val="none"/>
          <w:lang w:eastAsia="zh-CN"/>
        </w:rPr>
        <w:t>符合国家现行标准《木结构设计标准》GB50005附录P的规定取值；</w:t>
      </w:r>
    </w:p>
    <w:p w14:paraId="2296E36C">
      <w:pPr>
        <w:pStyle w:val="4"/>
        <w:rPr>
          <w:color w:val="auto"/>
          <w:highlight w:val="none"/>
          <w:lang w:eastAsia="zh-CN"/>
        </w:rPr>
      </w:pPr>
      <w:r>
        <w:rPr>
          <w:rFonts w:hint="eastAsia"/>
          <w:color w:val="auto"/>
          <w:highlight w:val="none"/>
          <w:lang w:eastAsia="zh-CN"/>
        </w:rPr>
        <w:t xml:space="preserve">     Be――楼盖、屋盖平行于荷载方向的有效宽度（m）。</w:t>
      </w:r>
    </w:p>
    <w:p w14:paraId="6F97C089">
      <w:pPr>
        <w:pStyle w:val="50"/>
        <w:bidi w:val="0"/>
        <w:rPr>
          <w:color w:val="auto"/>
          <w:highlight w:val="none"/>
          <w:lang w:eastAsia="zh-CN"/>
        </w:rPr>
      </w:pPr>
      <w:r>
        <w:rPr>
          <w:rFonts w:hint="eastAsia"/>
          <w:color w:val="auto"/>
          <w:highlight w:val="none"/>
          <w:lang w:eastAsia="zh-CN"/>
        </w:rPr>
        <w:t>【条文说明】7.4.4  楼盖、屋盖平行于荷载方向的有效宽度</w:t>
      </w:r>
      <m:oMath>
        <m:sSub>
          <m:sSubPr>
            <m:ctrlPr>
              <w:rPr>
                <w:rFonts w:ascii="Cambria Math" w:hAnsi="Cambria Math"/>
                <w:color w:val="auto"/>
                <w:highlight w:val="none"/>
                <w:lang w:eastAsia="zh-CN"/>
              </w:rPr>
            </m:ctrlPr>
          </m:sSubPr>
          <m:e>
            <m:r>
              <m:rPr>
                <m:sty m:val="p"/>
              </m:rPr>
              <w:rPr>
                <w:rFonts w:hint="eastAsia" w:ascii="Cambria Math" w:hAnsi="Cambria Math"/>
                <w:color w:val="auto"/>
                <w:highlight w:val="none"/>
                <w:lang w:eastAsia="zh-CN"/>
              </w:rPr>
              <m:t>B</m:t>
            </m:r>
            <m:ctrlPr>
              <w:rPr>
                <w:rFonts w:ascii="Cambria Math" w:hAnsi="Cambria Math"/>
                <w:color w:val="auto"/>
                <w:highlight w:val="none"/>
                <w:lang w:eastAsia="zh-CN"/>
              </w:rPr>
            </m:ctrlPr>
          </m:e>
          <m:sub>
            <m:r>
              <m:rPr>
                <m:sty m:val="p"/>
              </m:rPr>
              <w:rPr>
                <w:rFonts w:ascii="Cambria Math" w:hAnsi="Cambria Math"/>
                <w:color w:val="auto"/>
                <w:highlight w:val="none"/>
                <w:lang w:eastAsia="zh-CN"/>
              </w:rPr>
              <m:t>e</m:t>
            </m:r>
            <m:ctrlPr>
              <w:rPr>
                <w:rFonts w:ascii="Cambria Math" w:hAnsi="Cambria Math"/>
                <w:color w:val="auto"/>
                <w:highlight w:val="none"/>
                <w:lang w:eastAsia="zh-CN"/>
              </w:rPr>
            </m:ctrlPr>
          </m:sub>
        </m:sSub>
      </m:oMath>
      <w:r>
        <w:rPr>
          <w:rFonts w:hint="eastAsia"/>
          <w:color w:val="auto"/>
          <w:highlight w:val="none"/>
          <w:lang w:eastAsia="zh-CN"/>
        </w:rPr>
        <w:t>应根据楼盖、屋盖平面开口位置和尺寸(图7-1)，按下列规定确定：</w:t>
      </w:r>
    </w:p>
    <w:p w14:paraId="50195519">
      <w:pPr>
        <w:pStyle w:val="50"/>
        <w:bidi w:val="0"/>
        <w:rPr>
          <w:color w:val="auto"/>
          <w:highlight w:val="none"/>
          <w:lang w:eastAsia="zh-CN"/>
        </w:rPr>
      </w:pPr>
      <w:r>
        <w:rPr>
          <w:rFonts w:hint="eastAsia"/>
          <w:color w:val="auto"/>
          <w:highlight w:val="none"/>
          <w:lang w:eastAsia="zh-CN"/>
        </w:rPr>
        <w:t>当c&lt;610mm时，取</w:t>
      </w:r>
      <m:oMath>
        <m:sSub>
          <m:sSubPr>
            <m:ctrlPr>
              <w:rPr>
                <w:rFonts w:ascii="Cambria Math" w:hAnsi="Cambria Math"/>
                <w:color w:val="auto"/>
                <w:highlight w:val="none"/>
                <w:lang w:eastAsia="zh-CN"/>
              </w:rPr>
            </m:ctrlPr>
          </m:sSubPr>
          <m:e>
            <m:r>
              <m:rPr>
                <m:sty m:val="p"/>
              </m:rPr>
              <w:rPr>
                <w:rFonts w:hint="eastAsia" w:ascii="Cambria Math" w:hAnsi="Cambria Math"/>
                <w:color w:val="auto"/>
                <w:highlight w:val="none"/>
                <w:lang w:eastAsia="zh-CN"/>
              </w:rPr>
              <m:t>B</m:t>
            </m:r>
            <m:ctrlPr>
              <w:rPr>
                <w:rFonts w:ascii="Cambria Math" w:hAnsi="Cambria Math"/>
                <w:color w:val="auto"/>
                <w:highlight w:val="none"/>
                <w:lang w:eastAsia="zh-CN"/>
              </w:rPr>
            </m:ctrlPr>
          </m:e>
          <m:sub>
            <m:r>
              <m:rPr>
                <m:sty m:val="p"/>
              </m:rPr>
              <w:rPr>
                <w:rFonts w:ascii="Cambria Math" w:hAnsi="Cambria Math"/>
                <w:color w:val="auto"/>
                <w:highlight w:val="none"/>
                <w:lang w:eastAsia="zh-CN"/>
              </w:rPr>
              <m:t>e</m:t>
            </m:r>
            <m:ctrlPr>
              <w:rPr>
                <w:rFonts w:ascii="Cambria Math" w:hAnsi="Cambria Math"/>
                <w:color w:val="auto"/>
                <w:highlight w:val="none"/>
                <w:lang w:eastAsia="zh-CN"/>
              </w:rPr>
            </m:ctrlPr>
          </m:sub>
        </m:sSub>
      </m:oMath>
      <w:r>
        <w:rPr>
          <w:rFonts w:hint="eastAsia"/>
          <w:color w:val="auto"/>
          <w:highlight w:val="none"/>
          <w:lang w:eastAsia="zh-CN"/>
        </w:rPr>
        <w:t>=B-b；其中，B为平行于荷载方向的楼盖、屋盖宽度（m），b为平行于荷载方向的开孔尺寸（m）；不应大于B/2，且不应大于3. 5m；</w:t>
      </w:r>
    </w:p>
    <w:p w14:paraId="69FC79DF">
      <w:pPr>
        <w:pStyle w:val="50"/>
        <w:bidi w:val="0"/>
        <w:rPr>
          <w:color w:val="auto"/>
          <w:highlight w:val="none"/>
          <w:lang w:eastAsia="zh-CN"/>
        </w:rPr>
      </w:pPr>
      <w:r>
        <w:rPr>
          <w:rFonts w:hint="eastAsia"/>
          <w:color w:val="auto"/>
          <w:highlight w:val="none"/>
          <w:lang w:eastAsia="zh-CN"/>
        </w:rPr>
        <w:t>当c≥610mm时，取</w:t>
      </w:r>
      <m:oMath>
        <m:sSub>
          <m:sSubPr>
            <m:ctrlPr>
              <w:rPr>
                <w:rFonts w:ascii="Cambria Math" w:hAnsi="Cambria Math"/>
                <w:color w:val="auto"/>
                <w:highlight w:val="none"/>
                <w:lang w:eastAsia="zh-CN"/>
              </w:rPr>
            </m:ctrlPr>
          </m:sSubPr>
          <m:e>
            <m:r>
              <m:rPr>
                <m:sty m:val="p"/>
              </m:rPr>
              <w:rPr>
                <w:rFonts w:hint="eastAsia" w:ascii="Cambria Math" w:hAnsi="Cambria Math"/>
                <w:color w:val="auto"/>
                <w:highlight w:val="none"/>
                <w:lang w:eastAsia="zh-CN"/>
              </w:rPr>
              <m:t>B</m:t>
            </m:r>
            <m:ctrlPr>
              <w:rPr>
                <w:rFonts w:ascii="Cambria Math" w:hAnsi="Cambria Math"/>
                <w:color w:val="auto"/>
                <w:highlight w:val="none"/>
                <w:lang w:eastAsia="zh-CN"/>
              </w:rPr>
            </m:ctrlPr>
          </m:e>
          <m:sub>
            <m:r>
              <m:rPr>
                <m:sty m:val="p"/>
              </m:rPr>
              <w:rPr>
                <w:rFonts w:ascii="Cambria Math" w:hAnsi="Cambria Math"/>
                <w:color w:val="auto"/>
                <w:highlight w:val="none"/>
                <w:lang w:eastAsia="zh-CN"/>
              </w:rPr>
              <m:t>e</m:t>
            </m:r>
            <m:ctrlPr>
              <w:rPr>
                <w:rFonts w:ascii="Cambria Math" w:hAnsi="Cambria Math"/>
                <w:color w:val="auto"/>
                <w:highlight w:val="none"/>
                <w:lang w:eastAsia="zh-CN"/>
              </w:rPr>
            </m:ctrlPr>
          </m:sub>
        </m:sSub>
      </m:oMath>
      <w:r>
        <w:rPr>
          <w:rFonts w:hint="eastAsia"/>
          <w:color w:val="auto"/>
          <w:highlight w:val="none"/>
          <w:lang w:eastAsia="zh-CN"/>
        </w:rPr>
        <w:t>= B。</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2"/>
      </w:tblGrid>
      <w:tr w14:paraId="57B07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39EDE799">
            <w:pPr>
              <w:jc w:val="center"/>
              <w:rPr>
                <w:color w:val="auto"/>
                <w:highlight w:val="none"/>
              </w:rPr>
            </w:pPr>
            <w:r>
              <w:rPr>
                <w:color w:val="auto"/>
                <w:highlight w:val="none"/>
                <w:lang w:eastAsia="zh-CN"/>
              </w:rPr>
              <w:drawing>
                <wp:inline distT="0" distB="0" distL="0" distR="0">
                  <wp:extent cx="4893945" cy="356235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srcRect/>
                          <a:stretch>
                            <a:fillRect/>
                          </a:stretch>
                        </pic:blipFill>
                        <pic:spPr>
                          <a:xfrm>
                            <a:off x="0" y="0"/>
                            <a:ext cx="4893945" cy="3562350"/>
                          </a:xfrm>
                          <a:prstGeom prst="rect">
                            <a:avLst/>
                          </a:prstGeom>
                          <a:noFill/>
                          <a:ln w="9525">
                            <a:noFill/>
                            <a:miter lim="800000"/>
                            <a:headEnd/>
                            <a:tailEnd/>
                          </a:ln>
                        </pic:spPr>
                      </pic:pic>
                    </a:graphicData>
                  </a:graphic>
                </wp:inline>
              </w:drawing>
            </w:r>
          </w:p>
        </w:tc>
      </w:tr>
      <w:tr w14:paraId="2569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5DE348C8">
            <w:pPr>
              <w:pStyle w:val="44"/>
              <w:ind w:firstLine="198"/>
              <w:rPr>
                <w:color w:val="auto"/>
                <w:highlight w:val="none"/>
              </w:rPr>
            </w:pPr>
            <w:r>
              <w:rPr>
                <w:rFonts w:hint="eastAsia"/>
                <w:color w:val="auto"/>
                <w:highlight w:val="none"/>
              </w:rPr>
              <w:t>图7-1</w:t>
            </w:r>
            <w:r>
              <w:rPr>
                <w:color w:val="auto"/>
                <w:highlight w:val="none"/>
              </w:rPr>
              <w:t xml:space="preserve"> </w:t>
            </w:r>
            <w:r>
              <w:rPr>
                <w:rFonts w:hint="eastAsia"/>
                <w:color w:val="auto"/>
                <w:highlight w:val="none"/>
              </w:rPr>
              <w:t xml:space="preserve"> 楼、屋盖有效宽度计算简图</w:t>
            </w:r>
          </w:p>
        </w:tc>
      </w:tr>
    </w:tbl>
    <w:p w14:paraId="0E5DF600">
      <w:pPr>
        <w:rPr>
          <w:color w:val="auto"/>
          <w:highlight w:val="none"/>
          <w:lang w:eastAsia="zh-CN"/>
        </w:rPr>
      </w:pPr>
    </w:p>
    <w:p w14:paraId="28ACB070">
      <w:pPr>
        <w:pStyle w:val="4"/>
        <w:rPr>
          <w:color w:val="auto"/>
          <w:highlight w:val="none"/>
        </w:rPr>
      </w:pPr>
      <w:r>
        <w:rPr>
          <w:rFonts w:hint="eastAsia"/>
          <w:b/>
          <w:bCs/>
          <w:color w:val="auto"/>
          <w:highlight w:val="none"/>
          <w:lang w:eastAsia="zh-CN"/>
        </w:rPr>
        <w:t>7.4</w:t>
      </w:r>
      <w:r>
        <w:rPr>
          <w:rFonts w:hint="eastAsia"/>
          <w:b/>
          <w:bCs/>
          <w:color w:val="auto"/>
          <w:highlight w:val="none"/>
        </w:rPr>
        <w:t>.5</w:t>
      </w:r>
      <w:r>
        <w:rPr>
          <w:b/>
          <w:bCs/>
          <w:color w:val="auto"/>
          <w:highlight w:val="none"/>
        </w:rPr>
        <w:t xml:space="preserve"> </w:t>
      </w:r>
      <w:r>
        <w:rPr>
          <w:rFonts w:hint="eastAsia"/>
          <w:b/>
          <w:bCs/>
          <w:color w:val="auto"/>
          <w:highlight w:val="none"/>
          <w:lang w:eastAsia="zh-CN"/>
        </w:rPr>
        <w:t xml:space="preserve"> </w:t>
      </w:r>
      <w:r>
        <w:rPr>
          <w:color w:val="auto"/>
          <w:highlight w:val="none"/>
        </w:rPr>
        <w:t>在木框架剪力墙结构中，当屋盖位于空旷的房间上时，应在屋盖的椽条之间或斜撑梁之间设置加固挡块。加固挡块应设置在檩条处，并应采用结构胶合板及圆钉将加固挡块与檩条连接（图</w:t>
      </w:r>
      <w:r>
        <w:rPr>
          <w:rFonts w:hint="eastAsia"/>
          <w:color w:val="auto"/>
          <w:highlight w:val="none"/>
          <w:lang w:eastAsia="zh-CN"/>
        </w:rPr>
        <w:t>7.</w:t>
      </w:r>
      <w:r>
        <w:rPr>
          <w:color w:val="auto"/>
          <w:highlight w:val="none"/>
        </w:rPr>
        <w:t>4</w:t>
      </w:r>
      <w:r>
        <w:rPr>
          <w:rFonts w:hint="eastAsia"/>
          <w:color w:val="auto"/>
          <w:highlight w:val="none"/>
          <w:lang w:eastAsia="zh-CN"/>
        </w:rPr>
        <w:t>.</w:t>
      </w:r>
      <w:r>
        <w:rPr>
          <w:color w:val="auto"/>
          <w:highlight w:val="none"/>
        </w:rPr>
        <w:t>5）。</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2"/>
      </w:tblGrid>
      <w:tr w14:paraId="5C7B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20495768">
            <w:pPr>
              <w:jc w:val="center"/>
              <w:rPr>
                <w:color w:val="auto"/>
                <w:highlight w:val="none"/>
              </w:rPr>
            </w:pPr>
            <w:r>
              <w:rPr>
                <w:color w:val="auto"/>
                <w:highlight w:val="none"/>
                <w:lang w:eastAsia="zh-CN"/>
              </w:rPr>
              <w:drawing>
                <wp:inline distT="0" distB="0" distL="0" distR="0">
                  <wp:extent cx="3828415" cy="1597660"/>
                  <wp:effectExtent l="0" t="0" r="635" b="2540"/>
                  <wp:docPr id="1766840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40748" name="图片 1"/>
                          <pic:cNvPicPr>
                            <a:picLocks noChangeAspect="1"/>
                          </pic:cNvPicPr>
                        </pic:nvPicPr>
                        <pic:blipFill>
                          <a:blip r:embed="rId21" cstate="print"/>
                          <a:stretch>
                            <a:fillRect/>
                          </a:stretch>
                        </pic:blipFill>
                        <pic:spPr>
                          <a:xfrm>
                            <a:off x="0" y="0"/>
                            <a:ext cx="3828415" cy="1597660"/>
                          </a:xfrm>
                          <a:prstGeom prst="rect">
                            <a:avLst/>
                          </a:prstGeom>
                        </pic:spPr>
                      </pic:pic>
                    </a:graphicData>
                  </a:graphic>
                </wp:inline>
              </w:drawing>
            </w:r>
          </w:p>
        </w:tc>
      </w:tr>
      <w:tr w14:paraId="6D583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21A65CAC">
            <w:pPr>
              <w:pStyle w:val="44"/>
              <w:ind w:firstLine="198"/>
              <w:rPr>
                <w:color w:val="auto"/>
                <w:highlight w:val="none"/>
              </w:rPr>
            </w:pPr>
            <w:r>
              <w:rPr>
                <w:rFonts w:hint="eastAsia"/>
                <w:color w:val="auto"/>
                <w:highlight w:val="none"/>
              </w:rPr>
              <w:t>图7.</w:t>
            </w:r>
            <w:r>
              <w:rPr>
                <w:color w:val="auto"/>
                <w:highlight w:val="none"/>
              </w:rPr>
              <w:t>4</w:t>
            </w:r>
            <w:r>
              <w:rPr>
                <w:rFonts w:hint="eastAsia"/>
                <w:color w:val="auto"/>
                <w:highlight w:val="none"/>
              </w:rPr>
              <w:t>.</w:t>
            </w:r>
            <w:r>
              <w:rPr>
                <w:color w:val="auto"/>
                <w:highlight w:val="none"/>
              </w:rPr>
              <w:t xml:space="preserve">5 </w:t>
            </w:r>
            <w:r>
              <w:rPr>
                <w:rFonts w:hint="eastAsia"/>
                <w:color w:val="auto"/>
                <w:highlight w:val="none"/>
              </w:rPr>
              <w:t xml:space="preserve"> 加固挡块连接示意</w:t>
            </w:r>
          </w:p>
          <w:p w14:paraId="32153BD9">
            <w:pPr>
              <w:pStyle w:val="43"/>
              <w:rPr>
                <w:color w:val="auto"/>
                <w:highlight w:val="none"/>
              </w:rPr>
            </w:pPr>
            <w:r>
              <w:rPr>
                <w:color w:val="auto"/>
                <w:highlight w:val="none"/>
              </w:rPr>
              <w:t>1-椽条或斜撑梁；2</w:t>
            </w:r>
            <w:r>
              <w:rPr>
                <w:rFonts w:hint="eastAsia"/>
                <w:color w:val="auto"/>
                <w:highlight w:val="none"/>
              </w:rPr>
              <w:t>－</w:t>
            </w:r>
            <w:r>
              <w:rPr>
                <w:color w:val="auto"/>
                <w:highlight w:val="none"/>
              </w:rPr>
              <w:t>加固挡块；3</w:t>
            </w:r>
            <w:r>
              <w:rPr>
                <w:rFonts w:hint="eastAsia"/>
                <w:color w:val="auto"/>
                <w:highlight w:val="none"/>
              </w:rPr>
              <w:t>－</w:t>
            </w:r>
            <w:r>
              <w:rPr>
                <w:color w:val="auto"/>
                <w:highlight w:val="none"/>
              </w:rPr>
              <w:t>檩条；4</w:t>
            </w:r>
            <w:r>
              <w:rPr>
                <w:rFonts w:hint="eastAsia"/>
                <w:color w:val="auto"/>
                <w:highlight w:val="none"/>
              </w:rPr>
              <w:t>－</w:t>
            </w:r>
            <w:r>
              <w:rPr>
                <w:color w:val="auto"/>
                <w:highlight w:val="none"/>
              </w:rPr>
              <w:t>结构胶合板连接板；5-封檐板</w:t>
            </w:r>
          </w:p>
        </w:tc>
      </w:tr>
    </w:tbl>
    <w:p w14:paraId="28227A00">
      <w:pPr>
        <w:pStyle w:val="50"/>
        <w:bidi w:val="0"/>
        <w:rPr>
          <w:rFonts w:hint="eastAsia"/>
          <w:color w:val="auto"/>
          <w:highlight w:val="none"/>
        </w:rPr>
      </w:pPr>
      <w:r>
        <w:rPr>
          <w:rFonts w:hint="eastAsia"/>
          <w:color w:val="auto"/>
          <w:highlight w:val="none"/>
          <w:lang w:eastAsia="zh-CN"/>
        </w:rPr>
        <w:t xml:space="preserve">【条文说明】7.4.5  </w:t>
      </w:r>
      <w:r>
        <w:rPr>
          <w:rFonts w:hint="eastAsia"/>
          <w:color w:val="auto"/>
          <w:highlight w:val="none"/>
        </w:rPr>
        <w:t>为了提高位于客厅、会议厅等空旷房间处屋盖的受剪承载力，在屋盖椽条或斜撑梁之间设置加固挡块，能有效地传递水平剪力并防止椽条或斜撑梁的位移。采用结构胶合板制作的连接板将加固挡块固定在檩条（或小屋架梁）上，能保证屋盖整体抗剪强度的提高。若无法使用加固挡块时，可在椽条或斜撑梁的端部处设置具有同样作用的封檐板。</w:t>
      </w:r>
    </w:p>
    <w:p w14:paraId="78D6988E">
      <w:pPr>
        <w:rPr>
          <w:color w:val="auto"/>
          <w:highlight w:val="none"/>
        </w:rPr>
      </w:pPr>
    </w:p>
    <w:p w14:paraId="5FCE9C94">
      <w:pPr>
        <w:pStyle w:val="4"/>
        <w:rPr>
          <w:color w:val="auto"/>
          <w:highlight w:val="none"/>
        </w:rPr>
      </w:pPr>
      <w:r>
        <w:rPr>
          <w:rFonts w:hint="eastAsia"/>
          <w:b/>
          <w:bCs/>
          <w:color w:val="auto"/>
          <w:highlight w:val="none"/>
          <w:lang w:eastAsia="zh-CN"/>
        </w:rPr>
        <w:t>7.4</w:t>
      </w:r>
      <w:r>
        <w:rPr>
          <w:rFonts w:hint="eastAsia"/>
          <w:b/>
          <w:bCs/>
          <w:color w:val="auto"/>
          <w:highlight w:val="none"/>
        </w:rPr>
        <w:t>.6</w:t>
      </w:r>
      <w:r>
        <w:rPr>
          <w:b/>
          <w:bCs/>
          <w:color w:val="auto"/>
          <w:highlight w:val="none"/>
        </w:rPr>
        <w:t xml:space="preserve"> </w:t>
      </w:r>
      <w:r>
        <w:rPr>
          <w:rFonts w:hint="eastAsia"/>
          <w:b/>
          <w:bCs/>
          <w:color w:val="auto"/>
          <w:highlight w:val="none"/>
          <w:lang w:eastAsia="zh-CN"/>
        </w:rPr>
        <w:t xml:space="preserve"> </w:t>
      </w:r>
      <w:r>
        <w:rPr>
          <w:color w:val="auto"/>
          <w:highlight w:val="none"/>
        </w:rPr>
        <w:t>木框架剪力墙结构采用的剪力墙直接与屋盖构件连接时，应采取保证屋盖构件与剪力墙之间牢固连接的有效措施。</w:t>
      </w:r>
    </w:p>
    <w:p w14:paraId="6428AE5A">
      <w:pPr>
        <w:pStyle w:val="4"/>
        <w:rPr>
          <w:color w:val="auto"/>
          <w:highlight w:val="none"/>
        </w:rPr>
      </w:pPr>
      <w:r>
        <w:rPr>
          <w:rFonts w:hint="eastAsia"/>
          <w:b/>
          <w:bCs/>
          <w:color w:val="auto"/>
          <w:highlight w:val="none"/>
          <w:lang w:eastAsia="zh-CN"/>
        </w:rPr>
        <w:t>7.4</w:t>
      </w:r>
      <w:r>
        <w:rPr>
          <w:rFonts w:hint="eastAsia"/>
          <w:b/>
          <w:bCs/>
          <w:color w:val="auto"/>
          <w:highlight w:val="none"/>
        </w:rPr>
        <w:t>.7</w:t>
      </w:r>
      <w:r>
        <w:rPr>
          <w:b/>
          <w:bCs/>
          <w:color w:val="auto"/>
          <w:highlight w:val="none"/>
        </w:rPr>
        <w:t xml:space="preserve"> </w:t>
      </w:r>
      <w:r>
        <w:rPr>
          <w:rFonts w:hint="eastAsia"/>
          <w:b/>
          <w:bCs/>
          <w:color w:val="auto"/>
          <w:highlight w:val="none"/>
          <w:lang w:eastAsia="zh-CN"/>
        </w:rPr>
        <w:t xml:space="preserve"> </w:t>
      </w:r>
      <w:r>
        <w:rPr>
          <w:color w:val="auto"/>
          <w:highlight w:val="none"/>
        </w:rPr>
        <w:t>与椽条或檩条垂直的挂瓦条、屋面板的长度至少应跨越三根椽条或檩条，挂瓦条、椽条和屋面板等构件接长时，接头应设置在下层支承构件上，且接头应错开布置。</w:t>
      </w:r>
    </w:p>
    <w:p w14:paraId="0884CBB3">
      <w:pPr>
        <w:pStyle w:val="4"/>
        <w:rPr>
          <w:color w:val="auto"/>
          <w:highlight w:val="none"/>
        </w:rPr>
      </w:pPr>
      <w:r>
        <w:rPr>
          <w:rFonts w:hint="eastAsia"/>
          <w:b/>
          <w:bCs/>
          <w:color w:val="auto"/>
          <w:highlight w:val="none"/>
          <w:lang w:eastAsia="zh-CN"/>
        </w:rPr>
        <w:t>7.4</w:t>
      </w:r>
      <w:r>
        <w:rPr>
          <w:rFonts w:hint="eastAsia"/>
          <w:b/>
          <w:bCs/>
          <w:color w:val="auto"/>
          <w:highlight w:val="none"/>
        </w:rPr>
        <w:t>.8</w:t>
      </w:r>
      <w:r>
        <w:rPr>
          <w:b/>
          <w:bCs/>
          <w:color w:val="auto"/>
          <w:highlight w:val="none"/>
        </w:rPr>
        <w:t xml:space="preserve"> </w:t>
      </w:r>
      <w:r>
        <w:rPr>
          <w:rFonts w:hint="eastAsia"/>
          <w:b/>
          <w:bCs/>
          <w:color w:val="auto"/>
          <w:highlight w:val="none"/>
          <w:lang w:eastAsia="zh-CN"/>
        </w:rPr>
        <w:t xml:space="preserve"> </w:t>
      </w:r>
      <w:r>
        <w:rPr>
          <w:color w:val="auto"/>
          <w:highlight w:val="none"/>
        </w:rPr>
        <w:t>方木檩条宜正放，其截面高宽比不宜大于2</w:t>
      </w:r>
      <w:r>
        <w:rPr>
          <w:rFonts w:hint="eastAsia"/>
          <w:color w:val="auto"/>
          <w:highlight w:val="none"/>
          <w:lang w:eastAsia="zh-CN"/>
        </w:rPr>
        <w:t>.</w:t>
      </w:r>
      <w:r>
        <w:rPr>
          <w:color w:val="auto"/>
          <w:highlight w:val="none"/>
        </w:rPr>
        <w:t>5。当方木檩条斜放时，其截面高宽比不宜大于2，并应按双向受弯构件进行计算。若有可靠措施以消除或减少檩条沿屋面方向的弯矩和挠度时，可根据采取措施后的情况进行计算。</w:t>
      </w:r>
    </w:p>
    <w:p w14:paraId="0110B994">
      <w:pPr>
        <w:pStyle w:val="4"/>
        <w:rPr>
          <w:color w:val="auto"/>
          <w:highlight w:val="none"/>
        </w:rPr>
      </w:pPr>
      <w:r>
        <w:rPr>
          <w:rFonts w:hint="eastAsia"/>
          <w:b/>
          <w:bCs/>
          <w:color w:val="auto"/>
          <w:highlight w:val="none"/>
          <w:lang w:eastAsia="zh-CN"/>
        </w:rPr>
        <w:t>7.4</w:t>
      </w:r>
      <w:r>
        <w:rPr>
          <w:rFonts w:hint="eastAsia"/>
          <w:b/>
          <w:bCs/>
          <w:color w:val="auto"/>
          <w:highlight w:val="none"/>
        </w:rPr>
        <w:t>.9</w:t>
      </w:r>
      <w:r>
        <w:rPr>
          <w:b/>
          <w:bCs/>
          <w:color w:val="auto"/>
          <w:highlight w:val="none"/>
        </w:rPr>
        <w:t xml:space="preserve"> </w:t>
      </w:r>
      <w:r>
        <w:rPr>
          <w:rFonts w:hint="eastAsia"/>
          <w:b/>
          <w:bCs/>
          <w:color w:val="auto"/>
          <w:highlight w:val="none"/>
          <w:lang w:eastAsia="zh-CN"/>
        </w:rPr>
        <w:t xml:space="preserve"> </w:t>
      </w:r>
      <w:r>
        <w:rPr>
          <w:color w:val="auto"/>
          <w:highlight w:val="none"/>
        </w:rPr>
        <w:t>当采用钢木檩条时，应采取措施保证受拉钢筋下弦折点处的侧向稳定。</w:t>
      </w:r>
    </w:p>
    <w:p w14:paraId="07F5021B">
      <w:pPr>
        <w:pStyle w:val="4"/>
        <w:rPr>
          <w:color w:val="auto"/>
          <w:highlight w:val="none"/>
        </w:rPr>
      </w:pPr>
      <w:r>
        <w:rPr>
          <w:rFonts w:hint="eastAsia"/>
          <w:b/>
          <w:bCs/>
          <w:color w:val="auto"/>
          <w:highlight w:val="none"/>
          <w:lang w:eastAsia="zh-CN"/>
        </w:rPr>
        <w:t>7.4</w:t>
      </w:r>
      <w:r>
        <w:rPr>
          <w:rFonts w:hint="eastAsia"/>
          <w:b/>
          <w:bCs/>
          <w:color w:val="auto"/>
          <w:highlight w:val="none"/>
        </w:rPr>
        <w:t>.10</w:t>
      </w:r>
      <w:r>
        <w:rPr>
          <w:b/>
          <w:bCs/>
          <w:color w:val="auto"/>
          <w:highlight w:val="none"/>
        </w:rPr>
        <w:t xml:space="preserve"> </w:t>
      </w:r>
      <w:r>
        <w:rPr>
          <w:rFonts w:hint="eastAsia"/>
          <w:b/>
          <w:bCs/>
          <w:color w:val="auto"/>
          <w:highlight w:val="none"/>
          <w:lang w:eastAsia="zh-CN"/>
        </w:rPr>
        <w:t xml:space="preserve"> </w:t>
      </w:r>
      <w:r>
        <w:rPr>
          <w:color w:val="auto"/>
          <w:highlight w:val="none"/>
        </w:rPr>
        <w:t>双坡屋面的椽条在屋脊处应相互连接牢固。</w:t>
      </w:r>
    </w:p>
    <w:p w14:paraId="7ABCCA75">
      <w:pPr>
        <w:pStyle w:val="4"/>
        <w:rPr>
          <w:color w:val="auto"/>
          <w:highlight w:val="none"/>
        </w:rPr>
      </w:pPr>
      <w:r>
        <w:rPr>
          <w:rFonts w:hint="eastAsia"/>
          <w:b/>
          <w:bCs/>
          <w:color w:val="auto"/>
          <w:highlight w:val="none"/>
          <w:lang w:eastAsia="zh-CN"/>
        </w:rPr>
        <w:t>7.4</w:t>
      </w:r>
      <w:r>
        <w:rPr>
          <w:rFonts w:hint="eastAsia"/>
          <w:b/>
          <w:bCs/>
          <w:color w:val="auto"/>
          <w:highlight w:val="none"/>
        </w:rPr>
        <w:t>.13</w:t>
      </w:r>
      <w:r>
        <w:rPr>
          <w:b/>
          <w:bCs/>
          <w:color w:val="auto"/>
          <w:highlight w:val="none"/>
        </w:rPr>
        <w:t xml:space="preserve"> </w:t>
      </w:r>
      <w:r>
        <w:rPr>
          <w:rFonts w:hint="eastAsia"/>
          <w:b/>
          <w:bCs/>
          <w:color w:val="auto"/>
          <w:highlight w:val="none"/>
          <w:lang w:eastAsia="zh-CN"/>
        </w:rPr>
        <w:t xml:space="preserve"> </w:t>
      </w:r>
      <w:r>
        <w:rPr>
          <w:color w:val="auto"/>
          <w:highlight w:val="none"/>
        </w:rPr>
        <w:t>下列部位的檩条应与桁架上弦锚固，当有山墙时尚应与山墙卧梁锚固：</w:t>
      </w:r>
    </w:p>
    <w:p w14:paraId="48A4821A">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支撑的节点处，包括参加工作的檩条见本标准</w:t>
      </w:r>
      <w:r>
        <w:rPr>
          <w:rFonts w:hint="eastAsia"/>
          <w:color w:val="auto"/>
          <w:highlight w:val="none"/>
          <w:lang w:eastAsia="zh-CN"/>
        </w:rPr>
        <w:t>图7.</w:t>
      </w:r>
      <w:r>
        <w:rPr>
          <w:color w:val="auto"/>
          <w:highlight w:val="none"/>
        </w:rPr>
        <w:t>7</w:t>
      </w:r>
      <w:r>
        <w:rPr>
          <w:rFonts w:hint="eastAsia"/>
          <w:color w:val="auto"/>
          <w:highlight w:val="none"/>
          <w:lang w:eastAsia="zh-CN"/>
        </w:rPr>
        <w:t>.</w:t>
      </w:r>
      <w:r>
        <w:rPr>
          <w:color w:val="auto"/>
          <w:highlight w:val="none"/>
        </w:rPr>
        <w:t>2；</w:t>
      </w:r>
    </w:p>
    <w:p w14:paraId="4AE0B74C">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为保证桁架上弦侧向稳定所需的支承点；</w:t>
      </w:r>
    </w:p>
    <w:p w14:paraId="535946C5">
      <w:pPr>
        <w:pStyle w:val="4"/>
        <w:rPr>
          <w:color w:val="auto"/>
          <w:highlight w:val="none"/>
        </w:rPr>
      </w:pPr>
      <w:r>
        <w:rPr>
          <w:color w:val="auto"/>
          <w:highlight w:val="none"/>
        </w:rPr>
        <w:t xml:space="preserve">   3 </w:t>
      </w:r>
      <w:r>
        <w:rPr>
          <w:rFonts w:hint="eastAsia"/>
          <w:color w:val="auto"/>
          <w:highlight w:val="none"/>
          <w:lang w:eastAsia="zh-CN"/>
        </w:rPr>
        <w:t xml:space="preserve"> </w:t>
      </w:r>
      <w:r>
        <w:rPr>
          <w:color w:val="auto"/>
          <w:highlight w:val="none"/>
        </w:rPr>
        <w:t>屋架的脊节点处。</w:t>
      </w:r>
    </w:p>
    <w:p w14:paraId="3BB357A5">
      <w:pPr>
        <w:pStyle w:val="4"/>
        <w:rPr>
          <w:color w:val="auto"/>
          <w:highlight w:val="none"/>
        </w:rPr>
      </w:pPr>
      <w:r>
        <w:rPr>
          <w:rFonts w:hint="eastAsia"/>
          <w:b/>
          <w:color w:val="auto"/>
          <w:highlight w:val="none"/>
          <w:lang w:eastAsia="zh-CN"/>
        </w:rPr>
        <w:t>7.4</w:t>
      </w:r>
      <w:r>
        <w:rPr>
          <w:rFonts w:hint="eastAsia"/>
          <w:b/>
          <w:color w:val="auto"/>
          <w:highlight w:val="none"/>
        </w:rPr>
        <w:t>.14</w:t>
      </w:r>
      <w:r>
        <w:rPr>
          <w:rFonts w:hint="eastAsia"/>
          <w:color w:val="auto"/>
          <w:highlight w:val="none"/>
        </w:rPr>
        <w:t xml:space="preserve"> </w:t>
      </w:r>
      <w:r>
        <w:rPr>
          <w:rFonts w:hint="eastAsia"/>
          <w:color w:val="auto"/>
          <w:highlight w:val="none"/>
          <w:lang w:eastAsia="zh-CN"/>
        </w:rPr>
        <w:t xml:space="preserve"> </w:t>
      </w:r>
      <w:r>
        <w:rPr>
          <w:color w:val="auto"/>
          <w:highlight w:val="none"/>
        </w:rPr>
        <w:t>檩条的锚固可根据房屋跨度、支撑方式及使用条件选用螺栓、卡板</w:t>
      </w:r>
      <w:r>
        <w:rPr>
          <w:b/>
          <w:bCs/>
          <w:color w:val="auto"/>
          <w:highlight w:val="none"/>
        </w:rPr>
        <w:t>（</w:t>
      </w:r>
      <w:r>
        <w:rPr>
          <w:rFonts w:hint="eastAsia"/>
          <w:b/>
          <w:bCs/>
          <w:color w:val="auto"/>
          <w:highlight w:val="none"/>
          <w:lang w:eastAsia="zh-CN"/>
        </w:rPr>
        <w:t>图7.</w:t>
      </w:r>
      <w:r>
        <w:rPr>
          <w:b/>
          <w:bCs/>
          <w:color w:val="auto"/>
          <w:highlight w:val="none"/>
        </w:rPr>
        <w:t>4</w:t>
      </w:r>
      <w:r>
        <w:rPr>
          <w:rFonts w:hint="eastAsia"/>
          <w:b/>
          <w:bCs/>
          <w:color w:val="auto"/>
          <w:highlight w:val="none"/>
          <w:lang w:eastAsia="zh-CN"/>
        </w:rPr>
        <w:t>.</w:t>
      </w:r>
      <w:r>
        <w:rPr>
          <w:b/>
          <w:bCs/>
          <w:color w:val="auto"/>
          <w:highlight w:val="none"/>
        </w:rPr>
        <w:t>14）</w:t>
      </w:r>
      <w:r>
        <w:rPr>
          <w:color w:val="auto"/>
          <w:highlight w:val="none"/>
        </w:rPr>
        <w:t>、暗销或其他可靠方法。上弦横向支撑的斜杆应采用螺栓与桁架上弦锚固。</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0C3C1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5866B76A">
            <w:pPr>
              <w:pStyle w:val="44"/>
              <w:ind w:firstLine="198"/>
              <w:rPr>
                <w:color w:val="auto"/>
                <w:highlight w:val="none"/>
              </w:rPr>
            </w:pPr>
            <w:r>
              <w:rPr>
                <w:color w:val="auto"/>
                <w:highlight w:val="none"/>
              </w:rPr>
              <w:drawing>
                <wp:inline distT="0" distB="0" distL="0" distR="0">
                  <wp:extent cx="3001645" cy="2169160"/>
                  <wp:effectExtent l="0" t="0" r="8255" b="2540"/>
                  <wp:docPr id="630734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34740" name="图片 1"/>
                          <pic:cNvPicPr>
                            <a:picLocks noChangeAspect="1"/>
                          </pic:cNvPicPr>
                        </pic:nvPicPr>
                        <pic:blipFill>
                          <a:blip r:embed="rId22" cstate="print"/>
                          <a:stretch>
                            <a:fillRect/>
                          </a:stretch>
                        </pic:blipFill>
                        <pic:spPr>
                          <a:xfrm>
                            <a:off x="0" y="0"/>
                            <a:ext cx="3001645" cy="2169160"/>
                          </a:xfrm>
                          <a:prstGeom prst="rect">
                            <a:avLst/>
                          </a:prstGeom>
                        </pic:spPr>
                      </pic:pic>
                    </a:graphicData>
                  </a:graphic>
                </wp:inline>
              </w:drawing>
            </w:r>
          </w:p>
          <w:p w14:paraId="6131BD53">
            <w:pPr>
              <w:pStyle w:val="44"/>
              <w:ind w:firstLine="198"/>
              <w:rPr>
                <w:color w:val="auto"/>
                <w:highlight w:val="none"/>
              </w:rPr>
            </w:pPr>
            <w:r>
              <w:rPr>
                <w:rFonts w:hint="eastAsia"/>
                <w:color w:val="auto"/>
                <w:highlight w:val="none"/>
              </w:rPr>
              <w:t>图7.</w:t>
            </w:r>
            <w:r>
              <w:rPr>
                <w:color w:val="auto"/>
                <w:highlight w:val="none"/>
              </w:rPr>
              <w:t>4</w:t>
            </w:r>
            <w:r>
              <w:rPr>
                <w:rFonts w:hint="eastAsia"/>
                <w:color w:val="auto"/>
                <w:highlight w:val="none"/>
              </w:rPr>
              <w:t>.</w:t>
            </w:r>
            <w:r>
              <w:rPr>
                <w:color w:val="auto"/>
                <w:highlight w:val="none"/>
              </w:rPr>
              <w:t>14</w:t>
            </w:r>
            <w:r>
              <w:rPr>
                <w:rFonts w:hint="eastAsia"/>
                <w:color w:val="auto"/>
                <w:highlight w:val="none"/>
              </w:rPr>
              <w:t xml:space="preserve"> </w:t>
            </w:r>
            <w:r>
              <w:rPr>
                <w:color w:val="auto"/>
                <w:highlight w:val="none"/>
              </w:rPr>
              <w:t xml:space="preserve"> 卡板锚固示意</w:t>
            </w:r>
          </w:p>
          <w:p w14:paraId="6A21CDCA">
            <w:pPr>
              <w:pStyle w:val="43"/>
              <w:rPr>
                <w:color w:val="auto"/>
                <w:highlight w:val="none"/>
              </w:rPr>
            </w:pPr>
            <w:r>
              <w:rPr>
                <w:color w:val="auto"/>
                <w:highlight w:val="none"/>
              </w:rPr>
              <w:t xml:space="preserve">   1</w:t>
            </w:r>
            <w:r>
              <w:rPr>
                <w:rFonts w:hint="eastAsia"/>
                <w:color w:val="auto"/>
                <w:highlight w:val="none"/>
              </w:rPr>
              <w:t>－</w:t>
            </w:r>
            <w:r>
              <w:rPr>
                <w:color w:val="auto"/>
                <w:highlight w:val="none"/>
              </w:rPr>
              <w:t>檩条；2-卡板</w:t>
            </w:r>
          </w:p>
        </w:tc>
      </w:tr>
    </w:tbl>
    <w:p w14:paraId="5804C6DE">
      <w:pPr>
        <w:pStyle w:val="50"/>
        <w:bidi w:val="0"/>
        <w:rPr>
          <w:color w:val="auto"/>
          <w:highlight w:val="none"/>
          <w:lang w:eastAsia="zh-CN"/>
        </w:rPr>
      </w:pPr>
      <w:bookmarkStart w:id="165" w:name="_Toc9004"/>
      <w:r>
        <w:rPr>
          <w:rFonts w:hint="eastAsia"/>
          <w:color w:val="auto"/>
          <w:highlight w:val="none"/>
          <w:lang w:eastAsia="zh-CN"/>
        </w:rPr>
        <w:t>【条文说明】檩条锚固方法，除应考虑是否需要承受风吸力外，还应考虑屋盖所采用的支撑形式。当采用垂直支撑时，由于每榀屋架均与支撑有连系，檩条的锚固一般采用钉连接即能满足要求。当有振动影响或在较大跨度房屋中采用上弦横向支撑时，支撑节点处的檩条应用螺栓、暗销或卡板等锚固，以加强屋面的整体性。</w:t>
      </w:r>
    </w:p>
    <w:p w14:paraId="415FF69B">
      <w:pPr>
        <w:pStyle w:val="3"/>
        <w:spacing w:before="156" w:after="156"/>
        <w:rPr>
          <w:color w:val="auto"/>
          <w:highlight w:val="none"/>
        </w:rPr>
      </w:pPr>
      <w:bookmarkStart w:id="166" w:name="_Toc13118"/>
      <w:bookmarkStart w:id="167" w:name="_Toc28463"/>
      <w:bookmarkStart w:id="168" w:name="_Toc29340"/>
      <w:r>
        <w:rPr>
          <w:rFonts w:hint="eastAsia"/>
          <w:color w:val="auto"/>
          <w:highlight w:val="none"/>
          <w:lang w:eastAsia="zh-CN"/>
        </w:rPr>
        <w:t xml:space="preserve">7.5  </w:t>
      </w:r>
      <w:r>
        <w:rPr>
          <w:rFonts w:hint="eastAsia"/>
          <w:color w:val="auto"/>
          <w:highlight w:val="none"/>
        </w:rPr>
        <w:t>桁</w:t>
      </w:r>
      <w:r>
        <w:rPr>
          <w:color w:val="auto"/>
          <w:highlight w:val="none"/>
        </w:rPr>
        <w:t xml:space="preserve"> </w:t>
      </w:r>
      <w:r>
        <w:rPr>
          <w:rFonts w:hint="eastAsia"/>
          <w:color w:val="auto"/>
          <w:highlight w:val="none"/>
          <w:lang w:eastAsia="zh-CN"/>
        </w:rPr>
        <w:t xml:space="preserve"> </w:t>
      </w:r>
      <w:r>
        <w:rPr>
          <w:color w:val="auto"/>
          <w:highlight w:val="none"/>
        </w:rPr>
        <w:t>架</w:t>
      </w:r>
      <w:bookmarkEnd w:id="165"/>
      <w:bookmarkEnd w:id="166"/>
      <w:bookmarkEnd w:id="167"/>
      <w:bookmarkEnd w:id="168"/>
    </w:p>
    <w:p w14:paraId="35EE39BE">
      <w:pPr>
        <w:pStyle w:val="4"/>
        <w:rPr>
          <w:color w:val="auto"/>
          <w:highlight w:val="none"/>
          <w:lang w:eastAsia="zh-CN"/>
        </w:rPr>
      </w:pPr>
      <w:r>
        <w:rPr>
          <w:rFonts w:hint="eastAsia"/>
          <w:b/>
          <w:bCs/>
          <w:color w:val="auto"/>
          <w:highlight w:val="none"/>
          <w:lang w:eastAsia="zh-CN"/>
        </w:rPr>
        <w:t>7.5</w:t>
      </w:r>
      <w:r>
        <w:rPr>
          <w:rFonts w:hint="eastAsia"/>
          <w:b/>
          <w:bCs/>
          <w:color w:val="auto"/>
          <w:highlight w:val="none"/>
        </w:rPr>
        <w:t>.1</w:t>
      </w:r>
      <w:r>
        <w:rPr>
          <w:b/>
          <w:bCs/>
          <w:color w:val="auto"/>
          <w:highlight w:val="none"/>
        </w:rPr>
        <w:t xml:space="preserve"> </w:t>
      </w:r>
      <w:r>
        <w:rPr>
          <w:rFonts w:hint="eastAsia"/>
          <w:b/>
          <w:bCs/>
          <w:color w:val="auto"/>
          <w:highlight w:val="none"/>
          <w:lang w:eastAsia="zh-CN"/>
        </w:rPr>
        <w:t xml:space="preserve"> </w:t>
      </w:r>
      <w:r>
        <w:rPr>
          <w:rFonts w:hint="eastAsia"/>
          <w:color w:val="auto"/>
          <w:highlight w:val="none"/>
        </w:rPr>
        <w:t>采用方木原木制作木桁架时，选型可根据具体条件确定，并宜采用静定的结构体系。当桁架跨度较大或使用湿材时，应采用钢木桁架；对跨度较大的三角形原木桁架，宜采用不等节间的桁架形式。</w:t>
      </w:r>
    </w:p>
    <w:p w14:paraId="45DB7621">
      <w:pPr>
        <w:pStyle w:val="50"/>
        <w:bidi w:val="0"/>
        <w:rPr>
          <w:color w:val="auto"/>
          <w:highlight w:val="none"/>
          <w:lang w:eastAsia="zh-CN"/>
        </w:rPr>
      </w:pPr>
      <w:r>
        <w:rPr>
          <w:rFonts w:hint="eastAsia"/>
          <w:color w:val="auto"/>
          <w:highlight w:val="none"/>
          <w:lang w:eastAsia="zh-CN"/>
        </w:rPr>
        <w:t>【条文说明】桁架的选型主要取决于屋面材料、木材的材质与规格。本标准作了如下考虑：</w:t>
      </w:r>
    </w:p>
    <w:p w14:paraId="75291ADC">
      <w:pPr>
        <w:pStyle w:val="50"/>
        <w:bidi w:val="0"/>
        <w:rPr>
          <w:color w:val="auto"/>
          <w:highlight w:val="none"/>
          <w:lang w:eastAsia="zh-CN"/>
        </w:rPr>
      </w:pPr>
      <w:r>
        <w:rPr>
          <w:rFonts w:hint="eastAsia"/>
          <w:color w:val="auto"/>
          <w:highlight w:val="none"/>
          <w:lang w:eastAsia="zh-CN"/>
        </w:rPr>
        <w:t>1 钢木桁架具有构造合理，能避免斜纹、木节、裂缝等缺陷的不利影响，解决下弦选材困难和易于保证工程质量等优点，故推荐在桁架跨度较大或采用湿材或采用新利用树种时应用。</w:t>
      </w:r>
    </w:p>
    <w:p w14:paraId="14B465B9">
      <w:pPr>
        <w:pStyle w:val="50"/>
        <w:bidi w:val="0"/>
        <w:rPr>
          <w:rFonts w:hint="eastAsia"/>
          <w:color w:val="auto"/>
          <w:highlight w:val="none"/>
          <w:lang w:eastAsia="zh-CN"/>
        </w:rPr>
      </w:pPr>
      <w:r>
        <w:rPr>
          <w:rFonts w:hint="eastAsia"/>
          <w:color w:val="auto"/>
          <w:highlight w:val="none"/>
          <w:lang w:eastAsia="zh-CN"/>
        </w:rPr>
        <w:t>2 三角形原木桁架采用不等节间的结构形式比较经济。根据设计经验，当跨度在15m～18m之间，开间在3m～4m的相同条件下，可比等节间桁架节约木材10％～18％。故推荐在跨度较大的原木桁架中应用。</w:t>
      </w:r>
    </w:p>
    <w:p w14:paraId="43CEA572">
      <w:pPr>
        <w:rPr>
          <w:color w:val="auto"/>
          <w:highlight w:val="none"/>
          <w:lang w:eastAsia="zh-CN"/>
        </w:rPr>
      </w:pPr>
    </w:p>
    <w:p w14:paraId="7A008EF9">
      <w:pPr>
        <w:pStyle w:val="4"/>
        <w:rPr>
          <w:color w:val="auto"/>
          <w:highlight w:val="none"/>
        </w:rPr>
      </w:pPr>
      <w:r>
        <w:rPr>
          <w:rFonts w:hint="eastAsia"/>
          <w:b/>
          <w:bCs/>
          <w:color w:val="auto"/>
          <w:highlight w:val="none"/>
          <w:lang w:eastAsia="zh-CN"/>
        </w:rPr>
        <w:t>7</w:t>
      </w:r>
      <w:r>
        <w:rPr>
          <w:rFonts w:hint="eastAsia"/>
          <w:b/>
          <w:bCs/>
          <w:color w:val="auto"/>
          <w:highlight w:val="none"/>
        </w:rPr>
        <w:t>.</w:t>
      </w:r>
      <w:r>
        <w:rPr>
          <w:rFonts w:hint="eastAsia"/>
          <w:b/>
          <w:bCs/>
          <w:color w:val="auto"/>
          <w:highlight w:val="none"/>
          <w:lang w:eastAsia="zh-CN"/>
        </w:rPr>
        <w:t xml:space="preserve">5.2  </w:t>
      </w:r>
      <w:r>
        <w:rPr>
          <w:color w:val="auto"/>
          <w:highlight w:val="none"/>
        </w:rPr>
        <w:t>当木桁架采用木檩条时，桁架间距不宜大于4m；当采用钢木檩条或胶合木檩条时，桁架间距不宜大于6m。</w:t>
      </w:r>
    </w:p>
    <w:p w14:paraId="576D1E16">
      <w:pPr>
        <w:pStyle w:val="4"/>
        <w:rPr>
          <w:color w:val="auto"/>
          <w:highlight w:val="none"/>
        </w:rPr>
      </w:pPr>
      <w:r>
        <w:rPr>
          <w:rFonts w:hint="eastAsia"/>
          <w:b/>
          <w:bCs/>
          <w:color w:val="auto"/>
          <w:highlight w:val="none"/>
          <w:lang w:eastAsia="zh-CN"/>
        </w:rPr>
        <w:t>7.5</w:t>
      </w:r>
      <w:r>
        <w:rPr>
          <w:rFonts w:hint="eastAsia"/>
          <w:b/>
          <w:bCs/>
          <w:color w:val="auto"/>
          <w:highlight w:val="none"/>
        </w:rPr>
        <w:t>.3</w:t>
      </w:r>
      <w:r>
        <w:rPr>
          <w:b/>
          <w:bCs/>
          <w:color w:val="auto"/>
          <w:highlight w:val="none"/>
        </w:rPr>
        <w:t xml:space="preserve"> </w:t>
      </w:r>
      <w:r>
        <w:rPr>
          <w:rFonts w:hint="eastAsia"/>
          <w:b/>
          <w:bCs/>
          <w:color w:val="auto"/>
          <w:highlight w:val="none"/>
          <w:lang w:eastAsia="zh-CN"/>
        </w:rPr>
        <w:t xml:space="preserve"> </w:t>
      </w:r>
      <w:r>
        <w:rPr>
          <w:color w:val="auto"/>
          <w:highlight w:val="none"/>
        </w:rPr>
        <w:t>桁架中央高度与跨度之比不应小于</w:t>
      </w:r>
      <w:r>
        <w:rPr>
          <w:rFonts w:hint="eastAsia"/>
          <w:color w:val="auto"/>
          <w:highlight w:val="none"/>
          <w:lang w:eastAsia="zh-CN"/>
        </w:rPr>
        <w:t>表7.5</w:t>
      </w:r>
      <w:r>
        <w:rPr>
          <w:rFonts w:hint="eastAsia"/>
          <w:color w:val="auto"/>
          <w:highlight w:val="none"/>
        </w:rPr>
        <w:t>.3</w:t>
      </w:r>
      <w:r>
        <w:rPr>
          <w:rFonts w:hint="eastAsia"/>
          <w:color w:val="auto"/>
          <w:highlight w:val="none"/>
          <w:lang w:eastAsia="zh-CN"/>
        </w:rPr>
        <w:t xml:space="preserve"> </w:t>
      </w:r>
      <w:r>
        <w:rPr>
          <w:color w:val="auto"/>
          <w:highlight w:val="none"/>
        </w:rPr>
        <w:t>规定的最小高跨比。</w:t>
      </w:r>
    </w:p>
    <w:p w14:paraId="192CFCD7">
      <w:pPr>
        <w:pStyle w:val="40"/>
        <w:rPr>
          <w:color w:val="auto"/>
          <w:highlight w:val="none"/>
        </w:rPr>
      </w:pPr>
      <w:r>
        <w:rPr>
          <w:rFonts w:hint="eastAsia"/>
          <w:color w:val="auto"/>
          <w:highlight w:val="none"/>
        </w:rPr>
        <w:t>表7.</w:t>
      </w:r>
      <w:r>
        <w:rPr>
          <w:color w:val="auto"/>
          <w:highlight w:val="none"/>
        </w:rPr>
        <w:t>5</w:t>
      </w:r>
      <w:r>
        <w:rPr>
          <w:rFonts w:hint="eastAsia"/>
          <w:color w:val="auto"/>
          <w:highlight w:val="none"/>
        </w:rPr>
        <w:t>.</w:t>
      </w:r>
      <w:r>
        <w:rPr>
          <w:color w:val="auto"/>
          <w:highlight w:val="none"/>
        </w:rPr>
        <w:t xml:space="preserve">3 </w:t>
      </w:r>
      <w:r>
        <w:rPr>
          <w:rFonts w:hint="eastAsia"/>
          <w:color w:val="auto"/>
          <w:highlight w:val="none"/>
        </w:rPr>
        <w:t xml:space="preserve"> </w:t>
      </w:r>
      <w:r>
        <w:rPr>
          <w:color w:val="auto"/>
          <w:highlight w:val="none"/>
        </w:rPr>
        <w:t>桁架最小高跨比</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363"/>
        <w:gridCol w:w="2038"/>
      </w:tblGrid>
      <w:tr w14:paraId="7CDD2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tcBorders>
              <w:tl2br w:val="nil"/>
              <w:tr2bl w:val="nil"/>
            </w:tcBorders>
            <w:vAlign w:val="center"/>
          </w:tcPr>
          <w:p w14:paraId="0FE4739C">
            <w:pPr>
              <w:pStyle w:val="43"/>
              <w:rPr>
                <w:color w:val="auto"/>
                <w:highlight w:val="none"/>
              </w:rPr>
            </w:pPr>
            <w:r>
              <w:rPr>
                <w:rFonts w:hint="eastAsia"/>
                <w:color w:val="auto"/>
                <w:highlight w:val="none"/>
              </w:rPr>
              <w:t>序号</w:t>
            </w:r>
          </w:p>
        </w:tc>
        <w:tc>
          <w:tcPr>
            <w:tcW w:w="3363" w:type="dxa"/>
            <w:tcBorders>
              <w:tl2br w:val="nil"/>
              <w:tr2bl w:val="nil"/>
            </w:tcBorders>
            <w:vAlign w:val="center"/>
          </w:tcPr>
          <w:p w14:paraId="781811A2">
            <w:pPr>
              <w:pStyle w:val="43"/>
              <w:rPr>
                <w:color w:val="auto"/>
                <w:highlight w:val="none"/>
              </w:rPr>
            </w:pPr>
            <w:r>
              <w:rPr>
                <w:rFonts w:hint="eastAsia"/>
                <w:color w:val="auto"/>
                <w:highlight w:val="none"/>
              </w:rPr>
              <w:t>桁架类型</w:t>
            </w:r>
          </w:p>
        </w:tc>
        <w:tc>
          <w:tcPr>
            <w:tcW w:w="2038" w:type="dxa"/>
            <w:tcBorders>
              <w:tl2br w:val="nil"/>
              <w:tr2bl w:val="nil"/>
            </w:tcBorders>
            <w:vAlign w:val="center"/>
          </w:tcPr>
          <w:p w14:paraId="31C97E82">
            <w:pPr>
              <w:pStyle w:val="43"/>
              <w:rPr>
                <w:color w:val="auto"/>
                <w:highlight w:val="none"/>
              </w:rPr>
            </w:pPr>
            <w:r>
              <w:rPr>
                <w:rFonts w:hint="eastAsia"/>
                <w:i/>
                <w:iCs/>
                <w:color w:val="auto"/>
                <w:highlight w:val="none"/>
              </w:rPr>
              <w:t>h / l</w:t>
            </w:r>
          </w:p>
        </w:tc>
      </w:tr>
      <w:tr w14:paraId="562F1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tcBorders>
              <w:tl2br w:val="nil"/>
              <w:tr2bl w:val="nil"/>
            </w:tcBorders>
            <w:vAlign w:val="center"/>
          </w:tcPr>
          <w:p w14:paraId="30DF7B55">
            <w:pPr>
              <w:pStyle w:val="43"/>
              <w:rPr>
                <w:color w:val="auto"/>
                <w:highlight w:val="none"/>
              </w:rPr>
            </w:pPr>
            <w:r>
              <w:rPr>
                <w:rFonts w:hint="eastAsia"/>
                <w:color w:val="auto"/>
                <w:highlight w:val="none"/>
              </w:rPr>
              <w:t>1</w:t>
            </w:r>
          </w:p>
        </w:tc>
        <w:tc>
          <w:tcPr>
            <w:tcW w:w="3363" w:type="dxa"/>
            <w:tcBorders>
              <w:tl2br w:val="nil"/>
              <w:tr2bl w:val="nil"/>
            </w:tcBorders>
            <w:vAlign w:val="center"/>
          </w:tcPr>
          <w:p w14:paraId="6E8CD271">
            <w:pPr>
              <w:pStyle w:val="43"/>
              <w:rPr>
                <w:color w:val="auto"/>
                <w:highlight w:val="none"/>
              </w:rPr>
            </w:pPr>
            <w:r>
              <w:rPr>
                <w:rFonts w:hint="eastAsia"/>
                <w:color w:val="auto"/>
                <w:highlight w:val="none"/>
              </w:rPr>
              <w:t>三角形木桁架</w:t>
            </w:r>
          </w:p>
        </w:tc>
        <w:tc>
          <w:tcPr>
            <w:tcW w:w="2038" w:type="dxa"/>
            <w:tcBorders>
              <w:tl2br w:val="nil"/>
              <w:tr2bl w:val="nil"/>
            </w:tcBorders>
            <w:vAlign w:val="center"/>
          </w:tcPr>
          <w:p w14:paraId="06137642">
            <w:pPr>
              <w:pStyle w:val="43"/>
              <w:rPr>
                <w:color w:val="auto"/>
                <w:highlight w:val="none"/>
              </w:rPr>
            </w:pPr>
            <w:r>
              <w:rPr>
                <w:rFonts w:hint="eastAsia"/>
                <w:color w:val="auto"/>
                <w:highlight w:val="none"/>
              </w:rPr>
              <w:t>1/5</w:t>
            </w:r>
          </w:p>
        </w:tc>
      </w:tr>
      <w:tr w14:paraId="7293F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tcBorders>
              <w:tl2br w:val="nil"/>
              <w:tr2bl w:val="nil"/>
            </w:tcBorders>
            <w:vAlign w:val="center"/>
          </w:tcPr>
          <w:p w14:paraId="66C7E91D">
            <w:pPr>
              <w:pStyle w:val="43"/>
              <w:rPr>
                <w:color w:val="auto"/>
                <w:highlight w:val="none"/>
              </w:rPr>
            </w:pPr>
            <w:r>
              <w:rPr>
                <w:rFonts w:hint="eastAsia"/>
                <w:color w:val="auto"/>
                <w:highlight w:val="none"/>
              </w:rPr>
              <w:t>2</w:t>
            </w:r>
          </w:p>
        </w:tc>
        <w:tc>
          <w:tcPr>
            <w:tcW w:w="3363" w:type="dxa"/>
            <w:tcBorders>
              <w:tl2br w:val="nil"/>
              <w:tr2bl w:val="nil"/>
            </w:tcBorders>
            <w:vAlign w:val="center"/>
          </w:tcPr>
          <w:p w14:paraId="2588F4F9">
            <w:pPr>
              <w:pStyle w:val="43"/>
              <w:rPr>
                <w:color w:val="auto"/>
                <w:highlight w:val="none"/>
              </w:rPr>
            </w:pPr>
            <w:r>
              <w:rPr>
                <w:rFonts w:hint="eastAsia"/>
                <w:color w:val="auto"/>
                <w:highlight w:val="none"/>
              </w:rPr>
              <w:t>三角形木桁架；平行弦木桁架；</w:t>
            </w:r>
          </w:p>
          <w:p w14:paraId="0EAE1C41">
            <w:pPr>
              <w:pStyle w:val="43"/>
              <w:rPr>
                <w:color w:val="auto"/>
                <w:highlight w:val="none"/>
              </w:rPr>
            </w:pPr>
            <w:r>
              <w:rPr>
                <w:rFonts w:hint="eastAsia"/>
                <w:color w:val="auto"/>
                <w:highlight w:val="none"/>
              </w:rPr>
              <w:t>弧形、多边形和梯形木桁架</w:t>
            </w:r>
          </w:p>
        </w:tc>
        <w:tc>
          <w:tcPr>
            <w:tcW w:w="2038" w:type="dxa"/>
            <w:tcBorders>
              <w:tl2br w:val="nil"/>
              <w:tr2bl w:val="nil"/>
            </w:tcBorders>
            <w:vAlign w:val="center"/>
          </w:tcPr>
          <w:p w14:paraId="35EABDEA">
            <w:pPr>
              <w:pStyle w:val="43"/>
              <w:rPr>
                <w:color w:val="auto"/>
                <w:highlight w:val="none"/>
              </w:rPr>
            </w:pPr>
            <w:r>
              <w:rPr>
                <w:rFonts w:hint="eastAsia"/>
                <w:color w:val="auto"/>
                <w:highlight w:val="none"/>
              </w:rPr>
              <w:t>1/6</w:t>
            </w:r>
          </w:p>
        </w:tc>
      </w:tr>
      <w:tr w14:paraId="39B38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tcBorders>
              <w:tl2br w:val="nil"/>
              <w:tr2bl w:val="nil"/>
            </w:tcBorders>
            <w:vAlign w:val="center"/>
          </w:tcPr>
          <w:p w14:paraId="4BC9A6FA">
            <w:pPr>
              <w:pStyle w:val="43"/>
              <w:rPr>
                <w:color w:val="auto"/>
                <w:highlight w:val="none"/>
              </w:rPr>
            </w:pPr>
            <w:r>
              <w:rPr>
                <w:rFonts w:hint="eastAsia"/>
                <w:color w:val="auto"/>
                <w:highlight w:val="none"/>
              </w:rPr>
              <w:t>3</w:t>
            </w:r>
          </w:p>
        </w:tc>
        <w:tc>
          <w:tcPr>
            <w:tcW w:w="3363" w:type="dxa"/>
            <w:tcBorders>
              <w:tl2br w:val="nil"/>
              <w:tr2bl w:val="nil"/>
            </w:tcBorders>
            <w:vAlign w:val="center"/>
          </w:tcPr>
          <w:p w14:paraId="7D221C6E">
            <w:pPr>
              <w:pStyle w:val="43"/>
              <w:rPr>
                <w:color w:val="auto"/>
                <w:highlight w:val="none"/>
              </w:rPr>
            </w:pPr>
            <w:r>
              <w:rPr>
                <w:rFonts w:hint="eastAsia"/>
                <w:color w:val="auto"/>
                <w:highlight w:val="none"/>
              </w:rPr>
              <w:t>弧形、多边形和梯形钢木桁架</w:t>
            </w:r>
          </w:p>
        </w:tc>
        <w:tc>
          <w:tcPr>
            <w:tcW w:w="2038" w:type="dxa"/>
            <w:tcBorders>
              <w:tl2br w:val="nil"/>
              <w:tr2bl w:val="nil"/>
            </w:tcBorders>
            <w:vAlign w:val="center"/>
          </w:tcPr>
          <w:p w14:paraId="5365E25D">
            <w:pPr>
              <w:pStyle w:val="43"/>
              <w:rPr>
                <w:color w:val="auto"/>
                <w:highlight w:val="none"/>
              </w:rPr>
            </w:pPr>
            <w:r>
              <w:rPr>
                <w:rFonts w:hint="eastAsia"/>
                <w:color w:val="auto"/>
                <w:highlight w:val="none"/>
              </w:rPr>
              <w:t>1/7</w:t>
            </w:r>
          </w:p>
        </w:tc>
      </w:tr>
    </w:tbl>
    <w:p w14:paraId="6599A616">
      <w:pPr>
        <w:pStyle w:val="43"/>
        <w:ind w:firstLine="1890" w:firstLineChars="900"/>
        <w:jc w:val="left"/>
        <w:rPr>
          <w:color w:val="auto"/>
          <w:highlight w:val="none"/>
        </w:rPr>
      </w:pPr>
      <w:r>
        <w:rPr>
          <w:rFonts w:hint="eastAsia"/>
          <w:color w:val="auto"/>
          <w:highlight w:val="none"/>
        </w:rPr>
        <w:t>注：</w:t>
      </w:r>
      <w:r>
        <w:rPr>
          <w:i/>
          <w:iCs/>
          <w:color w:val="auto"/>
          <w:highlight w:val="none"/>
        </w:rPr>
        <w:t>h</w:t>
      </w:r>
      <w:r>
        <w:rPr>
          <w:color w:val="auto"/>
          <w:highlight w:val="none"/>
        </w:rPr>
        <w:t>为桁架中央高度；</w:t>
      </w:r>
      <w:r>
        <w:rPr>
          <w:i/>
          <w:iCs/>
          <w:color w:val="auto"/>
          <w:highlight w:val="none"/>
        </w:rPr>
        <w:t>l</w:t>
      </w:r>
      <w:r>
        <w:rPr>
          <w:color w:val="auto"/>
          <w:highlight w:val="none"/>
        </w:rPr>
        <w:t>为桁架跨度。</w:t>
      </w:r>
    </w:p>
    <w:p w14:paraId="21742E1D">
      <w:pPr>
        <w:pStyle w:val="4"/>
        <w:rPr>
          <w:color w:val="auto"/>
          <w:highlight w:val="none"/>
          <w:lang w:eastAsia="zh-CN"/>
        </w:rPr>
      </w:pPr>
      <w:r>
        <w:rPr>
          <w:rFonts w:hint="eastAsia"/>
          <w:b/>
          <w:bCs/>
          <w:color w:val="auto"/>
          <w:highlight w:val="none"/>
          <w:lang w:eastAsia="zh-CN"/>
        </w:rPr>
        <w:t>7</w:t>
      </w:r>
      <w:r>
        <w:rPr>
          <w:rFonts w:hint="eastAsia"/>
          <w:b/>
          <w:bCs/>
          <w:color w:val="auto"/>
          <w:highlight w:val="none"/>
        </w:rPr>
        <w:t>.</w:t>
      </w:r>
      <w:r>
        <w:rPr>
          <w:rFonts w:hint="eastAsia"/>
          <w:b/>
          <w:bCs/>
          <w:color w:val="auto"/>
          <w:highlight w:val="none"/>
          <w:lang w:eastAsia="zh-CN"/>
        </w:rPr>
        <w:t xml:space="preserve">5.4 </w:t>
      </w:r>
      <w:r>
        <w:rPr>
          <w:b/>
          <w:bCs/>
          <w:color w:val="auto"/>
          <w:highlight w:val="none"/>
        </w:rPr>
        <w:t xml:space="preserve"> </w:t>
      </w:r>
      <w:r>
        <w:rPr>
          <w:color w:val="auto"/>
          <w:highlight w:val="none"/>
        </w:rPr>
        <w:t>桁架制作应按其跨度的1/200起拱。</w:t>
      </w:r>
    </w:p>
    <w:p w14:paraId="7DCB1E9E">
      <w:pPr>
        <w:pStyle w:val="50"/>
        <w:bidi w:val="0"/>
        <w:rPr>
          <w:rFonts w:hint="eastAsia"/>
          <w:color w:val="auto"/>
          <w:highlight w:val="none"/>
          <w:lang w:eastAsia="zh-CN"/>
        </w:rPr>
      </w:pPr>
      <w:r>
        <w:rPr>
          <w:rFonts w:hint="eastAsia"/>
          <w:color w:val="auto"/>
          <w:highlight w:val="none"/>
          <w:lang w:eastAsia="zh-CN"/>
        </w:rPr>
        <w:t>【条文说明】7.5.4  为了保证屋架不产生影响人安全感的挠度，不论木屋架和钢木屋架，在制作时均应加以起拱。对于起拱的数值，是根据长期使用经验确定的，并应在起拱的同时调整上下弦，以保证屋架的高跨比不变。</w:t>
      </w:r>
    </w:p>
    <w:p w14:paraId="677AE50B">
      <w:pPr>
        <w:rPr>
          <w:rFonts w:hint="eastAsia"/>
          <w:color w:val="auto"/>
          <w:highlight w:val="none"/>
          <w:lang w:eastAsia="zh-CN"/>
        </w:rPr>
      </w:pPr>
    </w:p>
    <w:p w14:paraId="20B51CBD">
      <w:pPr>
        <w:pStyle w:val="4"/>
        <w:rPr>
          <w:color w:val="auto"/>
          <w:highlight w:val="none"/>
        </w:rPr>
      </w:pPr>
      <w:r>
        <w:rPr>
          <w:rFonts w:hint="eastAsia"/>
          <w:b/>
          <w:bCs/>
          <w:color w:val="auto"/>
          <w:highlight w:val="none"/>
          <w:lang w:eastAsia="zh-CN"/>
        </w:rPr>
        <w:t>7.5</w:t>
      </w:r>
      <w:r>
        <w:rPr>
          <w:rFonts w:hint="eastAsia"/>
          <w:b/>
          <w:bCs/>
          <w:color w:val="auto"/>
          <w:highlight w:val="none"/>
        </w:rPr>
        <w:t>.5</w:t>
      </w:r>
      <w:r>
        <w:rPr>
          <w:b/>
          <w:bCs/>
          <w:color w:val="auto"/>
          <w:highlight w:val="none"/>
        </w:rPr>
        <w:t xml:space="preserve"> </w:t>
      </w:r>
      <w:r>
        <w:rPr>
          <w:rFonts w:hint="eastAsia"/>
          <w:b/>
          <w:bCs/>
          <w:color w:val="auto"/>
          <w:highlight w:val="none"/>
          <w:lang w:eastAsia="zh-CN"/>
        </w:rPr>
        <w:t xml:space="preserve"> </w:t>
      </w:r>
      <w:r>
        <w:rPr>
          <w:color w:val="auto"/>
          <w:highlight w:val="none"/>
        </w:rPr>
        <w:t>桁架的内力计算时，应符合下列规定：</w:t>
      </w:r>
    </w:p>
    <w:p w14:paraId="21C4F4E7">
      <w:pPr>
        <w:pStyle w:val="4"/>
        <w:rPr>
          <w:color w:val="auto"/>
          <w:highlight w:val="none"/>
        </w:rPr>
      </w:pPr>
      <w:r>
        <w:rPr>
          <w:color w:val="auto"/>
          <w:highlight w:val="none"/>
        </w:rPr>
        <w:t xml:space="preserve">   1</w:t>
      </w:r>
      <w:r>
        <w:rPr>
          <w:rFonts w:hint="eastAsia"/>
          <w:color w:val="auto"/>
          <w:highlight w:val="none"/>
          <w:lang w:eastAsia="zh-CN"/>
        </w:rPr>
        <w:t xml:space="preserve"> </w:t>
      </w:r>
      <w:r>
        <w:rPr>
          <w:color w:val="auto"/>
          <w:highlight w:val="none"/>
        </w:rPr>
        <w:t xml:space="preserve"> 桁架节点可假定为铰接，并将荷载集中于各个节点上，按节点荷载计算各杆轴向力；</w:t>
      </w:r>
    </w:p>
    <w:p w14:paraId="2E17198D">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当上弦因节间荷载而承受弯矩时，应按压弯构件进行计算。跨间弯矩按简支梁计算，节点处支座弯矩可按下式计算。</w:t>
      </w:r>
    </w:p>
    <w:p w14:paraId="0F57AE51">
      <w:pPr>
        <w:jc w:val="right"/>
        <w:rPr>
          <w:rFonts w:hAnsi="Cambria Math"/>
          <w:iCs/>
          <w:color w:val="auto"/>
          <w:highlight w:val="none"/>
          <w:lang w:eastAsia="zh-CN"/>
        </w:rPr>
      </w:pPr>
      <m:oMath>
        <m:r>
          <m:rPr>
            <m:sty m:val="p"/>
          </m:rPr>
          <w:rPr>
            <w:rFonts w:ascii="Cambria Math" w:hAnsi="Cambria Math"/>
            <w:color w:val="auto"/>
            <w:highlight w:val="none"/>
            <w:lang w:eastAsia="zh-CN"/>
          </w:rPr>
          <m:t>M=−</m:t>
        </m:r>
        <m:f>
          <m:fPr>
            <m:ctrlPr>
              <w:rPr>
                <w:rFonts w:ascii="Cambria Math" w:hAnsi="Cambria Math"/>
                <w:color w:val="auto"/>
                <w:highlight w:val="none"/>
                <w:lang w:eastAsia="zh-CN"/>
              </w:rPr>
            </m:ctrlPr>
          </m:fPr>
          <m:num>
            <m:r>
              <m:rPr>
                <m:sty m:val="p"/>
              </m:rPr>
              <w:rPr>
                <w:rFonts w:ascii="Cambria Math" w:hAnsi="Cambria Math"/>
                <w:color w:val="auto"/>
                <w:highlight w:val="none"/>
                <w:lang w:eastAsia="zh-CN"/>
              </w:rPr>
              <m:t>1</m:t>
            </m:r>
            <m:ctrlPr>
              <w:rPr>
                <w:rFonts w:ascii="Cambria Math" w:hAnsi="Cambria Math"/>
                <w:color w:val="auto"/>
                <w:highlight w:val="none"/>
                <w:lang w:eastAsia="zh-CN"/>
              </w:rPr>
            </m:ctrlPr>
          </m:num>
          <m:den>
            <m:r>
              <m:rPr>
                <m:sty m:val="p"/>
              </m:rPr>
              <w:rPr>
                <w:rFonts w:ascii="Cambria Math" w:hAnsi="Cambria Math"/>
                <w:color w:val="auto"/>
                <w:highlight w:val="none"/>
                <w:lang w:eastAsia="zh-CN"/>
              </w:rPr>
              <m:t>10</m:t>
            </m:r>
            <m:ctrlPr>
              <w:rPr>
                <w:rFonts w:ascii="Cambria Math" w:hAnsi="Cambria Math"/>
                <w:color w:val="auto"/>
                <w:highlight w:val="none"/>
                <w:lang w:eastAsia="zh-CN"/>
              </w:rPr>
            </m:ctrlPr>
          </m:den>
        </m:f>
        <m:r>
          <m:rPr>
            <m:sty m:val="p"/>
          </m:rPr>
          <w:rPr>
            <w:rFonts w:ascii="Cambria Math" w:hAnsi="Cambria Math"/>
            <w:color w:val="auto"/>
            <w:highlight w:val="none"/>
            <w:lang w:eastAsia="zh-CN"/>
          </w:rPr>
          <m:t xml:space="preserve"> </m:t>
        </m:r>
        <m:r>
          <m:rPr>
            <m:sty m:val="p"/>
          </m:rPr>
          <w:rPr>
            <w:rFonts w:hint="eastAsia" w:ascii="Cambria Math" w:hAnsi="Cambria Math"/>
            <w:color w:val="auto"/>
            <w:highlight w:val="none"/>
            <w:lang w:eastAsia="zh-CN"/>
          </w:rPr>
          <m:t>（g</m:t>
        </m:r>
        <m:r>
          <m:rPr>
            <m:sty m:val="p"/>
          </m:rPr>
          <w:rPr>
            <w:rFonts w:ascii="Cambria Math" w:hAnsi="Cambria Math"/>
            <w:color w:val="auto"/>
            <w:highlight w:val="none"/>
            <w:lang w:eastAsia="zh-CN"/>
          </w:rPr>
          <m:t>+q</m:t>
        </m:r>
        <m:r>
          <m:rPr>
            <m:sty m:val="p"/>
          </m:rPr>
          <w:rPr>
            <w:rFonts w:hint="eastAsia" w:ascii="Cambria Math" w:hAnsi="Cambria Math"/>
            <w:color w:val="auto"/>
            <w:highlight w:val="none"/>
            <w:lang w:eastAsia="zh-CN"/>
          </w:rPr>
          <m:t>）</m:t>
        </m:r>
        <m:sSup>
          <m:sSupPr>
            <m:ctrlPr>
              <w:rPr>
                <w:rFonts w:hint="eastAsia" w:ascii="Cambria Math" w:hAnsi="Cambria Math"/>
                <w:i/>
                <w:iCs/>
                <w:color w:val="auto"/>
                <w:highlight w:val="none"/>
                <w:lang w:eastAsia="zh-CN"/>
              </w:rPr>
            </m:ctrlPr>
          </m:sSupPr>
          <m:e>
            <m:r>
              <m:rPr/>
              <w:rPr>
                <w:rFonts w:ascii="Cambria Math" w:hAnsi="Cambria Math"/>
                <w:color w:val="auto"/>
                <w:highlight w:val="none"/>
                <w:lang w:eastAsia="zh-CN"/>
              </w:rPr>
              <m:t>l</m:t>
            </m:r>
            <m:ctrlPr>
              <w:rPr>
                <w:rFonts w:hint="eastAsia" w:ascii="Cambria Math" w:hAnsi="Cambria Math"/>
                <w:i/>
                <w:iCs/>
                <w:color w:val="auto"/>
                <w:highlight w:val="none"/>
                <w:lang w:eastAsia="zh-CN"/>
              </w:rPr>
            </m:ctrlPr>
          </m:e>
          <m:sup>
            <m:r>
              <m:rPr/>
              <w:rPr>
                <w:rFonts w:ascii="Cambria Math" w:hAnsi="Cambria Math"/>
                <w:color w:val="auto"/>
                <w:highlight w:val="none"/>
                <w:lang w:eastAsia="zh-CN"/>
              </w:rPr>
              <m:t>2</m:t>
            </m:r>
            <m:ctrlPr>
              <w:rPr>
                <w:rFonts w:hint="eastAsia" w:ascii="Cambria Math" w:hAnsi="Cambria Math"/>
                <w:i/>
                <w:iCs/>
                <w:color w:val="auto"/>
                <w:highlight w:val="none"/>
                <w:lang w:eastAsia="zh-CN"/>
              </w:rPr>
            </m:ctrlPr>
          </m:sup>
        </m:sSup>
      </m:oMath>
      <w:r>
        <w:rPr>
          <w:rFonts w:hint="eastAsia"/>
          <w:color w:val="auto"/>
          <w:highlight w:val="none"/>
        </w:rPr>
        <w:t xml:space="preserve">                     （</w:t>
      </w:r>
      <w:r>
        <w:rPr>
          <w:rFonts w:hint="eastAsia"/>
          <w:color w:val="auto"/>
          <w:highlight w:val="none"/>
          <w:lang w:eastAsia="zh-CN"/>
        </w:rPr>
        <w:t>7.5</w:t>
      </w:r>
      <w:r>
        <w:rPr>
          <w:rFonts w:hint="eastAsia"/>
          <w:color w:val="auto"/>
          <w:highlight w:val="none"/>
        </w:rPr>
        <w:t>.5）</w:t>
      </w:r>
    </w:p>
    <w:p w14:paraId="7C6AF075">
      <w:pPr>
        <w:pStyle w:val="4"/>
        <w:rPr>
          <w:color w:val="auto"/>
          <w:highlight w:val="none"/>
        </w:rPr>
      </w:pPr>
      <w:r>
        <w:rPr>
          <w:rFonts w:hint="eastAsia"/>
          <w:color w:val="auto"/>
          <w:highlight w:val="none"/>
        </w:rPr>
        <w:t>式中：</w:t>
      </w:r>
      <w:r>
        <w:rPr>
          <w:color w:val="auto"/>
          <w:highlight w:val="none"/>
        </w:rPr>
        <w:t>g、q――</w:t>
      </w:r>
      <w:r>
        <w:rPr>
          <w:rFonts w:hint="eastAsia"/>
          <w:color w:val="auto"/>
          <w:highlight w:val="none"/>
          <w:lang w:eastAsia="zh-CN"/>
        </w:rPr>
        <w:t>上</w:t>
      </w:r>
      <w:r>
        <w:rPr>
          <w:color w:val="auto"/>
          <w:highlight w:val="none"/>
        </w:rPr>
        <w:t>弦的均布恒载、活载或雪载设计值；</w:t>
      </w:r>
    </w:p>
    <w:p w14:paraId="703502A6">
      <w:pPr>
        <w:pStyle w:val="4"/>
        <w:rPr>
          <w:color w:val="auto"/>
          <w:highlight w:val="none"/>
        </w:rPr>
      </w:pPr>
      <w:r>
        <w:rPr>
          <w:color w:val="auto"/>
          <w:highlight w:val="none"/>
        </w:rPr>
        <w:t xml:space="preserve">   </w:t>
      </w:r>
      <w:r>
        <w:rPr>
          <w:rFonts w:hint="eastAsia"/>
          <w:color w:val="auto"/>
          <w:highlight w:val="none"/>
          <w:lang w:eastAsia="zh-CN"/>
        </w:rPr>
        <w:t xml:space="preserve">    </w:t>
      </w:r>
      <w:r>
        <w:rPr>
          <w:color w:val="auto"/>
          <w:highlight w:val="none"/>
        </w:rPr>
        <w:t xml:space="preserve">  </w:t>
      </w:r>
      <w:r>
        <w:rPr>
          <w:i/>
          <w:iCs/>
          <w:color w:val="auto"/>
          <w:highlight w:val="none"/>
        </w:rPr>
        <w:t>l</w:t>
      </w:r>
      <w:r>
        <w:rPr>
          <w:color w:val="auto"/>
          <w:highlight w:val="none"/>
        </w:rPr>
        <w:t>――杆件的计算长度。</w:t>
      </w:r>
    </w:p>
    <w:p w14:paraId="2DF353BC">
      <w:pPr>
        <w:pStyle w:val="4"/>
        <w:rPr>
          <w:color w:val="auto"/>
          <w:highlight w:val="none"/>
        </w:rPr>
      </w:pPr>
      <w:r>
        <w:rPr>
          <w:rFonts w:hint="eastAsia"/>
          <w:b/>
          <w:bCs/>
          <w:color w:val="auto"/>
          <w:highlight w:val="none"/>
          <w:lang w:eastAsia="zh-CN"/>
        </w:rPr>
        <w:t>7.5.6</w:t>
      </w:r>
      <w:r>
        <w:rPr>
          <w:b/>
          <w:bCs/>
          <w:color w:val="auto"/>
          <w:highlight w:val="none"/>
        </w:rPr>
        <w:t xml:space="preserve"> </w:t>
      </w:r>
      <w:r>
        <w:rPr>
          <w:rFonts w:hint="eastAsia"/>
          <w:b/>
          <w:bCs/>
          <w:color w:val="auto"/>
          <w:highlight w:val="none"/>
          <w:lang w:eastAsia="zh-CN"/>
        </w:rPr>
        <w:t xml:space="preserve"> </w:t>
      </w:r>
      <w:r>
        <w:rPr>
          <w:color w:val="auto"/>
          <w:highlight w:val="none"/>
        </w:rPr>
        <w:t>桁架压杆的计算长度取值应符合下列规定：</w:t>
      </w:r>
    </w:p>
    <w:p w14:paraId="365E437D">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在结构平面内，桁架弦杆及腹杆应取节点中心间的距离。</w:t>
      </w:r>
    </w:p>
    <w:p w14:paraId="697B2F53">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在结构平面外，桁架上弦应取锚固檩条间距离；桁架腹杆应取节点中心间距离。在杆系拱、框架及类似结构中的受压下弦，应取侧向支撑点间的距离。</w:t>
      </w:r>
    </w:p>
    <w:p w14:paraId="07CB34D9">
      <w:pPr>
        <w:pStyle w:val="4"/>
        <w:rPr>
          <w:color w:val="auto"/>
          <w:highlight w:val="none"/>
        </w:rPr>
      </w:pPr>
      <w:r>
        <w:rPr>
          <w:rFonts w:hint="eastAsia"/>
          <w:b/>
          <w:bCs/>
          <w:color w:val="auto"/>
          <w:highlight w:val="none"/>
          <w:lang w:eastAsia="zh-CN"/>
        </w:rPr>
        <w:t>7.5</w:t>
      </w:r>
      <w:r>
        <w:rPr>
          <w:rFonts w:hint="eastAsia"/>
          <w:b/>
          <w:bCs/>
          <w:color w:val="auto"/>
          <w:highlight w:val="none"/>
        </w:rPr>
        <w:t>.7</w:t>
      </w:r>
      <w:r>
        <w:rPr>
          <w:color w:val="auto"/>
          <w:highlight w:val="none"/>
        </w:rPr>
        <w:t xml:space="preserve"> </w:t>
      </w:r>
      <w:r>
        <w:rPr>
          <w:rFonts w:hint="eastAsia"/>
          <w:color w:val="auto"/>
          <w:highlight w:val="none"/>
          <w:lang w:eastAsia="zh-CN"/>
        </w:rPr>
        <w:t xml:space="preserve"> </w:t>
      </w:r>
      <w:r>
        <w:rPr>
          <w:color w:val="auto"/>
          <w:highlight w:val="none"/>
        </w:rPr>
        <w:t>设计木桁架时，其构造应符合下列要求：</w:t>
      </w:r>
    </w:p>
    <w:p w14:paraId="070EDE55">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受拉下弦接头应保证轴心传递拉力；下弦接头不宜多于两个；接头应锯平对正，宜采用螺栓和木夹板连接。</w:t>
      </w:r>
    </w:p>
    <w:p w14:paraId="71CA818D">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当受拉下弦接头采用螺栓木夹板或钢夹板连接时，接头每端的螺栓数由计算确定，但不宜少于6个，且不应排成单行；当采用木夹板时，应选用优质的气干木材制作，其厚度不应小于下弦宽度的1/2；若桁架跨度较大，木夹板的厚度不宜小于100</w:t>
      </w:r>
      <w:r>
        <w:rPr>
          <w:rFonts w:hint="eastAsia"/>
          <w:color w:val="auto"/>
          <w:highlight w:val="none"/>
          <w:lang w:eastAsia="zh-CN"/>
        </w:rPr>
        <w:t>㎜</w:t>
      </w:r>
      <w:r>
        <w:rPr>
          <w:color w:val="auto"/>
          <w:highlight w:val="none"/>
        </w:rPr>
        <w:t>；采用钢夹板时，其厚度不应小于6</w:t>
      </w:r>
      <w:r>
        <w:rPr>
          <w:rFonts w:hint="eastAsia"/>
          <w:color w:val="auto"/>
          <w:highlight w:val="none"/>
          <w:lang w:eastAsia="zh-CN"/>
        </w:rPr>
        <w:t>㎜</w:t>
      </w:r>
      <w:r>
        <w:rPr>
          <w:color w:val="auto"/>
          <w:highlight w:val="none"/>
        </w:rPr>
        <w:t>。</w:t>
      </w:r>
    </w:p>
    <w:p w14:paraId="51A023E4">
      <w:pPr>
        <w:pStyle w:val="4"/>
        <w:rPr>
          <w:color w:val="auto"/>
          <w:highlight w:val="none"/>
        </w:rPr>
      </w:pPr>
      <w:r>
        <w:rPr>
          <w:color w:val="auto"/>
          <w:highlight w:val="none"/>
        </w:rPr>
        <w:t xml:space="preserve">   3 </w:t>
      </w:r>
      <w:r>
        <w:rPr>
          <w:rFonts w:hint="eastAsia"/>
          <w:color w:val="auto"/>
          <w:highlight w:val="none"/>
          <w:lang w:eastAsia="zh-CN"/>
        </w:rPr>
        <w:t xml:space="preserve"> </w:t>
      </w:r>
      <w:r>
        <w:rPr>
          <w:color w:val="auto"/>
          <w:highlight w:val="none"/>
        </w:rPr>
        <w:t>桁架上弦的受压接头应设在节点附近，并不宜设在支座节间和脊节间内；受压接头应锯平，可用木夹板连接，但接缝每侧至少应有两个螺栓系紧；木夹板的厚度宜取上弦宽度的1/2，长度宜取上弦宽度的5倍。</w:t>
      </w:r>
    </w:p>
    <w:p w14:paraId="34F14F40">
      <w:pPr>
        <w:pStyle w:val="4"/>
        <w:rPr>
          <w:color w:val="auto"/>
          <w:highlight w:val="none"/>
        </w:rPr>
      </w:pPr>
      <w:r>
        <w:rPr>
          <w:color w:val="auto"/>
          <w:highlight w:val="none"/>
        </w:rPr>
        <w:t xml:space="preserve">   4 </w:t>
      </w:r>
      <w:r>
        <w:rPr>
          <w:rFonts w:hint="eastAsia"/>
          <w:color w:val="auto"/>
          <w:highlight w:val="none"/>
          <w:lang w:eastAsia="zh-CN"/>
        </w:rPr>
        <w:t xml:space="preserve"> </w:t>
      </w:r>
      <w:r>
        <w:rPr>
          <w:color w:val="auto"/>
          <w:highlight w:val="none"/>
        </w:rPr>
        <w:t>当支座节点采用齿连接时，应使下弦的受剪面避开髓心（图</w:t>
      </w:r>
      <w:r>
        <w:rPr>
          <w:rFonts w:hint="eastAsia"/>
          <w:color w:val="auto"/>
          <w:highlight w:val="none"/>
          <w:lang w:eastAsia="zh-CN"/>
        </w:rPr>
        <w:t>7.5.</w:t>
      </w:r>
      <w:r>
        <w:rPr>
          <w:color w:val="auto"/>
          <w:highlight w:val="none"/>
        </w:rPr>
        <w:t>7），并应在施工图中注明此要求。</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30685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1E11C0ED">
            <w:pPr>
              <w:pStyle w:val="44"/>
              <w:ind w:firstLine="198"/>
              <w:rPr>
                <w:color w:val="auto"/>
                <w:highlight w:val="none"/>
              </w:rPr>
            </w:pPr>
            <w:r>
              <w:rPr>
                <w:color w:val="auto"/>
                <w:highlight w:val="none"/>
              </w:rPr>
              <w:drawing>
                <wp:inline distT="0" distB="0" distL="0" distR="0">
                  <wp:extent cx="2798445" cy="1412240"/>
                  <wp:effectExtent l="0" t="0" r="1905" b="16510"/>
                  <wp:docPr id="2038405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05692" name="图片 1"/>
                          <pic:cNvPicPr>
                            <a:picLocks noChangeAspect="1"/>
                          </pic:cNvPicPr>
                        </pic:nvPicPr>
                        <pic:blipFill>
                          <a:blip r:embed="rId23" cstate="print"/>
                          <a:stretch>
                            <a:fillRect/>
                          </a:stretch>
                        </pic:blipFill>
                        <pic:spPr>
                          <a:xfrm>
                            <a:off x="0" y="0"/>
                            <a:ext cx="2798445" cy="1412240"/>
                          </a:xfrm>
                          <a:prstGeom prst="rect">
                            <a:avLst/>
                          </a:prstGeom>
                        </pic:spPr>
                      </pic:pic>
                    </a:graphicData>
                  </a:graphic>
                </wp:inline>
              </w:drawing>
            </w:r>
          </w:p>
          <w:p w14:paraId="15D253CE">
            <w:pPr>
              <w:pStyle w:val="44"/>
              <w:ind w:firstLine="198"/>
              <w:rPr>
                <w:color w:val="auto"/>
                <w:highlight w:val="none"/>
              </w:rPr>
            </w:pPr>
            <w:r>
              <w:rPr>
                <w:rFonts w:hint="eastAsia"/>
                <w:color w:val="auto"/>
                <w:highlight w:val="none"/>
              </w:rPr>
              <w:t>图7.5.7</w:t>
            </w:r>
            <w:r>
              <w:rPr>
                <w:color w:val="auto"/>
                <w:highlight w:val="none"/>
              </w:rPr>
              <w:t xml:space="preserve"> </w:t>
            </w:r>
            <w:r>
              <w:rPr>
                <w:rFonts w:hint="eastAsia"/>
                <w:color w:val="auto"/>
                <w:highlight w:val="none"/>
              </w:rPr>
              <w:t xml:space="preserve"> </w:t>
            </w:r>
            <w:r>
              <w:rPr>
                <w:color w:val="auto"/>
                <w:highlight w:val="none"/>
              </w:rPr>
              <w:t>受剪面避开髓心示意</w:t>
            </w:r>
          </w:p>
          <w:p w14:paraId="06EDAD55">
            <w:pPr>
              <w:jc w:val="center"/>
              <w:rPr>
                <w:color w:val="auto"/>
                <w:sz w:val="21"/>
                <w:szCs w:val="21"/>
                <w:highlight w:val="none"/>
              </w:rPr>
            </w:pPr>
            <w:r>
              <w:rPr>
                <w:color w:val="auto"/>
                <w:sz w:val="21"/>
                <w:szCs w:val="21"/>
                <w:highlight w:val="none"/>
              </w:rPr>
              <w:t>1</w:t>
            </w:r>
            <w:r>
              <w:rPr>
                <w:rFonts w:hint="eastAsia"/>
                <w:color w:val="auto"/>
                <w:sz w:val="21"/>
                <w:szCs w:val="21"/>
                <w:highlight w:val="none"/>
                <w:lang w:eastAsia="zh-CN"/>
              </w:rPr>
              <w:t>－</w:t>
            </w:r>
            <w:r>
              <w:rPr>
                <w:color w:val="auto"/>
                <w:sz w:val="21"/>
                <w:szCs w:val="21"/>
                <w:highlight w:val="none"/>
              </w:rPr>
              <w:t>受剪面；2-髓心</w:t>
            </w:r>
          </w:p>
        </w:tc>
      </w:tr>
    </w:tbl>
    <w:p w14:paraId="071BEF6C">
      <w:pPr>
        <w:pStyle w:val="50"/>
        <w:bidi w:val="0"/>
        <w:rPr>
          <w:color w:val="auto"/>
          <w:highlight w:val="none"/>
          <w:lang w:eastAsia="zh-CN"/>
        </w:rPr>
      </w:pPr>
      <w:r>
        <w:rPr>
          <w:rFonts w:hint="eastAsia"/>
          <w:color w:val="auto"/>
          <w:highlight w:val="none"/>
          <w:lang w:eastAsia="zh-CN"/>
        </w:rPr>
        <w:t>【条文说明】7.5.7  木桁架的下弦受拉接头、上弦受压接头和支座节点均是桁架结构中的关键部位。为了保证其工作的可靠性，设计时应注意三个要点：一是传力明确；二是能防止木材裂缝的危害；三是接头应有足够的侧向刚度。本条规定的构造措施，就是根据这三点要求，在总结各地实践经验的基础上提出的。其中需要加以说明的有下列几点：</w:t>
      </w:r>
    </w:p>
    <w:p w14:paraId="0A20FB08">
      <w:pPr>
        <w:pStyle w:val="50"/>
        <w:bidi w:val="0"/>
        <w:rPr>
          <w:color w:val="auto"/>
          <w:highlight w:val="none"/>
          <w:lang w:eastAsia="zh-CN"/>
        </w:rPr>
      </w:pPr>
      <w:r>
        <w:rPr>
          <w:rFonts w:hint="eastAsia"/>
          <w:color w:val="auto"/>
          <w:highlight w:val="none"/>
          <w:lang w:eastAsia="zh-CN"/>
        </w:rPr>
        <w:t>1 在受拉接头中，最忌的是受剪面与木材的主裂缝重合（裂缝尚未出现时，最忌与木材的髓心所在面重合）。为了防止出现这一情况，最佳的办法是采用“破心下料”锯成的方木；或是在配料时，能通过方位的调整，而使螺栓的受剪面避开裂缝或髓心。然而这两项措施并非在所有情况下都能做到，因此，在推荐上述措施的同时，应进一步采取必要的保险措施，以使接头不至于发生脆性破坏。这些措施包括：</w:t>
      </w:r>
    </w:p>
    <w:p w14:paraId="3C89C501">
      <w:pPr>
        <w:pStyle w:val="50"/>
        <w:bidi w:val="0"/>
        <w:rPr>
          <w:color w:val="auto"/>
          <w:highlight w:val="none"/>
          <w:lang w:eastAsia="zh-CN"/>
        </w:rPr>
      </w:pPr>
      <w:r>
        <w:rPr>
          <w:rFonts w:hint="eastAsia"/>
          <w:color w:val="auto"/>
          <w:highlight w:val="none"/>
          <w:lang w:eastAsia="zh-CN"/>
        </w:rPr>
        <w:t>1) 规定接头每端的螺栓数目不宜少于6个，以使连接中的螺栓直径不致过粗，这就从构造上保证了接头受力具有较好的韧性。</w:t>
      </w:r>
    </w:p>
    <w:p w14:paraId="2D30B47E">
      <w:pPr>
        <w:pStyle w:val="50"/>
        <w:bidi w:val="0"/>
        <w:rPr>
          <w:color w:val="auto"/>
          <w:highlight w:val="none"/>
          <w:lang w:eastAsia="zh-CN"/>
        </w:rPr>
      </w:pPr>
      <w:r>
        <w:rPr>
          <w:rFonts w:hint="eastAsia"/>
          <w:color w:val="auto"/>
          <w:highlight w:val="none"/>
          <w:lang w:eastAsia="zh-CN"/>
        </w:rPr>
        <w:t>2) 规定螺栓不应排成单行，从而保证了半数以上螺栓的剪面不会与主裂缝重合，其余的螺栓，虽仍有可能遇到裂缝，但此时的主裂缝已不位于截面高度的中央，很难有贯通之可能，提高了接头工作的可靠性。</w:t>
      </w:r>
    </w:p>
    <w:p w14:paraId="0A0B34EE">
      <w:pPr>
        <w:pStyle w:val="50"/>
        <w:bidi w:val="0"/>
        <w:rPr>
          <w:color w:val="auto"/>
          <w:highlight w:val="none"/>
          <w:lang w:eastAsia="zh-CN"/>
        </w:rPr>
      </w:pPr>
      <w:r>
        <w:rPr>
          <w:rFonts w:hint="eastAsia"/>
          <w:color w:val="auto"/>
          <w:highlight w:val="none"/>
          <w:lang w:eastAsia="zh-CN"/>
        </w:rPr>
        <w:t>3) 规定在跨度较大的桁架中，采用较厚的木夹板．其目的在于保证螺栓处于良好的受力状态，并使接头具有较大的侧向刚度。</w:t>
      </w:r>
    </w:p>
    <w:p w14:paraId="7A11A4B2">
      <w:pPr>
        <w:pStyle w:val="50"/>
        <w:bidi w:val="0"/>
        <w:rPr>
          <w:color w:val="auto"/>
          <w:highlight w:val="none"/>
          <w:lang w:eastAsia="zh-CN"/>
        </w:rPr>
      </w:pPr>
      <w:r>
        <w:rPr>
          <w:rFonts w:hint="eastAsia"/>
          <w:color w:val="auto"/>
          <w:highlight w:val="none"/>
          <w:lang w:eastAsia="zh-CN"/>
        </w:rPr>
        <w:t>2 在上弦接头中，最忌的是接头位置不当和侧向刚度差。为此，本条对这两个关键问题都作了必要的规定。强调上弦受压接头“应锯平对接”，其目的在于防止采用“斜搭接”。因为斜搭接不仅不易紧密抵承，更主要的是它的侧向刚度差，容易使上弦鼓出平面外。</w:t>
      </w:r>
    </w:p>
    <w:p w14:paraId="0BD9E2BD">
      <w:pPr>
        <w:pStyle w:val="50"/>
        <w:bidi w:val="0"/>
        <w:rPr>
          <w:color w:val="auto"/>
          <w:highlight w:val="none"/>
          <w:lang w:eastAsia="zh-CN"/>
        </w:rPr>
      </w:pPr>
      <w:r>
        <w:rPr>
          <w:rFonts w:hint="eastAsia"/>
          <w:color w:val="auto"/>
          <w:highlight w:val="none"/>
          <w:lang w:eastAsia="zh-CN"/>
        </w:rPr>
        <w:t>3 在桁架的支座节点中采用齿连接，只要其受剪面能避开髓心（或木材的主裂缝），一般就不会出安全事故。因此，本条规定对于这一构造措施应在施工图中注明。</w:t>
      </w:r>
    </w:p>
    <w:p w14:paraId="509FB633">
      <w:pPr>
        <w:pStyle w:val="50"/>
        <w:bidi w:val="0"/>
        <w:rPr>
          <w:rFonts w:hint="eastAsia"/>
          <w:color w:val="auto"/>
          <w:highlight w:val="none"/>
          <w:lang w:eastAsia="zh-CN"/>
        </w:rPr>
      </w:pPr>
      <w:r>
        <w:rPr>
          <w:rFonts w:hint="eastAsia"/>
          <w:color w:val="auto"/>
          <w:highlight w:val="none"/>
          <w:lang w:eastAsia="zh-CN"/>
        </w:rPr>
        <w:t>4 对木桁架的最大跨度问题，由于各地使用的树种不同，经验也不同，要规定一个统一的限值较为困难。况且，大跨度木桁架的主要问题是下弦接头多，致使桁架的挠度大。为了减小桁架的变形，本条作出了“下弦接头不宜多于两个”的规定。由于商品材的长度有限，因而这一规定本身已间接地起到了限制木桁架跨度的作用。</w:t>
      </w:r>
    </w:p>
    <w:p w14:paraId="49BD070E">
      <w:pPr>
        <w:rPr>
          <w:color w:val="auto"/>
          <w:highlight w:val="none"/>
          <w:lang w:eastAsia="zh-CN"/>
        </w:rPr>
      </w:pPr>
    </w:p>
    <w:p w14:paraId="018FF26B">
      <w:pPr>
        <w:pStyle w:val="4"/>
        <w:rPr>
          <w:color w:val="auto"/>
          <w:highlight w:val="none"/>
        </w:rPr>
      </w:pPr>
      <w:r>
        <w:rPr>
          <w:rFonts w:hint="eastAsia"/>
          <w:b/>
          <w:bCs/>
          <w:color w:val="auto"/>
          <w:highlight w:val="none"/>
          <w:lang w:eastAsia="zh-CN"/>
        </w:rPr>
        <w:t>7.5</w:t>
      </w:r>
      <w:r>
        <w:rPr>
          <w:rFonts w:hint="eastAsia"/>
          <w:b/>
          <w:bCs/>
          <w:color w:val="auto"/>
          <w:highlight w:val="none"/>
        </w:rPr>
        <w:t>.8</w:t>
      </w:r>
      <w:r>
        <w:rPr>
          <w:b/>
          <w:bCs/>
          <w:color w:val="auto"/>
          <w:highlight w:val="none"/>
        </w:rPr>
        <w:t xml:space="preserve"> </w:t>
      </w:r>
      <w:r>
        <w:rPr>
          <w:rFonts w:hint="eastAsia"/>
          <w:b/>
          <w:bCs/>
          <w:color w:val="auto"/>
          <w:highlight w:val="none"/>
          <w:lang w:eastAsia="zh-CN"/>
        </w:rPr>
        <w:t xml:space="preserve"> </w:t>
      </w:r>
      <w:r>
        <w:rPr>
          <w:color w:val="auto"/>
          <w:highlight w:val="none"/>
        </w:rPr>
        <w:t>钢木桁架的下弦可采用圆钢或型钢，并应符合下列规定：</w:t>
      </w:r>
    </w:p>
    <w:p w14:paraId="145EAE11">
      <w:pPr>
        <w:pStyle w:val="4"/>
        <w:ind w:firstLine="480" w:firstLineChars="200"/>
        <w:rPr>
          <w:color w:val="auto"/>
          <w:highlight w:val="none"/>
        </w:rPr>
      </w:pPr>
      <w:r>
        <w:rPr>
          <w:color w:val="auto"/>
          <w:highlight w:val="none"/>
        </w:rPr>
        <w:t>1</w:t>
      </w:r>
      <w:r>
        <w:rPr>
          <w:rFonts w:hint="eastAsia"/>
          <w:color w:val="auto"/>
          <w:highlight w:val="none"/>
          <w:lang w:eastAsia="zh-CN"/>
        </w:rPr>
        <w:t xml:space="preserve"> </w:t>
      </w:r>
      <w:r>
        <w:rPr>
          <w:color w:val="auto"/>
          <w:highlight w:val="none"/>
        </w:rPr>
        <w:t xml:space="preserve"> 当跨度较大或有振动影响时，宜采用型钢；</w:t>
      </w:r>
    </w:p>
    <w:p w14:paraId="3BF5DFD8">
      <w:pPr>
        <w:pStyle w:val="4"/>
        <w:ind w:firstLine="480" w:firstLineChars="200"/>
        <w:rPr>
          <w:color w:val="auto"/>
          <w:highlight w:val="none"/>
        </w:rPr>
      </w:pPr>
      <w:r>
        <w:rPr>
          <w:color w:val="auto"/>
          <w:highlight w:val="none"/>
        </w:rPr>
        <w:t xml:space="preserve">2 </w:t>
      </w:r>
      <w:r>
        <w:rPr>
          <w:rFonts w:hint="eastAsia"/>
          <w:color w:val="auto"/>
          <w:highlight w:val="none"/>
          <w:lang w:eastAsia="zh-CN"/>
        </w:rPr>
        <w:t xml:space="preserve"> </w:t>
      </w:r>
      <w:r>
        <w:rPr>
          <w:color w:val="auto"/>
          <w:highlight w:val="none"/>
        </w:rPr>
        <w:t>圆钢下弦应设有调整松紧的装置；</w:t>
      </w:r>
    </w:p>
    <w:p w14:paraId="2998C2B6">
      <w:pPr>
        <w:pStyle w:val="4"/>
        <w:ind w:firstLine="480" w:firstLineChars="200"/>
        <w:rPr>
          <w:color w:val="auto"/>
          <w:highlight w:val="none"/>
        </w:rPr>
      </w:pPr>
      <w:r>
        <w:rPr>
          <w:color w:val="auto"/>
          <w:highlight w:val="none"/>
        </w:rPr>
        <w:t>3</w:t>
      </w:r>
      <w:r>
        <w:rPr>
          <w:rFonts w:hint="eastAsia"/>
          <w:color w:val="auto"/>
          <w:highlight w:val="none"/>
          <w:lang w:eastAsia="zh-CN"/>
        </w:rPr>
        <w:t xml:space="preserve"> </w:t>
      </w:r>
      <w:r>
        <w:rPr>
          <w:color w:val="auto"/>
          <w:highlight w:val="none"/>
        </w:rPr>
        <w:t xml:space="preserve"> 当下弦节点间距大于250倍圆钢直径时，应对圆钢下弦拉杆设置吊杆；</w:t>
      </w:r>
    </w:p>
    <w:p w14:paraId="6AAAF7F5">
      <w:pPr>
        <w:pStyle w:val="4"/>
        <w:ind w:firstLine="480" w:firstLineChars="200"/>
        <w:rPr>
          <w:color w:val="auto"/>
          <w:highlight w:val="none"/>
        </w:rPr>
      </w:pPr>
      <w:r>
        <w:rPr>
          <w:color w:val="auto"/>
          <w:highlight w:val="none"/>
        </w:rPr>
        <w:t xml:space="preserve">4 </w:t>
      </w:r>
      <w:r>
        <w:rPr>
          <w:rFonts w:hint="eastAsia"/>
          <w:color w:val="auto"/>
          <w:highlight w:val="none"/>
          <w:lang w:eastAsia="zh-CN"/>
        </w:rPr>
        <w:t xml:space="preserve"> </w:t>
      </w:r>
      <w:r>
        <w:rPr>
          <w:color w:val="auto"/>
          <w:highlight w:val="none"/>
        </w:rPr>
        <w:t>杆端有螺纹的圆钢拉杆，当直径大于22</w:t>
      </w:r>
      <w:r>
        <w:rPr>
          <w:rFonts w:hint="eastAsia"/>
          <w:color w:val="auto"/>
          <w:highlight w:val="none"/>
          <w:lang w:eastAsia="zh-CN"/>
        </w:rPr>
        <w:t>㎜</w:t>
      </w:r>
      <w:r>
        <w:rPr>
          <w:color w:val="auto"/>
          <w:highlight w:val="none"/>
        </w:rPr>
        <w:t>时，宜将杆端加粗，其螺纹应由车床加工；</w:t>
      </w:r>
    </w:p>
    <w:p w14:paraId="57B4B821">
      <w:pPr>
        <w:pStyle w:val="4"/>
        <w:ind w:firstLine="480" w:firstLineChars="200"/>
        <w:rPr>
          <w:color w:val="auto"/>
          <w:highlight w:val="none"/>
          <w:lang w:eastAsia="zh-CN"/>
        </w:rPr>
      </w:pPr>
      <w:r>
        <w:rPr>
          <w:color w:val="auto"/>
          <w:highlight w:val="none"/>
        </w:rPr>
        <w:t>5</w:t>
      </w:r>
      <w:r>
        <w:rPr>
          <w:rFonts w:hint="eastAsia"/>
          <w:color w:val="auto"/>
          <w:highlight w:val="none"/>
          <w:lang w:eastAsia="zh-CN"/>
        </w:rPr>
        <w:t xml:space="preserve"> </w:t>
      </w:r>
      <w:r>
        <w:rPr>
          <w:color w:val="auto"/>
          <w:highlight w:val="none"/>
        </w:rPr>
        <w:t xml:space="preserve"> 圆钢应经调直，需接长时宜采用机械连接或对接焊、双帮条焊，不应采用搭接焊。焊接接头的质量应符合现行国家标准《钢结构工程施工质量验收规范》GB 50205的规定。</w:t>
      </w:r>
    </w:p>
    <w:p w14:paraId="2A2C3A0C">
      <w:pPr>
        <w:pStyle w:val="50"/>
        <w:bidi w:val="0"/>
        <w:rPr>
          <w:rFonts w:hint="eastAsia"/>
          <w:color w:val="auto"/>
          <w:highlight w:val="none"/>
          <w:lang w:eastAsia="zh-CN"/>
        </w:rPr>
      </w:pPr>
      <w:r>
        <w:rPr>
          <w:rFonts w:hint="eastAsia"/>
          <w:color w:val="auto"/>
          <w:highlight w:val="none"/>
          <w:lang w:eastAsia="zh-CN"/>
        </w:rPr>
        <w:t>【条文说明】7.5.8  钢木桁架具有良好的工作性能，可以解决大跨度木结构以及在木结构工程中使用湿材的许多涉及安全的技术问题，因此得到广泛的应用。但由于设计、施工水平不同，在应用中也发生了一些工程质量事故。调查表明，这些事故几乎都是由于构造不当造成，而不是钢木桁架本身的性能问题。为了从构造上采取统一的技术措施，以确保钢木桁架的质量，曾组织了“钢木桁架合理构造的试验规定”这一重点课题的研究，本标准根据其研究成果，将其与安全有关的结论作出必要的规定。可采用焊接一段较粗短的圆钢的方式将杆端加粗。</w:t>
      </w:r>
    </w:p>
    <w:p w14:paraId="059CAAA6">
      <w:pPr>
        <w:rPr>
          <w:color w:val="auto"/>
          <w:highlight w:val="none"/>
          <w:lang w:eastAsia="zh-CN"/>
        </w:rPr>
      </w:pPr>
    </w:p>
    <w:p w14:paraId="2DE06B4F">
      <w:pPr>
        <w:pStyle w:val="4"/>
        <w:rPr>
          <w:color w:val="auto"/>
          <w:highlight w:val="none"/>
        </w:rPr>
      </w:pPr>
      <w:r>
        <w:rPr>
          <w:rFonts w:hint="eastAsia"/>
          <w:b/>
          <w:bCs/>
          <w:color w:val="auto"/>
          <w:highlight w:val="none"/>
          <w:lang w:eastAsia="zh-CN"/>
        </w:rPr>
        <w:t>7.5</w:t>
      </w:r>
      <w:r>
        <w:rPr>
          <w:rFonts w:hint="eastAsia"/>
          <w:b/>
          <w:bCs/>
          <w:color w:val="auto"/>
          <w:highlight w:val="none"/>
        </w:rPr>
        <w:t>.9</w:t>
      </w:r>
      <w:r>
        <w:rPr>
          <w:b/>
          <w:bCs/>
          <w:color w:val="auto"/>
          <w:highlight w:val="none"/>
        </w:rPr>
        <w:t xml:space="preserve"> </w:t>
      </w:r>
      <w:r>
        <w:rPr>
          <w:rFonts w:hint="eastAsia"/>
          <w:b/>
          <w:bCs/>
          <w:color w:val="auto"/>
          <w:highlight w:val="none"/>
          <w:lang w:eastAsia="zh-CN"/>
        </w:rPr>
        <w:t xml:space="preserve"> </w:t>
      </w:r>
      <w:r>
        <w:rPr>
          <w:color w:val="auto"/>
          <w:highlight w:val="none"/>
        </w:rPr>
        <w:t>当桁架上设有悬挂吊车时，吊点应设在桁架节点处；腹杆与弦杆应采用螺栓或其他连接件扣紧；支撑杆件与桁架弦杆应采用螺栓连接；当为钢木桁架时，应采用型钢下弦。</w:t>
      </w:r>
    </w:p>
    <w:p w14:paraId="51EA457E">
      <w:pPr>
        <w:pStyle w:val="4"/>
        <w:rPr>
          <w:color w:val="auto"/>
          <w:highlight w:val="none"/>
        </w:rPr>
      </w:pPr>
      <w:r>
        <w:rPr>
          <w:rFonts w:hint="eastAsia"/>
          <w:b/>
          <w:bCs/>
          <w:color w:val="auto"/>
          <w:highlight w:val="none"/>
          <w:lang w:eastAsia="zh-CN"/>
        </w:rPr>
        <w:t>7.5</w:t>
      </w:r>
      <w:r>
        <w:rPr>
          <w:rFonts w:hint="eastAsia"/>
          <w:b/>
          <w:bCs/>
          <w:color w:val="auto"/>
          <w:highlight w:val="none"/>
        </w:rPr>
        <w:t>.10</w:t>
      </w:r>
      <w:r>
        <w:rPr>
          <w:b/>
          <w:bCs/>
          <w:color w:val="auto"/>
          <w:highlight w:val="none"/>
        </w:rPr>
        <w:t xml:space="preserve"> </w:t>
      </w:r>
      <w:r>
        <w:rPr>
          <w:rFonts w:hint="eastAsia"/>
          <w:b/>
          <w:bCs/>
          <w:color w:val="auto"/>
          <w:highlight w:val="none"/>
          <w:lang w:eastAsia="zh-CN"/>
        </w:rPr>
        <w:t xml:space="preserve"> </w:t>
      </w:r>
      <w:r>
        <w:rPr>
          <w:color w:val="auto"/>
          <w:highlight w:val="none"/>
        </w:rPr>
        <w:t>当有吊顶时，桁架下弦与吊顶构件间应保持不小于100</w:t>
      </w:r>
      <w:r>
        <w:rPr>
          <w:rFonts w:hint="eastAsia"/>
          <w:color w:val="auto"/>
          <w:highlight w:val="none"/>
          <w:lang w:eastAsia="zh-CN"/>
        </w:rPr>
        <w:t>㎜</w:t>
      </w:r>
      <w:r>
        <w:rPr>
          <w:color w:val="auto"/>
          <w:highlight w:val="none"/>
        </w:rPr>
        <w:t>的净距。</w:t>
      </w:r>
    </w:p>
    <w:p w14:paraId="5A04D16C">
      <w:pPr>
        <w:pStyle w:val="4"/>
        <w:rPr>
          <w:color w:val="auto"/>
          <w:highlight w:val="none"/>
        </w:rPr>
      </w:pPr>
      <w:r>
        <w:rPr>
          <w:rFonts w:hint="eastAsia"/>
          <w:b/>
          <w:bCs/>
          <w:color w:val="auto"/>
          <w:highlight w:val="none"/>
          <w:lang w:eastAsia="zh-CN"/>
        </w:rPr>
        <w:t>7.5</w:t>
      </w:r>
      <w:r>
        <w:rPr>
          <w:rFonts w:hint="eastAsia"/>
          <w:b/>
          <w:bCs/>
          <w:color w:val="auto"/>
          <w:highlight w:val="none"/>
        </w:rPr>
        <w:t>.1</w:t>
      </w:r>
      <w:r>
        <w:rPr>
          <w:rFonts w:hint="eastAsia"/>
          <w:b/>
          <w:bCs/>
          <w:color w:val="auto"/>
          <w:highlight w:val="none"/>
          <w:lang w:eastAsia="zh-CN"/>
        </w:rPr>
        <w:t>1</w:t>
      </w:r>
      <w:r>
        <w:rPr>
          <w:b/>
          <w:bCs/>
          <w:color w:val="auto"/>
          <w:highlight w:val="none"/>
        </w:rPr>
        <w:t xml:space="preserve"> </w:t>
      </w:r>
      <w:r>
        <w:rPr>
          <w:rFonts w:hint="eastAsia"/>
          <w:color w:val="auto"/>
          <w:highlight w:val="none"/>
          <w:lang w:eastAsia="zh-CN"/>
        </w:rPr>
        <w:t xml:space="preserve"> </w:t>
      </w:r>
      <w:r>
        <w:rPr>
          <w:color w:val="auto"/>
          <w:highlight w:val="none"/>
        </w:rPr>
        <w:t>当桁架跨度不小于9m时，桁架支座应采用螺栓与墙、柱锚固。当桁架与木柱连接时，木柱柱脚与基础应采用螺栓锚固。</w:t>
      </w:r>
    </w:p>
    <w:p w14:paraId="652FF888">
      <w:pPr>
        <w:pStyle w:val="4"/>
        <w:rPr>
          <w:color w:val="auto"/>
          <w:highlight w:val="none"/>
        </w:rPr>
      </w:pPr>
      <w:r>
        <w:rPr>
          <w:rFonts w:hint="eastAsia"/>
          <w:b/>
          <w:bCs/>
          <w:color w:val="auto"/>
          <w:highlight w:val="none"/>
          <w:lang w:eastAsia="zh-CN"/>
        </w:rPr>
        <w:t>7.5</w:t>
      </w:r>
      <w:r>
        <w:rPr>
          <w:rFonts w:hint="eastAsia"/>
          <w:b/>
          <w:bCs/>
          <w:color w:val="auto"/>
          <w:highlight w:val="none"/>
        </w:rPr>
        <w:t>.1</w:t>
      </w:r>
      <w:r>
        <w:rPr>
          <w:rFonts w:hint="eastAsia"/>
          <w:b/>
          <w:bCs/>
          <w:color w:val="auto"/>
          <w:highlight w:val="none"/>
          <w:lang w:eastAsia="zh-CN"/>
        </w:rPr>
        <w:t>2</w:t>
      </w:r>
      <w:r>
        <w:rPr>
          <w:b/>
          <w:bCs/>
          <w:color w:val="auto"/>
          <w:highlight w:val="none"/>
        </w:rPr>
        <w:t xml:space="preserve"> </w:t>
      </w:r>
      <w:r>
        <w:rPr>
          <w:rFonts w:hint="eastAsia"/>
          <w:b/>
          <w:bCs/>
          <w:color w:val="auto"/>
          <w:highlight w:val="none"/>
          <w:lang w:eastAsia="zh-CN"/>
        </w:rPr>
        <w:t xml:space="preserve"> </w:t>
      </w:r>
      <w:r>
        <w:rPr>
          <w:color w:val="auto"/>
          <w:highlight w:val="none"/>
        </w:rPr>
        <w:t>设计轻屋面或开敞式建筑的木屋盖时，不论桁架跨度大小，均应将上弦节点处的檩条与桁架、桁架与柱、木柱与基础等予以锚固。</w:t>
      </w:r>
    </w:p>
    <w:p w14:paraId="059F5176">
      <w:pPr>
        <w:pStyle w:val="3"/>
        <w:spacing w:before="156" w:after="156"/>
        <w:rPr>
          <w:color w:val="auto"/>
          <w:highlight w:val="none"/>
        </w:rPr>
      </w:pPr>
      <w:bookmarkStart w:id="169" w:name="_Toc28009"/>
      <w:bookmarkStart w:id="170" w:name="_Toc18392"/>
      <w:bookmarkStart w:id="171" w:name="_Toc21385"/>
      <w:bookmarkStart w:id="172" w:name="_Toc28433"/>
      <w:r>
        <w:rPr>
          <w:rFonts w:hint="eastAsia"/>
          <w:color w:val="auto"/>
          <w:highlight w:val="none"/>
          <w:lang w:eastAsia="zh-CN"/>
        </w:rPr>
        <w:t xml:space="preserve">7.6 </w:t>
      </w:r>
      <w:r>
        <w:rPr>
          <w:rFonts w:hint="eastAsia"/>
          <w:color w:val="auto"/>
          <w:highlight w:val="none"/>
        </w:rPr>
        <w:t xml:space="preserve"> 天</w:t>
      </w:r>
      <w:r>
        <w:rPr>
          <w:rFonts w:hint="eastAsia"/>
          <w:color w:val="auto"/>
          <w:highlight w:val="none"/>
          <w:lang w:eastAsia="zh-CN"/>
        </w:rPr>
        <w:t xml:space="preserve">  </w:t>
      </w:r>
      <w:r>
        <w:rPr>
          <w:rFonts w:hint="eastAsia"/>
          <w:color w:val="auto"/>
          <w:highlight w:val="none"/>
        </w:rPr>
        <w:t>窗</w:t>
      </w:r>
      <w:bookmarkEnd w:id="169"/>
      <w:bookmarkEnd w:id="170"/>
      <w:bookmarkEnd w:id="171"/>
      <w:bookmarkEnd w:id="172"/>
    </w:p>
    <w:p w14:paraId="756EFED2">
      <w:pPr>
        <w:pStyle w:val="4"/>
        <w:rPr>
          <w:color w:val="auto"/>
          <w:highlight w:val="none"/>
        </w:rPr>
      </w:pPr>
      <w:r>
        <w:rPr>
          <w:rFonts w:hint="eastAsia"/>
          <w:b/>
          <w:bCs/>
          <w:color w:val="auto"/>
          <w:highlight w:val="none"/>
          <w:lang w:eastAsia="zh-CN"/>
        </w:rPr>
        <w:t>7.6</w:t>
      </w:r>
      <w:r>
        <w:rPr>
          <w:rFonts w:hint="eastAsia"/>
          <w:b/>
          <w:bCs/>
          <w:color w:val="auto"/>
          <w:highlight w:val="none"/>
        </w:rPr>
        <w:t>.1</w:t>
      </w:r>
      <w:r>
        <w:rPr>
          <w:b/>
          <w:bCs/>
          <w:color w:val="auto"/>
          <w:highlight w:val="none"/>
        </w:rPr>
        <w:t xml:space="preserve"> </w:t>
      </w:r>
      <w:r>
        <w:rPr>
          <w:rFonts w:hint="eastAsia"/>
          <w:b/>
          <w:bCs/>
          <w:color w:val="auto"/>
          <w:highlight w:val="none"/>
          <w:lang w:eastAsia="zh-CN"/>
        </w:rPr>
        <w:t xml:space="preserve"> </w:t>
      </w:r>
      <w:r>
        <w:rPr>
          <w:color w:val="auto"/>
          <w:highlight w:val="none"/>
        </w:rPr>
        <w:t>设置天窗应符合下列规定：</w:t>
      </w:r>
    </w:p>
    <w:p w14:paraId="3066ED22">
      <w:pPr>
        <w:pStyle w:val="4"/>
        <w:rPr>
          <w:color w:val="auto"/>
          <w:highlight w:val="none"/>
        </w:rPr>
      </w:pPr>
      <w:r>
        <w:rPr>
          <w:color w:val="auto"/>
          <w:highlight w:val="none"/>
        </w:rPr>
        <w:t xml:space="preserve">    1 </w:t>
      </w:r>
      <w:r>
        <w:rPr>
          <w:rFonts w:hint="eastAsia"/>
          <w:color w:val="auto"/>
          <w:highlight w:val="none"/>
          <w:lang w:eastAsia="zh-CN"/>
        </w:rPr>
        <w:t xml:space="preserve"> </w:t>
      </w:r>
      <w:r>
        <w:rPr>
          <w:color w:val="auto"/>
          <w:highlight w:val="none"/>
        </w:rPr>
        <w:t>当设置双面天窗时，天窗架的跨度不应大于屋架跨度的1/3；</w:t>
      </w:r>
    </w:p>
    <w:p w14:paraId="74757C3D">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单面天窗的立柱应设置在屋架的节点部位；</w:t>
      </w:r>
    </w:p>
    <w:p w14:paraId="41432A4C">
      <w:pPr>
        <w:pStyle w:val="4"/>
        <w:rPr>
          <w:color w:val="auto"/>
          <w:highlight w:val="none"/>
        </w:rPr>
      </w:pPr>
      <w:r>
        <w:rPr>
          <w:color w:val="auto"/>
          <w:highlight w:val="none"/>
        </w:rPr>
        <w:t xml:space="preserve">    3 </w:t>
      </w:r>
      <w:r>
        <w:rPr>
          <w:rFonts w:hint="eastAsia"/>
          <w:color w:val="auto"/>
          <w:highlight w:val="none"/>
          <w:lang w:eastAsia="zh-CN"/>
        </w:rPr>
        <w:t xml:space="preserve"> </w:t>
      </w:r>
      <w:r>
        <w:rPr>
          <w:color w:val="auto"/>
          <w:highlight w:val="none"/>
        </w:rPr>
        <w:t>双面天窗的荷载宜由屋脊节点及其相邻的上弦节点共同承担，并应设置斜杆与屋架上弦连接，以保证天窗架的稳定。</w:t>
      </w:r>
    </w:p>
    <w:p w14:paraId="608347DD">
      <w:pPr>
        <w:pStyle w:val="4"/>
        <w:rPr>
          <w:color w:val="auto"/>
          <w:highlight w:val="none"/>
        </w:rPr>
      </w:pPr>
      <w:r>
        <w:rPr>
          <w:color w:val="auto"/>
          <w:highlight w:val="none"/>
        </w:rPr>
        <w:t xml:space="preserve">    4</w:t>
      </w:r>
      <w:r>
        <w:rPr>
          <w:rFonts w:hint="eastAsia"/>
          <w:color w:val="auto"/>
          <w:highlight w:val="none"/>
          <w:lang w:eastAsia="zh-CN"/>
        </w:rPr>
        <w:t xml:space="preserve"> </w:t>
      </w:r>
      <w:r>
        <w:rPr>
          <w:color w:val="auto"/>
          <w:highlight w:val="none"/>
        </w:rPr>
        <w:t xml:space="preserve"> 在房屋的两端开间内不宜设置天窗。</w:t>
      </w:r>
    </w:p>
    <w:p w14:paraId="7F00E821">
      <w:pPr>
        <w:pStyle w:val="4"/>
        <w:rPr>
          <w:color w:val="auto"/>
          <w:highlight w:val="none"/>
        </w:rPr>
      </w:pPr>
      <w:r>
        <w:rPr>
          <w:color w:val="auto"/>
          <w:highlight w:val="none"/>
        </w:rPr>
        <w:t xml:space="preserve">    5 </w:t>
      </w:r>
      <w:r>
        <w:rPr>
          <w:rFonts w:hint="eastAsia"/>
          <w:color w:val="auto"/>
          <w:highlight w:val="none"/>
          <w:lang w:eastAsia="zh-CN"/>
        </w:rPr>
        <w:t xml:space="preserve"> </w:t>
      </w:r>
      <w:r>
        <w:rPr>
          <w:color w:val="auto"/>
          <w:highlight w:val="none"/>
        </w:rPr>
        <w:t>天窗的立柱，应与桁架上弦牢固连接，当采用通长木夹板时，夹板不宜与桁架下弦直接连接（</w:t>
      </w:r>
      <w:r>
        <w:rPr>
          <w:rFonts w:hint="eastAsia"/>
          <w:color w:val="auto"/>
          <w:highlight w:val="none"/>
          <w:lang w:eastAsia="zh-CN"/>
        </w:rPr>
        <w:t>图7.6</w:t>
      </w:r>
      <w:r>
        <w:rPr>
          <w:rFonts w:hint="eastAsia"/>
          <w:color w:val="auto"/>
          <w:highlight w:val="none"/>
        </w:rPr>
        <w:t>.1</w:t>
      </w:r>
      <w:r>
        <w:rPr>
          <w:color w:val="auto"/>
          <w:highlight w:val="none"/>
        </w:rPr>
        <w:t>）。</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1F996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4CF3DD61">
            <w:pPr>
              <w:jc w:val="both"/>
              <w:rPr>
                <w:color w:val="auto"/>
                <w:highlight w:val="none"/>
              </w:rPr>
            </w:pPr>
            <w:r>
              <w:rPr>
                <w:color w:val="auto"/>
                <w:highlight w:val="none"/>
                <w:lang w:eastAsia="zh-CN"/>
              </w:rPr>
              <w:drawing>
                <wp:anchor distT="0" distB="0" distL="0" distR="0" simplePos="0" relativeHeight="251668480" behindDoc="0" locked="0" layoutInCell="1" allowOverlap="1">
                  <wp:simplePos x="0" y="0"/>
                  <wp:positionH relativeFrom="column">
                    <wp:posOffset>784225</wp:posOffset>
                  </wp:positionH>
                  <wp:positionV relativeFrom="paragraph">
                    <wp:posOffset>103505</wp:posOffset>
                  </wp:positionV>
                  <wp:extent cx="2452370" cy="3357880"/>
                  <wp:effectExtent l="0" t="0" r="5080" b="13970"/>
                  <wp:wrapTopAndBottom/>
                  <wp:docPr id="2064877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77112" name="图片 1"/>
                          <pic:cNvPicPr>
                            <a:picLocks noChangeAspect="1"/>
                          </pic:cNvPicPr>
                        </pic:nvPicPr>
                        <pic:blipFill>
                          <a:blip r:embed="rId24" cstate="print"/>
                          <a:stretch>
                            <a:fillRect/>
                          </a:stretch>
                        </pic:blipFill>
                        <pic:spPr>
                          <a:xfrm>
                            <a:off x="0" y="0"/>
                            <a:ext cx="2452370" cy="3357880"/>
                          </a:xfrm>
                          <a:prstGeom prst="rect">
                            <a:avLst/>
                          </a:prstGeom>
                        </pic:spPr>
                      </pic:pic>
                    </a:graphicData>
                  </a:graphic>
                </wp:anchor>
              </w:drawing>
            </w:r>
          </w:p>
        </w:tc>
      </w:tr>
      <w:tr w14:paraId="4957B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56311C09">
            <w:pPr>
              <w:pStyle w:val="44"/>
              <w:ind w:firstLine="198"/>
              <w:rPr>
                <w:color w:val="auto"/>
                <w:highlight w:val="none"/>
              </w:rPr>
            </w:pPr>
            <w:r>
              <w:rPr>
                <w:rFonts w:hint="eastAsia"/>
                <w:color w:val="auto"/>
                <w:highlight w:val="none"/>
              </w:rPr>
              <w:t>图7.6.1</w:t>
            </w:r>
            <w:r>
              <w:rPr>
                <w:color w:val="auto"/>
                <w:highlight w:val="none"/>
              </w:rPr>
              <w:t xml:space="preserve"> </w:t>
            </w:r>
            <w:r>
              <w:rPr>
                <w:rFonts w:hint="eastAsia"/>
                <w:color w:val="auto"/>
                <w:highlight w:val="none"/>
              </w:rPr>
              <w:t xml:space="preserve"> </w:t>
            </w:r>
            <w:r>
              <w:rPr>
                <w:color w:val="auto"/>
                <w:highlight w:val="none"/>
              </w:rPr>
              <w:t>立柱的木夹板示意</w:t>
            </w:r>
          </w:p>
          <w:p w14:paraId="3DB75FDE">
            <w:pPr>
              <w:pStyle w:val="43"/>
              <w:rPr>
                <w:color w:val="auto"/>
                <w:highlight w:val="none"/>
              </w:rPr>
            </w:pPr>
            <w:r>
              <w:rPr>
                <w:color w:val="auto"/>
                <w:highlight w:val="none"/>
              </w:rPr>
              <w:t xml:space="preserve">    1</w:t>
            </w:r>
            <w:r>
              <w:rPr>
                <w:rFonts w:hint="eastAsia"/>
                <w:color w:val="auto"/>
                <w:highlight w:val="none"/>
              </w:rPr>
              <w:t>－</w:t>
            </w:r>
            <w:r>
              <w:rPr>
                <w:color w:val="auto"/>
                <w:highlight w:val="none"/>
              </w:rPr>
              <w:t>天窗架；2</w:t>
            </w:r>
            <w:r>
              <w:rPr>
                <w:rFonts w:hint="eastAsia"/>
                <w:color w:val="auto"/>
                <w:highlight w:val="none"/>
              </w:rPr>
              <w:t>－</w:t>
            </w:r>
            <w:r>
              <w:rPr>
                <w:color w:val="auto"/>
                <w:highlight w:val="none"/>
              </w:rPr>
              <w:t>圆钉；3</w:t>
            </w:r>
            <w:r>
              <w:rPr>
                <w:rFonts w:hint="eastAsia"/>
                <w:color w:val="auto"/>
                <w:highlight w:val="none"/>
              </w:rPr>
              <w:t>－</w:t>
            </w:r>
            <w:r>
              <w:rPr>
                <w:color w:val="auto"/>
                <w:highlight w:val="none"/>
              </w:rPr>
              <w:t>下弦；4</w:t>
            </w:r>
            <w:r>
              <w:rPr>
                <w:rFonts w:hint="eastAsia"/>
                <w:color w:val="auto"/>
                <w:highlight w:val="none"/>
              </w:rPr>
              <w:t>－</w:t>
            </w:r>
            <w:r>
              <w:rPr>
                <w:color w:val="auto"/>
                <w:highlight w:val="none"/>
              </w:rPr>
              <w:t>立柱；5-木夹板</w:t>
            </w:r>
          </w:p>
        </w:tc>
      </w:tr>
    </w:tbl>
    <w:p w14:paraId="180A8136">
      <w:pPr>
        <w:pStyle w:val="4"/>
        <w:rPr>
          <w:color w:val="auto"/>
          <w:highlight w:val="none"/>
        </w:rPr>
      </w:pPr>
      <w:r>
        <w:rPr>
          <w:rFonts w:hint="eastAsia"/>
          <w:b/>
          <w:bCs/>
          <w:color w:val="auto"/>
          <w:highlight w:val="none"/>
          <w:lang w:eastAsia="zh-CN"/>
        </w:rPr>
        <w:t>7.6</w:t>
      </w:r>
      <w:r>
        <w:rPr>
          <w:rFonts w:hint="eastAsia"/>
          <w:b/>
          <w:bCs/>
          <w:color w:val="auto"/>
          <w:highlight w:val="none"/>
        </w:rPr>
        <w:t>.2</w:t>
      </w:r>
      <w:r>
        <w:rPr>
          <w:b/>
          <w:bCs/>
          <w:color w:val="auto"/>
          <w:highlight w:val="none"/>
        </w:rPr>
        <w:t xml:space="preserve"> </w:t>
      </w:r>
      <w:r>
        <w:rPr>
          <w:rFonts w:hint="eastAsia"/>
          <w:b/>
          <w:bCs/>
          <w:color w:val="auto"/>
          <w:highlight w:val="none"/>
          <w:lang w:eastAsia="zh-CN"/>
        </w:rPr>
        <w:t xml:space="preserve"> </w:t>
      </w:r>
      <w:r>
        <w:rPr>
          <w:color w:val="auto"/>
          <w:highlight w:val="none"/>
        </w:rPr>
        <w:t>为防止天窗边柱受潮腐朽，边柱处屋架的檩条宜放在边柱内侧（</w:t>
      </w:r>
      <w:r>
        <w:rPr>
          <w:rFonts w:hint="eastAsia"/>
          <w:color w:val="auto"/>
          <w:highlight w:val="none"/>
          <w:lang w:eastAsia="zh-CN"/>
        </w:rPr>
        <w:t>图</w:t>
      </w:r>
      <w:r>
        <w:rPr>
          <w:color w:val="auto"/>
          <w:highlight w:val="none"/>
        </w:rPr>
        <w:t>7</w:t>
      </w:r>
      <w:r>
        <w:rPr>
          <w:rFonts w:hint="eastAsia"/>
          <w:color w:val="auto"/>
          <w:highlight w:val="none"/>
          <w:lang w:eastAsia="zh-CN"/>
        </w:rPr>
        <w:t>.</w:t>
      </w:r>
      <w:r>
        <w:rPr>
          <w:color w:val="auto"/>
          <w:highlight w:val="none"/>
        </w:rPr>
        <w:t>6</w:t>
      </w:r>
      <w:r>
        <w:rPr>
          <w:rFonts w:hint="eastAsia"/>
          <w:color w:val="auto"/>
          <w:highlight w:val="none"/>
          <w:lang w:eastAsia="zh-CN"/>
        </w:rPr>
        <w:t>.</w:t>
      </w:r>
      <w:r>
        <w:rPr>
          <w:color w:val="auto"/>
          <w:highlight w:val="none"/>
        </w:rPr>
        <w:t>2）。其窗樘和窗扇宜放在边柱外侧，并加设有效的挡雨设施。开敞式天窗应加设有效的挡雨板，并应做好泛水处理。</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04B9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5AF189E6">
            <w:pPr>
              <w:jc w:val="center"/>
              <w:rPr>
                <w:color w:val="auto"/>
                <w:highlight w:val="none"/>
              </w:rPr>
            </w:pPr>
            <w:r>
              <w:rPr>
                <w:color w:val="auto"/>
                <w:highlight w:val="none"/>
                <w:lang w:eastAsia="zh-CN"/>
              </w:rPr>
              <w:drawing>
                <wp:anchor distT="0" distB="0" distL="0" distR="0" simplePos="0" relativeHeight="251669504" behindDoc="0" locked="0" layoutInCell="1" allowOverlap="1">
                  <wp:simplePos x="0" y="0"/>
                  <wp:positionH relativeFrom="column">
                    <wp:posOffset>628015</wp:posOffset>
                  </wp:positionH>
                  <wp:positionV relativeFrom="paragraph">
                    <wp:posOffset>100330</wp:posOffset>
                  </wp:positionV>
                  <wp:extent cx="2499995" cy="2538730"/>
                  <wp:effectExtent l="0" t="0" r="14605" b="13970"/>
                  <wp:wrapTopAndBottom/>
                  <wp:docPr id="411625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25994" name="图片 1"/>
                          <pic:cNvPicPr>
                            <a:picLocks noChangeAspect="1"/>
                          </pic:cNvPicPr>
                        </pic:nvPicPr>
                        <pic:blipFill>
                          <a:blip r:embed="rId25" cstate="print"/>
                          <a:stretch>
                            <a:fillRect/>
                          </a:stretch>
                        </pic:blipFill>
                        <pic:spPr>
                          <a:xfrm>
                            <a:off x="0" y="0"/>
                            <a:ext cx="2499995" cy="2538730"/>
                          </a:xfrm>
                          <a:prstGeom prst="rect">
                            <a:avLst/>
                          </a:prstGeom>
                        </pic:spPr>
                      </pic:pic>
                    </a:graphicData>
                  </a:graphic>
                </wp:anchor>
              </w:drawing>
            </w:r>
          </w:p>
        </w:tc>
      </w:tr>
      <w:tr w14:paraId="1274A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279B7452">
            <w:pPr>
              <w:pStyle w:val="44"/>
              <w:ind w:firstLine="198"/>
              <w:rPr>
                <w:color w:val="auto"/>
                <w:highlight w:val="none"/>
              </w:rPr>
            </w:pPr>
            <w:r>
              <w:rPr>
                <w:rFonts w:hint="eastAsia"/>
                <w:color w:val="auto"/>
                <w:highlight w:val="none"/>
              </w:rPr>
              <w:t xml:space="preserve">图7.6.2  </w:t>
            </w:r>
            <w:r>
              <w:rPr>
                <w:color w:val="auto"/>
                <w:highlight w:val="none"/>
              </w:rPr>
              <w:t>边柱柱脚构造示意</w:t>
            </w:r>
          </w:p>
        </w:tc>
      </w:tr>
    </w:tbl>
    <w:p w14:paraId="6A6A3134">
      <w:pPr>
        <w:pStyle w:val="3"/>
        <w:spacing w:before="156" w:after="156"/>
        <w:rPr>
          <w:color w:val="auto"/>
          <w:highlight w:val="none"/>
        </w:rPr>
      </w:pPr>
      <w:bookmarkStart w:id="173" w:name="_Toc1804"/>
      <w:bookmarkStart w:id="174" w:name="_Toc18620"/>
      <w:bookmarkStart w:id="175" w:name="_Toc20486"/>
      <w:bookmarkStart w:id="176" w:name="_Toc15990"/>
      <w:r>
        <w:rPr>
          <w:rFonts w:hint="eastAsia"/>
          <w:color w:val="auto"/>
          <w:highlight w:val="none"/>
          <w:lang w:eastAsia="zh-CN"/>
        </w:rPr>
        <w:t>7.7</w:t>
      </w:r>
      <w:r>
        <w:rPr>
          <w:color w:val="auto"/>
          <w:highlight w:val="none"/>
        </w:rPr>
        <w:t xml:space="preserve"> </w:t>
      </w:r>
      <w:r>
        <w:rPr>
          <w:rFonts w:hint="eastAsia"/>
          <w:color w:val="auto"/>
          <w:highlight w:val="none"/>
          <w:lang w:eastAsia="zh-CN"/>
        </w:rPr>
        <w:t xml:space="preserve"> </w:t>
      </w:r>
      <w:r>
        <w:rPr>
          <w:color w:val="auto"/>
          <w:highlight w:val="none"/>
        </w:rPr>
        <w:t xml:space="preserve">支 </w:t>
      </w:r>
      <w:r>
        <w:rPr>
          <w:rFonts w:hint="eastAsia"/>
          <w:color w:val="auto"/>
          <w:highlight w:val="none"/>
          <w:lang w:eastAsia="zh-CN"/>
        </w:rPr>
        <w:t xml:space="preserve"> </w:t>
      </w:r>
      <w:r>
        <w:rPr>
          <w:color w:val="auto"/>
          <w:highlight w:val="none"/>
        </w:rPr>
        <w:t>撑</w:t>
      </w:r>
      <w:bookmarkEnd w:id="173"/>
      <w:bookmarkEnd w:id="174"/>
      <w:bookmarkEnd w:id="175"/>
      <w:bookmarkEnd w:id="176"/>
    </w:p>
    <w:p w14:paraId="72532448">
      <w:pPr>
        <w:pStyle w:val="4"/>
        <w:rPr>
          <w:color w:val="auto"/>
          <w:highlight w:val="none"/>
        </w:rPr>
      </w:pPr>
      <w:r>
        <w:rPr>
          <w:rFonts w:hint="eastAsia"/>
          <w:b/>
          <w:bCs/>
          <w:color w:val="auto"/>
          <w:highlight w:val="none"/>
          <w:lang w:eastAsia="zh-CN"/>
        </w:rPr>
        <w:t>7.7</w:t>
      </w:r>
      <w:r>
        <w:rPr>
          <w:rFonts w:hint="eastAsia"/>
          <w:b/>
          <w:bCs/>
          <w:color w:val="auto"/>
          <w:highlight w:val="none"/>
        </w:rPr>
        <w:t>.1</w:t>
      </w:r>
      <w:r>
        <w:rPr>
          <w:b/>
          <w:bCs/>
          <w:color w:val="auto"/>
          <w:highlight w:val="none"/>
        </w:rPr>
        <w:t xml:space="preserve"> </w:t>
      </w:r>
      <w:r>
        <w:rPr>
          <w:rFonts w:hint="eastAsia"/>
          <w:b/>
          <w:bCs/>
          <w:color w:val="auto"/>
          <w:highlight w:val="none"/>
          <w:lang w:eastAsia="zh-CN"/>
        </w:rPr>
        <w:t xml:space="preserve"> </w:t>
      </w:r>
      <w:r>
        <w:rPr>
          <w:color w:val="auto"/>
          <w:highlight w:val="none"/>
        </w:rPr>
        <w:t>在施工和使用期间，应设置保证结构空间稳定的支撑，并应设置防止桁架侧倾、保证受压弦杆侧向稳定和能够传递纵向水平力的支撑构件，以及应采取保证支撑系统正常工作的锚固措施。</w:t>
      </w:r>
    </w:p>
    <w:p w14:paraId="5E7A9222">
      <w:pPr>
        <w:pStyle w:val="4"/>
        <w:rPr>
          <w:color w:val="auto"/>
          <w:highlight w:val="none"/>
        </w:rPr>
      </w:pPr>
      <w:r>
        <w:rPr>
          <w:rFonts w:hint="eastAsia"/>
          <w:b/>
          <w:bCs/>
          <w:color w:val="auto"/>
          <w:highlight w:val="none"/>
          <w:lang w:eastAsia="zh-CN"/>
        </w:rPr>
        <w:t>7.7</w:t>
      </w:r>
      <w:r>
        <w:rPr>
          <w:rFonts w:hint="eastAsia"/>
          <w:b/>
          <w:bCs/>
          <w:color w:val="auto"/>
          <w:highlight w:val="none"/>
        </w:rPr>
        <w:t>.2</w:t>
      </w:r>
      <w:r>
        <w:rPr>
          <w:rFonts w:hint="eastAsia"/>
          <w:b/>
          <w:bCs/>
          <w:color w:val="auto"/>
          <w:highlight w:val="none"/>
          <w:lang w:eastAsia="zh-CN"/>
        </w:rPr>
        <w:t xml:space="preserve"> </w:t>
      </w:r>
      <w:r>
        <w:rPr>
          <w:b/>
          <w:bCs/>
          <w:color w:val="auto"/>
          <w:highlight w:val="none"/>
        </w:rPr>
        <w:t xml:space="preserve"> </w:t>
      </w:r>
      <w:r>
        <w:rPr>
          <w:color w:val="auto"/>
          <w:highlight w:val="none"/>
        </w:rPr>
        <w:t>上弦横向支撑的设置应符合下列规定：</w:t>
      </w:r>
    </w:p>
    <w:p w14:paraId="1FAFE1DD">
      <w:pPr>
        <w:pStyle w:val="4"/>
        <w:rPr>
          <w:color w:val="auto"/>
          <w:highlight w:val="none"/>
        </w:rPr>
      </w:pPr>
      <w:r>
        <w:rPr>
          <w:color w:val="auto"/>
          <w:highlight w:val="none"/>
        </w:rPr>
        <w:t xml:space="preserve">    1</w:t>
      </w:r>
      <w:r>
        <w:rPr>
          <w:rFonts w:hint="eastAsia"/>
          <w:color w:val="auto"/>
          <w:highlight w:val="none"/>
          <w:lang w:eastAsia="zh-CN"/>
        </w:rPr>
        <w:t xml:space="preserve"> </w:t>
      </w:r>
      <w:r>
        <w:rPr>
          <w:color w:val="auto"/>
          <w:highlight w:val="none"/>
        </w:rPr>
        <w:t xml:space="preserve"> 当采用上弦横向支撑，房屋端部为山墙时，应在端部第二开间内设置上弦横向支撑（</w:t>
      </w:r>
      <w:r>
        <w:rPr>
          <w:rFonts w:hint="eastAsia"/>
          <w:color w:val="auto"/>
          <w:highlight w:val="none"/>
          <w:lang w:eastAsia="zh-CN"/>
        </w:rPr>
        <w:t>图7.7</w:t>
      </w:r>
      <w:r>
        <w:rPr>
          <w:rFonts w:hint="eastAsia"/>
          <w:color w:val="auto"/>
          <w:highlight w:val="none"/>
        </w:rPr>
        <w:t>.2</w:t>
      </w:r>
      <w:r>
        <w:rPr>
          <w:color w:val="auto"/>
          <w:highlight w:val="none"/>
        </w:rPr>
        <w:t>）；</w:t>
      </w:r>
    </w:p>
    <w:p w14:paraId="78597ACD">
      <w:pPr>
        <w:pStyle w:val="4"/>
        <w:rPr>
          <w:color w:val="auto"/>
          <w:highlight w:val="none"/>
        </w:rPr>
      </w:pPr>
      <w:r>
        <w:rPr>
          <w:color w:val="auto"/>
          <w:highlight w:val="none"/>
        </w:rPr>
        <w:t xml:space="preserve">    2 </w:t>
      </w:r>
      <w:r>
        <w:rPr>
          <w:rFonts w:hint="eastAsia"/>
          <w:color w:val="auto"/>
          <w:highlight w:val="none"/>
          <w:lang w:eastAsia="zh-CN"/>
        </w:rPr>
        <w:t xml:space="preserve"> </w:t>
      </w:r>
      <w:r>
        <w:rPr>
          <w:color w:val="auto"/>
          <w:highlight w:val="none"/>
        </w:rPr>
        <w:t>当房屋端部为轻型挡风板时，应在端开间内设置上弦横向支撑；</w:t>
      </w:r>
    </w:p>
    <w:p w14:paraId="42B4672D">
      <w:pPr>
        <w:pStyle w:val="4"/>
        <w:rPr>
          <w:color w:val="auto"/>
          <w:highlight w:val="none"/>
        </w:rPr>
      </w:pPr>
      <w:r>
        <w:rPr>
          <w:color w:val="auto"/>
          <w:highlight w:val="none"/>
        </w:rPr>
        <w:t xml:space="preserve">    3</w:t>
      </w:r>
      <w:r>
        <w:rPr>
          <w:rFonts w:hint="eastAsia"/>
          <w:color w:val="auto"/>
          <w:highlight w:val="none"/>
          <w:lang w:eastAsia="zh-CN"/>
        </w:rPr>
        <w:t xml:space="preserve"> </w:t>
      </w:r>
      <w:r>
        <w:rPr>
          <w:color w:val="auto"/>
          <w:highlight w:val="none"/>
        </w:rPr>
        <w:t xml:space="preserve"> 当房屋纵向很长时，对于冷摊瓦屋面或跨度大的房屋，上弦横向支撑应沿纵向每20m～30m设置一道；</w:t>
      </w:r>
    </w:p>
    <w:p w14:paraId="749E3641">
      <w:pPr>
        <w:pStyle w:val="4"/>
        <w:ind w:firstLine="480" w:firstLineChars="200"/>
        <w:rPr>
          <w:color w:val="auto"/>
          <w:highlight w:val="none"/>
        </w:rPr>
      </w:pPr>
      <w:r>
        <w:rPr>
          <w:color w:val="auto"/>
          <w:highlight w:val="none"/>
        </w:rPr>
        <w:t xml:space="preserve">4 </w:t>
      </w:r>
      <w:r>
        <w:rPr>
          <w:rFonts w:hint="eastAsia"/>
          <w:color w:val="auto"/>
          <w:highlight w:val="none"/>
          <w:lang w:eastAsia="zh-CN"/>
        </w:rPr>
        <w:t xml:space="preserve"> </w:t>
      </w:r>
      <w:r>
        <w:rPr>
          <w:color w:val="auto"/>
          <w:highlight w:val="none"/>
        </w:rPr>
        <w:t>上弦横向支撑的斜杆当采用圆钢，应设有调整松紧的装置。</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2"/>
      </w:tblGrid>
      <w:tr w14:paraId="78B9B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2975401C">
            <w:pPr>
              <w:jc w:val="center"/>
              <w:rPr>
                <w:color w:val="auto"/>
                <w:highlight w:val="none"/>
              </w:rPr>
            </w:pPr>
            <w:r>
              <w:rPr>
                <w:color w:val="auto"/>
                <w:highlight w:val="none"/>
                <w:lang w:eastAsia="zh-CN"/>
              </w:rPr>
              <w:drawing>
                <wp:inline distT="0" distB="0" distL="0" distR="0">
                  <wp:extent cx="4509135" cy="2621915"/>
                  <wp:effectExtent l="0" t="0" r="5715" b="6985"/>
                  <wp:docPr id="1119175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75921" name="图片 1"/>
                          <pic:cNvPicPr>
                            <a:picLocks noChangeAspect="1"/>
                          </pic:cNvPicPr>
                        </pic:nvPicPr>
                        <pic:blipFill>
                          <a:blip r:embed="rId26" cstate="print"/>
                          <a:stretch>
                            <a:fillRect/>
                          </a:stretch>
                        </pic:blipFill>
                        <pic:spPr>
                          <a:xfrm>
                            <a:off x="0" y="0"/>
                            <a:ext cx="4509135" cy="2621915"/>
                          </a:xfrm>
                          <a:prstGeom prst="rect">
                            <a:avLst/>
                          </a:prstGeom>
                        </pic:spPr>
                      </pic:pic>
                    </a:graphicData>
                  </a:graphic>
                </wp:inline>
              </w:drawing>
            </w:r>
          </w:p>
        </w:tc>
      </w:tr>
      <w:tr w14:paraId="61C42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102B2C31">
            <w:pPr>
              <w:pStyle w:val="44"/>
              <w:ind w:firstLine="198"/>
              <w:rPr>
                <w:color w:val="auto"/>
                <w:highlight w:val="none"/>
              </w:rPr>
            </w:pPr>
            <w:r>
              <w:rPr>
                <w:rFonts w:hint="eastAsia"/>
                <w:color w:val="auto"/>
                <w:highlight w:val="none"/>
              </w:rPr>
              <w:t>图7.7.2</w:t>
            </w:r>
            <w:r>
              <w:rPr>
                <w:color w:val="auto"/>
                <w:highlight w:val="none"/>
              </w:rPr>
              <w:t xml:space="preserve"> </w:t>
            </w:r>
            <w:r>
              <w:rPr>
                <w:rFonts w:hint="eastAsia"/>
                <w:color w:val="auto"/>
                <w:highlight w:val="none"/>
              </w:rPr>
              <w:t xml:space="preserve"> </w:t>
            </w:r>
            <w:r>
              <w:rPr>
                <w:color w:val="auto"/>
                <w:highlight w:val="none"/>
              </w:rPr>
              <w:t>上弦横向支撑</w:t>
            </w:r>
          </w:p>
          <w:p w14:paraId="06986331">
            <w:pPr>
              <w:pStyle w:val="43"/>
              <w:rPr>
                <w:color w:val="auto"/>
                <w:highlight w:val="none"/>
              </w:rPr>
            </w:pPr>
            <w:r>
              <w:rPr>
                <w:color w:val="auto"/>
                <w:highlight w:val="none"/>
              </w:rPr>
              <w:t>1</w:t>
            </w:r>
            <w:r>
              <w:rPr>
                <w:rFonts w:hint="eastAsia"/>
                <w:color w:val="auto"/>
                <w:highlight w:val="none"/>
              </w:rPr>
              <w:t>－</w:t>
            </w:r>
            <w:r>
              <w:rPr>
                <w:color w:val="auto"/>
                <w:highlight w:val="none"/>
              </w:rPr>
              <w:t>上弦横向支撑；2</w:t>
            </w:r>
            <w:r>
              <w:rPr>
                <w:rFonts w:hint="eastAsia"/>
                <w:color w:val="auto"/>
                <w:highlight w:val="none"/>
              </w:rPr>
              <w:t>－</w:t>
            </w:r>
            <w:r>
              <w:rPr>
                <w:color w:val="auto"/>
                <w:highlight w:val="none"/>
              </w:rPr>
              <w:t>参加支撑工作的檩条；3</w:t>
            </w:r>
            <w:r>
              <w:rPr>
                <w:rFonts w:hint="eastAsia"/>
                <w:color w:val="auto"/>
                <w:highlight w:val="none"/>
              </w:rPr>
              <w:t>－</w:t>
            </w:r>
            <w:r>
              <w:rPr>
                <w:color w:val="auto"/>
                <w:highlight w:val="none"/>
              </w:rPr>
              <w:t>屋架</w:t>
            </w:r>
          </w:p>
        </w:tc>
      </w:tr>
    </w:tbl>
    <w:p w14:paraId="72DFC93C">
      <w:pPr>
        <w:pStyle w:val="4"/>
        <w:rPr>
          <w:color w:val="auto"/>
          <w:highlight w:val="none"/>
        </w:rPr>
      </w:pPr>
      <w:r>
        <w:rPr>
          <w:rFonts w:hint="eastAsia"/>
          <w:b/>
          <w:bCs/>
          <w:color w:val="auto"/>
          <w:highlight w:val="none"/>
          <w:lang w:eastAsia="zh-CN"/>
        </w:rPr>
        <w:t>7.7</w:t>
      </w:r>
      <w:r>
        <w:rPr>
          <w:rFonts w:hint="eastAsia"/>
          <w:b/>
          <w:bCs/>
          <w:color w:val="auto"/>
          <w:highlight w:val="none"/>
        </w:rPr>
        <w:t>.3</w:t>
      </w:r>
      <w:r>
        <w:rPr>
          <w:b/>
          <w:bCs/>
          <w:color w:val="auto"/>
          <w:highlight w:val="none"/>
        </w:rPr>
        <w:t xml:space="preserve"> </w:t>
      </w:r>
      <w:r>
        <w:rPr>
          <w:rFonts w:hint="eastAsia"/>
          <w:b/>
          <w:bCs/>
          <w:color w:val="auto"/>
          <w:highlight w:val="none"/>
          <w:lang w:eastAsia="zh-CN"/>
        </w:rPr>
        <w:t xml:space="preserve"> </w:t>
      </w:r>
      <w:r>
        <w:rPr>
          <w:color w:val="auto"/>
          <w:highlight w:val="none"/>
        </w:rPr>
        <w:t>下列部位均应设置垂直支撑：</w:t>
      </w:r>
    </w:p>
    <w:p w14:paraId="249939D5">
      <w:pPr>
        <w:ind w:firstLine="480" w:firstLineChars="200"/>
        <w:rPr>
          <w:color w:val="auto"/>
          <w:highlight w:val="none"/>
        </w:rPr>
      </w:pPr>
      <w:r>
        <w:rPr>
          <w:color w:val="auto"/>
          <w:highlight w:val="none"/>
        </w:rPr>
        <w:t xml:space="preserve">1 </w:t>
      </w:r>
      <w:r>
        <w:rPr>
          <w:rFonts w:hint="eastAsia"/>
          <w:color w:val="auto"/>
          <w:highlight w:val="none"/>
          <w:lang w:eastAsia="zh-CN"/>
        </w:rPr>
        <w:t xml:space="preserve"> </w:t>
      </w:r>
      <w:r>
        <w:rPr>
          <w:color w:val="auto"/>
          <w:highlight w:val="none"/>
        </w:rPr>
        <w:t>梯形屋架的支座竖杆处；</w:t>
      </w:r>
    </w:p>
    <w:p w14:paraId="2B2040D5">
      <w:pPr>
        <w:ind w:firstLine="480" w:firstLineChars="200"/>
        <w:rPr>
          <w:color w:val="auto"/>
          <w:highlight w:val="none"/>
        </w:rPr>
      </w:pPr>
      <w:r>
        <w:rPr>
          <w:color w:val="auto"/>
          <w:highlight w:val="none"/>
        </w:rPr>
        <w:t xml:space="preserve">2 </w:t>
      </w:r>
      <w:r>
        <w:rPr>
          <w:rFonts w:hint="eastAsia"/>
          <w:color w:val="auto"/>
          <w:highlight w:val="none"/>
          <w:lang w:eastAsia="zh-CN"/>
        </w:rPr>
        <w:t xml:space="preserve"> </w:t>
      </w:r>
      <w:r>
        <w:rPr>
          <w:color w:val="auto"/>
          <w:highlight w:val="none"/>
        </w:rPr>
        <w:t>下弦低于支座的下沉式屋架的折点处；</w:t>
      </w:r>
    </w:p>
    <w:p w14:paraId="0236BC0E">
      <w:pPr>
        <w:ind w:firstLine="480" w:firstLineChars="200"/>
        <w:rPr>
          <w:color w:val="auto"/>
          <w:highlight w:val="none"/>
        </w:rPr>
      </w:pPr>
      <w:r>
        <w:rPr>
          <w:color w:val="auto"/>
          <w:highlight w:val="none"/>
        </w:rPr>
        <w:t xml:space="preserve">3 </w:t>
      </w:r>
      <w:r>
        <w:rPr>
          <w:rFonts w:hint="eastAsia"/>
          <w:color w:val="auto"/>
          <w:highlight w:val="none"/>
          <w:lang w:eastAsia="zh-CN"/>
        </w:rPr>
        <w:t xml:space="preserve"> </w:t>
      </w:r>
      <w:r>
        <w:rPr>
          <w:color w:val="auto"/>
          <w:highlight w:val="none"/>
        </w:rPr>
        <w:t>设有悬挂吊车的吊轨处；</w:t>
      </w:r>
    </w:p>
    <w:p w14:paraId="498FC4E0">
      <w:pPr>
        <w:ind w:firstLine="480" w:firstLineChars="200"/>
        <w:rPr>
          <w:color w:val="auto"/>
          <w:highlight w:val="none"/>
        </w:rPr>
      </w:pPr>
      <w:r>
        <w:rPr>
          <w:color w:val="auto"/>
          <w:highlight w:val="none"/>
        </w:rPr>
        <w:t xml:space="preserve">4 </w:t>
      </w:r>
      <w:r>
        <w:rPr>
          <w:rFonts w:hint="eastAsia"/>
          <w:color w:val="auto"/>
          <w:highlight w:val="none"/>
          <w:lang w:eastAsia="zh-CN"/>
        </w:rPr>
        <w:t xml:space="preserve"> </w:t>
      </w:r>
      <w:r>
        <w:rPr>
          <w:color w:val="auto"/>
          <w:highlight w:val="none"/>
        </w:rPr>
        <w:t>杆系拱、框架结构的受压部位处；</w:t>
      </w:r>
    </w:p>
    <w:p w14:paraId="763BAD6C">
      <w:pPr>
        <w:ind w:firstLine="480" w:firstLineChars="200"/>
        <w:rPr>
          <w:color w:val="auto"/>
          <w:highlight w:val="none"/>
          <w:lang w:eastAsia="zh-CN"/>
        </w:rPr>
      </w:pPr>
      <w:r>
        <w:rPr>
          <w:color w:val="auto"/>
          <w:highlight w:val="none"/>
        </w:rPr>
        <w:t>5</w:t>
      </w:r>
      <w:r>
        <w:rPr>
          <w:rFonts w:hint="eastAsia"/>
          <w:color w:val="auto"/>
          <w:highlight w:val="none"/>
          <w:lang w:eastAsia="zh-CN"/>
        </w:rPr>
        <w:t xml:space="preserve"> </w:t>
      </w:r>
      <w:r>
        <w:rPr>
          <w:color w:val="auto"/>
          <w:highlight w:val="none"/>
        </w:rPr>
        <w:t xml:space="preserve"> 大跨度梁的支座处。</w:t>
      </w:r>
    </w:p>
    <w:p w14:paraId="11881948">
      <w:pPr>
        <w:pStyle w:val="50"/>
        <w:bidi w:val="0"/>
        <w:rPr>
          <w:rFonts w:hint="eastAsia"/>
          <w:color w:val="auto"/>
          <w:highlight w:val="none"/>
          <w:lang w:eastAsia="zh-CN"/>
        </w:rPr>
      </w:pPr>
      <w:r>
        <w:rPr>
          <w:rFonts w:hint="eastAsia"/>
          <w:color w:val="auto"/>
          <w:highlight w:val="none"/>
          <w:lang w:eastAsia="zh-CN"/>
        </w:rPr>
        <w:t>【条文说明】7.7.3  本条所述部位均需设置垂直支撑。其目的是为了保证这些部位的稳定或是为了传递纵向水平力。这些垂直支撑沿房屋纵向的布置间距可根据具体情况确定，但应有通长的系杆互相连系。</w:t>
      </w:r>
    </w:p>
    <w:p w14:paraId="231E7A4A">
      <w:pPr>
        <w:rPr>
          <w:color w:val="auto"/>
          <w:highlight w:val="none"/>
          <w:lang w:eastAsia="zh-CN"/>
        </w:rPr>
      </w:pPr>
    </w:p>
    <w:p w14:paraId="595AD8A1">
      <w:pPr>
        <w:pStyle w:val="4"/>
        <w:rPr>
          <w:color w:val="auto"/>
          <w:highlight w:val="none"/>
        </w:rPr>
      </w:pPr>
      <w:r>
        <w:rPr>
          <w:rFonts w:hint="eastAsia"/>
          <w:b/>
          <w:bCs/>
          <w:color w:val="auto"/>
          <w:highlight w:val="none"/>
          <w:lang w:eastAsia="zh-CN"/>
        </w:rPr>
        <w:t>7.7</w:t>
      </w:r>
      <w:r>
        <w:rPr>
          <w:rFonts w:hint="eastAsia"/>
          <w:b/>
          <w:bCs/>
          <w:color w:val="auto"/>
          <w:highlight w:val="none"/>
        </w:rPr>
        <w:t>.4</w:t>
      </w:r>
      <w:r>
        <w:rPr>
          <w:b/>
          <w:bCs/>
          <w:color w:val="auto"/>
          <w:highlight w:val="none"/>
        </w:rPr>
        <w:t xml:space="preserve"> </w:t>
      </w:r>
      <w:r>
        <w:rPr>
          <w:rFonts w:hint="eastAsia"/>
          <w:b/>
          <w:bCs/>
          <w:color w:val="auto"/>
          <w:highlight w:val="none"/>
          <w:lang w:eastAsia="zh-CN"/>
        </w:rPr>
        <w:t xml:space="preserve"> </w:t>
      </w:r>
      <w:r>
        <w:rPr>
          <w:color w:val="auto"/>
          <w:highlight w:val="none"/>
        </w:rPr>
        <w:t>垂直支撑的设置应符合下列规定：</w:t>
      </w:r>
    </w:p>
    <w:p w14:paraId="0DEB7D24">
      <w:pPr>
        <w:pStyle w:val="4"/>
        <w:ind w:firstLine="480" w:firstLineChars="200"/>
        <w:rPr>
          <w:color w:val="auto"/>
          <w:highlight w:val="none"/>
        </w:rPr>
      </w:pPr>
      <w:r>
        <w:rPr>
          <w:color w:val="auto"/>
          <w:highlight w:val="none"/>
        </w:rPr>
        <w:t xml:space="preserve">1 </w:t>
      </w:r>
      <w:r>
        <w:rPr>
          <w:rFonts w:hint="eastAsia"/>
          <w:color w:val="auto"/>
          <w:highlight w:val="none"/>
          <w:lang w:eastAsia="zh-CN"/>
        </w:rPr>
        <w:t xml:space="preserve"> </w:t>
      </w:r>
      <w:r>
        <w:rPr>
          <w:color w:val="auto"/>
          <w:highlight w:val="none"/>
        </w:rPr>
        <w:t>应根据屋架跨度尺寸的大小，沿跨度方向设置一道或两道；</w:t>
      </w:r>
    </w:p>
    <w:p w14:paraId="4698FB86">
      <w:pPr>
        <w:pStyle w:val="4"/>
        <w:ind w:firstLine="480" w:firstLineChars="200"/>
        <w:rPr>
          <w:color w:val="auto"/>
          <w:highlight w:val="none"/>
        </w:rPr>
      </w:pPr>
      <w:r>
        <w:rPr>
          <w:color w:val="auto"/>
          <w:highlight w:val="none"/>
        </w:rPr>
        <w:t>2</w:t>
      </w:r>
      <w:r>
        <w:rPr>
          <w:rFonts w:hint="eastAsia"/>
          <w:color w:val="auto"/>
          <w:highlight w:val="none"/>
          <w:lang w:eastAsia="zh-CN"/>
        </w:rPr>
        <w:t xml:space="preserve"> </w:t>
      </w:r>
      <w:r>
        <w:rPr>
          <w:color w:val="auto"/>
          <w:highlight w:val="none"/>
        </w:rPr>
        <w:t xml:space="preserve"> 除设有吊车的结构外，可仅在无山墙的房屋两端第一开间，或有山墙的房屋两端第二开间内设置，但均应在其他开间设置通长的水平系杆；</w:t>
      </w:r>
    </w:p>
    <w:p w14:paraId="1176A2CE">
      <w:pPr>
        <w:pStyle w:val="4"/>
        <w:ind w:firstLine="480" w:firstLineChars="200"/>
        <w:rPr>
          <w:color w:val="auto"/>
          <w:highlight w:val="none"/>
        </w:rPr>
      </w:pPr>
      <w:r>
        <w:rPr>
          <w:color w:val="auto"/>
          <w:highlight w:val="none"/>
        </w:rPr>
        <w:t xml:space="preserve">3 </w:t>
      </w:r>
      <w:r>
        <w:rPr>
          <w:rFonts w:hint="eastAsia"/>
          <w:color w:val="auto"/>
          <w:highlight w:val="none"/>
          <w:lang w:eastAsia="zh-CN"/>
        </w:rPr>
        <w:t xml:space="preserve"> </w:t>
      </w:r>
      <w:r>
        <w:rPr>
          <w:color w:val="auto"/>
          <w:highlight w:val="none"/>
        </w:rPr>
        <w:t>设有吊车的结构应沿房屋纵向间隔设置，并在垂直支撑的下端设置通长的屋架下弦纵向水平系杆；</w:t>
      </w:r>
    </w:p>
    <w:p w14:paraId="4B943497">
      <w:pPr>
        <w:pStyle w:val="4"/>
        <w:ind w:firstLine="480" w:firstLineChars="200"/>
        <w:rPr>
          <w:color w:val="auto"/>
          <w:highlight w:val="none"/>
        </w:rPr>
      </w:pPr>
      <w:r>
        <w:rPr>
          <w:color w:val="auto"/>
          <w:highlight w:val="none"/>
        </w:rPr>
        <w:t xml:space="preserve">4 </w:t>
      </w:r>
      <w:r>
        <w:rPr>
          <w:rFonts w:hint="eastAsia"/>
          <w:color w:val="auto"/>
          <w:highlight w:val="none"/>
          <w:lang w:eastAsia="zh-CN"/>
        </w:rPr>
        <w:t xml:space="preserve"> </w:t>
      </w:r>
      <w:r>
        <w:rPr>
          <w:color w:val="auto"/>
          <w:highlight w:val="none"/>
        </w:rPr>
        <w:t>对上弦设置横向支撑的屋盖，当加设垂直支撑时，可仅在有上弦横向支撑的开间中设置，但应在其他开间设置通长的下弦纵向水平系杆。</w:t>
      </w:r>
    </w:p>
    <w:p w14:paraId="241A1EDE">
      <w:pPr>
        <w:pStyle w:val="4"/>
        <w:rPr>
          <w:color w:val="auto"/>
          <w:highlight w:val="none"/>
        </w:rPr>
      </w:pPr>
      <w:r>
        <w:rPr>
          <w:rFonts w:hint="eastAsia"/>
          <w:b/>
          <w:bCs/>
          <w:color w:val="auto"/>
          <w:highlight w:val="none"/>
          <w:lang w:eastAsia="zh-CN"/>
        </w:rPr>
        <w:t>7.7</w:t>
      </w:r>
      <w:r>
        <w:rPr>
          <w:rFonts w:hint="eastAsia"/>
          <w:b/>
          <w:bCs/>
          <w:color w:val="auto"/>
          <w:highlight w:val="none"/>
        </w:rPr>
        <w:t>.5</w:t>
      </w:r>
      <w:r>
        <w:rPr>
          <w:color w:val="auto"/>
          <w:highlight w:val="none"/>
        </w:rPr>
        <w:t xml:space="preserve"> </w:t>
      </w:r>
      <w:r>
        <w:rPr>
          <w:rFonts w:hint="eastAsia"/>
          <w:color w:val="auto"/>
          <w:highlight w:val="none"/>
          <w:lang w:eastAsia="zh-CN"/>
        </w:rPr>
        <w:t xml:space="preserve"> </w:t>
      </w:r>
      <w:r>
        <w:rPr>
          <w:color w:val="auto"/>
          <w:highlight w:val="none"/>
        </w:rPr>
        <w:t>屋盖应根据结构的形式和跨度、屋面构造及荷载等情况选用上弦横向支撑或垂直支撑。但当房屋跨度较大或有锻锤、吊车等振动影响时，除应设置上弦横向支撑外，尚应设置垂直支撑。支撑构件的截面尺寸，可按构造要求确定。</w:t>
      </w:r>
    </w:p>
    <w:p w14:paraId="35A999D3">
      <w:pPr>
        <w:rPr>
          <w:color w:val="auto"/>
          <w:highlight w:val="none"/>
        </w:rPr>
      </w:pPr>
      <w:r>
        <w:rPr>
          <w:rFonts w:hint="eastAsia"/>
          <w:b/>
          <w:bCs/>
          <w:color w:val="auto"/>
          <w:highlight w:val="none"/>
          <w:lang w:eastAsia="zh-CN"/>
        </w:rPr>
        <w:t>7.7</w:t>
      </w:r>
      <w:r>
        <w:rPr>
          <w:rFonts w:hint="eastAsia"/>
          <w:b/>
          <w:bCs/>
          <w:color w:val="auto"/>
          <w:highlight w:val="none"/>
        </w:rPr>
        <w:t>.6</w:t>
      </w:r>
      <w:r>
        <w:rPr>
          <w:color w:val="auto"/>
          <w:highlight w:val="none"/>
        </w:rPr>
        <w:t xml:space="preserve"> </w:t>
      </w:r>
      <w:r>
        <w:rPr>
          <w:rFonts w:hint="eastAsia"/>
          <w:color w:val="auto"/>
          <w:highlight w:val="none"/>
          <w:lang w:eastAsia="zh-CN"/>
        </w:rPr>
        <w:t xml:space="preserve"> </w:t>
      </w:r>
      <w:r>
        <w:rPr>
          <w:color w:val="auto"/>
          <w:highlight w:val="none"/>
        </w:rPr>
        <w:t>木柱承重房屋中，若柱间无刚性墙或木基结构板剪力墙，除应在柱顶设置通长的水平系杆外，尚应在房屋两端及沿房屋纵向每隔20m～30m设置柱间支撑。木柱和桁架之间应设抗风斜撑，斜撑上端应连在桁架上弦节点处，斜撑与木柱的夹角不应小于30°。</w:t>
      </w:r>
    </w:p>
    <w:p w14:paraId="16933B99">
      <w:pPr>
        <w:pStyle w:val="4"/>
        <w:rPr>
          <w:color w:val="auto"/>
          <w:highlight w:val="none"/>
        </w:rPr>
      </w:pPr>
      <w:r>
        <w:rPr>
          <w:rFonts w:hint="eastAsia"/>
          <w:b/>
          <w:bCs/>
          <w:color w:val="auto"/>
          <w:highlight w:val="none"/>
          <w:lang w:eastAsia="zh-CN"/>
        </w:rPr>
        <w:t>7.7</w:t>
      </w:r>
      <w:r>
        <w:rPr>
          <w:rFonts w:hint="eastAsia"/>
          <w:b/>
          <w:bCs/>
          <w:color w:val="auto"/>
          <w:highlight w:val="none"/>
        </w:rPr>
        <w:t>.7</w:t>
      </w:r>
      <w:r>
        <w:rPr>
          <w:b/>
          <w:bCs/>
          <w:color w:val="auto"/>
          <w:highlight w:val="none"/>
        </w:rPr>
        <w:t xml:space="preserve"> </w:t>
      </w:r>
      <w:r>
        <w:rPr>
          <w:rFonts w:hint="eastAsia"/>
          <w:b/>
          <w:bCs/>
          <w:color w:val="auto"/>
          <w:highlight w:val="none"/>
          <w:lang w:eastAsia="zh-CN"/>
        </w:rPr>
        <w:t xml:space="preserve"> </w:t>
      </w:r>
      <w:r>
        <w:rPr>
          <w:color w:val="auto"/>
          <w:highlight w:val="none"/>
        </w:rPr>
        <w:t>对于下列情况的非开敞式房屋，可不设置支撑：</w:t>
      </w:r>
    </w:p>
    <w:p w14:paraId="0433D962">
      <w:pPr>
        <w:ind w:firstLine="420"/>
        <w:rPr>
          <w:color w:val="auto"/>
          <w:highlight w:val="none"/>
        </w:rPr>
      </w:pPr>
      <w:r>
        <w:rPr>
          <w:color w:val="auto"/>
          <w:highlight w:val="none"/>
        </w:rPr>
        <w:t xml:space="preserve">1 </w:t>
      </w:r>
      <w:r>
        <w:rPr>
          <w:rFonts w:hint="eastAsia"/>
          <w:color w:val="auto"/>
          <w:highlight w:val="none"/>
          <w:lang w:eastAsia="zh-CN"/>
        </w:rPr>
        <w:t xml:space="preserve"> </w:t>
      </w:r>
      <w:r>
        <w:rPr>
          <w:color w:val="auto"/>
          <w:highlight w:val="none"/>
        </w:rPr>
        <w:t>有密铺屋面板和山墙，且跨度不大于9m时；</w:t>
      </w:r>
    </w:p>
    <w:p w14:paraId="29CEB527">
      <w:pPr>
        <w:ind w:firstLine="420"/>
        <w:rPr>
          <w:color w:val="auto"/>
          <w:highlight w:val="none"/>
        </w:rPr>
      </w:pPr>
      <w:r>
        <w:rPr>
          <w:color w:val="auto"/>
          <w:highlight w:val="none"/>
        </w:rPr>
        <w:t xml:space="preserve">2 </w:t>
      </w:r>
      <w:r>
        <w:rPr>
          <w:rFonts w:hint="eastAsia"/>
          <w:color w:val="auto"/>
          <w:highlight w:val="none"/>
          <w:lang w:eastAsia="zh-CN"/>
        </w:rPr>
        <w:t xml:space="preserve"> </w:t>
      </w:r>
      <w:r>
        <w:rPr>
          <w:color w:val="auto"/>
          <w:highlight w:val="none"/>
        </w:rPr>
        <w:t>房屋为四坡顶，且半屋架与主屋架有可靠连接时；</w:t>
      </w:r>
    </w:p>
    <w:p w14:paraId="4746212F">
      <w:pPr>
        <w:ind w:firstLine="420"/>
        <w:rPr>
          <w:color w:val="auto"/>
          <w:highlight w:val="none"/>
          <w:lang w:eastAsia="zh-CN"/>
        </w:rPr>
      </w:pPr>
      <w:r>
        <w:rPr>
          <w:color w:val="auto"/>
          <w:highlight w:val="none"/>
        </w:rPr>
        <w:t>3</w:t>
      </w:r>
      <w:r>
        <w:rPr>
          <w:rFonts w:hint="eastAsia"/>
          <w:color w:val="auto"/>
          <w:highlight w:val="none"/>
          <w:lang w:eastAsia="zh-CN"/>
        </w:rPr>
        <w:t xml:space="preserve"> </w:t>
      </w:r>
      <w:r>
        <w:rPr>
          <w:color w:val="auto"/>
          <w:highlight w:val="none"/>
        </w:rPr>
        <w:t xml:space="preserve"> 屋盖两端与其他刚度较大的建筑物相连时；但对于房屋纵向很长的情况，此时应沿纵向每隔20m～30m设置一道支撑。</w:t>
      </w:r>
    </w:p>
    <w:p w14:paraId="09019985">
      <w:pPr>
        <w:pStyle w:val="50"/>
        <w:bidi w:val="0"/>
        <w:rPr>
          <w:rFonts w:hint="eastAsia"/>
          <w:color w:val="auto"/>
          <w:highlight w:val="none"/>
          <w:lang w:eastAsia="zh-CN"/>
        </w:rPr>
      </w:pPr>
      <w:r>
        <w:rPr>
          <w:rFonts w:hint="eastAsia"/>
          <w:color w:val="auto"/>
          <w:highlight w:val="none"/>
          <w:lang w:eastAsia="zh-CN"/>
        </w:rPr>
        <w:t>【条文说明】7.7.7  明确规定屋盖中可不设置支撑的范围，其目的虽然是为了考虑屋面刚度和两端房屋刚度对屋盖空间稳定的作用，但也为了防止擅自扩大不设置支撑的范围。条文中有关界限值的规定，主要是根据实践经验和调查资料确定的。</w:t>
      </w:r>
    </w:p>
    <w:p w14:paraId="7502D189">
      <w:pPr>
        <w:rPr>
          <w:rFonts w:hint="eastAsia"/>
          <w:color w:val="auto"/>
          <w:highlight w:val="none"/>
          <w:lang w:eastAsia="zh-CN"/>
        </w:rPr>
      </w:pPr>
    </w:p>
    <w:p w14:paraId="660B2724">
      <w:pPr>
        <w:pStyle w:val="4"/>
        <w:rPr>
          <w:color w:val="auto"/>
          <w:highlight w:val="none"/>
        </w:rPr>
      </w:pPr>
      <w:r>
        <w:rPr>
          <w:rFonts w:hint="eastAsia"/>
          <w:b/>
          <w:bCs/>
          <w:color w:val="auto"/>
          <w:highlight w:val="none"/>
          <w:lang w:eastAsia="zh-CN"/>
        </w:rPr>
        <w:t>7.7</w:t>
      </w:r>
      <w:r>
        <w:rPr>
          <w:rFonts w:hint="eastAsia"/>
          <w:b/>
          <w:bCs/>
          <w:color w:val="auto"/>
          <w:highlight w:val="none"/>
        </w:rPr>
        <w:t>.8</w:t>
      </w:r>
      <w:r>
        <w:rPr>
          <w:b/>
          <w:bCs/>
          <w:color w:val="auto"/>
          <w:highlight w:val="none"/>
        </w:rPr>
        <w:t xml:space="preserve"> </w:t>
      </w:r>
      <w:r>
        <w:rPr>
          <w:rFonts w:hint="eastAsia"/>
          <w:b/>
          <w:bCs/>
          <w:color w:val="auto"/>
          <w:highlight w:val="none"/>
          <w:lang w:eastAsia="zh-CN"/>
        </w:rPr>
        <w:t xml:space="preserve"> </w:t>
      </w:r>
      <w:r>
        <w:rPr>
          <w:color w:val="auto"/>
          <w:highlight w:val="none"/>
        </w:rPr>
        <w:t>当屋架设有双面天窗时，应按本</w:t>
      </w:r>
      <w:r>
        <w:rPr>
          <w:rFonts w:hint="eastAsia"/>
          <w:color w:val="auto"/>
          <w:highlight w:val="none"/>
          <w:lang w:eastAsia="zh-CN"/>
        </w:rPr>
        <w:t>规程</w:t>
      </w:r>
      <w:r>
        <w:rPr>
          <w:color w:val="auto"/>
          <w:highlight w:val="none"/>
        </w:rPr>
        <w:t>第</w:t>
      </w:r>
      <w:r>
        <w:rPr>
          <w:rFonts w:hint="eastAsia"/>
          <w:color w:val="auto"/>
          <w:highlight w:val="none"/>
          <w:lang w:eastAsia="zh-CN"/>
        </w:rPr>
        <w:t>7.6节</w:t>
      </w:r>
      <w:r>
        <w:rPr>
          <w:color w:val="auto"/>
          <w:highlight w:val="none"/>
        </w:rPr>
        <w:t>的</w:t>
      </w:r>
      <w:r>
        <w:rPr>
          <w:rFonts w:hint="eastAsia"/>
          <w:color w:val="auto"/>
          <w:highlight w:val="none"/>
          <w:lang w:eastAsia="zh-CN"/>
        </w:rPr>
        <w:t>有关</w:t>
      </w:r>
      <w:r>
        <w:rPr>
          <w:color w:val="auto"/>
          <w:highlight w:val="none"/>
        </w:rPr>
        <w:t>规定设置天窗支撑。天窗架两边立柱处，应按本</w:t>
      </w:r>
      <w:r>
        <w:rPr>
          <w:rFonts w:hint="eastAsia"/>
          <w:color w:val="auto"/>
          <w:highlight w:val="none"/>
          <w:lang w:eastAsia="zh-CN"/>
        </w:rPr>
        <w:t>节</w:t>
      </w:r>
      <w:r>
        <w:rPr>
          <w:color w:val="auto"/>
          <w:highlight w:val="none"/>
        </w:rPr>
        <w:t>的规定设置柱间支撑，且在天窗范围内沿主屋架的脊节点和支撑节点，应设置通长的纵向水平系杆。</w:t>
      </w:r>
    </w:p>
    <w:p w14:paraId="6276F808">
      <w:pPr>
        <w:pStyle w:val="4"/>
        <w:rPr>
          <w:color w:val="auto"/>
          <w:highlight w:val="none"/>
        </w:rPr>
      </w:pPr>
      <w:r>
        <w:rPr>
          <w:rFonts w:hint="eastAsia"/>
          <w:b/>
          <w:bCs/>
          <w:color w:val="auto"/>
          <w:highlight w:val="none"/>
          <w:lang w:eastAsia="zh-CN"/>
        </w:rPr>
        <w:t>7.7</w:t>
      </w:r>
      <w:r>
        <w:rPr>
          <w:rFonts w:hint="eastAsia"/>
          <w:b/>
          <w:bCs/>
          <w:color w:val="auto"/>
          <w:highlight w:val="none"/>
        </w:rPr>
        <w:t>.</w:t>
      </w:r>
      <w:r>
        <w:rPr>
          <w:rFonts w:hint="eastAsia"/>
          <w:b/>
          <w:bCs/>
          <w:color w:val="auto"/>
          <w:highlight w:val="none"/>
          <w:lang w:eastAsia="zh-CN"/>
        </w:rPr>
        <w:t xml:space="preserve">9 </w:t>
      </w:r>
      <w:r>
        <w:rPr>
          <w:rFonts w:hint="eastAsia"/>
          <w:color w:val="auto"/>
          <w:highlight w:val="none"/>
          <w:lang w:eastAsia="zh-CN"/>
        </w:rPr>
        <w:t xml:space="preserve"> </w:t>
      </w:r>
      <w:r>
        <w:rPr>
          <w:color w:val="auto"/>
          <w:highlight w:val="none"/>
        </w:rPr>
        <w:t>地震区的木结构房屋的屋架与柱连接处应设置斜撑，当斜撑采用木夹板时，与木柱及屋架上、下弦连接处应采用螺栓连接；木柱柱顶应设暗榫插入屋架下弦并用U形扁钢连接（</w:t>
      </w:r>
      <w:r>
        <w:rPr>
          <w:rFonts w:hint="eastAsia"/>
          <w:color w:val="auto"/>
          <w:highlight w:val="none"/>
          <w:lang w:eastAsia="zh-CN"/>
        </w:rPr>
        <w:t>图7.7</w:t>
      </w:r>
      <w:r>
        <w:rPr>
          <w:rFonts w:hint="eastAsia"/>
          <w:color w:val="auto"/>
          <w:highlight w:val="none"/>
        </w:rPr>
        <w:t>.</w:t>
      </w:r>
      <w:r>
        <w:rPr>
          <w:rFonts w:hint="eastAsia"/>
          <w:color w:val="auto"/>
          <w:highlight w:val="none"/>
          <w:lang w:eastAsia="zh-CN"/>
        </w:rPr>
        <w:t>9</w:t>
      </w:r>
      <w:r>
        <w:rPr>
          <w:color w:val="auto"/>
          <w:highlight w:val="none"/>
        </w:rPr>
        <w:t>）。</w:t>
      </w:r>
    </w:p>
    <w:p w14:paraId="284C4C7F">
      <w:pPr>
        <w:rPr>
          <w:color w:val="auto"/>
          <w:highlight w:val="none"/>
        </w:rPr>
      </w:pP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25202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16B058B2">
            <w:pPr>
              <w:jc w:val="center"/>
              <w:rPr>
                <w:color w:val="auto"/>
                <w:highlight w:val="none"/>
              </w:rPr>
            </w:pPr>
            <w:r>
              <w:rPr>
                <w:color w:val="auto"/>
                <w:highlight w:val="none"/>
                <w:lang w:eastAsia="zh-CN"/>
              </w:rPr>
              <w:drawing>
                <wp:anchor distT="0" distB="0" distL="0" distR="0" simplePos="0" relativeHeight="251670528" behindDoc="0" locked="0" layoutInCell="1" allowOverlap="1">
                  <wp:simplePos x="0" y="0"/>
                  <wp:positionH relativeFrom="column">
                    <wp:posOffset>567690</wp:posOffset>
                  </wp:positionH>
                  <wp:positionV relativeFrom="paragraph">
                    <wp:posOffset>78740</wp:posOffset>
                  </wp:positionV>
                  <wp:extent cx="2847975" cy="2423160"/>
                  <wp:effectExtent l="0" t="0" r="9525" b="15240"/>
                  <wp:wrapTopAndBottom/>
                  <wp:docPr id="2014020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20642" name="图片 1"/>
                          <pic:cNvPicPr>
                            <a:picLocks noChangeAspect="1"/>
                          </pic:cNvPicPr>
                        </pic:nvPicPr>
                        <pic:blipFill>
                          <a:blip r:embed="rId27" cstate="print"/>
                          <a:stretch>
                            <a:fillRect/>
                          </a:stretch>
                        </pic:blipFill>
                        <pic:spPr>
                          <a:xfrm>
                            <a:off x="0" y="0"/>
                            <a:ext cx="2847975" cy="2423160"/>
                          </a:xfrm>
                          <a:prstGeom prst="rect">
                            <a:avLst/>
                          </a:prstGeom>
                        </pic:spPr>
                      </pic:pic>
                    </a:graphicData>
                  </a:graphic>
                </wp:anchor>
              </w:drawing>
            </w:r>
          </w:p>
        </w:tc>
      </w:tr>
      <w:tr w14:paraId="06D85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2EDDCA33">
            <w:pPr>
              <w:pStyle w:val="44"/>
              <w:ind w:firstLine="198"/>
              <w:rPr>
                <w:color w:val="auto"/>
                <w:highlight w:val="none"/>
              </w:rPr>
            </w:pPr>
            <w:r>
              <w:rPr>
                <w:rFonts w:hint="eastAsia"/>
                <w:color w:val="auto"/>
                <w:highlight w:val="none"/>
              </w:rPr>
              <w:t>图7.7.9</w:t>
            </w:r>
            <w:r>
              <w:rPr>
                <w:color w:val="auto"/>
                <w:highlight w:val="none"/>
              </w:rPr>
              <w:t xml:space="preserve"> </w:t>
            </w:r>
            <w:r>
              <w:rPr>
                <w:rFonts w:hint="eastAsia"/>
                <w:color w:val="auto"/>
                <w:highlight w:val="none"/>
              </w:rPr>
              <w:t xml:space="preserve"> </w:t>
            </w:r>
            <w:r>
              <w:rPr>
                <w:color w:val="auto"/>
                <w:highlight w:val="none"/>
              </w:rPr>
              <w:t>木构架端部斜撑连接</w:t>
            </w:r>
          </w:p>
          <w:p w14:paraId="08A91642">
            <w:pPr>
              <w:pStyle w:val="43"/>
              <w:rPr>
                <w:color w:val="auto"/>
                <w:highlight w:val="none"/>
              </w:rPr>
            </w:pPr>
            <w:r>
              <w:rPr>
                <w:color w:val="auto"/>
                <w:highlight w:val="none"/>
              </w:rPr>
              <w:t xml:space="preserve">  1</w:t>
            </w:r>
            <w:r>
              <w:rPr>
                <w:rFonts w:hint="eastAsia"/>
                <w:color w:val="auto"/>
                <w:highlight w:val="none"/>
              </w:rPr>
              <w:t>－</w:t>
            </w:r>
            <w:r>
              <w:rPr>
                <w:color w:val="auto"/>
                <w:highlight w:val="none"/>
              </w:rPr>
              <w:t>连接螺栓；2</w:t>
            </w:r>
            <w:r>
              <w:rPr>
                <w:rFonts w:hint="eastAsia"/>
                <w:color w:val="auto"/>
                <w:highlight w:val="none"/>
              </w:rPr>
              <w:t>－</w:t>
            </w:r>
            <w:r>
              <w:rPr>
                <w:color w:val="auto"/>
                <w:highlight w:val="none"/>
              </w:rPr>
              <w:t>椭圆孔连接螺栓；3-U形扁钢；4</w:t>
            </w:r>
            <w:r>
              <w:rPr>
                <w:rFonts w:hint="eastAsia"/>
                <w:color w:val="auto"/>
                <w:highlight w:val="none"/>
              </w:rPr>
              <w:t>－</w:t>
            </w:r>
            <w:r>
              <w:rPr>
                <w:color w:val="auto"/>
                <w:highlight w:val="none"/>
              </w:rPr>
              <w:t>水平系杆；5</w:t>
            </w:r>
            <w:r>
              <w:rPr>
                <w:rFonts w:hint="eastAsia"/>
                <w:color w:val="auto"/>
                <w:highlight w:val="none"/>
              </w:rPr>
              <w:t>－</w:t>
            </w:r>
            <w:r>
              <w:rPr>
                <w:color w:val="auto"/>
                <w:highlight w:val="none"/>
              </w:rPr>
              <w:t>木柱；6</w:t>
            </w:r>
            <w:r>
              <w:rPr>
                <w:rFonts w:hint="eastAsia"/>
                <w:color w:val="auto"/>
                <w:highlight w:val="none"/>
              </w:rPr>
              <w:t>－</w:t>
            </w:r>
            <w:r>
              <w:rPr>
                <w:color w:val="auto"/>
                <w:highlight w:val="none"/>
              </w:rPr>
              <w:t>斜撑</w:t>
            </w:r>
          </w:p>
        </w:tc>
      </w:tr>
    </w:tbl>
    <w:p w14:paraId="66E5068C">
      <w:pPr>
        <w:ind w:firstLine="0" w:firstLineChars="0"/>
        <w:jc w:val="left"/>
        <w:outlineLvl w:val="9"/>
        <w:rPr>
          <w:color w:val="auto"/>
          <w:highlight w:val="none"/>
        </w:rPr>
      </w:pPr>
      <w:bookmarkStart w:id="177" w:name="_Toc5462"/>
      <w:bookmarkStart w:id="178" w:name="_Toc5559"/>
      <w:bookmarkStart w:id="179" w:name="_Toc58592745"/>
      <w:bookmarkStart w:id="180" w:name="_Toc26503"/>
    </w:p>
    <w:p w14:paraId="0214E456">
      <w:pPr>
        <w:ind w:firstLine="0" w:firstLineChars="0"/>
        <w:jc w:val="left"/>
        <w:outlineLvl w:val="9"/>
        <w:rPr>
          <w:color w:val="auto"/>
          <w:highlight w:val="none"/>
        </w:rPr>
      </w:pPr>
    </w:p>
    <w:p w14:paraId="46ED846A">
      <w:pPr>
        <w:ind w:firstLine="0" w:firstLineChars="0"/>
        <w:jc w:val="left"/>
        <w:outlineLvl w:val="9"/>
        <w:rPr>
          <w:color w:val="auto"/>
          <w:highlight w:val="none"/>
        </w:rPr>
      </w:pPr>
    </w:p>
    <w:p w14:paraId="09810E7E">
      <w:pPr>
        <w:ind w:firstLine="0" w:firstLineChars="0"/>
        <w:jc w:val="left"/>
        <w:outlineLvl w:val="9"/>
        <w:rPr>
          <w:color w:val="auto"/>
          <w:highlight w:val="none"/>
        </w:rPr>
      </w:pPr>
    </w:p>
    <w:p w14:paraId="4271CBEB">
      <w:pPr>
        <w:ind w:firstLine="0" w:firstLineChars="0"/>
        <w:jc w:val="left"/>
        <w:outlineLvl w:val="9"/>
        <w:rPr>
          <w:color w:val="auto"/>
          <w:highlight w:val="none"/>
        </w:rPr>
      </w:pPr>
    </w:p>
    <w:p w14:paraId="4FDA8A4D">
      <w:pPr>
        <w:ind w:firstLine="0" w:firstLineChars="0"/>
        <w:jc w:val="left"/>
        <w:outlineLvl w:val="9"/>
        <w:rPr>
          <w:color w:val="auto"/>
          <w:highlight w:val="none"/>
        </w:rPr>
      </w:pPr>
    </w:p>
    <w:p w14:paraId="453A8881">
      <w:pPr>
        <w:ind w:firstLine="0" w:firstLineChars="0"/>
        <w:jc w:val="left"/>
        <w:outlineLvl w:val="9"/>
        <w:rPr>
          <w:color w:val="auto"/>
          <w:highlight w:val="none"/>
        </w:rPr>
      </w:pPr>
    </w:p>
    <w:p w14:paraId="676E9A08">
      <w:pPr>
        <w:ind w:firstLine="0" w:firstLineChars="0"/>
        <w:jc w:val="left"/>
        <w:outlineLvl w:val="9"/>
        <w:rPr>
          <w:color w:val="auto"/>
          <w:highlight w:val="none"/>
        </w:rPr>
      </w:pPr>
    </w:p>
    <w:p w14:paraId="74671173">
      <w:pPr>
        <w:ind w:firstLine="0" w:firstLineChars="0"/>
        <w:jc w:val="left"/>
        <w:outlineLvl w:val="9"/>
        <w:rPr>
          <w:color w:val="auto"/>
          <w:highlight w:val="none"/>
        </w:rPr>
      </w:pPr>
    </w:p>
    <w:p w14:paraId="4BA9E21D">
      <w:pPr>
        <w:ind w:firstLine="0" w:firstLineChars="0"/>
        <w:jc w:val="left"/>
        <w:outlineLvl w:val="9"/>
        <w:rPr>
          <w:color w:val="auto"/>
          <w:highlight w:val="none"/>
        </w:rPr>
      </w:pPr>
    </w:p>
    <w:p w14:paraId="0714C93D">
      <w:pPr>
        <w:ind w:firstLine="0" w:firstLineChars="0"/>
        <w:jc w:val="left"/>
        <w:outlineLvl w:val="9"/>
        <w:rPr>
          <w:color w:val="auto"/>
          <w:highlight w:val="none"/>
        </w:rPr>
      </w:pPr>
    </w:p>
    <w:p w14:paraId="43AB6A0E">
      <w:pPr>
        <w:ind w:firstLine="0" w:firstLineChars="0"/>
        <w:jc w:val="left"/>
        <w:outlineLvl w:val="9"/>
        <w:rPr>
          <w:color w:val="auto"/>
          <w:highlight w:val="none"/>
        </w:rPr>
      </w:pPr>
    </w:p>
    <w:p w14:paraId="14899D26">
      <w:pPr>
        <w:ind w:firstLine="0" w:firstLineChars="0"/>
        <w:jc w:val="left"/>
        <w:outlineLvl w:val="9"/>
        <w:rPr>
          <w:color w:val="auto"/>
          <w:highlight w:val="none"/>
        </w:rPr>
      </w:pPr>
    </w:p>
    <w:p w14:paraId="1F2FB6E7">
      <w:pPr>
        <w:ind w:firstLine="0" w:firstLineChars="0"/>
        <w:jc w:val="left"/>
        <w:outlineLvl w:val="9"/>
        <w:rPr>
          <w:color w:val="auto"/>
          <w:highlight w:val="none"/>
        </w:rPr>
      </w:pPr>
    </w:p>
    <w:p w14:paraId="678E29D8">
      <w:pPr>
        <w:pStyle w:val="2"/>
        <w:ind w:firstLineChars="0"/>
        <w:jc w:val="center"/>
        <w:outlineLvl w:val="0"/>
        <w:rPr>
          <w:color w:val="auto"/>
          <w:highlight w:val="none"/>
        </w:rPr>
      </w:pPr>
      <w:bookmarkStart w:id="181" w:name="_Toc18919"/>
      <w:bookmarkStart w:id="182" w:name="_Toc9961"/>
      <w:r>
        <w:rPr>
          <w:color w:val="auto"/>
          <w:highlight w:val="none"/>
        </w:rPr>
        <w:t>8 胶合木结构</w:t>
      </w:r>
      <w:bookmarkEnd w:id="181"/>
      <w:bookmarkEnd w:id="182"/>
    </w:p>
    <w:p w14:paraId="74AA29E2">
      <w:pPr>
        <w:pStyle w:val="3"/>
        <w:ind w:firstLineChars="0"/>
        <w:jc w:val="center"/>
        <w:outlineLvl w:val="1"/>
        <w:rPr>
          <w:color w:val="auto"/>
          <w:highlight w:val="none"/>
        </w:rPr>
      </w:pPr>
      <w:bookmarkStart w:id="183" w:name="_Toc3478"/>
      <w:bookmarkStart w:id="184" w:name="_Toc15065"/>
      <w:r>
        <w:rPr>
          <w:color w:val="auto"/>
          <w:highlight w:val="none"/>
        </w:rPr>
        <w:t xml:space="preserve">8.1 </w:t>
      </w:r>
      <w:r>
        <w:rPr>
          <w:rFonts w:hint="eastAsia"/>
          <w:color w:val="auto"/>
          <w:highlight w:val="none"/>
          <w:lang w:val="en-US" w:eastAsia="zh-CN"/>
        </w:rPr>
        <w:t xml:space="preserve"> </w:t>
      </w:r>
      <w:r>
        <w:rPr>
          <w:color w:val="auto"/>
          <w:highlight w:val="none"/>
        </w:rPr>
        <w:t>一般规定</w:t>
      </w:r>
      <w:bookmarkEnd w:id="183"/>
      <w:bookmarkEnd w:id="184"/>
    </w:p>
    <w:p w14:paraId="11F87184">
      <w:pPr>
        <w:pStyle w:val="4"/>
        <w:ind w:firstLineChars="0"/>
        <w:jc w:val="left"/>
        <w:rPr>
          <w:color w:val="auto"/>
          <w:highlight w:val="none"/>
        </w:rPr>
      </w:pPr>
      <w:r>
        <w:rPr>
          <w:b/>
          <w:bCs/>
          <w:color w:val="auto"/>
          <w:highlight w:val="none"/>
        </w:rPr>
        <w:t>8.1.1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采用普通胶合木层板制作胶合木的设计指标，应按下列规定采用：</w:t>
      </w:r>
    </w:p>
    <w:p w14:paraId="2190B142">
      <w:pPr>
        <w:pStyle w:val="4"/>
        <w:ind w:firstLine="480" w:firstLineChars="200"/>
        <w:jc w:val="left"/>
        <w:rPr>
          <w:color w:val="auto"/>
          <w:highlight w:val="none"/>
        </w:rPr>
      </w:pPr>
      <w:r>
        <w:rPr>
          <w:color w:val="auto"/>
          <w:highlight w:val="none"/>
        </w:rPr>
        <w:t xml:space="preserve">1 </w:t>
      </w:r>
      <w:r>
        <w:rPr>
          <w:rFonts w:hint="eastAsia"/>
          <w:color w:val="auto"/>
          <w:highlight w:val="none"/>
          <w:lang w:val="en-US" w:eastAsia="zh-CN"/>
        </w:rPr>
        <w:t xml:space="preserve"> </w:t>
      </w:r>
      <w:r>
        <w:rPr>
          <w:rFonts w:hint="eastAsia"/>
          <w:color w:val="auto"/>
          <w:highlight w:val="none"/>
        </w:rPr>
        <w:t>普通层板胶合木的强度等级应根据选用的树种，按表</w:t>
      </w:r>
      <w:r>
        <w:rPr>
          <w:color w:val="auto"/>
          <w:highlight w:val="none"/>
        </w:rPr>
        <w:t>8.1.1-1的规定采用。</w:t>
      </w:r>
    </w:p>
    <w:p w14:paraId="0E0C9F56">
      <w:pPr>
        <w:pStyle w:val="40"/>
        <w:ind w:firstLineChars="0"/>
        <w:jc w:val="center"/>
        <w:rPr>
          <w:color w:val="auto"/>
          <w:highlight w:val="none"/>
        </w:rPr>
      </w:pPr>
      <w:r>
        <w:rPr>
          <w:color w:val="auto"/>
          <w:highlight w:val="none"/>
        </w:rPr>
        <w:t>表8.1.1-1普通层板胶合木适用树种分级表</w:t>
      </w:r>
    </w:p>
    <w:p w14:paraId="735DDCD6">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4030980"/>
            <wp:effectExtent l="0" t="0" r="1270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759450" cy="4030980"/>
                    </a:xfrm>
                    <a:prstGeom prst="rect">
                      <a:avLst/>
                    </a:prstGeom>
                  </pic:spPr>
                </pic:pic>
              </a:graphicData>
            </a:graphic>
          </wp:inline>
        </w:drawing>
      </w:r>
    </w:p>
    <w:p w14:paraId="1EB22446">
      <w:pPr>
        <w:pStyle w:val="4"/>
        <w:ind w:firstLine="480" w:firstLineChars="200"/>
        <w:jc w:val="left"/>
        <w:rPr>
          <w:rFonts w:hint="eastAsia"/>
          <w:color w:val="auto"/>
          <w:highlight w:val="none"/>
        </w:rPr>
      </w:pPr>
      <w:r>
        <w:rPr>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在正常情况下，普通层板胶合木强度设计值及弹性模量，应按表</w:t>
      </w:r>
      <w:r>
        <w:rPr>
          <w:color w:val="auto"/>
          <w:highlight w:val="none"/>
        </w:rPr>
        <w:t>8.1.1-2的规定采用。</w:t>
      </w:r>
    </w:p>
    <w:p w14:paraId="6C65932F">
      <w:pPr>
        <w:ind w:firstLine="0" w:firstLineChars="0"/>
        <w:jc w:val="center"/>
        <w:rPr>
          <w:rFonts w:hint="eastAsia" w:ascii="Times New Roman" w:hAnsi="Times New Roman" w:eastAsia="黑体" w:cs="Times New Roman"/>
          <w:color w:val="auto"/>
          <w:highlight w:val="none"/>
        </w:rPr>
      </w:pPr>
    </w:p>
    <w:p w14:paraId="1B3976C1">
      <w:pPr>
        <w:ind w:firstLine="0" w:firstLineChars="0"/>
        <w:jc w:val="center"/>
        <w:rPr>
          <w:rFonts w:hint="eastAsia" w:ascii="Times New Roman" w:hAnsi="Times New Roman" w:eastAsia="黑体" w:cs="Times New Roman"/>
          <w:color w:val="auto"/>
          <w:highlight w:val="none"/>
        </w:rPr>
      </w:pPr>
    </w:p>
    <w:p w14:paraId="2BE43074">
      <w:pPr>
        <w:ind w:firstLine="0" w:firstLineChars="0"/>
        <w:jc w:val="center"/>
        <w:rPr>
          <w:rFonts w:hint="eastAsia" w:ascii="Times New Roman" w:hAnsi="Times New Roman" w:eastAsia="黑体" w:cs="Times New Roman"/>
          <w:color w:val="auto"/>
          <w:highlight w:val="none"/>
        </w:rPr>
      </w:pPr>
    </w:p>
    <w:p w14:paraId="132B4B57">
      <w:pPr>
        <w:ind w:firstLine="0" w:firstLineChars="0"/>
        <w:jc w:val="center"/>
        <w:rPr>
          <w:rFonts w:hint="eastAsia" w:ascii="Times New Roman" w:hAnsi="Times New Roman" w:eastAsia="黑体" w:cs="Times New Roman"/>
          <w:color w:val="auto"/>
          <w:highlight w:val="none"/>
        </w:rPr>
      </w:pPr>
    </w:p>
    <w:p w14:paraId="4D425B4B">
      <w:pPr>
        <w:ind w:firstLine="0" w:firstLineChars="0"/>
        <w:jc w:val="center"/>
        <w:rPr>
          <w:rFonts w:hint="eastAsia" w:ascii="Times New Roman" w:hAnsi="Times New Roman" w:eastAsia="黑体" w:cs="Times New Roman"/>
          <w:color w:val="auto"/>
          <w:highlight w:val="none"/>
        </w:rPr>
      </w:pPr>
    </w:p>
    <w:p w14:paraId="03D52FD6">
      <w:pPr>
        <w:ind w:firstLine="0" w:firstLineChars="0"/>
        <w:jc w:val="center"/>
        <w:rPr>
          <w:rFonts w:hint="eastAsia" w:ascii="Times New Roman" w:hAnsi="Times New Roman" w:eastAsia="黑体" w:cs="Times New Roman"/>
          <w:color w:val="auto"/>
          <w:highlight w:val="none"/>
        </w:rPr>
      </w:pPr>
    </w:p>
    <w:p w14:paraId="1D65E7D6">
      <w:pPr>
        <w:ind w:firstLine="0" w:firstLineChars="0"/>
        <w:jc w:val="center"/>
        <w:rPr>
          <w:rFonts w:hint="eastAsia" w:ascii="Times New Roman" w:hAnsi="Times New Roman" w:eastAsia="黑体" w:cs="Times New Roman"/>
          <w:color w:val="auto"/>
          <w:highlight w:val="none"/>
        </w:rPr>
      </w:pPr>
    </w:p>
    <w:p w14:paraId="2CCAE851">
      <w:pPr>
        <w:ind w:firstLine="0" w:firstLineChars="0"/>
        <w:jc w:val="center"/>
        <w:rPr>
          <w:rFonts w:hint="eastAsia" w:ascii="Times New Roman" w:hAnsi="Times New Roman" w:eastAsia="黑体" w:cs="Times New Roman"/>
          <w:color w:val="auto"/>
          <w:highlight w:val="none"/>
        </w:rPr>
      </w:pPr>
    </w:p>
    <w:p w14:paraId="7A8355CA">
      <w:pPr>
        <w:ind w:firstLine="0" w:firstLineChars="0"/>
        <w:jc w:val="center"/>
        <w:rPr>
          <w:rFonts w:hint="eastAsia" w:ascii="Times New Roman" w:hAnsi="Times New Roman" w:eastAsia="黑体" w:cs="Times New Roman"/>
          <w:color w:val="auto"/>
          <w:highlight w:val="none"/>
        </w:rPr>
      </w:pPr>
    </w:p>
    <w:p w14:paraId="131DF868">
      <w:pPr>
        <w:pStyle w:val="40"/>
        <w:ind w:firstLineChars="0"/>
        <w:jc w:val="center"/>
        <w:rPr>
          <w:color w:val="auto"/>
          <w:highlight w:val="none"/>
        </w:rPr>
      </w:pPr>
      <w:r>
        <w:rPr>
          <w:rFonts w:hint="eastAsia"/>
          <w:color w:val="auto"/>
          <w:highlight w:val="none"/>
        </w:rPr>
        <w:t>表</w:t>
      </w:r>
      <w:r>
        <w:rPr>
          <w:color w:val="auto"/>
          <w:highlight w:val="none"/>
        </w:rPr>
        <w:t xml:space="preserve">8.1.1-2 </w:t>
      </w:r>
      <w:r>
        <w:rPr>
          <w:rFonts w:hint="eastAsia"/>
          <w:color w:val="auto"/>
          <w:highlight w:val="none"/>
        </w:rPr>
        <w:t>普通层板胶合木的强度设计值和弹性模量</w:t>
      </w:r>
      <w:r>
        <w:rPr>
          <w:color w:val="auto"/>
          <w:highlight w:val="none"/>
        </w:rPr>
        <w:t>(N/mm</w:t>
      </w:r>
      <w:r>
        <w:rPr>
          <w:color w:val="auto"/>
          <w:highlight w:val="none"/>
          <w:vertAlign w:val="superscript"/>
        </w:rPr>
        <w:t>2</w:t>
      </w:r>
      <w:r>
        <w:rPr>
          <w:color w:val="auto"/>
          <w:highlight w:val="none"/>
        </w:rPr>
        <w:t>)</w:t>
      </w:r>
    </w:p>
    <w:p w14:paraId="5A767CB8">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134610" cy="3193415"/>
            <wp:effectExtent l="0" t="0" r="889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134610" cy="3193415"/>
                    </a:xfrm>
                    <a:prstGeom prst="rect">
                      <a:avLst/>
                    </a:prstGeom>
                  </pic:spPr>
                </pic:pic>
              </a:graphicData>
            </a:graphic>
          </wp:inline>
        </w:drawing>
      </w:r>
    </w:p>
    <w:p w14:paraId="1FD58F2B">
      <w:pPr>
        <w:pStyle w:val="4"/>
        <w:ind w:firstLine="480" w:firstLineChars="200"/>
        <w:jc w:val="left"/>
        <w:rPr>
          <w:color w:val="auto"/>
          <w:highlight w:val="none"/>
        </w:rPr>
      </w:pPr>
      <w:r>
        <w:rPr>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在不同的使用条件下，胶合木强度设计值和弹性模量尚应乘以表</w:t>
      </w:r>
      <w:r>
        <w:rPr>
          <w:color w:val="auto"/>
          <w:highlight w:val="none"/>
        </w:rPr>
        <w:t>8.1.1-3规定的调整系数。对于不同的设计使用年限，</w:t>
      </w:r>
      <w:r>
        <w:rPr>
          <w:rFonts w:hint="eastAsia"/>
          <w:color w:val="auto"/>
          <w:highlight w:val="none"/>
        </w:rPr>
        <w:t>胶合木强度设计值和弹性模量还应乘以表</w:t>
      </w:r>
      <w:r>
        <w:rPr>
          <w:color w:val="auto"/>
          <w:highlight w:val="none"/>
        </w:rPr>
        <w:t>4.2.1-4规定的调整</w:t>
      </w:r>
      <w:r>
        <w:rPr>
          <w:rFonts w:hint="eastAsia"/>
          <w:color w:val="auto"/>
          <w:highlight w:val="none"/>
        </w:rPr>
        <w:t>系数。</w:t>
      </w:r>
    </w:p>
    <w:p w14:paraId="5E18E137">
      <w:pPr>
        <w:pStyle w:val="40"/>
        <w:ind w:firstLineChars="0"/>
        <w:jc w:val="center"/>
        <w:rPr>
          <w:color w:val="auto"/>
          <w:highlight w:val="none"/>
        </w:rPr>
      </w:pPr>
      <w:r>
        <w:rPr>
          <w:rFonts w:hint="eastAsia"/>
          <w:color w:val="auto"/>
          <w:highlight w:val="none"/>
        </w:rPr>
        <w:t>表</w:t>
      </w:r>
      <w:r>
        <w:rPr>
          <w:color w:val="auto"/>
          <w:highlight w:val="none"/>
        </w:rPr>
        <w:t>8.1.1-3</w:t>
      </w:r>
      <w:r>
        <w:rPr>
          <w:rFonts w:hint="eastAsia"/>
          <w:color w:val="auto"/>
          <w:highlight w:val="none"/>
          <w:lang w:val="en-US" w:eastAsia="zh-CN"/>
        </w:rPr>
        <w:t xml:space="preserve"> </w:t>
      </w:r>
      <w:r>
        <w:rPr>
          <w:color w:val="auto"/>
          <w:highlight w:val="none"/>
        </w:rPr>
        <w:t>不同使用条件下胶</w:t>
      </w:r>
      <w:r>
        <w:rPr>
          <w:rFonts w:hint="eastAsia"/>
          <w:color w:val="auto"/>
          <w:highlight w:val="none"/>
        </w:rPr>
        <w:t>合</w:t>
      </w:r>
      <w:r>
        <w:rPr>
          <w:color w:val="auto"/>
          <w:highlight w:val="none"/>
        </w:rPr>
        <w:t>木强度设计值和弹性模量的调整系数</w:t>
      </w:r>
    </w:p>
    <w:p w14:paraId="0327CAF7">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2546985"/>
            <wp:effectExtent l="0" t="0" r="1270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759450" cy="2546985"/>
                    </a:xfrm>
                    <a:prstGeom prst="rect">
                      <a:avLst/>
                    </a:prstGeom>
                  </pic:spPr>
                </pic:pic>
              </a:graphicData>
            </a:graphic>
          </wp:inline>
        </w:drawing>
      </w:r>
    </w:p>
    <w:p w14:paraId="45F3B1A7">
      <w:pPr>
        <w:tabs>
          <w:tab w:val="left" w:pos="720"/>
        </w:tabs>
        <w:spacing w:line="240" w:lineRule="auto"/>
        <w:ind w:firstLine="0"/>
        <w:jc w:val="left"/>
        <w:rPr>
          <w:rFonts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注：</w:t>
      </w:r>
      <w:r>
        <w:rPr>
          <w:rFonts w:ascii="Times New Roman" w:hAnsi="Times New Roman" w:cs="Times New Roman" w:eastAsiaTheme="minorEastAsia"/>
          <w:color w:val="auto"/>
          <w:sz w:val="24"/>
          <w:szCs w:val="24"/>
          <w:highlight w:val="none"/>
        </w:rPr>
        <w:t xml:space="preserve">1 </w:t>
      </w:r>
      <w:r>
        <w:rPr>
          <w:rFonts w:hint="eastAsia" w:cs="Times New Roman" w:eastAsiaTheme="minorEastAsia"/>
          <w:color w:val="auto"/>
          <w:sz w:val="24"/>
          <w:szCs w:val="24"/>
          <w:highlight w:val="none"/>
          <w:lang w:val="en-US" w:eastAsia="zh-CN"/>
        </w:rPr>
        <w:t xml:space="preserve"> </w:t>
      </w:r>
      <w:r>
        <w:rPr>
          <w:rFonts w:ascii="Times New Roman" w:hAnsi="Times New Roman" w:cs="Times New Roman" w:eastAsiaTheme="minorEastAsia"/>
          <w:color w:val="auto"/>
          <w:sz w:val="24"/>
          <w:szCs w:val="24"/>
          <w:highlight w:val="none"/>
        </w:rPr>
        <w:t>当仅有恒荷载或恒荷载产生的内力超过全部荷载所产生的内力的80%时，</w:t>
      </w:r>
      <w:r>
        <w:rPr>
          <w:rFonts w:hint="eastAsia" w:ascii="Times New Roman" w:hAnsi="Times New Roman" w:cs="Times New Roman" w:eastAsiaTheme="minorEastAsia"/>
          <w:color w:val="auto"/>
          <w:sz w:val="24"/>
          <w:szCs w:val="24"/>
          <w:highlight w:val="none"/>
        </w:rPr>
        <w:t>应单独以恒荷载进行验算；</w:t>
      </w:r>
    </w:p>
    <w:p w14:paraId="5C7A40E0">
      <w:pPr>
        <w:tabs>
          <w:tab w:val="left" w:pos="720"/>
        </w:tabs>
        <w:spacing w:line="240" w:lineRule="auto"/>
        <w:ind w:firstLine="480"/>
        <w:jc w:val="left"/>
        <w:rPr>
          <w:rFonts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 xml:space="preserve">2 </w:t>
      </w:r>
      <w:r>
        <w:rPr>
          <w:rFonts w:hint="eastAsia" w:cs="Times New Roman" w:eastAsiaTheme="minorEastAsia"/>
          <w:color w:val="auto"/>
          <w:sz w:val="24"/>
          <w:szCs w:val="24"/>
          <w:highlight w:val="none"/>
          <w:lang w:val="en-US" w:eastAsia="zh-CN"/>
        </w:rPr>
        <w:t xml:space="preserve"> </w:t>
      </w:r>
      <w:r>
        <w:rPr>
          <w:rFonts w:ascii="Times New Roman" w:hAnsi="Times New Roman" w:cs="Times New Roman" w:eastAsiaTheme="minorEastAsia"/>
          <w:color w:val="auto"/>
          <w:sz w:val="24"/>
          <w:szCs w:val="24"/>
          <w:highlight w:val="none"/>
        </w:rPr>
        <w:t>使用中胶合木构件含水率大于15%时，横纹承压强度设计值尚应再乘以0.8的调整系数</w:t>
      </w:r>
      <w:r>
        <w:rPr>
          <w:rFonts w:hint="eastAsia" w:ascii="Times New Roman" w:hAnsi="Times New Roman" w:cs="Times New Roman" w:eastAsiaTheme="minorEastAsia"/>
          <w:color w:val="auto"/>
          <w:sz w:val="24"/>
          <w:szCs w:val="24"/>
          <w:highlight w:val="none"/>
        </w:rPr>
        <w:t>；</w:t>
      </w:r>
    </w:p>
    <w:p w14:paraId="05FABE61">
      <w:pPr>
        <w:tabs>
          <w:tab w:val="left" w:pos="720"/>
        </w:tabs>
        <w:spacing w:line="240" w:lineRule="auto"/>
        <w:ind w:firstLine="480"/>
        <w:jc w:val="left"/>
        <w:rPr>
          <w:rFonts w:hint="eastAsia" w:ascii="Times New Roman" w:hAnsi="Times New Roman" w:cs="Times New Roman" w:eastAsiaTheme="minorEastAsia"/>
          <w:color w:val="auto"/>
          <w:sz w:val="24"/>
          <w:szCs w:val="24"/>
          <w:highlight w:val="none"/>
        </w:rPr>
      </w:pPr>
      <w:r>
        <w:rPr>
          <w:rFonts w:ascii="Times New Roman" w:hAnsi="Times New Roman" w:cs="Times New Roman" w:eastAsiaTheme="minorEastAsia"/>
          <w:color w:val="auto"/>
          <w:sz w:val="24"/>
          <w:szCs w:val="24"/>
          <w:highlight w:val="none"/>
        </w:rPr>
        <w:t xml:space="preserve">3 </w:t>
      </w:r>
      <w:r>
        <w:rPr>
          <w:rFonts w:hint="eastAsia" w:cs="Times New Roman" w:eastAsiaTheme="minorEastAsia"/>
          <w:color w:val="auto"/>
          <w:sz w:val="24"/>
          <w:szCs w:val="24"/>
          <w:highlight w:val="none"/>
          <w:lang w:val="en-US" w:eastAsia="zh-CN"/>
        </w:rPr>
        <w:t xml:space="preserve"> </w:t>
      </w:r>
      <w:r>
        <w:rPr>
          <w:rFonts w:hint="eastAsia" w:ascii="Times New Roman" w:hAnsi="Times New Roman" w:cs="Times New Roman" w:eastAsiaTheme="minorEastAsia"/>
          <w:color w:val="auto"/>
          <w:sz w:val="24"/>
          <w:szCs w:val="24"/>
          <w:highlight w:val="none"/>
        </w:rPr>
        <w:t>当若干条件同时出现时，表列各系数应连乘。</w:t>
      </w:r>
    </w:p>
    <w:p w14:paraId="73F7615F">
      <w:pPr>
        <w:spacing w:line="240" w:lineRule="auto"/>
        <w:ind w:firstLine="480"/>
        <w:jc w:val="left"/>
        <w:rPr>
          <w:rFonts w:hint="eastAsia" w:ascii="Times New Roman" w:hAnsi="Times New Roman" w:cs="Times New Roman" w:eastAsiaTheme="minorEastAsia"/>
          <w:color w:val="auto"/>
          <w:sz w:val="24"/>
          <w:szCs w:val="24"/>
          <w:highlight w:val="none"/>
        </w:rPr>
      </w:pPr>
    </w:p>
    <w:p w14:paraId="62C476EF">
      <w:pPr>
        <w:spacing w:line="240" w:lineRule="auto"/>
        <w:ind w:firstLine="480"/>
        <w:jc w:val="left"/>
        <w:rPr>
          <w:rFonts w:hint="eastAsia" w:ascii="Times New Roman" w:hAnsi="Times New Roman" w:cs="Times New Roman" w:eastAsiaTheme="minorEastAsia"/>
          <w:color w:val="auto"/>
          <w:sz w:val="24"/>
          <w:szCs w:val="24"/>
          <w:highlight w:val="none"/>
        </w:rPr>
      </w:pPr>
    </w:p>
    <w:p w14:paraId="437EC7A7">
      <w:pPr>
        <w:spacing w:line="240" w:lineRule="auto"/>
        <w:ind w:firstLine="480"/>
        <w:jc w:val="left"/>
        <w:rPr>
          <w:rFonts w:hint="eastAsia" w:ascii="Times New Roman" w:hAnsi="Times New Roman" w:cs="Times New Roman" w:eastAsiaTheme="minorEastAsia"/>
          <w:color w:val="auto"/>
          <w:sz w:val="24"/>
          <w:szCs w:val="24"/>
          <w:highlight w:val="none"/>
        </w:rPr>
      </w:pPr>
    </w:p>
    <w:p w14:paraId="7654081E">
      <w:pPr>
        <w:pStyle w:val="40"/>
        <w:ind w:firstLineChars="0"/>
        <w:jc w:val="center"/>
        <w:rPr>
          <w:color w:val="auto"/>
          <w:highlight w:val="none"/>
        </w:rPr>
      </w:pPr>
      <w:r>
        <w:rPr>
          <w:color w:val="auto"/>
          <w:highlight w:val="none"/>
        </w:rPr>
        <w:t>表8.1.1-4</w:t>
      </w:r>
      <w:r>
        <w:rPr>
          <w:rFonts w:hint="eastAsia"/>
          <w:color w:val="auto"/>
          <w:highlight w:val="none"/>
          <w:lang w:val="en-US" w:eastAsia="zh-CN"/>
        </w:rPr>
        <w:t xml:space="preserve"> </w:t>
      </w:r>
      <w:r>
        <w:rPr>
          <w:color w:val="auto"/>
          <w:highlight w:val="none"/>
        </w:rPr>
        <w:t>不同设计使用年限时胶合木强度设计值和弹性模量的调整系数</w:t>
      </w:r>
    </w:p>
    <w:p w14:paraId="21F7F000">
      <w:pPr>
        <w:ind w:firstLine="0" w:firstLineChars="0"/>
        <w:jc w:val="left"/>
        <w:rPr>
          <w:rFonts w:ascii="Times New Roman" w:hAnsi="Times New Roman" w:cs="Times New Roman" w:eastAsiaTheme="minorEastAsia"/>
          <w:color w:val="auto"/>
          <w:highlight w:val="none"/>
        </w:rPr>
      </w:pPr>
      <w:r>
        <w:rPr>
          <w:color w:val="auto"/>
          <w:highlight w:val="none"/>
        </w:rPr>
        <w:drawing>
          <wp:inline distT="0" distB="0" distL="0" distR="0">
            <wp:extent cx="5759450" cy="1642745"/>
            <wp:effectExtent l="0" t="0" r="1270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5759450" cy="1642745"/>
                    </a:xfrm>
                    <a:prstGeom prst="rect">
                      <a:avLst/>
                    </a:prstGeom>
                  </pic:spPr>
                </pic:pic>
              </a:graphicData>
            </a:graphic>
          </wp:inline>
        </w:drawing>
      </w:r>
    </w:p>
    <w:p w14:paraId="352943DF">
      <w:pPr>
        <w:pStyle w:val="4"/>
        <w:ind w:firstLine="480" w:firstLineChars="200"/>
        <w:jc w:val="left"/>
        <w:rPr>
          <w:color w:val="auto"/>
          <w:highlight w:val="none"/>
        </w:rPr>
      </w:pPr>
      <w:r>
        <w:rPr>
          <w:color w:val="auto"/>
          <w:highlight w:val="none"/>
        </w:rPr>
        <w:t>4</w:t>
      </w:r>
      <w:r>
        <w:rPr>
          <w:rFonts w:hint="eastAsia"/>
          <w:color w:val="auto"/>
          <w:highlight w:val="none"/>
          <w:lang w:val="en-US" w:eastAsia="zh-CN"/>
        </w:rPr>
        <w:t xml:space="preserve">  </w:t>
      </w:r>
      <w:r>
        <w:rPr>
          <w:color w:val="auto"/>
          <w:highlight w:val="none"/>
        </w:rPr>
        <w:t>当采用普通胶合木层板制作胶合木构件时，构件的强度</w:t>
      </w:r>
      <w:r>
        <w:rPr>
          <w:rFonts w:hint="eastAsia"/>
          <w:color w:val="auto"/>
          <w:highlight w:val="none"/>
        </w:rPr>
        <w:t>设计值按整体截面设计，不考虑胶缝的松弛性。在设计受弯、拉弯或压弯的普通层板胶合木构件时，按以上各款确定的抗弯强度设计值应乘以表</w:t>
      </w:r>
      <w:r>
        <w:rPr>
          <w:color w:val="auto"/>
          <w:highlight w:val="none"/>
        </w:rPr>
        <w:t>8.1.1-5规定的修正系数。工字形和T形截面的</w:t>
      </w:r>
      <w:r>
        <w:rPr>
          <w:rFonts w:hint="eastAsia"/>
          <w:color w:val="auto"/>
          <w:highlight w:val="none"/>
        </w:rPr>
        <w:t>胶合木构件，其抗弯强度设计值除按表</w:t>
      </w:r>
      <w:r>
        <w:rPr>
          <w:color w:val="auto"/>
          <w:highlight w:val="none"/>
        </w:rPr>
        <w:t>8.1.1-5乘以修正系数</w:t>
      </w:r>
      <w:r>
        <w:rPr>
          <w:rFonts w:hint="eastAsia"/>
          <w:color w:val="auto"/>
          <w:highlight w:val="none"/>
        </w:rPr>
        <w:t>外，尚应乘以截面形状修正系数</w:t>
      </w:r>
      <w:r>
        <w:rPr>
          <w:color w:val="auto"/>
          <w:highlight w:val="none"/>
        </w:rPr>
        <w:t>0.9。</w:t>
      </w:r>
    </w:p>
    <w:p w14:paraId="18A31E6D">
      <w:pPr>
        <w:ind w:firstLine="0" w:firstLineChars="0"/>
        <w:jc w:val="center"/>
        <w:rPr>
          <w:rFonts w:ascii="Times New Roman" w:hAnsi="Times New Roman" w:cs="Times New Roman" w:eastAsiaTheme="minorEastAsia"/>
          <w:color w:val="auto"/>
          <w:highlight w:val="none"/>
        </w:rPr>
      </w:pPr>
      <w:r>
        <w:rPr>
          <w:rStyle w:val="47"/>
          <w:rFonts w:hint="eastAsia" w:ascii="Times New Roman" w:hAnsi="Times New Roman" w:eastAsia="黑体" w:cs="Times New Roman"/>
          <w:color w:val="auto"/>
          <w:highlight w:val="none"/>
        </w:rPr>
        <w:t>表</w:t>
      </w:r>
      <w:r>
        <w:rPr>
          <w:rStyle w:val="47"/>
          <w:rFonts w:ascii="Times New Roman" w:hAnsi="Times New Roman" w:eastAsia="黑体" w:cs="Times New Roman"/>
          <w:color w:val="auto"/>
          <w:highlight w:val="none"/>
        </w:rPr>
        <w:t>8.1.1</w:t>
      </w:r>
      <w:r>
        <w:rPr>
          <w:rStyle w:val="47"/>
          <w:rFonts w:hint="eastAsia" w:ascii="Times New Roman" w:hAnsi="Times New Roman" w:eastAsia="黑体" w:cs="Times New Roman"/>
          <w:color w:val="auto"/>
          <w:highlight w:val="none"/>
        </w:rPr>
        <w:t>-</w:t>
      </w:r>
      <w:r>
        <w:rPr>
          <w:rStyle w:val="47"/>
          <w:rFonts w:ascii="Times New Roman" w:hAnsi="Times New Roman" w:eastAsia="黑体" w:cs="Times New Roman"/>
          <w:color w:val="auto"/>
          <w:highlight w:val="none"/>
        </w:rPr>
        <w:t>5 胶合木构件抗弯强度设计值修正系数</w:t>
      </w:r>
      <w:r>
        <w:rPr>
          <w:color w:val="auto"/>
          <w:highlight w:val="none"/>
        </w:rPr>
        <w:drawing>
          <wp:inline distT="0" distB="0" distL="0" distR="0">
            <wp:extent cx="5759450" cy="1522095"/>
            <wp:effectExtent l="0" t="0" r="1270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759450" cy="1522095"/>
                    </a:xfrm>
                    <a:prstGeom prst="rect">
                      <a:avLst/>
                    </a:prstGeom>
                  </pic:spPr>
                </pic:pic>
              </a:graphicData>
            </a:graphic>
          </wp:inline>
        </w:drawing>
      </w:r>
    </w:p>
    <w:p w14:paraId="0524BB43">
      <w:pPr>
        <w:pStyle w:val="4"/>
        <w:ind w:firstLine="480" w:firstLineChars="200"/>
        <w:jc w:val="left"/>
        <w:rPr>
          <w:color w:val="auto"/>
          <w:highlight w:val="none"/>
        </w:rPr>
      </w:pPr>
      <w:r>
        <w:rPr>
          <w:color w:val="auto"/>
          <w:highlight w:val="none"/>
        </w:rPr>
        <w:t>5</w:t>
      </w:r>
      <w:r>
        <w:rPr>
          <w:rFonts w:hint="eastAsia"/>
          <w:color w:val="auto"/>
          <w:highlight w:val="none"/>
          <w:lang w:val="en-US" w:eastAsia="zh-CN"/>
        </w:rPr>
        <w:t xml:space="preserve">  </w:t>
      </w:r>
      <w:r>
        <w:rPr>
          <w:rFonts w:hint="eastAsia"/>
          <w:color w:val="auto"/>
          <w:highlight w:val="none"/>
        </w:rPr>
        <w:t>对于曲线形构件，抗弯强度设计值除应遵守以上各款规定外，还应乘以由下式计算的修正系数：</w:t>
      </w:r>
    </w:p>
    <w:p w14:paraId="4D8E4A7E">
      <w:pPr>
        <w:ind w:firstLine="0" w:firstLineChars="0"/>
        <w:jc w:val="center"/>
        <w:rPr>
          <w:rFonts w:hint="eastAsia" w:ascii="Times New Roman" w:hAnsi="Times New Roman" w:cs="Times New Roman" w:eastAsiaTheme="minorEastAsia"/>
          <w:color w:val="auto"/>
          <w:highlight w:val="none"/>
        </w:rPr>
      </w:pPr>
      <w:r>
        <w:rPr>
          <w:rFonts w:hint="eastAsia"/>
          <w:color w:val="auto"/>
          <w:highlight w:val="none"/>
          <w:lang w:val="en-US" w:eastAsia="zh-CN"/>
        </w:rPr>
        <w:t xml:space="preserve"> </w:t>
      </w:r>
      <w:r>
        <w:rPr>
          <w:color w:val="auto"/>
          <w:highlight w:val="none"/>
        </w:rPr>
        <w:drawing>
          <wp:inline distT="0" distB="0" distL="0" distR="0">
            <wp:extent cx="1989455" cy="426085"/>
            <wp:effectExtent l="0" t="0" r="1079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1989455" cy="426085"/>
                    </a:xfrm>
                    <a:prstGeom prst="rect">
                      <a:avLst/>
                    </a:prstGeom>
                  </pic:spPr>
                </pic:pic>
              </a:graphicData>
            </a:graphic>
          </wp:inline>
        </w:drawing>
      </w:r>
      <w:r>
        <w:rPr>
          <w:rFonts w:hint="eastAsia" w:ascii="Times New Roman" w:hAnsi="Times New Roman" w:cs="Times New Roman" w:eastAsiaTheme="minorEastAsia"/>
          <w:color w:val="auto"/>
          <w:highlight w:val="none"/>
        </w:rPr>
        <w:t xml:space="preserve">   </w:t>
      </w:r>
    </w:p>
    <w:p w14:paraId="5B72FC42">
      <w:pPr>
        <w:ind w:firstLine="0" w:firstLineChars="0"/>
        <w:jc w:val="left"/>
        <w:rPr>
          <w:rFonts w:ascii="Times New Roman" w:hAnsi="Times New Roman" w:cs="Times New Roman" w:eastAsiaTheme="minorEastAsia"/>
          <w:color w:val="auto"/>
          <w:highlight w:val="none"/>
        </w:rPr>
      </w:pPr>
      <w:r>
        <w:rPr>
          <w:rFonts w:hint="eastAsia" w:cs="Times New Roman" w:eastAsiaTheme="minorEastAsia"/>
          <w:color w:val="auto"/>
          <w:highlight w:val="none"/>
          <w:lang w:val="en-US" w:eastAsia="zh-CN"/>
        </w:rPr>
        <w:t xml:space="preserve">                                                                          </w:t>
      </w:r>
      <w:r>
        <w:rPr>
          <w:rFonts w:hint="eastAsia" w:ascii="Times New Roman" w:hAnsi="Times New Roman" w:cs="Times New Roman" w:eastAsiaTheme="minorEastAsia"/>
          <w:color w:val="auto"/>
          <w:highlight w:val="none"/>
        </w:rPr>
        <w:t>（8.1.1）</w:t>
      </w:r>
    </w:p>
    <w:p w14:paraId="1F207F25">
      <w:pPr>
        <w:ind w:firstLine="0" w:firstLineChars="0"/>
        <w:jc w:val="left"/>
        <w:rPr>
          <w:rFonts w:ascii="Times New Roman" w:hAnsi="Times New Roman" w:cs="Times New Roman" w:eastAsiaTheme="minorEastAsia"/>
          <w:color w:val="auto"/>
          <w:highlight w:val="none"/>
        </w:rPr>
      </w:pPr>
      <w:r>
        <w:rPr>
          <w:color w:val="auto"/>
          <w:highlight w:val="none"/>
        </w:rPr>
        <w:drawing>
          <wp:inline distT="0" distB="0" distL="0" distR="0">
            <wp:extent cx="3970020" cy="691515"/>
            <wp:effectExtent l="0" t="0" r="1143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4053541" cy="706129"/>
                    </a:xfrm>
                    <a:prstGeom prst="rect">
                      <a:avLst/>
                    </a:prstGeom>
                  </pic:spPr>
                </pic:pic>
              </a:graphicData>
            </a:graphic>
          </wp:inline>
        </w:drawing>
      </w:r>
    </w:p>
    <w:p w14:paraId="6282B1FE">
      <w:pPr>
        <w:pStyle w:val="4"/>
        <w:ind w:firstLineChars="0"/>
        <w:jc w:val="left"/>
        <w:rPr>
          <w:color w:val="auto"/>
          <w:highlight w:val="none"/>
        </w:rPr>
      </w:pPr>
      <w:r>
        <w:rPr>
          <w:b/>
          <w:bCs/>
          <w:color w:val="auto"/>
          <w:highlight w:val="none"/>
        </w:rPr>
        <w:t>8.1.2</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采用目测分级层板和机械弹性模量分级层板制作的胶合木的强度设计指标应按下列规定采用：</w:t>
      </w:r>
    </w:p>
    <w:p w14:paraId="0D36595D">
      <w:pPr>
        <w:pStyle w:val="4"/>
        <w:ind w:firstLine="480" w:firstLineChars="200"/>
        <w:jc w:val="left"/>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用于制作胶 合木的目测分级层板和机械弹性模量分级层</w:t>
      </w:r>
      <w:r>
        <w:rPr>
          <w:rFonts w:hint="eastAsia"/>
          <w:color w:val="auto"/>
          <w:highlight w:val="none"/>
        </w:rPr>
        <w:t>板采用的木材，其树种级别、适用树种及树种组合应符合表</w:t>
      </w:r>
      <w:r>
        <w:rPr>
          <w:color w:val="auto"/>
          <w:highlight w:val="none"/>
        </w:rPr>
        <w:t>4.2.2-1的规定。</w:t>
      </w:r>
    </w:p>
    <w:p w14:paraId="28898508">
      <w:pPr>
        <w:pStyle w:val="40"/>
        <w:ind w:firstLineChars="0"/>
        <w:jc w:val="center"/>
        <w:rPr>
          <w:color w:val="auto"/>
          <w:highlight w:val="none"/>
        </w:rPr>
      </w:pPr>
      <w:r>
        <w:rPr>
          <w:color w:val="auto"/>
          <w:highlight w:val="none"/>
        </w:rPr>
        <w:t>表8.1.2-1</w:t>
      </w:r>
      <w:r>
        <w:rPr>
          <w:rFonts w:hint="eastAsia"/>
          <w:color w:val="auto"/>
          <w:highlight w:val="none"/>
          <w:lang w:val="en-US" w:eastAsia="zh-CN"/>
        </w:rPr>
        <w:t xml:space="preserve">  </w:t>
      </w:r>
      <w:r>
        <w:rPr>
          <w:color w:val="auto"/>
          <w:highlight w:val="none"/>
        </w:rPr>
        <w:t>胶合木适用树种分级表</w:t>
      </w:r>
    </w:p>
    <w:p w14:paraId="3270592D">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2294255"/>
            <wp:effectExtent l="0" t="0" r="1270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a:stretch>
                      <a:fillRect/>
                    </a:stretch>
                  </pic:blipFill>
                  <pic:spPr>
                    <a:xfrm>
                      <a:off x="0" y="0"/>
                      <a:ext cx="5759450" cy="2294255"/>
                    </a:xfrm>
                    <a:prstGeom prst="rect">
                      <a:avLst/>
                    </a:prstGeom>
                  </pic:spPr>
                </pic:pic>
              </a:graphicData>
            </a:graphic>
          </wp:inline>
        </w:drawing>
      </w:r>
    </w:p>
    <w:p w14:paraId="09AB9398">
      <w:pPr>
        <w:ind w:firstLine="480"/>
        <w:jc w:val="left"/>
        <w:rPr>
          <w:rFonts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注：</w:t>
      </w:r>
      <w:r>
        <w:rPr>
          <w:rFonts w:ascii="Times New Roman" w:hAnsi="Times New Roman" w:cs="Times New Roman" w:eastAsiaTheme="minorEastAsia"/>
          <w:color w:val="auto"/>
          <w:sz w:val="24"/>
          <w:szCs w:val="24"/>
          <w:highlight w:val="none"/>
        </w:rPr>
        <w:t>表中花旗松-落叶松、铁</w:t>
      </w:r>
      <w:r>
        <w:rPr>
          <w:rFonts w:hint="eastAsia" w:ascii="Times New Roman" w:hAnsi="Times New Roman" w:cs="Times New Roman" w:eastAsiaTheme="minorEastAsia"/>
          <w:color w:val="auto"/>
          <w:sz w:val="24"/>
          <w:szCs w:val="24"/>
          <w:highlight w:val="none"/>
        </w:rPr>
        <w:t>-</w:t>
      </w:r>
      <w:r>
        <w:rPr>
          <w:rFonts w:ascii="Times New Roman" w:hAnsi="Times New Roman" w:cs="Times New Roman" w:eastAsiaTheme="minorEastAsia"/>
          <w:color w:val="auto"/>
          <w:sz w:val="24"/>
          <w:szCs w:val="24"/>
          <w:highlight w:val="none"/>
        </w:rPr>
        <w:t>冷杉产地为北美地区。南方松产地为美国。</w:t>
      </w:r>
    </w:p>
    <w:p w14:paraId="07A95F86">
      <w:pPr>
        <w:ind w:firstLine="480"/>
        <w:jc w:val="left"/>
        <w:rPr>
          <w:rFonts w:ascii="Times New Roman" w:hAnsi="Times New Roman" w:cs="Times New Roman" w:eastAsiaTheme="minorEastAsia"/>
          <w:color w:val="auto"/>
          <w:sz w:val="24"/>
          <w:szCs w:val="24"/>
          <w:highlight w:val="none"/>
        </w:rPr>
      </w:pPr>
    </w:p>
    <w:p w14:paraId="7E70FFC9">
      <w:pPr>
        <w:pStyle w:val="4"/>
        <w:ind w:firstLine="480" w:firstLineChars="200"/>
        <w:jc w:val="left"/>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胶合木分为异等组合与同等组合二类。异等组合分为对</w:t>
      </w:r>
      <w:r>
        <w:rPr>
          <w:rFonts w:hint="eastAsia"/>
          <w:color w:val="auto"/>
          <w:highlight w:val="none"/>
        </w:rPr>
        <w:t>称组合与非对称组合。受弯构件和压弯构件宜采用异等组合，轴心受力构件和当受弯构件的荷载作用方向与层板窄边垂直时，应采用同等组合。胶合木强度及弹性模量的特征值应符合本规范附录</w:t>
      </w:r>
      <w:r>
        <w:rPr>
          <w:color w:val="auto"/>
          <w:highlight w:val="none"/>
        </w:rPr>
        <w:t>B的规定。</w:t>
      </w:r>
    </w:p>
    <w:p w14:paraId="51B94BE8">
      <w:pPr>
        <w:pStyle w:val="4"/>
        <w:ind w:firstLine="480" w:firstLineChars="200"/>
        <w:jc w:val="left"/>
        <w:rPr>
          <w:rFonts w:hint="eastAsia"/>
          <w:color w:val="auto"/>
          <w:highlight w:val="none"/>
        </w:rPr>
      </w:pPr>
      <w:r>
        <w:rPr>
          <w:color w:val="auto"/>
          <w:highlight w:val="none"/>
        </w:rPr>
        <w:t xml:space="preserve">3 </w:t>
      </w:r>
      <w:r>
        <w:rPr>
          <w:rFonts w:hint="eastAsia"/>
          <w:color w:val="auto"/>
          <w:highlight w:val="none"/>
          <w:lang w:val="en-US" w:eastAsia="zh-CN"/>
        </w:rPr>
        <w:t xml:space="preserve"> </w:t>
      </w:r>
      <w:r>
        <w:rPr>
          <w:color w:val="auto"/>
          <w:highlight w:val="none"/>
        </w:rPr>
        <w:t>胶合木强度设计值及弹性模量应按表8.1.2-2、表8.1.2-3</w:t>
      </w:r>
      <w:r>
        <w:rPr>
          <w:rFonts w:hint="eastAsia"/>
          <w:color w:val="auto"/>
          <w:highlight w:val="none"/>
        </w:rPr>
        <w:t>和表</w:t>
      </w:r>
      <w:r>
        <w:rPr>
          <w:color w:val="auto"/>
          <w:highlight w:val="none"/>
        </w:rPr>
        <w:t>8.1.2-4规定采用。</w:t>
      </w:r>
    </w:p>
    <w:p w14:paraId="60A91C53">
      <w:pPr>
        <w:pStyle w:val="40"/>
        <w:jc w:val="left"/>
        <w:rPr>
          <w:color w:val="auto"/>
          <w:highlight w:val="none"/>
        </w:rPr>
      </w:pPr>
      <w:r>
        <w:rPr>
          <w:color w:val="auto"/>
          <w:highlight w:val="none"/>
        </w:rPr>
        <w:t xml:space="preserve">表8.1.2-2 </w:t>
      </w:r>
      <w:r>
        <w:rPr>
          <w:rFonts w:hint="eastAsia"/>
          <w:color w:val="auto"/>
          <w:highlight w:val="none"/>
          <w:lang w:val="en-US" w:eastAsia="zh-CN"/>
        </w:rPr>
        <w:t xml:space="preserve"> </w:t>
      </w:r>
      <w:r>
        <w:rPr>
          <w:color w:val="auto"/>
          <w:highlight w:val="none"/>
        </w:rPr>
        <w:t>对称异等组合胶合木的强度设计值和弹性模量(N/mm</w:t>
      </w:r>
      <w:r>
        <w:rPr>
          <w:color w:val="auto"/>
          <w:highlight w:val="none"/>
          <w:vertAlign w:val="superscript"/>
        </w:rPr>
        <w:t>2</w:t>
      </w:r>
      <w:r>
        <w:rPr>
          <w:color w:val="auto"/>
          <w:highlight w:val="none"/>
        </w:rPr>
        <w:t>)</w:t>
      </w:r>
    </w:p>
    <w:p w14:paraId="1EB076BF">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2200275"/>
            <wp:effectExtent l="0" t="0" r="1270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a:stretch>
                      <a:fillRect/>
                    </a:stretch>
                  </pic:blipFill>
                  <pic:spPr>
                    <a:xfrm>
                      <a:off x="0" y="0"/>
                      <a:ext cx="5759450" cy="2200275"/>
                    </a:xfrm>
                    <a:prstGeom prst="rect">
                      <a:avLst/>
                    </a:prstGeom>
                  </pic:spPr>
                </pic:pic>
              </a:graphicData>
            </a:graphic>
          </wp:inline>
        </w:drawing>
      </w:r>
    </w:p>
    <w:p w14:paraId="4BC05850">
      <w:pPr>
        <w:spacing w:line="240" w:lineRule="auto"/>
        <w:ind w:firstLine="480"/>
        <w:jc w:val="left"/>
        <w:rPr>
          <w:rFonts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注：</w:t>
      </w:r>
      <w:r>
        <w:rPr>
          <w:rFonts w:ascii="Times New Roman" w:hAnsi="Times New Roman" w:cs="Times New Roman" w:eastAsiaTheme="minorEastAsia"/>
          <w:color w:val="auto"/>
          <w:sz w:val="24"/>
          <w:szCs w:val="24"/>
          <w:highlight w:val="none"/>
        </w:rPr>
        <w:t>当荷载的作用方向与层板窄边垂直时，抗弯强度设计值fm 应乘以0.7的系</w:t>
      </w:r>
      <w:r>
        <w:rPr>
          <w:rFonts w:hint="eastAsia" w:ascii="Times New Roman" w:hAnsi="Times New Roman" w:cs="Times New Roman" w:eastAsiaTheme="minorEastAsia"/>
          <w:color w:val="auto"/>
          <w:sz w:val="24"/>
          <w:szCs w:val="24"/>
          <w:highlight w:val="none"/>
        </w:rPr>
        <w:t>数，弹性模量</w:t>
      </w:r>
      <w:r>
        <w:rPr>
          <w:rFonts w:ascii="Times New Roman" w:hAnsi="Times New Roman" w:cs="Times New Roman" w:eastAsiaTheme="minorEastAsia"/>
          <w:color w:val="auto"/>
          <w:sz w:val="24"/>
          <w:szCs w:val="24"/>
          <w:highlight w:val="none"/>
        </w:rPr>
        <w:t>E应乘以0.9的系数。</w:t>
      </w:r>
    </w:p>
    <w:p w14:paraId="30A70C86">
      <w:pPr>
        <w:pStyle w:val="40"/>
        <w:jc w:val="left"/>
        <w:rPr>
          <w:color w:val="auto"/>
          <w:highlight w:val="none"/>
        </w:rPr>
      </w:pPr>
      <w:r>
        <w:rPr>
          <w:rFonts w:hint="eastAsia"/>
          <w:color w:val="auto"/>
          <w:highlight w:val="none"/>
        </w:rPr>
        <w:t>表</w:t>
      </w:r>
      <w:r>
        <w:rPr>
          <w:color w:val="auto"/>
          <w:highlight w:val="none"/>
        </w:rPr>
        <w:t xml:space="preserve">8.1.2-3 </w:t>
      </w:r>
      <w:r>
        <w:rPr>
          <w:rFonts w:hint="eastAsia"/>
          <w:color w:val="auto"/>
          <w:highlight w:val="none"/>
          <w:lang w:val="en-US" w:eastAsia="zh-CN"/>
        </w:rPr>
        <w:t xml:space="preserve"> </w:t>
      </w:r>
      <w:r>
        <w:rPr>
          <w:color w:val="auto"/>
          <w:highlight w:val="none"/>
        </w:rPr>
        <w:t>非对称异等组合胶合木的强度设计值</w:t>
      </w:r>
      <w:r>
        <w:rPr>
          <w:rFonts w:hint="eastAsia"/>
          <w:color w:val="auto"/>
          <w:highlight w:val="none"/>
        </w:rPr>
        <w:t>和弹性模量</w:t>
      </w:r>
      <w:r>
        <w:rPr>
          <w:color w:val="auto"/>
          <w:highlight w:val="none"/>
        </w:rPr>
        <w:t>(N/mm</w:t>
      </w:r>
      <w:r>
        <w:rPr>
          <w:color w:val="auto"/>
          <w:highlight w:val="none"/>
          <w:vertAlign w:val="superscript"/>
        </w:rPr>
        <w:t>2</w:t>
      </w:r>
      <w:r>
        <w:rPr>
          <w:color w:val="auto"/>
          <w:highlight w:val="none"/>
        </w:rPr>
        <w:t>)</w:t>
      </w:r>
    </w:p>
    <w:p w14:paraId="69AC54BD">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2501900"/>
            <wp:effectExtent l="0" t="0" r="1270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a:stretch>
                      <a:fillRect/>
                    </a:stretch>
                  </pic:blipFill>
                  <pic:spPr>
                    <a:xfrm>
                      <a:off x="0" y="0"/>
                      <a:ext cx="5759450" cy="2501900"/>
                    </a:xfrm>
                    <a:prstGeom prst="rect">
                      <a:avLst/>
                    </a:prstGeom>
                  </pic:spPr>
                </pic:pic>
              </a:graphicData>
            </a:graphic>
          </wp:inline>
        </w:drawing>
      </w:r>
    </w:p>
    <w:p w14:paraId="51E2D9D0">
      <w:pPr>
        <w:spacing w:line="240" w:lineRule="auto"/>
        <w:ind w:firstLine="480"/>
        <w:jc w:val="left"/>
        <w:rPr>
          <w:rFonts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注：</w:t>
      </w:r>
      <w:r>
        <w:rPr>
          <w:rFonts w:ascii="Times New Roman" w:hAnsi="Times New Roman" w:cs="Times New Roman" w:eastAsiaTheme="minorEastAsia"/>
          <w:color w:val="auto"/>
          <w:sz w:val="24"/>
          <w:szCs w:val="24"/>
          <w:highlight w:val="none"/>
        </w:rPr>
        <w:t>当荷载的作用方向与层板窄边垂直时，抗弯强度设计值fm应采用正向弯曲强</w:t>
      </w:r>
      <w:r>
        <w:rPr>
          <w:rFonts w:hint="eastAsia" w:ascii="Times New Roman" w:hAnsi="Times New Roman" w:cs="Times New Roman" w:eastAsiaTheme="minorEastAsia"/>
          <w:color w:val="auto"/>
          <w:sz w:val="24"/>
          <w:szCs w:val="24"/>
          <w:highlight w:val="none"/>
        </w:rPr>
        <w:t>度设计值并乘以</w:t>
      </w:r>
      <w:r>
        <w:rPr>
          <w:rFonts w:ascii="Times New Roman" w:hAnsi="Times New Roman" w:cs="Times New Roman" w:eastAsiaTheme="minorEastAsia"/>
          <w:color w:val="auto"/>
          <w:sz w:val="24"/>
          <w:szCs w:val="24"/>
          <w:highlight w:val="none"/>
        </w:rPr>
        <w:t>0.7的系数，弹性模量E应乘以0.9的系数。</w:t>
      </w:r>
    </w:p>
    <w:p w14:paraId="6A4CA2A8">
      <w:pPr>
        <w:jc w:val="left"/>
        <w:rPr>
          <w:rFonts w:hint="eastAsia" w:ascii="Times New Roman" w:hAnsi="Times New Roman" w:cs="Times New Roman" w:eastAsiaTheme="minorEastAsia"/>
          <w:color w:val="auto"/>
          <w:sz w:val="24"/>
          <w:szCs w:val="24"/>
          <w:highlight w:val="none"/>
        </w:rPr>
      </w:pPr>
    </w:p>
    <w:p w14:paraId="79DB491B">
      <w:pPr>
        <w:pStyle w:val="40"/>
        <w:ind w:firstLineChars="0"/>
        <w:jc w:val="center"/>
        <w:rPr>
          <w:color w:val="auto"/>
          <w:highlight w:val="none"/>
        </w:rPr>
      </w:pPr>
      <w:r>
        <w:rPr>
          <w:color w:val="auto"/>
          <w:highlight w:val="none"/>
        </w:rPr>
        <w:t xml:space="preserve">表8.1.2-4 </w:t>
      </w:r>
      <w:r>
        <w:rPr>
          <w:rFonts w:hint="eastAsia"/>
          <w:color w:val="auto"/>
          <w:highlight w:val="none"/>
          <w:lang w:val="en-US" w:eastAsia="zh-CN"/>
        </w:rPr>
        <w:t xml:space="preserve"> </w:t>
      </w:r>
      <w:r>
        <w:rPr>
          <w:color w:val="auto"/>
          <w:highlight w:val="none"/>
        </w:rPr>
        <w:t>同等组合胶合木的强度设计值和弹性模量(N/mm</w:t>
      </w:r>
      <w:r>
        <w:rPr>
          <w:color w:val="auto"/>
          <w:highlight w:val="none"/>
          <w:vertAlign w:val="superscript"/>
        </w:rPr>
        <w:t>2</w:t>
      </w:r>
      <w:r>
        <w:rPr>
          <w:color w:val="auto"/>
          <w:highlight w:val="none"/>
        </w:rPr>
        <w:t>)</w:t>
      </w:r>
    </w:p>
    <w:p w14:paraId="3E012202">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2375535"/>
            <wp:effectExtent l="0" t="0" r="1270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a:stretch>
                      <a:fillRect/>
                    </a:stretch>
                  </pic:blipFill>
                  <pic:spPr>
                    <a:xfrm>
                      <a:off x="0" y="0"/>
                      <a:ext cx="5759450" cy="2375535"/>
                    </a:xfrm>
                    <a:prstGeom prst="rect">
                      <a:avLst/>
                    </a:prstGeom>
                  </pic:spPr>
                </pic:pic>
              </a:graphicData>
            </a:graphic>
          </wp:inline>
        </w:drawing>
      </w:r>
    </w:p>
    <w:p w14:paraId="5ED6568A">
      <w:pPr>
        <w:pStyle w:val="4"/>
        <w:ind w:firstLine="480" w:firstLineChars="200"/>
        <w:jc w:val="left"/>
        <w:rPr>
          <w:color w:val="auto"/>
          <w:highlight w:val="none"/>
        </w:rPr>
      </w:pPr>
      <w:r>
        <w:rPr>
          <w:color w:val="auto"/>
          <w:highlight w:val="none"/>
        </w:rPr>
        <w:t xml:space="preserve">4 </w:t>
      </w:r>
      <w:r>
        <w:rPr>
          <w:rFonts w:hint="eastAsia"/>
          <w:color w:val="auto"/>
          <w:highlight w:val="none"/>
          <w:lang w:val="en-US" w:eastAsia="zh-CN"/>
        </w:rPr>
        <w:t xml:space="preserve"> </w:t>
      </w:r>
      <w:r>
        <w:rPr>
          <w:color w:val="auto"/>
          <w:highlight w:val="none"/>
        </w:rPr>
        <w:t>胶合木构件顺纹抗剪强度设计值应按表8.1.2-5规定</w:t>
      </w:r>
      <w:r>
        <w:rPr>
          <w:rFonts w:hint="eastAsia"/>
          <w:color w:val="auto"/>
          <w:highlight w:val="none"/>
        </w:rPr>
        <w:t>采用。</w:t>
      </w:r>
    </w:p>
    <w:p w14:paraId="30B70A56">
      <w:pPr>
        <w:pStyle w:val="40"/>
        <w:ind w:firstLineChars="0"/>
        <w:jc w:val="center"/>
        <w:rPr>
          <w:color w:val="auto"/>
          <w:highlight w:val="none"/>
        </w:rPr>
      </w:pPr>
      <w:r>
        <w:rPr>
          <w:rFonts w:hint="eastAsia"/>
          <w:color w:val="auto"/>
          <w:highlight w:val="none"/>
        </w:rPr>
        <w:t>表</w:t>
      </w:r>
      <w:r>
        <w:rPr>
          <w:color w:val="auto"/>
          <w:highlight w:val="none"/>
        </w:rPr>
        <w:t>8.1.2-5</w:t>
      </w:r>
      <w:r>
        <w:rPr>
          <w:rFonts w:hint="eastAsia"/>
          <w:color w:val="auto"/>
          <w:highlight w:val="none"/>
          <w:lang w:val="en-US" w:eastAsia="zh-CN"/>
        </w:rPr>
        <w:t xml:space="preserve">  </w:t>
      </w:r>
      <w:r>
        <w:rPr>
          <w:rFonts w:hint="eastAsia"/>
          <w:color w:val="auto"/>
          <w:highlight w:val="none"/>
        </w:rPr>
        <w:t>胶合木构件顺纹抗剪强度设计值</w:t>
      </w:r>
      <w:r>
        <w:rPr>
          <w:color w:val="auto"/>
          <w:highlight w:val="none"/>
        </w:rPr>
        <w:t>(N/mm</w:t>
      </w:r>
      <w:r>
        <w:rPr>
          <w:color w:val="auto"/>
          <w:highlight w:val="none"/>
          <w:vertAlign w:val="superscript"/>
        </w:rPr>
        <w:t>2</w:t>
      </w:r>
      <w:r>
        <w:rPr>
          <w:color w:val="auto"/>
          <w:highlight w:val="none"/>
        </w:rPr>
        <w:t>)</w:t>
      </w:r>
    </w:p>
    <w:p w14:paraId="06A11F99">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906645" cy="1403985"/>
            <wp:effectExtent l="0" t="0" r="825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4906645" cy="1403985"/>
                    </a:xfrm>
                    <a:prstGeom prst="rect">
                      <a:avLst/>
                    </a:prstGeom>
                  </pic:spPr>
                </pic:pic>
              </a:graphicData>
            </a:graphic>
          </wp:inline>
        </w:drawing>
      </w:r>
    </w:p>
    <w:p w14:paraId="26496958">
      <w:pPr>
        <w:pStyle w:val="4"/>
        <w:ind w:firstLine="480" w:firstLineChars="200"/>
        <w:jc w:val="left"/>
        <w:rPr>
          <w:color w:val="auto"/>
          <w:highlight w:val="none"/>
        </w:rPr>
      </w:pPr>
      <w:r>
        <w:rPr>
          <w:color w:val="auto"/>
          <w:highlight w:val="none"/>
        </w:rPr>
        <w:t>5</w:t>
      </w:r>
      <w:r>
        <w:rPr>
          <w:rFonts w:hint="eastAsia"/>
          <w:color w:val="auto"/>
          <w:highlight w:val="none"/>
          <w:lang w:val="en-US" w:eastAsia="zh-CN"/>
        </w:rPr>
        <w:t xml:space="preserve">  </w:t>
      </w:r>
      <w:r>
        <w:rPr>
          <w:color w:val="auto"/>
          <w:highlight w:val="none"/>
        </w:rPr>
        <w:t>胶合木构件横纹承压强度设计值应按表8.1.2-6规定</w:t>
      </w:r>
      <w:r>
        <w:rPr>
          <w:rFonts w:hint="eastAsia"/>
          <w:color w:val="auto"/>
          <w:highlight w:val="none"/>
        </w:rPr>
        <w:t>采用。</w:t>
      </w:r>
    </w:p>
    <w:p w14:paraId="669CB677">
      <w:pPr>
        <w:pStyle w:val="40"/>
        <w:ind w:firstLineChars="0"/>
        <w:jc w:val="center"/>
        <w:rPr>
          <w:color w:val="auto"/>
          <w:highlight w:val="none"/>
        </w:rPr>
      </w:pPr>
      <w:r>
        <w:rPr>
          <w:rFonts w:hint="eastAsia"/>
          <w:color w:val="auto"/>
          <w:highlight w:val="none"/>
        </w:rPr>
        <w:t>表</w:t>
      </w:r>
      <w:r>
        <w:rPr>
          <w:color w:val="auto"/>
          <w:highlight w:val="none"/>
        </w:rPr>
        <w:t>8.1.2-6</w:t>
      </w:r>
      <w:r>
        <w:rPr>
          <w:rFonts w:hint="eastAsia"/>
          <w:color w:val="auto"/>
          <w:highlight w:val="none"/>
          <w:lang w:val="en-US" w:eastAsia="zh-CN"/>
        </w:rPr>
        <w:t xml:space="preserve">  </w:t>
      </w:r>
      <w:r>
        <w:rPr>
          <w:color w:val="auto"/>
          <w:highlight w:val="none"/>
        </w:rPr>
        <w:t>胶合木构件横纹承压强度设计值(N/mm</w:t>
      </w:r>
      <w:r>
        <w:rPr>
          <w:color w:val="auto"/>
          <w:highlight w:val="none"/>
          <w:vertAlign w:val="superscript"/>
        </w:rPr>
        <w:t>2</w:t>
      </w:r>
      <w:r>
        <w:rPr>
          <w:color w:val="auto"/>
          <w:highlight w:val="none"/>
        </w:rPr>
        <w:t>)</w:t>
      </w:r>
    </w:p>
    <w:p w14:paraId="7750B0AC">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984115" cy="2077085"/>
            <wp:effectExtent l="0" t="0" r="6985"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4984115" cy="2077085"/>
                    </a:xfrm>
                    <a:prstGeom prst="rect">
                      <a:avLst/>
                    </a:prstGeom>
                  </pic:spPr>
                </pic:pic>
              </a:graphicData>
            </a:graphic>
          </wp:inline>
        </w:drawing>
      </w:r>
    </w:p>
    <w:p w14:paraId="1180D93B">
      <w:pPr>
        <w:pStyle w:val="44"/>
        <w:ind w:firstLineChars="0"/>
        <w:jc w:val="center"/>
        <w:rPr>
          <w:color w:val="auto"/>
          <w:highlight w:val="none"/>
        </w:rPr>
      </w:pPr>
      <w:r>
        <w:rPr>
          <w:rFonts w:hint="eastAsia"/>
          <w:color w:val="auto"/>
          <w:highlight w:val="none"/>
        </w:rPr>
        <w:t>续表</w:t>
      </w:r>
      <w:r>
        <w:rPr>
          <w:color w:val="auto"/>
          <w:highlight w:val="none"/>
        </w:rPr>
        <w:t>8.1.2-6</w:t>
      </w:r>
    </w:p>
    <w:p w14:paraId="55DEFAE0">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890135" cy="3261995"/>
            <wp:effectExtent l="0" t="0" r="5715" b="146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1"/>
                    <a:stretch>
                      <a:fillRect/>
                    </a:stretch>
                  </pic:blipFill>
                  <pic:spPr>
                    <a:xfrm>
                      <a:off x="0" y="0"/>
                      <a:ext cx="4890135" cy="3261995"/>
                    </a:xfrm>
                    <a:prstGeom prst="rect">
                      <a:avLst/>
                    </a:prstGeom>
                  </pic:spPr>
                </pic:pic>
              </a:graphicData>
            </a:graphic>
          </wp:inline>
        </w:drawing>
      </w:r>
    </w:p>
    <w:p w14:paraId="29D777BE">
      <w:pPr>
        <w:pStyle w:val="4"/>
        <w:ind w:firstLine="480" w:firstLineChars="200"/>
        <w:jc w:val="left"/>
        <w:rPr>
          <w:color w:val="auto"/>
          <w:highlight w:val="none"/>
        </w:rPr>
      </w:pPr>
      <w:r>
        <w:rPr>
          <w:color w:val="auto"/>
          <w:highlight w:val="none"/>
        </w:rPr>
        <w:t xml:space="preserve">6 </w:t>
      </w:r>
      <w:r>
        <w:rPr>
          <w:rFonts w:hint="eastAsia"/>
          <w:color w:val="auto"/>
          <w:highlight w:val="none"/>
          <w:lang w:val="en-US" w:eastAsia="zh-CN"/>
        </w:rPr>
        <w:t xml:space="preserve"> </w:t>
      </w:r>
      <w:r>
        <w:rPr>
          <w:color w:val="auto"/>
          <w:highlight w:val="none"/>
        </w:rPr>
        <w:t>胶合木斜纹承压的强度设计值可按下式计算</w:t>
      </w:r>
      <w:r>
        <w:rPr>
          <w:rFonts w:hint="eastAsia"/>
          <w:color w:val="auto"/>
          <w:highlight w:val="none"/>
        </w:rPr>
        <w:t>：</w:t>
      </w:r>
    </w:p>
    <w:p w14:paraId="5E7594EA">
      <w:pPr>
        <w:ind w:firstLine="0" w:firstLineChars="0"/>
        <w:jc w:val="center"/>
        <w:rPr>
          <w:rFonts w:hint="eastAsia" w:ascii="Times New Roman" w:hAnsi="Times New Roman" w:cs="Times New Roman" w:eastAsiaTheme="minorEastAsia"/>
          <w:color w:val="auto"/>
          <w:highlight w:val="none"/>
        </w:rPr>
      </w:pPr>
      <w:r>
        <w:rPr>
          <w:color w:val="auto"/>
          <w:highlight w:val="none"/>
        </w:rPr>
        <w:drawing>
          <wp:inline distT="0" distB="0" distL="0" distR="0">
            <wp:extent cx="3104515" cy="595630"/>
            <wp:effectExtent l="0" t="0" r="635"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a:stretch>
                      <a:fillRect/>
                    </a:stretch>
                  </pic:blipFill>
                  <pic:spPr>
                    <a:xfrm>
                      <a:off x="0" y="0"/>
                      <a:ext cx="3104515" cy="595630"/>
                    </a:xfrm>
                    <a:prstGeom prst="rect">
                      <a:avLst/>
                    </a:prstGeom>
                  </pic:spPr>
                </pic:pic>
              </a:graphicData>
            </a:graphic>
          </wp:inline>
        </w:drawing>
      </w:r>
      <w:r>
        <w:rPr>
          <w:rFonts w:hint="eastAsia" w:ascii="Times New Roman" w:hAnsi="Times New Roman" w:cs="Times New Roman" w:eastAsiaTheme="minorEastAsia"/>
          <w:color w:val="auto"/>
          <w:highlight w:val="none"/>
        </w:rPr>
        <w:t xml:space="preserve">  </w:t>
      </w:r>
      <w:r>
        <w:rPr>
          <w:rFonts w:hint="eastAsia" w:ascii="Times New Roman" w:hAnsi="Times New Roman" w:cs="Times New Roman" w:eastAsiaTheme="minorEastAsia"/>
          <w:color w:val="auto"/>
          <w:highlight w:val="none"/>
        </w:rPr>
        <w:t xml:space="preserve">  </w:t>
      </w:r>
    </w:p>
    <w:p w14:paraId="375D7815">
      <w:pPr>
        <w:ind w:firstLine="8880" w:firstLineChars="3700"/>
        <w:jc w:val="left"/>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（8.1.2）</w:t>
      </w:r>
    </w:p>
    <w:p w14:paraId="3DD9A81C">
      <w:pPr>
        <w:ind w:firstLine="0" w:firstLineChars="0"/>
        <w:jc w:val="left"/>
        <w:rPr>
          <w:rFonts w:ascii="Times New Roman" w:hAnsi="Times New Roman" w:cs="Times New Roman" w:eastAsiaTheme="minorEastAsia"/>
          <w:color w:val="auto"/>
          <w:highlight w:val="none"/>
        </w:rPr>
      </w:pPr>
      <w:r>
        <w:rPr>
          <w:color w:val="auto"/>
          <w:highlight w:val="none"/>
        </w:rPr>
        <w:drawing>
          <wp:inline distT="0" distB="0" distL="0" distR="0">
            <wp:extent cx="4663440" cy="1071880"/>
            <wp:effectExtent l="0" t="0" r="381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a:stretch>
                      <a:fillRect/>
                    </a:stretch>
                  </pic:blipFill>
                  <pic:spPr>
                    <a:xfrm>
                      <a:off x="0" y="0"/>
                      <a:ext cx="4729806" cy="1087282"/>
                    </a:xfrm>
                    <a:prstGeom prst="rect">
                      <a:avLst/>
                    </a:prstGeom>
                  </pic:spPr>
                </pic:pic>
              </a:graphicData>
            </a:graphic>
          </wp:inline>
        </w:drawing>
      </w:r>
    </w:p>
    <w:p w14:paraId="6E4DAF00">
      <w:pPr>
        <w:pStyle w:val="4"/>
        <w:ind w:firstLineChars="0"/>
        <w:jc w:val="left"/>
        <w:rPr>
          <w:color w:val="auto"/>
          <w:highlight w:val="none"/>
        </w:rPr>
      </w:pPr>
      <w:r>
        <w:rPr>
          <w:b/>
          <w:bCs/>
          <w:color w:val="auto"/>
          <w:highlight w:val="none"/>
        </w:rPr>
        <w:t>8.1.3</w:t>
      </w:r>
      <w:r>
        <w:rPr>
          <w:rFonts w:hint="eastAsia"/>
          <w:b/>
          <w:bCs/>
          <w:color w:val="auto"/>
          <w:highlight w:val="none"/>
          <w:lang w:val="en-US" w:eastAsia="zh-CN"/>
        </w:rPr>
        <w:t xml:space="preserve"> </w:t>
      </w:r>
      <w:r>
        <w:rPr>
          <w:color w:val="auto"/>
          <w:highlight w:val="none"/>
        </w:rPr>
        <w:t>采用目测分级层板和机械分级层板制作胶合木的强度设</w:t>
      </w:r>
      <w:r>
        <w:rPr>
          <w:rFonts w:hint="eastAsia"/>
          <w:color w:val="auto"/>
          <w:highlight w:val="none"/>
        </w:rPr>
        <w:t>计值及弹性模量应按下列规定进行调整：</w:t>
      </w:r>
    </w:p>
    <w:p w14:paraId="0B8DC438">
      <w:pPr>
        <w:pStyle w:val="4"/>
        <w:ind w:firstLine="480" w:firstLineChars="200"/>
        <w:jc w:val="left"/>
        <w:rPr>
          <w:color w:val="auto"/>
          <w:highlight w:val="none"/>
        </w:rPr>
      </w:pPr>
      <w:r>
        <w:rPr>
          <w:color w:val="auto"/>
          <w:highlight w:val="none"/>
        </w:rPr>
        <w:t>1</w:t>
      </w:r>
      <w:r>
        <w:rPr>
          <w:rFonts w:hint="eastAsia"/>
          <w:color w:val="auto"/>
          <w:highlight w:val="none"/>
          <w:lang w:val="en-US" w:eastAsia="zh-CN"/>
        </w:rPr>
        <w:t xml:space="preserve"> </w:t>
      </w:r>
      <w:r>
        <w:rPr>
          <w:color w:val="auto"/>
          <w:highlight w:val="none"/>
        </w:rPr>
        <w:t>在不同的使用条件下，胶合木强度设计值和弹性模量应</w:t>
      </w:r>
      <w:r>
        <w:rPr>
          <w:rFonts w:hint="eastAsia"/>
          <w:color w:val="auto"/>
          <w:highlight w:val="none"/>
        </w:rPr>
        <w:t>乘以本规范表</w:t>
      </w:r>
      <w:r>
        <w:rPr>
          <w:color w:val="auto"/>
          <w:highlight w:val="none"/>
        </w:rPr>
        <w:t>8.1.1-3规定的调整系数。对于不同的设计使用年</w:t>
      </w:r>
      <w:r>
        <w:rPr>
          <w:rFonts w:hint="eastAsia"/>
          <w:color w:val="auto"/>
          <w:highlight w:val="none"/>
        </w:rPr>
        <w:t>限，胶合木强度设计值和弹性模量尚应乘以本规范表</w:t>
      </w:r>
      <w:r>
        <w:rPr>
          <w:color w:val="auto"/>
          <w:highlight w:val="none"/>
        </w:rPr>
        <w:t>8.1.1-4规</w:t>
      </w:r>
      <w:r>
        <w:rPr>
          <w:rFonts w:hint="eastAsia"/>
          <w:color w:val="auto"/>
          <w:highlight w:val="none"/>
        </w:rPr>
        <w:t>定的调整系数。</w:t>
      </w:r>
    </w:p>
    <w:p w14:paraId="23091A85">
      <w:pPr>
        <w:pStyle w:val="4"/>
        <w:ind w:firstLine="480" w:firstLineChars="200"/>
        <w:jc w:val="left"/>
        <w:rPr>
          <w:color w:val="auto"/>
          <w:highlight w:val="none"/>
        </w:rPr>
      </w:pPr>
      <w:r>
        <w:rPr>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当构件截面高度大于</w:t>
      </w:r>
      <w:r>
        <w:rPr>
          <w:color w:val="auto"/>
          <w:highlight w:val="none"/>
        </w:rPr>
        <w:t>300mm</w:t>
      </w:r>
      <w:r>
        <w:rPr>
          <w:rFonts w:hint="eastAsia"/>
          <w:color w:val="auto"/>
          <w:highlight w:val="none"/>
          <w:lang w:eastAsia="zh-CN"/>
        </w:rPr>
        <w:t>，</w:t>
      </w:r>
      <w:r>
        <w:rPr>
          <w:color w:val="auto"/>
          <w:highlight w:val="none"/>
        </w:rPr>
        <w:t>荷载作用方向垂直于层板</w:t>
      </w:r>
      <w:r>
        <w:rPr>
          <w:rFonts w:hint="eastAsia"/>
          <w:color w:val="auto"/>
          <w:highlight w:val="none"/>
        </w:rPr>
        <w:t>截面宽度方向时，抗弯强度设计值应乘以体积调整系数</w:t>
      </w:r>
      <w:r>
        <w:rPr>
          <w:color w:val="auto"/>
          <w:highlight w:val="none"/>
        </w:rPr>
        <w:t>k</w:t>
      </w:r>
      <w:r>
        <w:rPr>
          <w:color w:val="auto"/>
          <w:highlight w:val="none"/>
          <w:vertAlign w:val="subscript"/>
        </w:rPr>
        <w:t>v</w:t>
      </w:r>
      <w:r>
        <w:rPr>
          <w:rFonts w:hint="eastAsia"/>
          <w:color w:val="auto"/>
          <w:highlight w:val="none"/>
          <w:lang w:eastAsia="zh-CN"/>
        </w:rPr>
        <w:t>、</w:t>
      </w:r>
      <w:r>
        <w:rPr>
          <w:color w:val="auto"/>
          <w:highlight w:val="none"/>
        </w:rPr>
        <w:t>k</w:t>
      </w:r>
      <w:r>
        <w:rPr>
          <w:color w:val="auto"/>
          <w:highlight w:val="none"/>
          <w:vertAlign w:val="subscript"/>
        </w:rPr>
        <w:t>v</w:t>
      </w:r>
      <w:r>
        <w:rPr>
          <w:color w:val="auto"/>
          <w:highlight w:val="none"/>
        </w:rPr>
        <w:t>按</w:t>
      </w:r>
      <w:r>
        <w:rPr>
          <w:rFonts w:hint="eastAsia"/>
          <w:color w:val="auto"/>
          <w:highlight w:val="none"/>
        </w:rPr>
        <w:t>下式计算：</w:t>
      </w:r>
    </w:p>
    <w:p w14:paraId="70FDB268">
      <w:pPr>
        <w:ind w:firstLine="0" w:firstLineChars="0"/>
        <w:jc w:val="center"/>
        <w:rPr>
          <w:color w:val="auto"/>
          <w:highlight w:val="none"/>
        </w:rPr>
      </w:pPr>
      <w:r>
        <w:rPr>
          <w:rFonts w:hint="eastAsia"/>
          <w:color w:val="auto"/>
          <w:highlight w:val="none"/>
          <w:lang w:val="en-US" w:eastAsia="zh-CN"/>
        </w:rPr>
        <w:t xml:space="preserve">  </w:t>
      </w:r>
      <w:r>
        <w:rPr>
          <w:color w:val="auto"/>
          <w:highlight w:val="none"/>
        </w:rPr>
        <w:drawing>
          <wp:inline distT="0" distB="0" distL="0" distR="0">
            <wp:extent cx="3487420" cy="544195"/>
            <wp:effectExtent l="0" t="0" r="1778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4"/>
                    <a:stretch>
                      <a:fillRect/>
                    </a:stretch>
                  </pic:blipFill>
                  <pic:spPr>
                    <a:xfrm>
                      <a:off x="0" y="0"/>
                      <a:ext cx="3487420" cy="544195"/>
                    </a:xfrm>
                    <a:prstGeom prst="rect">
                      <a:avLst/>
                    </a:prstGeom>
                  </pic:spPr>
                </pic:pic>
              </a:graphicData>
            </a:graphic>
          </wp:inline>
        </w:drawing>
      </w:r>
    </w:p>
    <w:p w14:paraId="533F882C">
      <w:pPr>
        <w:ind w:firstLine="8640" w:firstLineChars="3600"/>
        <w:jc w:val="left"/>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（8.1.3-1）</w:t>
      </w:r>
    </w:p>
    <w:p w14:paraId="70B7735F">
      <w:pPr>
        <w:ind w:firstLine="0" w:firstLineChars="0"/>
        <w:jc w:val="left"/>
        <w:rPr>
          <w:rFonts w:ascii="Times New Roman" w:hAnsi="Times New Roman" w:cs="Times New Roman" w:eastAsiaTheme="minorEastAsia"/>
          <w:color w:val="auto"/>
          <w:highlight w:val="none"/>
        </w:rPr>
      </w:pPr>
      <w:r>
        <w:rPr>
          <w:color w:val="auto"/>
          <w:highlight w:val="none"/>
        </w:rPr>
        <w:drawing>
          <wp:inline distT="0" distB="0" distL="0" distR="0">
            <wp:extent cx="4447540" cy="1158240"/>
            <wp:effectExtent l="0" t="0" r="1016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a:stretch>
                      <a:fillRect/>
                    </a:stretch>
                  </pic:blipFill>
                  <pic:spPr>
                    <a:xfrm>
                      <a:off x="0" y="0"/>
                      <a:ext cx="4450974" cy="1159118"/>
                    </a:xfrm>
                    <a:prstGeom prst="rect">
                      <a:avLst/>
                    </a:prstGeom>
                  </pic:spPr>
                </pic:pic>
              </a:graphicData>
            </a:graphic>
          </wp:inline>
        </w:drawing>
      </w:r>
    </w:p>
    <w:p w14:paraId="69C2E9FA">
      <w:pPr>
        <w:ind w:firstLine="480" w:firstLineChars="200"/>
        <w:jc w:val="left"/>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3</w:t>
      </w:r>
      <w:r>
        <w:rPr>
          <w:rFonts w:hint="eastAsia" w:cs="Times New Roman" w:eastAsiaTheme="minorEastAsia"/>
          <w:color w:val="auto"/>
          <w:highlight w:val="none"/>
          <w:lang w:val="en-US" w:eastAsia="zh-CN"/>
        </w:rPr>
        <w:t xml:space="preserve">  </w:t>
      </w:r>
      <w:r>
        <w:rPr>
          <w:rFonts w:ascii="Times New Roman" w:hAnsi="Times New Roman" w:cs="Times New Roman" w:eastAsiaTheme="minorEastAsia"/>
          <w:color w:val="auto"/>
          <w:highlight w:val="none"/>
        </w:rPr>
        <w:t>当构件截面高度大于300mm，荷载作用方向平行于层板</w:t>
      </w:r>
      <w:r>
        <w:rPr>
          <w:rFonts w:hint="eastAsia" w:ascii="Times New Roman" w:hAnsi="Times New Roman" w:cs="Times New Roman" w:eastAsiaTheme="minorEastAsia"/>
          <w:color w:val="auto"/>
          <w:highlight w:val="none"/>
        </w:rPr>
        <w:t>截面宽度方向时，抗弯强度设计值应乘以截面高度调整系数</w:t>
      </w:r>
      <w:r>
        <w:rPr>
          <w:rFonts w:ascii="Times New Roman" w:hAnsi="Times New Roman" w:cs="Times New Roman" w:eastAsiaTheme="minorEastAsia"/>
          <w:i/>
          <w:color w:val="auto"/>
          <w:highlight w:val="none"/>
        </w:rPr>
        <w:t>k</w:t>
      </w:r>
      <w:r>
        <w:rPr>
          <w:rFonts w:ascii="Times New Roman" w:hAnsi="Times New Roman" w:cs="Times New Roman" w:eastAsiaTheme="minorEastAsia"/>
          <w:color w:val="auto"/>
          <w:highlight w:val="none"/>
          <w:vertAlign w:val="subscript"/>
        </w:rPr>
        <w:t>h</w:t>
      </w:r>
      <w:r>
        <w:rPr>
          <w:rFonts w:hint="eastAsia" w:ascii="Times New Roman" w:hAnsi="Times New Roman" w:cs="Times New Roman" w:eastAsiaTheme="minorEastAsia"/>
          <w:color w:val="auto"/>
          <w:highlight w:val="none"/>
        </w:rPr>
        <w:t>，</w:t>
      </w:r>
      <w:r>
        <w:rPr>
          <w:rFonts w:ascii="Times New Roman" w:hAnsi="Times New Roman" w:cs="Times New Roman" w:eastAsiaTheme="minorEastAsia"/>
          <w:i/>
          <w:color w:val="auto"/>
          <w:highlight w:val="none"/>
        </w:rPr>
        <w:t>k</w:t>
      </w:r>
      <w:r>
        <w:rPr>
          <w:rFonts w:ascii="Times New Roman" w:hAnsi="Times New Roman" w:cs="Times New Roman" w:eastAsiaTheme="minorEastAsia"/>
          <w:color w:val="auto"/>
          <w:highlight w:val="none"/>
          <w:vertAlign w:val="subscript"/>
        </w:rPr>
        <w:t>h</w:t>
      </w:r>
      <w:r>
        <w:rPr>
          <w:rFonts w:ascii="Times New Roman" w:hAnsi="Times New Roman" w:cs="Times New Roman" w:eastAsiaTheme="minorEastAsia"/>
          <w:color w:val="auto"/>
          <w:highlight w:val="none"/>
        </w:rPr>
        <w:t>按下式计算</w:t>
      </w:r>
      <w:r>
        <w:rPr>
          <w:rFonts w:hint="eastAsia" w:ascii="Times New Roman" w:hAnsi="Times New Roman" w:cs="Times New Roman" w:eastAsiaTheme="minorEastAsia"/>
          <w:color w:val="auto"/>
          <w:highlight w:val="none"/>
        </w:rPr>
        <w:t>：</w:t>
      </w:r>
    </w:p>
    <w:p w14:paraId="0DCFD82E">
      <w:pPr>
        <w:ind w:firstLine="0" w:firstLineChars="0"/>
        <w:jc w:val="center"/>
        <w:rPr>
          <w:rFonts w:hint="eastAsia" w:ascii="Times New Roman" w:hAnsi="Times New Roman" w:cs="Times New Roman" w:eastAsiaTheme="minorEastAsia"/>
          <w:color w:val="auto"/>
          <w:highlight w:val="none"/>
        </w:rPr>
      </w:pPr>
      <w:r>
        <w:rPr>
          <w:color w:val="auto"/>
          <w:highlight w:val="none"/>
        </w:rPr>
        <w:drawing>
          <wp:inline distT="0" distB="0" distL="0" distR="0">
            <wp:extent cx="1548130" cy="541020"/>
            <wp:effectExtent l="0" t="0" r="1397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a:stretch>
                      <a:fillRect/>
                    </a:stretch>
                  </pic:blipFill>
                  <pic:spPr>
                    <a:xfrm>
                      <a:off x="0" y="0"/>
                      <a:ext cx="1581554" cy="552662"/>
                    </a:xfrm>
                    <a:prstGeom prst="rect">
                      <a:avLst/>
                    </a:prstGeom>
                  </pic:spPr>
                </pic:pic>
              </a:graphicData>
            </a:graphic>
          </wp:inline>
        </w:drawing>
      </w:r>
      <w:r>
        <w:rPr>
          <w:rFonts w:hint="eastAsia" w:ascii="Times New Roman" w:hAnsi="Times New Roman" w:cs="Times New Roman" w:eastAsiaTheme="minorEastAsia"/>
          <w:color w:val="auto"/>
          <w:highlight w:val="none"/>
        </w:rPr>
        <w:t xml:space="preserve">   </w:t>
      </w:r>
    </w:p>
    <w:p w14:paraId="3624DA5E">
      <w:pPr>
        <w:ind w:firstLine="8640" w:firstLineChars="3600"/>
        <w:jc w:val="left"/>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（8.1.3-2）</w:t>
      </w:r>
    </w:p>
    <w:p w14:paraId="30A0D6B0">
      <w:pPr>
        <w:pStyle w:val="4"/>
        <w:ind w:firstLineChars="0"/>
        <w:jc w:val="left"/>
        <w:rPr>
          <w:color w:val="auto"/>
          <w:highlight w:val="none"/>
        </w:rPr>
      </w:pPr>
      <w:r>
        <w:rPr>
          <w:b/>
          <w:bCs/>
          <w:color w:val="auto"/>
          <w:highlight w:val="none"/>
        </w:rPr>
        <w:t>8.1.4</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在工程中使用进口胶合木时，进口胶合木的强度设计值和弹性模量应符合现行</w:t>
      </w:r>
      <w:r>
        <w:rPr>
          <w:color w:val="auto"/>
          <w:highlight w:val="none"/>
        </w:rPr>
        <w:t>《胶合木结构技术规范》GB/T50708的规定。</w:t>
      </w:r>
    </w:p>
    <w:p w14:paraId="0D4870D7">
      <w:pPr>
        <w:pStyle w:val="4"/>
        <w:ind w:firstLineChars="0"/>
        <w:jc w:val="left"/>
        <w:rPr>
          <w:color w:val="auto"/>
          <w:highlight w:val="none"/>
        </w:rPr>
      </w:pPr>
      <w:r>
        <w:rPr>
          <w:b/>
          <w:bCs/>
          <w:color w:val="auto"/>
          <w:highlight w:val="none"/>
        </w:rPr>
        <w:t>8.1.5</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受弯构件的计算挠度，应满足表</w:t>
      </w:r>
      <w:r>
        <w:rPr>
          <w:color w:val="auto"/>
          <w:highlight w:val="none"/>
        </w:rPr>
        <w:t>8.1.5的挠度限值。</w:t>
      </w:r>
    </w:p>
    <w:p w14:paraId="6A58CAF7">
      <w:pPr>
        <w:pStyle w:val="40"/>
        <w:ind w:firstLineChars="0"/>
        <w:jc w:val="center"/>
        <w:rPr>
          <w:color w:val="auto"/>
          <w:highlight w:val="none"/>
        </w:rPr>
      </w:pPr>
      <w:r>
        <w:rPr>
          <w:rFonts w:hint="eastAsia"/>
          <w:color w:val="auto"/>
          <w:highlight w:val="none"/>
        </w:rPr>
        <w:t>表</w:t>
      </w:r>
      <w:r>
        <w:rPr>
          <w:color w:val="auto"/>
          <w:highlight w:val="none"/>
        </w:rPr>
        <w:t>8.1.5受弯构件挠度限值</w:t>
      </w:r>
    </w:p>
    <w:p w14:paraId="625E8273">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2567305"/>
            <wp:effectExtent l="0" t="0" r="1270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a:stretch>
                      <a:fillRect/>
                    </a:stretch>
                  </pic:blipFill>
                  <pic:spPr>
                    <a:xfrm>
                      <a:off x="0" y="0"/>
                      <a:ext cx="5759450" cy="2567305"/>
                    </a:xfrm>
                    <a:prstGeom prst="rect">
                      <a:avLst/>
                    </a:prstGeom>
                  </pic:spPr>
                </pic:pic>
              </a:graphicData>
            </a:graphic>
          </wp:inline>
        </w:drawing>
      </w:r>
    </w:p>
    <w:p w14:paraId="353E4FC6">
      <w:pPr>
        <w:spacing w:line="240" w:lineRule="auto"/>
        <w:ind w:firstLine="480"/>
        <w:jc w:val="left"/>
        <w:rPr>
          <w:rFonts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注</w:t>
      </w:r>
      <w:r>
        <w:rPr>
          <w:rFonts w:ascii="Times New Roman" w:hAnsi="Times New Roman" w:cs="Times New Roman" w:eastAsiaTheme="minorEastAsia"/>
          <w:color w:val="auto"/>
          <w:sz w:val="24"/>
          <w:szCs w:val="24"/>
          <w:highlight w:val="none"/>
        </w:rPr>
        <w:t>：</w:t>
      </w:r>
      <w:r>
        <w:rPr>
          <w:rFonts w:hint="eastAsia" w:ascii="Times New Roman" w:hAnsi="Times New Roman" w:cs="Times New Roman" w:eastAsiaTheme="minorEastAsia"/>
          <w:color w:val="auto"/>
          <w:sz w:val="24"/>
          <w:szCs w:val="24"/>
          <w:highlight w:val="none"/>
        </w:rPr>
        <w:t>表中</w:t>
      </w:r>
      <w:r>
        <w:rPr>
          <w:rFonts w:ascii="Times New Roman" w:hAnsi="Times New Roman" w:cs="Times New Roman" w:eastAsiaTheme="minorEastAsia"/>
          <w:i/>
          <w:color w:val="auto"/>
          <w:sz w:val="24"/>
          <w:szCs w:val="24"/>
          <w:highlight w:val="none"/>
        </w:rPr>
        <w:t>l</w:t>
      </w:r>
      <w:r>
        <w:rPr>
          <w:rFonts w:ascii="Times New Roman" w:hAnsi="Times New Roman" w:cs="Times New Roman" w:eastAsiaTheme="minorEastAsia"/>
          <w:color w:val="auto"/>
          <w:sz w:val="24"/>
          <w:szCs w:val="24"/>
          <w:highlight w:val="none"/>
        </w:rPr>
        <w:t>为受弯构件的计算跨度。</w:t>
      </w:r>
    </w:p>
    <w:p w14:paraId="6929A742">
      <w:pPr>
        <w:ind w:firstLine="0" w:firstLineChars="0"/>
        <w:rPr>
          <w:rFonts w:hint="eastAsia" w:ascii="Times New Roman" w:hAnsi="Times New Roman" w:cs="Times New Roman" w:eastAsiaTheme="minorEastAsia"/>
          <w:color w:val="auto"/>
          <w:highlight w:val="none"/>
        </w:rPr>
      </w:pPr>
    </w:p>
    <w:p w14:paraId="0A9FC176">
      <w:pPr>
        <w:pStyle w:val="3"/>
        <w:ind w:firstLineChars="0"/>
        <w:jc w:val="center"/>
        <w:outlineLvl w:val="1"/>
        <w:rPr>
          <w:color w:val="auto"/>
          <w:highlight w:val="none"/>
        </w:rPr>
      </w:pPr>
      <w:bookmarkStart w:id="185" w:name="_Toc13540"/>
      <w:bookmarkStart w:id="186" w:name="_Toc25503"/>
      <w:r>
        <w:rPr>
          <w:color w:val="auto"/>
          <w:highlight w:val="none"/>
        </w:rPr>
        <w:t xml:space="preserve">8.2 </w:t>
      </w:r>
      <w:r>
        <w:rPr>
          <w:rFonts w:hint="eastAsia"/>
          <w:color w:val="auto"/>
          <w:highlight w:val="none"/>
          <w:lang w:val="en-US" w:eastAsia="zh-CN"/>
        </w:rPr>
        <w:t xml:space="preserve"> </w:t>
      </w:r>
      <w:r>
        <w:rPr>
          <w:color w:val="auto"/>
          <w:highlight w:val="none"/>
        </w:rPr>
        <w:t>构件设计</w:t>
      </w:r>
      <w:bookmarkEnd w:id="185"/>
      <w:bookmarkEnd w:id="186"/>
    </w:p>
    <w:p w14:paraId="1E6F520E">
      <w:pPr>
        <w:pStyle w:val="4"/>
        <w:ind w:firstLineChars="0"/>
        <w:rPr>
          <w:color w:val="auto"/>
          <w:highlight w:val="none"/>
        </w:rPr>
      </w:pPr>
      <w:r>
        <w:rPr>
          <w:rFonts w:hint="eastAsia"/>
          <w:b/>
          <w:bCs/>
          <w:color w:val="auto"/>
          <w:highlight w:val="none"/>
        </w:rPr>
        <w:t>8.</w:t>
      </w:r>
      <w:r>
        <w:rPr>
          <w:b/>
          <w:bCs/>
          <w:color w:val="auto"/>
          <w:highlight w:val="none"/>
        </w:rPr>
        <w:t>2.1</w:t>
      </w:r>
      <w:r>
        <w:rPr>
          <w:rFonts w:hint="eastAsia"/>
          <w:b/>
          <w:bCs/>
          <w:color w:val="auto"/>
          <w:highlight w:val="none"/>
          <w:lang w:val="en-US" w:eastAsia="zh-CN"/>
        </w:rPr>
        <w:t xml:space="preserve">  </w:t>
      </w:r>
      <w:r>
        <w:rPr>
          <w:color w:val="auto"/>
          <w:highlight w:val="none"/>
        </w:rPr>
        <w:t>等截面直线形受弯构件设计时，应符合下列规定</w:t>
      </w:r>
      <w:r>
        <w:rPr>
          <w:rFonts w:hint="eastAsia"/>
          <w:color w:val="auto"/>
          <w:highlight w:val="none"/>
        </w:rPr>
        <w:t>：</w:t>
      </w:r>
    </w:p>
    <w:p w14:paraId="1574F3D5">
      <w:pPr>
        <w:pStyle w:val="4"/>
        <w:ind w:firstLine="480" w:firstLineChars="200"/>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简支梁、连续梁和悬臂梁的计算跨度为梁的净跨加上每</w:t>
      </w:r>
      <w:r>
        <w:rPr>
          <w:rFonts w:hint="eastAsia"/>
          <w:color w:val="auto"/>
          <w:highlight w:val="none"/>
        </w:rPr>
        <w:t>端支座的</w:t>
      </w:r>
      <w:r>
        <w:rPr>
          <w:color w:val="auto"/>
          <w:highlight w:val="none"/>
        </w:rPr>
        <w:t>1/2支承长度。</w:t>
      </w:r>
    </w:p>
    <w:p w14:paraId="296E48D3">
      <w:pPr>
        <w:pStyle w:val="4"/>
        <w:ind w:firstLine="480" w:firstLineChars="200"/>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受弯构件除靠近支座的端部外，不得在构件的其他位置</w:t>
      </w:r>
      <w:r>
        <w:rPr>
          <w:rFonts w:hint="eastAsia"/>
          <w:color w:val="auto"/>
          <w:highlight w:val="none"/>
        </w:rPr>
        <w:t>开口。在支座处受拉侧的开口高度不得大于构件截面高度的</w:t>
      </w:r>
      <w:r>
        <w:rPr>
          <w:color w:val="auto"/>
          <w:highlight w:val="none"/>
        </w:rPr>
        <w:t>1/10</w:t>
      </w:r>
      <w:r>
        <w:rPr>
          <w:rFonts w:hint="eastAsia"/>
          <w:color w:val="auto"/>
          <w:highlight w:val="none"/>
        </w:rPr>
        <w:t>与</w:t>
      </w:r>
      <w:r>
        <w:rPr>
          <w:color w:val="auto"/>
          <w:highlight w:val="none"/>
        </w:rPr>
        <w:t>75mm之间的较小者，开口长度不得大于跨度的1/3</w:t>
      </w:r>
      <w:r>
        <w:rPr>
          <w:rFonts w:hint="eastAsia"/>
          <w:color w:val="auto"/>
          <w:highlight w:val="none"/>
        </w:rPr>
        <w:t>；</w:t>
      </w:r>
      <w:r>
        <w:rPr>
          <w:color w:val="auto"/>
          <w:highlight w:val="none"/>
        </w:rPr>
        <w:t>在端部</w:t>
      </w:r>
      <w:r>
        <w:rPr>
          <w:rFonts w:hint="eastAsia"/>
          <w:color w:val="auto"/>
          <w:highlight w:val="none"/>
        </w:rPr>
        <w:t>受压侧的开口高度不得大于构件截面高度的</w:t>
      </w:r>
      <w:r>
        <w:rPr>
          <w:color w:val="auto"/>
          <w:highlight w:val="none"/>
        </w:rPr>
        <w:t>2/5，开口长度不得</w:t>
      </w:r>
      <w:r>
        <w:rPr>
          <w:rFonts w:hint="eastAsia"/>
          <w:color w:val="auto"/>
          <w:highlight w:val="none"/>
        </w:rPr>
        <w:t>大于跨度的</w:t>
      </w:r>
      <w:r>
        <w:rPr>
          <w:color w:val="auto"/>
          <w:highlight w:val="none"/>
        </w:rPr>
        <w:t>1/3。</w:t>
      </w:r>
    </w:p>
    <w:p w14:paraId="79142E0D">
      <w:pPr>
        <w:pStyle w:val="4"/>
        <w:ind w:firstLine="480" w:firstLineChars="200"/>
        <w:rPr>
          <w:color w:val="auto"/>
          <w:highlight w:val="none"/>
        </w:rPr>
      </w:pPr>
      <w:r>
        <w:rPr>
          <w:color w:val="auto"/>
          <w:highlight w:val="none"/>
        </w:rPr>
        <w:t xml:space="preserve">3 </w:t>
      </w:r>
      <w:r>
        <w:rPr>
          <w:rFonts w:hint="eastAsia"/>
          <w:color w:val="auto"/>
          <w:highlight w:val="none"/>
          <w:lang w:val="en-US" w:eastAsia="zh-CN"/>
        </w:rPr>
        <w:t xml:space="preserve"> </w:t>
      </w:r>
      <w:r>
        <w:rPr>
          <w:color w:val="auto"/>
          <w:highlight w:val="none"/>
        </w:rPr>
        <w:t>构件端部受压侧有斜切口时，斜切口的最大高度不得大</w:t>
      </w:r>
      <w:r>
        <w:rPr>
          <w:rFonts w:hint="eastAsia"/>
          <w:color w:val="auto"/>
          <w:highlight w:val="none"/>
        </w:rPr>
        <w:t>于构件截面高度的</w:t>
      </w:r>
      <w:r>
        <w:rPr>
          <w:color w:val="auto"/>
          <w:highlight w:val="none"/>
        </w:rPr>
        <w:t>2/3，水平长度不得大于构件截面高度的3</w:t>
      </w:r>
      <w:r>
        <w:rPr>
          <w:rFonts w:hint="eastAsia"/>
          <w:color w:val="auto"/>
          <w:highlight w:val="none"/>
        </w:rPr>
        <w:t>倍。当水平长度大于构件截面高度的</w:t>
      </w:r>
      <w:r>
        <w:rPr>
          <w:color w:val="auto"/>
          <w:highlight w:val="none"/>
        </w:rPr>
        <w:t>3倍时，应进行斜切口受剪</w:t>
      </w:r>
      <w:r>
        <w:rPr>
          <w:rFonts w:hint="eastAsia"/>
          <w:color w:val="auto"/>
          <w:highlight w:val="none"/>
        </w:rPr>
        <w:t>承载能力的验算。</w:t>
      </w:r>
    </w:p>
    <w:p w14:paraId="3E24F7AE">
      <w:pPr>
        <w:pStyle w:val="4"/>
        <w:ind w:firstLine="480" w:firstLineChars="200"/>
        <w:rPr>
          <w:color w:val="auto"/>
          <w:highlight w:val="none"/>
        </w:rPr>
      </w:pPr>
      <w:r>
        <w:rPr>
          <w:color w:val="auto"/>
          <w:highlight w:val="none"/>
        </w:rPr>
        <w:t xml:space="preserve">4 </w:t>
      </w:r>
      <w:r>
        <w:rPr>
          <w:rFonts w:hint="eastAsia"/>
          <w:color w:val="auto"/>
          <w:highlight w:val="none"/>
          <w:lang w:val="en-US" w:eastAsia="zh-CN"/>
        </w:rPr>
        <w:t xml:space="preserve"> </w:t>
      </w:r>
      <w:r>
        <w:rPr>
          <w:color w:val="auto"/>
          <w:highlight w:val="none"/>
        </w:rPr>
        <w:t>当在构件上开口时，宜将切口转角做成折线或做成圆角。</w:t>
      </w:r>
    </w:p>
    <w:p w14:paraId="38B385DF">
      <w:pPr>
        <w:pStyle w:val="4"/>
        <w:ind w:firstLineChars="0"/>
        <w:rPr>
          <w:color w:val="auto"/>
          <w:highlight w:val="none"/>
        </w:rPr>
      </w:pPr>
      <w:r>
        <w:rPr>
          <w:rFonts w:hint="eastAsia"/>
          <w:b/>
          <w:bCs/>
          <w:color w:val="auto"/>
          <w:highlight w:val="none"/>
        </w:rPr>
        <w:t>8.</w:t>
      </w:r>
      <w:r>
        <w:rPr>
          <w:b/>
          <w:bCs/>
          <w:color w:val="auto"/>
          <w:highlight w:val="none"/>
        </w:rPr>
        <w:t xml:space="preserve">2.2 </w:t>
      </w:r>
      <w:r>
        <w:rPr>
          <w:rFonts w:hint="eastAsia"/>
          <w:b/>
          <w:bCs/>
          <w:color w:val="auto"/>
          <w:highlight w:val="none"/>
          <w:lang w:val="en-US" w:eastAsia="zh-CN"/>
        </w:rPr>
        <w:t xml:space="preserve"> </w:t>
      </w:r>
      <w:r>
        <w:rPr>
          <w:color w:val="auto"/>
          <w:highlight w:val="none"/>
        </w:rPr>
        <w:t>等截面直线形受弯构件</w:t>
      </w:r>
      <w:r>
        <w:rPr>
          <w:rFonts w:hint="eastAsia"/>
          <w:color w:val="auto"/>
          <w:highlight w:val="none"/>
        </w:rPr>
        <w:t>应进行</w:t>
      </w:r>
      <w:r>
        <w:rPr>
          <w:color w:val="auto"/>
          <w:highlight w:val="none"/>
        </w:rPr>
        <w:t>受弯承载能力</w:t>
      </w:r>
      <w:r>
        <w:rPr>
          <w:rFonts w:hint="eastAsia"/>
          <w:color w:val="auto"/>
          <w:highlight w:val="none"/>
        </w:rPr>
        <w:t>、</w:t>
      </w:r>
      <w:r>
        <w:rPr>
          <w:color w:val="auto"/>
          <w:highlight w:val="none"/>
        </w:rPr>
        <w:t>受剪承载能力</w:t>
      </w:r>
      <w:r>
        <w:rPr>
          <w:rFonts w:hint="eastAsia"/>
          <w:color w:val="auto"/>
          <w:highlight w:val="none"/>
        </w:rPr>
        <w:t>、</w:t>
      </w:r>
      <w:r>
        <w:rPr>
          <w:color w:val="auto"/>
          <w:highlight w:val="none"/>
        </w:rPr>
        <w:t>侧向稳定系数</w:t>
      </w:r>
      <w:r>
        <w:rPr>
          <w:rFonts w:hint="eastAsia"/>
          <w:color w:val="auto"/>
          <w:highlight w:val="none"/>
        </w:rPr>
        <w:t>以及挠度</w:t>
      </w:r>
      <w:r>
        <w:rPr>
          <w:color w:val="auto"/>
          <w:highlight w:val="none"/>
        </w:rPr>
        <w:t>计算，</w:t>
      </w:r>
      <w:r>
        <w:rPr>
          <w:rFonts w:hint="eastAsia"/>
          <w:color w:val="auto"/>
          <w:highlight w:val="none"/>
        </w:rPr>
        <w:t>并</w:t>
      </w:r>
      <w:r>
        <w:rPr>
          <w:color w:val="auto"/>
          <w:highlight w:val="none"/>
        </w:rPr>
        <w:t>应满足现行国家标准《胶合木结构技术规范》GB/T50708的相关规定。</w:t>
      </w:r>
    </w:p>
    <w:p w14:paraId="4336E886">
      <w:pPr>
        <w:pStyle w:val="4"/>
        <w:ind w:firstLineChars="0"/>
        <w:rPr>
          <w:color w:val="auto"/>
          <w:highlight w:val="none"/>
        </w:rPr>
      </w:pPr>
      <w:r>
        <w:rPr>
          <w:b/>
          <w:bCs/>
          <w:color w:val="auto"/>
          <w:highlight w:val="none"/>
        </w:rPr>
        <w:t>8.2.3</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计算</w:t>
      </w:r>
      <w:r>
        <w:rPr>
          <w:color w:val="auto"/>
          <w:highlight w:val="none"/>
        </w:rPr>
        <w:t>等截面直线形受弯</w:t>
      </w:r>
      <w:r>
        <w:rPr>
          <w:rFonts w:hint="eastAsia"/>
          <w:color w:val="auto"/>
          <w:highlight w:val="none"/>
        </w:rPr>
        <w:t>构件承载力时，净截面面积</w:t>
      </w:r>
      <w:r>
        <w:rPr>
          <w:color w:val="auto"/>
          <w:highlight w:val="none"/>
        </w:rPr>
        <w:t>An的计算应符合下列规定</w:t>
      </w:r>
      <w:r>
        <w:rPr>
          <w:rFonts w:hint="eastAsia"/>
          <w:color w:val="auto"/>
          <w:highlight w:val="none"/>
        </w:rPr>
        <w:t>：</w:t>
      </w:r>
    </w:p>
    <w:p w14:paraId="1CED4014">
      <w:pPr>
        <w:pStyle w:val="4"/>
        <w:ind w:firstLine="480" w:firstLineChars="200"/>
        <w:rPr>
          <w:color w:val="auto"/>
          <w:highlight w:val="none"/>
        </w:rPr>
      </w:pPr>
      <w:r>
        <w:rPr>
          <w:rFonts w:hint="eastAsia"/>
          <w:color w:val="auto"/>
          <w:highlight w:val="none"/>
        </w:rPr>
        <w:t xml:space="preserve">1 </w:t>
      </w:r>
      <w:r>
        <w:rPr>
          <w:rFonts w:hint="eastAsia"/>
          <w:color w:val="auto"/>
          <w:highlight w:val="none"/>
          <w:lang w:val="en-US" w:eastAsia="zh-CN"/>
        </w:rPr>
        <w:t xml:space="preserve"> </w:t>
      </w:r>
      <w:r>
        <w:rPr>
          <w:rFonts w:hint="eastAsia"/>
          <w:color w:val="auto"/>
          <w:highlight w:val="none"/>
        </w:rPr>
        <w:t>净面积等于全截面面积减去由钻孔、刻槽或其他因素削弱的面积；</w:t>
      </w:r>
    </w:p>
    <w:p w14:paraId="51B5E947">
      <w:pPr>
        <w:pStyle w:val="4"/>
        <w:ind w:firstLine="480" w:firstLineChars="200"/>
        <w:rPr>
          <w:color w:val="auto"/>
          <w:highlight w:val="none"/>
        </w:rPr>
      </w:pPr>
      <w:r>
        <w:rPr>
          <w:color w:val="auto"/>
          <w:highlight w:val="none"/>
        </w:rPr>
        <w:t xml:space="preserve">2 </w:t>
      </w:r>
      <w:r>
        <w:rPr>
          <w:rFonts w:hint="eastAsia"/>
          <w:color w:val="auto"/>
          <w:highlight w:val="none"/>
          <w:lang w:val="en-US" w:eastAsia="zh-CN"/>
        </w:rPr>
        <w:t xml:space="preserve"> </w:t>
      </w:r>
      <w:r>
        <w:rPr>
          <w:rFonts w:hint="eastAsia"/>
          <w:color w:val="auto"/>
          <w:highlight w:val="none"/>
        </w:rPr>
        <w:t>荷载沿顺纹方向作用时，对于交错布置的销类紧固件，当相邻两排的紧固件在顺纹方向的间距小于</w:t>
      </w:r>
      <w:r>
        <w:rPr>
          <w:color w:val="auto"/>
          <w:highlight w:val="none"/>
        </w:rPr>
        <w:t>4倍</w:t>
      </w:r>
      <w:r>
        <w:rPr>
          <w:rFonts w:hint="eastAsia"/>
          <w:color w:val="auto"/>
          <w:highlight w:val="none"/>
        </w:rPr>
        <w:t>紧固件的直径时，则可认为相邻紧固件在同一截面上；</w:t>
      </w:r>
    </w:p>
    <w:p w14:paraId="33D43292">
      <w:pPr>
        <w:pStyle w:val="4"/>
        <w:ind w:firstLine="480" w:firstLineChars="200"/>
        <w:rPr>
          <w:color w:val="auto"/>
          <w:highlight w:val="none"/>
        </w:rPr>
      </w:pPr>
      <w:r>
        <w:rPr>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计算剪板连接的净面积</w:t>
      </w:r>
      <w:r>
        <w:rPr>
          <w:color w:val="auto"/>
          <w:highlight w:val="none"/>
        </w:rPr>
        <w:t>(图8.2.3)时，净面积等于全面积减去螺</w:t>
      </w:r>
      <w:r>
        <w:rPr>
          <w:rFonts w:hint="eastAsia"/>
          <w:color w:val="auto"/>
          <w:highlight w:val="none"/>
        </w:rPr>
        <w:t>栓孔以及安装剪板的槽口的面积。剪板交错布置时，当相邻两排剪板在顺纹方向的间距小于或等于一个剪板的直径时，则可认为相邻紧固件在同一</w:t>
      </w:r>
      <w:r>
        <w:rPr>
          <w:color w:val="auto"/>
          <w:highlight w:val="none"/>
        </w:rPr>
        <w:t>截面上。</w:t>
      </w:r>
    </w:p>
    <w:p w14:paraId="782E1236">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2484120" cy="1977390"/>
            <wp:effectExtent l="0" t="0" r="1143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8"/>
                    <a:stretch>
                      <a:fillRect/>
                    </a:stretch>
                  </pic:blipFill>
                  <pic:spPr>
                    <a:xfrm>
                      <a:off x="0" y="0"/>
                      <a:ext cx="2496065" cy="1987521"/>
                    </a:xfrm>
                    <a:prstGeom prst="rect">
                      <a:avLst/>
                    </a:prstGeom>
                  </pic:spPr>
                </pic:pic>
              </a:graphicData>
            </a:graphic>
          </wp:inline>
        </w:drawing>
      </w:r>
    </w:p>
    <w:p w14:paraId="38196A56">
      <w:pPr>
        <w:pStyle w:val="44"/>
        <w:spacing w:line="240" w:lineRule="auto"/>
        <w:ind w:firstLineChars="0"/>
        <w:jc w:val="center"/>
        <w:rPr>
          <w:color w:val="auto"/>
          <w:highlight w:val="none"/>
        </w:rPr>
      </w:pPr>
      <w:r>
        <w:rPr>
          <w:rFonts w:hint="eastAsia"/>
          <w:color w:val="auto"/>
          <w:highlight w:val="none"/>
        </w:rPr>
        <w:t>图</w:t>
      </w:r>
      <w:r>
        <w:rPr>
          <w:color w:val="auto"/>
          <w:highlight w:val="none"/>
        </w:rPr>
        <w:t>8.2.3</w:t>
      </w:r>
      <w:r>
        <w:rPr>
          <w:rFonts w:hint="eastAsia"/>
          <w:color w:val="auto"/>
          <w:highlight w:val="none"/>
        </w:rPr>
        <w:t xml:space="preserve"> 剪板连接中构件的截面净面积</w:t>
      </w:r>
    </w:p>
    <w:p w14:paraId="5AE22F03">
      <w:pPr>
        <w:pStyle w:val="44"/>
        <w:spacing w:line="240" w:lineRule="auto"/>
        <w:ind w:firstLineChars="0"/>
        <w:jc w:val="center"/>
        <w:rPr>
          <w:color w:val="auto"/>
          <w:highlight w:val="none"/>
        </w:rPr>
      </w:pPr>
      <w:r>
        <w:rPr>
          <w:color w:val="auto"/>
          <w:highlight w:val="none"/>
        </w:rPr>
        <w:t>1</w:t>
      </w:r>
      <w:r>
        <w:rPr>
          <w:rFonts w:hint="eastAsia"/>
          <w:color w:val="auto"/>
          <w:highlight w:val="none"/>
        </w:rPr>
        <w:t>——</w:t>
      </w:r>
      <w:r>
        <w:rPr>
          <w:color w:val="auto"/>
          <w:highlight w:val="none"/>
        </w:rPr>
        <w:t>用于安装剪板的刻槽</w:t>
      </w:r>
      <w:r>
        <w:rPr>
          <w:rFonts w:hint="eastAsia"/>
          <w:color w:val="auto"/>
          <w:highlight w:val="none"/>
        </w:rPr>
        <w:t>；</w:t>
      </w:r>
      <w:r>
        <w:rPr>
          <w:color w:val="auto"/>
          <w:highlight w:val="none"/>
        </w:rPr>
        <w:t>2</w:t>
      </w:r>
      <w:r>
        <w:rPr>
          <w:rFonts w:hint="eastAsia"/>
          <w:color w:val="auto"/>
          <w:highlight w:val="none"/>
        </w:rPr>
        <w:t>——</w:t>
      </w:r>
      <w:r>
        <w:rPr>
          <w:color w:val="auto"/>
          <w:highlight w:val="none"/>
        </w:rPr>
        <w:t>螺栓孔</w:t>
      </w:r>
    </w:p>
    <w:p w14:paraId="094C2B40">
      <w:pPr>
        <w:pStyle w:val="4"/>
        <w:ind w:firstLineChars="0"/>
        <w:rPr>
          <w:color w:val="auto"/>
          <w:highlight w:val="none"/>
        </w:rPr>
      </w:pPr>
      <w:r>
        <w:rPr>
          <w:b/>
          <w:bCs/>
          <w:color w:val="auto"/>
          <w:highlight w:val="none"/>
        </w:rPr>
        <w:t xml:space="preserve">8.2.4 </w:t>
      </w:r>
      <w:r>
        <w:rPr>
          <w:rFonts w:hint="eastAsia"/>
          <w:b/>
          <w:bCs/>
          <w:color w:val="auto"/>
          <w:highlight w:val="none"/>
          <w:lang w:val="en-US" w:eastAsia="zh-CN"/>
        </w:rPr>
        <w:t xml:space="preserve"> </w:t>
      </w:r>
      <w:r>
        <w:rPr>
          <w:color w:val="auto"/>
          <w:highlight w:val="none"/>
        </w:rPr>
        <w:t>变截面直线形受弯构件包括单坡和双坡变截面构件。从</w:t>
      </w:r>
      <w:r>
        <w:rPr>
          <w:rFonts w:hint="eastAsia"/>
          <w:color w:val="auto"/>
          <w:highlight w:val="none"/>
        </w:rPr>
        <w:t>构件斜面最低点到最高点的高度范围内，应采用相同等级的层板。构件的斜面制作应在工厂完成，不得在现场切割制作。本节仅对斜面在受压边的构件作出规定，不考虑斜面在受拉边的构件。</w:t>
      </w:r>
    </w:p>
    <w:p w14:paraId="7288A823">
      <w:pPr>
        <w:pStyle w:val="4"/>
        <w:ind w:firstLineChars="0"/>
        <w:rPr>
          <w:color w:val="auto"/>
          <w:highlight w:val="none"/>
        </w:rPr>
      </w:pPr>
      <w:r>
        <w:rPr>
          <w:b/>
          <w:bCs/>
          <w:color w:val="auto"/>
          <w:highlight w:val="none"/>
        </w:rPr>
        <w:t>8.2.5</w:t>
      </w:r>
      <w:r>
        <w:rPr>
          <w:rFonts w:hint="eastAsia"/>
          <w:b/>
          <w:bCs/>
          <w:color w:val="auto"/>
          <w:highlight w:val="none"/>
          <w:lang w:val="en-US" w:eastAsia="zh-CN"/>
        </w:rPr>
        <w:t xml:space="preserve">  </w:t>
      </w:r>
      <w:r>
        <w:rPr>
          <w:color w:val="auto"/>
          <w:highlight w:val="none"/>
        </w:rPr>
        <w:t>均布荷载作用下，支座为简支的单坡或对称双坡变截面</w:t>
      </w:r>
      <w:r>
        <w:rPr>
          <w:rFonts w:hint="eastAsia"/>
          <w:color w:val="auto"/>
          <w:highlight w:val="none"/>
        </w:rPr>
        <w:t>直线形受弯构件</w:t>
      </w:r>
      <w:r>
        <w:rPr>
          <w:color w:val="auto"/>
          <w:highlight w:val="none"/>
        </w:rPr>
        <w:t>(图8.2.5)</w:t>
      </w:r>
      <w:r>
        <w:rPr>
          <w:rFonts w:hint="eastAsia"/>
          <w:color w:val="auto"/>
          <w:highlight w:val="none"/>
        </w:rPr>
        <w:t>应</w:t>
      </w:r>
      <w:r>
        <w:rPr>
          <w:color w:val="auto"/>
          <w:highlight w:val="none"/>
        </w:rPr>
        <w:t>进行抗弯(包括稳定)、抗剪以及横</w:t>
      </w:r>
      <w:r>
        <w:rPr>
          <w:rFonts w:hint="eastAsia"/>
          <w:color w:val="auto"/>
          <w:highlight w:val="none"/>
        </w:rPr>
        <w:t>纹承压承载力验算，并</w:t>
      </w:r>
      <w:r>
        <w:rPr>
          <w:color w:val="auto"/>
          <w:highlight w:val="none"/>
        </w:rPr>
        <w:t>应满足现行国家标准《胶合木结构技术规范》GB/T50708的相关规定。</w:t>
      </w:r>
    </w:p>
    <w:p w14:paraId="08E9F6AC">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886200" cy="24307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3886537" cy="2430991"/>
                    </a:xfrm>
                    <a:prstGeom prst="rect">
                      <a:avLst/>
                    </a:prstGeom>
                  </pic:spPr>
                </pic:pic>
              </a:graphicData>
            </a:graphic>
          </wp:inline>
        </w:drawing>
      </w:r>
    </w:p>
    <w:p w14:paraId="368DD7EB">
      <w:pPr>
        <w:pStyle w:val="44"/>
        <w:spacing w:line="240" w:lineRule="auto"/>
        <w:ind w:firstLineChars="0"/>
        <w:jc w:val="center"/>
        <w:rPr>
          <w:color w:val="auto"/>
          <w:highlight w:val="none"/>
        </w:rPr>
      </w:pPr>
      <w:r>
        <w:rPr>
          <w:rFonts w:hint="eastAsia"/>
          <w:color w:val="auto"/>
          <w:highlight w:val="none"/>
        </w:rPr>
        <w:t>图</w:t>
      </w:r>
      <w:r>
        <w:rPr>
          <w:color w:val="auto"/>
          <w:highlight w:val="none"/>
        </w:rPr>
        <w:t>8.2.5单坡或对称双坡变截面直线形受弯构件示意图</w:t>
      </w:r>
    </w:p>
    <w:p w14:paraId="47B93D96">
      <w:pPr>
        <w:pStyle w:val="4"/>
        <w:ind w:firstLineChars="0"/>
        <w:rPr>
          <w:color w:val="auto"/>
          <w:highlight w:val="none"/>
        </w:rPr>
      </w:pPr>
      <w:r>
        <w:rPr>
          <w:b/>
          <w:bCs/>
          <w:color w:val="auto"/>
          <w:highlight w:val="none"/>
        </w:rPr>
        <w:t xml:space="preserve">8.2.6 </w:t>
      </w:r>
      <w:r>
        <w:rPr>
          <w:rFonts w:hint="eastAsia"/>
          <w:b/>
          <w:bCs/>
          <w:color w:val="auto"/>
          <w:highlight w:val="none"/>
          <w:lang w:val="en-US" w:eastAsia="zh-CN"/>
        </w:rPr>
        <w:t xml:space="preserve"> </w:t>
      </w:r>
      <w:r>
        <w:rPr>
          <w:color w:val="auto"/>
          <w:highlight w:val="none"/>
        </w:rPr>
        <w:t>单个集中荷载作用下，单坡或对称双坡变截面矩形受弯</w:t>
      </w:r>
      <w:r>
        <w:rPr>
          <w:rFonts w:hint="eastAsia"/>
          <w:color w:val="auto"/>
          <w:highlight w:val="none"/>
        </w:rPr>
        <w:t>构件应按</w:t>
      </w:r>
      <w:r>
        <w:rPr>
          <w:color w:val="auto"/>
          <w:highlight w:val="none"/>
        </w:rPr>
        <w:t>现行国家标准《胶合木结构技术规范》GB/T50708的相关规定</w:t>
      </w:r>
      <w:r>
        <w:rPr>
          <w:rFonts w:hint="eastAsia"/>
          <w:color w:val="auto"/>
          <w:highlight w:val="none"/>
        </w:rPr>
        <w:t>进行最大承载力验算。其中</w:t>
      </w:r>
      <w:r>
        <w:rPr>
          <w:color w:val="auto"/>
          <w:highlight w:val="none"/>
        </w:rPr>
        <w:t>，</w:t>
      </w:r>
      <w:r>
        <w:rPr>
          <w:rFonts w:hint="eastAsia"/>
          <w:color w:val="auto"/>
          <w:highlight w:val="none"/>
        </w:rPr>
        <w:t>最大弯曲应力作用点按</w:t>
      </w:r>
      <w:r>
        <w:rPr>
          <w:color w:val="auto"/>
          <w:highlight w:val="none"/>
        </w:rPr>
        <w:t>下列规定确定：</w:t>
      </w:r>
    </w:p>
    <w:p w14:paraId="10384B17">
      <w:pPr>
        <w:pStyle w:val="4"/>
        <w:ind w:firstLine="480" w:firstLineChars="200"/>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当集中荷载作用处截面高度大于最小端截面高度的2倍</w:t>
      </w:r>
      <w:r>
        <w:rPr>
          <w:rFonts w:hint="eastAsia"/>
          <w:color w:val="auto"/>
          <w:highlight w:val="none"/>
        </w:rPr>
        <w:t>时，最大弯曲应力作用点位于截面高度为最小端截面高度的</w:t>
      </w:r>
      <w:r>
        <w:rPr>
          <w:color w:val="auto"/>
          <w:highlight w:val="none"/>
        </w:rPr>
        <w:t>2倍</w:t>
      </w:r>
      <w:r>
        <w:rPr>
          <w:rFonts w:hint="eastAsia"/>
          <w:color w:val="auto"/>
          <w:highlight w:val="none"/>
        </w:rPr>
        <w:t>处，即最大弯曲应力处离截面高度较小一</w:t>
      </w:r>
      <w:r>
        <w:rPr>
          <w:color w:val="auto"/>
          <w:highlight w:val="none"/>
        </w:rPr>
        <w:t>端的距离z = ha/tanθ</w:t>
      </w:r>
      <w:r>
        <w:rPr>
          <w:rFonts w:hint="eastAsia"/>
          <w:color w:val="auto"/>
          <w:highlight w:val="none"/>
        </w:rPr>
        <w:t>，</w:t>
      </w:r>
      <w:r>
        <w:rPr>
          <w:color w:val="auto"/>
          <w:highlight w:val="none"/>
        </w:rPr>
        <w:t>ha</w:t>
      </w:r>
      <w:r>
        <w:rPr>
          <w:rFonts w:hint="eastAsia"/>
          <w:color w:val="auto"/>
          <w:highlight w:val="none"/>
        </w:rPr>
        <w:t>为构件最小端的截面高度</w:t>
      </w:r>
      <w:r>
        <w:rPr>
          <w:color w:val="auto"/>
          <w:highlight w:val="none"/>
        </w:rPr>
        <w:t>(mm)</w:t>
      </w:r>
      <w:r>
        <w:rPr>
          <w:rFonts w:hint="eastAsia"/>
          <w:color w:val="auto"/>
          <w:highlight w:val="none"/>
        </w:rPr>
        <w:t>，</w:t>
      </w:r>
      <w:r>
        <w:rPr>
          <w:color w:val="auto"/>
          <w:highlight w:val="none"/>
        </w:rPr>
        <w:t>θ</w:t>
      </w:r>
      <w:r>
        <w:rPr>
          <w:rFonts w:hint="eastAsia"/>
          <w:color w:val="auto"/>
          <w:highlight w:val="none"/>
        </w:rPr>
        <w:t>为构件斜面与水平面的夹角</w:t>
      </w:r>
      <w:r>
        <w:rPr>
          <w:color w:val="auto"/>
          <w:highlight w:val="none"/>
        </w:rPr>
        <w:t>(°)</w:t>
      </w:r>
      <w:r>
        <w:rPr>
          <w:rFonts w:hint="eastAsia"/>
          <w:color w:val="auto"/>
          <w:highlight w:val="none"/>
        </w:rPr>
        <w:t>。</w:t>
      </w:r>
    </w:p>
    <w:p w14:paraId="2DC5A40C">
      <w:pPr>
        <w:pStyle w:val="4"/>
        <w:ind w:firstLine="480" w:firstLineChars="200"/>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当集中荷载作用处截面高度小于或等于最小端截面高度</w:t>
      </w:r>
      <w:r>
        <w:rPr>
          <w:rFonts w:hint="eastAsia"/>
          <w:color w:val="auto"/>
          <w:highlight w:val="none"/>
        </w:rPr>
        <w:t>的</w:t>
      </w:r>
      <w:r>
        <w:rPr>
          <w:color w:val="auto"/>
          <w:highlight w:val="none"/>
        </w:rPr>
        <w:t>2倍时，最大弯曲应力作用点位于集中荷载作用处</w:t>
      </w:r>
      <w:r>
        <w:rPr>
          <w:rFonts w:hint="eastAsia"/>
          <w:color w:val="auto"/>
          <w:highlight w:val="none"/>
        </w:rPr>
        <w:t>。</w:t>
      </w:r>
    </w:p>
    <w:p w14:paraId="6B43ED0B">
      <w:pPr>
        <w:pStyle w:val="4"/>
        <w:ind w:firstLineChars="0"/>
        <w:rPr>
          <w:color w:val="auto"/>
          <w:highlight w:val="none"/>
        </w:rPr>
      </w:pPr>
      <w:r>
        <w:rPr>
          <w:b/>
          <w:bCs/>
          <w:color w:val="auto"/>
          <w:highlight w:val="none"/>
        </w:rPr>
        <w:t>8.2.7</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均布荷载或集中荷载作用下的单坡或对称双坡变截面矩形受弯构件的挠度</w:t>
      </w:r>
      <w:r>
        <w:rPr>
          <w:color w:val="auto"/>
          <w:highlight w:val="none"/>
        </w:rPr>
        <w:t>ωm</w:t>
      </w:r>
      <w:r>
        <w:rPr>
          <w:rFonts w:hint="eastAsia"/>
          <w:color w:val="auto"/>
          <w:highlight w:val="none"/>
        </w:rPr>
        <w:t>，可根据变截面构件的等效截面高度，按等截面直线形构件计算，并应符合下列规定：</w:t>
      </w:r>
    </w:p>
    <w:p w14:paraId="0D6A8C7F">
      <w:pPr>
        <w:pStyle w:val="4"/>
        <w:ind w:firstLine="480" w:firstLineChars="200"/>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均布荷载作用下，等效截面高度hc应按下式计算</w:t>
      </w:r>
      <w:r>
        <w:rPr>
          <w:rFonts w:hint="eastAsia"/>
          <w:color w:val="auto"/>
          <w:highlight w:val="none"/>
        </w:rPr>
        <w:t>：</w:t>
      </w:r>
    </w:p>
    <w:p w14:paraId="4B41740E">
      <w:pPr>
        <w:ind w:firstLine="4200" w:firstLineChars="1750"/>
        <w:rPr>
          <w:rFonts w:hint="eastAsia" w:ascii="Times New Roman" w:hAnsi="Times New Roman" w:cs="Times New Roman" w:eastAsiaTheme="minorEastAsia"/>
          <w:color w:val="auto"/>
          <w:highlight w:val="none"/>
        </w:rPr>
      </w:pPr>
      <w:r>
        <w:rPr>
          <w:rFonts w:ascii="Times New Roman" w:hAnsi="Times New Roman" w:cs="Times New Roman" w:eastAsiaTheme="minorEastAsia"/>
          <w:i/>
          <w:color w:val="auto"/>
          <w:highlight w:val="none"/>
        </w:rPr>
        <w:t>h</w:t>
      </w:r>
      <w:r>
        <w:rPr>
          <w:rFonts w:ascii="Times New Roman" w:hAnsi="Times New Roman" w:cs="Times New Roman" w:eastAsiaTheme="minorEastAsia"/>
          <w:color w:val="auto"/>
          <w:highlight w:val="none"/>
          <w:vertAlign w:val="subscript"/>
        </w:rPr>
        <w:t>c</w:t>
      </w:r>
      <w:r>
        <w:rPr>
          <w:rFonts w:ascii="Times New Roman" w:hAnsi="Times New Roman" w:cs="Times New Roman" w:eastAsiaTheme="minorEastAsia"/>
          <w:color w:val="auto"/>
          <w:highlight w:val="none"/>
        </w:rPr>
        <w:t xml:space="preserve"> = </w:t>
      </w:r>
      <w:r>
        <w:rPr>
          <w:rFonts w:ascii="Times New Roman" w:hAnsi="Times New Roman" w:cs="Times New Roman" w:eastAsiaTheme="minorEastAsia"/>
          <w:i/>
          <w:color w:val="auto"/>
          <w:highlight w:val="none"/>
        </w:rPr>
        <w:t>k</w:t>
      </w:r>
      <w:r>
        <w:rPr>
          <w:rFonts w:ascii="Times New Roman" w:hAnsi="Times New Roman" w:cs="Times New Roman" w:eastAsiaTheme="minorEastAsia"/>
          <w:color w:val="auto"/>
          <w:highlight w:val="none"/>
          <w:vertAlign w:val="subscript"/>
        </w:rPr>
        <w:t>c</w:t>
      </w:r>
      <w:r>
        <w:rPr>
          <w:rFonts w:ascii="Times New Roman" w:hAnsi="Times New Roman" w:cs="Times New Roman" w:eastAsiaTheme="minorEastAsia"/>
          <w:color w:val="auto"/>
          <w:highlight w:val="none"/>
        </w:rPr>
        <w:t>∙</w:t>
      </w:r>
      <w:r>
        <w:rPr>
          <w:rFonts w:ascii="Times New Roman" w:hAnsi="Times New Roman" w:cs="Times New Roman" w:eastAsiaTheme="minorEastAsia"/>
          <w:i/>
          <w:color w:val="auto"/>
          <w:highlight w:val="none"/>
        </w:rPr>
        <w:t>h</w:t>
      </w:r>
      <w:r>
        <w:rPr>
          <w:rFonts w:ascii="Times New Roman" w:hAnsi="Times New Roman" w:cs="Times New Roman" w:eastAsiaTheme="minorEastAsia"/>
          <w:color w:val="auto"/>
          <w:highlight w:val="none"/>
          <w:vertAlign w:val="subscript"/>
        </w:rPr>
        <w:t>a</w:t>
      </w:r>
      <w:r>
        <w:rPr>
          <w:rFonts w:ascii="Times New Roman" w:hAnsi="Times New Roman" w:cs="Times New Roman" w:eastAsiaTheme="minorEastAsia"/>
          <w:color w:val="auto"/>
          <w:highlight w:val="none"/>
        </w:rPr>
        <w:t xml:space="preserve">            </w:t>
      </w:r>
      <w:r>
        <w:rPr>
          <w:rFonts w:hint="eastAsia" w:cs="Times New Roman" w:eastAsiaTheme="minorEastAsia"/>
          <w:color w:val="auto"/>
          <w:highlight w:val="none"/>
          <w:lang w:val="en-US" w:eastAsia="zh-CN"/>
        </w:rPr>
        <w:t xml:space="preserve">                     </w:t>
      </w:r>
      <w:r>
        <w:rPr>
          <w:rFonts w:ascii="Times New Roman" w:hAnsi="Times New Roman" w:cs="Times New Roman" w:eastAsiaTheme="minorEastAsia"/>
          <w:color w:val="auto"/>
          <w:highlight w:val="none"/>
        </w:rPr>
        <w:t xml:space="preserve"> (8.2.7)</w:t>
      </w:r>
    </w:p>
    <w:p w14:paraId="04B50B17">
      <w:pPr>
        <w:pStyle w:val="4"/>
        <w:ind w:firstLineChars="0"/>
        <w:rPr>
          <w:color w:val="auto"/>
          <w:highlight w:val="none"/>
        </w:rPr>
      </w:pPr>
      <w:r>
        <w:rPr>
          <w:rFonts w:hint="eastAsia"/>
          <w:color w:val="auto"/>
          <w:highlight w:val="none"/>
        </w:rPr>
        <w:t>式中：</w:t>
      </w:r>
      <w:r>
        <w:rPr>
          <w:color w:val="auto"/>
          <w:highlight w:val="none"/>
        </w:rPr>
        <w:t>h</w:t>
      </w:r>
      <w:r>
        <w:rPr>
          <w:color w:val="auto"/>
          <w:highlight w:val="none"/>
          <w:vertAlign w:val="subscript"/>
        </w:rPr>
        <w:t>c</w:t>
      </w:r>
      <w:r>
        <w:rPr>
          <w:rFonts w:hint="eastAsia"/>
          <w:color w:val="auto"/>
          <w:highlight w:val="none"/>
        </w:rPr>
        <w:t>——</w:t>
      </w:r>
      <w:r>
        <w:rPr>
          <w:color w:val="auto"/>
          <w:highlight w:val="none"/>
        </w:rPr>
        <w:t>等效截面高度</w:t>
      </w:r>
      <w:r>
        <w:rPr>
          <w:rFonts w:hint="eastAsia"/>
          <w:color w:val="auto"/>
          <w:highlight w:val="none"/>
        </w:rPr>
        <w:t>；</w:t>
      </w:r>
    </w:p>
    <w:p w14:paraId="6F7431F8">
      <w:pPr>
        <w:pStyle w:val="4"/>
        <w:ind w:firstLine="720" w:firstLineChars="300"/>
        <w:rPr>
          <w:color w:val="auto"/>
          <w:highlight w:val="none"/>
        </w:rPr>
      </w:pPr>
      <w:r>
        <w:rPr>
          <w:color w:val="auto"/>
          <w:highlight w:val="none"/>
        </w:rPr>
        <w:t>h</w:t>
      </w:r>
      <w:r>
        <w:rPr>
          <w:color w:val="auto"/>
          <w:highlight w:val="none"/>
          <w:vertAlign w:val="subscript"/>
        </w:rPr>
        <w:t>a</w:t>
      </w:r>
      <w:r>
        <w:rPr>
          <w:rFonts w:hint="eastAsia"/>
          <w:color w:val="auto"/>
          <w:highlight w:val="none"/>
        </w:rPr>
        <w:t>——较小端的截面高度；</w:t>
      </w:r>
    </w:p>
    <w:p w14:paraId="3C6DBD02">
      <w:pPr>
        <w:pStyle w:val="4"/>
        <w:ind w:firstLine="720" w:firstLineChars="300"/>
        <w:rPr>
          <w:color w:val="auto"/>
          <w:highlight w:val="none"/>
        </w:rPr>
      </w:pPr>
      <w:r>
        <w:rPr>
          <w:color w:val="auto"/>
          <w:highlight w:val="none"/>
        </w:rPr>
        <w:t>k</w:t>
      </w:r>
      <w:r>
        <w:rPr>
          <w:color w:val="auto"/>
          <w:highlight w:val="none"/>
          <w:vertAlign w:val="subscript"/>
        </w:rPr>
        <w:t>c</w:t>
      </w:r>
      <w:r>
        <w:rPr>
          <w:rFonts w:hint="eastAsia"/>
          <w:color w:val="auto"/>
          <w:highlight w:val="none"/>
        </w:rPr>
        <w:t>——截面高度折算系数，按表</w:t>
      </w:r>
      <w:r>
        <w:rPr>
          <w:color w:val="auto"/>
          <w:highlight w:val="none"/>
        </w:rPr>
        <w:t>8.2.7确定。</w:t>
      </w:r>
    </w:p>
    <w:p w14:paraId="54F7896B">
      <w:pPr>
        <w:pStyle w:val="40"/>
        <w:ind w:firstLineChars="0"/>
        <w:jc w:val="center"/>
        <w:rPr>
          <w:color w:val="auto"/>
          <w:highlight w:val="none"/>
        </w:rPr>
      </w:pPr>
      <w:r>
        <w:rPr>
          <w:color w:val="auto"/>
          <w:highlight w:val="none"/>
        </w:rPr>
        <w:t>表8.2.7 均布荷载作用下变截面梁截面高度折算系数kc取值</w:t>
      </w:r>
    </w:p>
    <w:p w14:paraId="0BD9A55F">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59450" cy="1443355"/>
            <wp:effectExtent l="0" t="0" r="1270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0"/>
                    <a:stretch>
                      <a:fillRect/>
                    </a:stretch>
                  </pic:blipFill>
                  <pic:spPr>
                    <a:xfrm>
                      <a:off x="0" y="0"/>
                      <a:ext cx="5759450" cy="1443355"/>
                    </a:xfrm>
                    <a:prstGeom prst="rect">
                      <a:avLst/>
                    </a:prstGeom>
                  </pic:spPr>
                </pic:pic>
              </a:graphicData>
            </a:graphic>
          </wp:inline>
        </w:drawing>
      </w:r>
    </w:p>
    <w:p w14:paraId="77E80851">
      <w:pPr>
        <w:pStyle w:val="4"/>
        <w:ind w:firstLine="480" w:firstLineChars="200"/>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集中荷载或其他荷载作用下，构件的挠度应按线弹性材</w:t>
      </w:r>
      <w:r>
        <w:rPr>
          <w:rFonts w:hint="eastAsia"/>
          <w:color w:val="auto"/>
          <w:highlight w:val="none"/>
        </w:rPr>
        <w:t>料力学方法确定。</w:t>
      </w:r>
    </w:p>
    <w:p w14:paraId="010632E9">
      <w:pPr>
        <w:pStyle w:val="4"/>
        <w:ind w:firstLineChars="0"/>
        <w:rPr>
          <w:color w:val="auto"/>
          <w:highlight w:val="none"/>
        </w:rPr>
      </w:pPr>
      <w:r>
        <w:rPr>
          <w:b/>
          <w:bCs/>
          <w:color w:val="auto"/>
          <w:highlight w:val="none"/>
        </w:rPr>
        <w:t xml:space="preserve">8.2.8 </w:t>
      </w:r>
      <w:r>
        <w:rPr>
          <w:rFonts w:hint="eastAsia"/>
          <w:b/>
          <w:bCs/>
          <w:color w:val="auto"/>
          <w:highlight w:val="none"/>
          <w:lang w:val="en-US" w:eastAsia="zh-CN"/>
        </w:rPr>
        <w:t xml:space="preserve"> </w:t>
      </w:r>
      <w:r>
        <w:rPr>
          <w:rFonts w:hint="eastAsia"/>
          <w:color w:val="auto"/>
          <w:highlight w:val="none"/>
        </w:rPr>
        <w:t>曲线形受弯构件包括等截面曲线形受弯构件和变截面曲线形受弯构件（</w:t>
      </w:r>
      <w:r>
        <w:rPr>
          <w:color w:val="auto"/>
          <w:highlight w:val="none"/>
        </w:rPr>
        <w:t>图8.2.8</w:t>
      </w:r>
      <w:r>
        <w:rPr>
          <w:rFonts w:hint="eastAsia"/>
          <w:color w:val="auto"/>
          <w:highlight w:val="none"/>
        </w:rPr>
        <w:t>）</w:t>
      </w:r>
      <w:r>
        <w:rPr>
          <w:color w:val="auto"/>
          <w:highlight w:val="none"/>
        </w:rPr>
        <w:t>。曲线形构件曲率半径R应大于125t</w:t>
      </w:r>
      <w:r>
        <w:rPr>
          <w:rFonts w:hint="eastAsia"/>
          <w:color w:val="auto"/>
          <w:highlight w:val="none"/>
        </w:rPr>
        <w:t>（</w:t>
      </w:r>
      <w:r>
        <w:rPr>
          <w:color w:val="auto"/>
          <w:highlight w:val="none"/>
        </w:rPr>
        <w:t>t为层板厚度</w:t>
      </w:r>
      <w:r>
        <w:rPr>
          <w:rFonts w:hint="eastAsia"/>
          <w:color w:val="auto"/>
          <w:highlight w:val="none"/>
        </w:rPr>
        <w:t>）</w:t>
      </w:r>
      <w:r>
        <w:rPr>
          <w:color w:val="auto"/>
          <w:highlight w:val="none"/>
        </w:rPr>
        <w:t>。</w:t>
      </w:r>
    </w:p>
    <w:p w14:paraId="162C5C51">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254500" cy="2368550"/>
            <wp:effectExtent l="0" t="0" r="1270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1"/>
                    <a:stretch>
                      <a:fillRect/>
                    </a:stretch>
                  </pic:blipFill>
                  <pic:spPr>
                    <a:xfrm>
                      <a:off x="0" y="0"/>
                      <a:ext cx="4260534" cy="2372208"/>
                    </a:xfrm>
                    <a:prstGeom prst="rect">
                      <a:avLst/>
                    </a:prstGeom>
                  </pic:spPr>
                </pic:pic>
              </a:graphicData>
            </a:graphic>
          </wp:inline>
        </w:drawing>
      </w:r>
    </w:p>
    <w:p w14:paraId="20275D8E">
      <w:pPr>
        <w:pStyle w:val="44"/>
        <w:spacing w:line="240" w:lineRule="auto"/>
        <w:ind w:firstLineChars="0"/>
        <w:jc w:val="center"/>
        <w:rPr>
          <w:rFonts w:hint="eastAsia"/>
          <w:color w:val="auto"/>
          <w:highlight w:val="none"/>
        </w:rPr>
      </w:pPr>
      <w:r>
        <w:rPr>
          <w:rFonts w:hint="eastAsia"/>
          <w:color w:val="auto"/>
          <w:highlight w:val="none"/>
        </w:rPr>
        <w:t>图</w:t>
      </w:r>
      <w:r>
        <w:rPr>
          <w:color w:val="auto"/>
          <w:highlight w:val="none"/>
        </w:rPr>
        <w:t>8.2.8 变截面曲线形受弯构件示意</w:t>
      </w:r>
    </w:p>
    <w:p w14:paraId="34AAE730">
      <w:pPr>
        <w:pStyle w:val="4"/>
        <w:ind w:firstLineChars="0"/>
        <w:rPr>
          <w:color w:val="auto"/>
          <w:highlight w:val="none"/>
        </w:rPr>
      </w:pPr>
      <w:r>
        <w:rPr>
          <w:rFonts w:hint="eastAsia"/>
          <w:b/>
          <w:bCs/>
          <w:color w:val="auto"/>
          <w:highlight w:val="none"/>
        </w:rPr>
        <w:t>8.</w:t>
      </w:r>
      <w:r>
        <w:rPr>
          <w:b/>
          <w:bCs/>
          <w:color w:val="auto"/>
          <w:highlight w:val="none"/>
        </w:rPr>
        <w:t xml:space="preserve">2.9 </w:t>
      </w:r>
      <w:r>
        <w:rPr>
          <w:rFonts w:hint="eastAsia"/>
          <w:b/>
          <w:bCs/>
          <w:color w:val="auto"/>
          <w:highlight w:val="none"/>
          <w:lang w:val="en-US" w:eastAsia="zh-CN"/>
        </w:rPr>
        <w:t xml:space="preserve"> </w:t>
      </w:r>
      <w:r>
        <w:rPr>
          <w:rFonts w:hint="eastAsia"/>
          <w:color w:val="auto"/>
          <w:highlight w:val="none"/>
        </w:rPr>
        <w:t>曲线形受弯构件应进行抗</w:t>
      </w:r>
      <w:r>
        <w:rPr>
          <w:color w:val="auto"/>
          <w:highlight w:val="none"/>
        </w:rPr>
        <w:t>弯承载能力</w:t>
      </w:r>
      <w:r>
        <w:rPr>
          <w:rFonts w:hint="eastAsia"/>
          <w:color w:val="auto"/>
          <w:highlight w:val="none"/>
        </w:rPr>
        <w:t>、</w:t>
      </w:r>
      <w:r>
        <w:rPr>
          <w:color w:val="auto"/>
          <w:highlight w:val="none"/>
        </w:rPr>
        <w:t>受剪承载能力</w:t>
      </w:r>
      <w:r>
        <w:rPr>
          <w:rFonts w:hint="eastAsia"/>
          <w:color w:val="auto"/>
          <w:highlight w:val="none"/>
        </w:rPr>
        <w:t>、径向承载能力以及挠度验</w:t>
      </w:r>
      <w:r>
        <w:rPr>
          <w:color w:val="auto"/>
          <w:highlight w:val="none"/>
        </w:rPr>
        <w:t>算，</w:t>
      </w:r>
      <w:r>
        <w:rPr>
          <w:rFonts w:hint="eastAsia"/>
          <w:color w:val="auto"/>
          <w:highlight w:val="none"/>
        </w:rPr>
        <w:t>并</w:t>
      </w:r>
      <w:r>
        <w:rPr>
          <w:color w:val="auto"/>
          <w:highlight w:val="none"/>
        </w:rPr>
        <w:t>应满足现行国家标准《胶合木结构技术规范》GB/T</w:t>
      </w:r>
      <w:r>
        <w:rPr>
          <w:rFonts w:hint="eastAsia"/>
          <w:color w:val="auto"/>
          <w:highlight w:val="none"/>
          <w:lang w:val="en-US" w:eastAsia="zh-CN"/>
        </w:rPr>
        <w:t xml:space="preserve"> </w:t>
      </w:r>
      <w:r>
        <w:rPr>
          <w:color w:val="auto"/>
          <w:highlight w:val="none"/>
        </w:rPr>
        <w:t>50708的相关规定。</w:t>
      </w:r>
    </w:p>
    <w:p w14:paraId="5BAE9C0A">
      <w:pPr>
        <w:pStyle w:val="4"/>
        <w:ind w:firstLineChars="0"/>
        <w:rPr>
          <w:color w:val="auto"/>
          <w:highlight w:val="none"/>
        </w:rPr>
      </w:pPr>
      <w:r>
        <w:rPr>
          <w:b/>
          <w:bCs/>
          <w:color w:val="auto"/>
          <w:highlight w:val="none"/>
        </w:rPr>
        <w:t xml:space="preserve">8.2.10 </w:t>
      </w:r>
      <w:r>
        <w:rPr>
          <w:rFonts w:hint="eastAsia"/>
          <w:b/>
          <w:bCs/>
          <w:color w:val="auto"/>
          <w:highlight w:val="none"/>
          <w:lang w:val="en-US" w:eastAsia="zh-CN"/>
        </w:rPr>
        <w:t xml:space="preserve"> </w:t>
      </w:r>
      <w:r>
        <w:rPr>
          <w:rFonts w:hint="eastAsia"/>
          <w:color w:val="auto"/>
          <w:highlight w:val="none"/>
        </w:rPr>
        <w:t>轴心受拉构件应</w:t>
      </w:r>
      <w:r>
        <w:rPr>
          <w:color w:val="auto"/>
          <w:highlight w:val="none"/>
        </w:rPr>
        <w:t>进行</w:t>
      </w:r>
      <w:r>
        <w:rPr>
          <w:rFonts w:hint="eastAsia"/>
          <w:color w:val="auto"/>
          <w:highlight w:val="none"/>
        </w:rPr>
        <w:t>抗拉强度验算；轴心受压构件、拉弯和压弯构件，应</w:t>
      </w:r>
      <w:r>
        <w:rPr>
          <w:color w:val="auto"/>
          <w:highlight w:val="none"/>
        </w:rPr>
        <w:t>进行</w:t>
      </w:r>
      <w:r>
        <w:rPr>
          <w:rFonts w:hint="eastAsia"/>
          <w:color w:val="auto"/>
          <w:highlight w:val="none"/>
        </w:rPr>
        <w:t>强度</w:t>
      </w:r>
      <w:r>
        <w:rPr>
          <w:color w:val="auto"/>
          <w:highlight w:val="none"/>
        </w:rPr>
        <w:t>和稳定</w:t>
      </w:r>
      <w:r>
        <w:rPr>
          <w:rFonts w:hint="eastAsia"/>
          <w:color w:val="auto"/>
          <w:highlight w:val="none"/>
        </w:rPr>
        <w:t>验算，并应满足</w:t>
      </w:r>
      <w:r>
        <w:rPr>
          <w:color w:val="auto"/>
          <w:highlight w:val="none"/>
        </w:rPr>
        <w:t>现行国家标准《胶合木结构技术规范》GB/T</w:t>
      </w:r>
      <w:r>
        <w:rPr>
          <w:rFonts w:hint="eastAsia"/>
          <w:color w:val="auto"/>
          <w:highlight w:val="none"/>
          <w:lang w:val="en-US" w:eastAsia="zh-CN"/>
        </w:rPr>
        <w:t xml:space="preserve"> </w:t>
      </w:r>
      <w:r>
        <w:rPr>
          <w:color w:val="auto"/>
          <w:highlight w:val="none"/>
        </w:rPr>
        <w:t>50708的相关规定</w:t>
      </w:r>
      <w:r>
        <w:rPr>
          <w:rFonts w:hint="eastAsia"/>
          <w:color w:val="auto"/>
          <w:highlight w:val="none"/>
        </w:rPr>
        <w:t>。</w:t>
      </w:r>
    </w:p>
    <w:p w14:paraId="2889213F">
      <w:pPr>
        <w:pStyle w:val="4"/>
        <w:ind w:firstLineChars="0"/>
        <w:rPr>
          <w:color w:val="auto"/>
          <w:highlight w:val="none"/>
        </w:rPr>
      </w:pPr>
      <w:r>
        <w:rPr>
          <w:b/>
          <w:bCs/>
          <w:color w:val="auto"/>
          <w:highlight w:val="none"/>
        </w:rPr>
        <w:t xml:space="preserve">8.2.11 </w:t>
      </w:r>
      <w:r>
        <w:rPr>
          <w:rFonts w:hint="eastAsia"/>
          <w:b/>
          <w:bCs/>
          <w:color w:val="auto"/>
          <w:highlight w:val="none"/>
          <w:lang w:val="en-US" w:eastAsia="zh-CN"/>
        </w:rPr>
        <w:t xml:space="preserve"> </w:t>
      </w:r>
      <w:r>
        <w:rPr>
          <w:rFonts w:hint="eastAsia"/>
          <w:color w:val="auto"/>
          <w:highlight w:val="none"/>
        </w:rPr>
        <w:t>胶合</w:t>
      </w:r>
      <w:r>
        <w:rPr>
          <w:color w:val="auto"/>
          <w:highlight w:val="none"/>
        </w:rPr>
        <w:t>木</w:t>
      </w:r>
      <w:r>
        <w:rPr>
          <w:rFonts w:hint="eastAsia"/>
          <w:color w:val="auto"/>
          <w:highlight w:val="none"/>
        </w:rPr>
        <w:t>结构</w:t>
      </w:r>
      <w:r>
        <w:rPr>
          <w:color w:val="auto"/>
          <w:highlight w:val="none"/>
        </w:rPr>
        <w:t>构件的顺纹局部承压承载能力，应按下列要求验算</w:t>
      </w:r>
      <w:r>
        <w:rPr>
          <w:rFonts w:hint="eastAsia"/>
          <w:color w:val="auto"/>
          <w:highlight w:val="none"/>
        </w:rPr>
        <w:t>：</w:t>
      </w:r>
    </w:p>
    <w:p w14:paraId="14F97A13">
      <w:pPr>
        <w:pStyle w:val="4"/>
        <w:ind w:firstLine="480" w:firstLineChars="200"/>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验算构件的顺纹局部承压时，按承压净面积计算。构件</w:t>
      </w:r>
      <w:r>
        <w:rPr>
          <w:rFonts w:hint="eastAsia"/>
          <w:color w:val="auto"/>
          <w:highlight w:val="none"/>
        </w:rPr>
        <w:t>的顺纹局部承压强度设计值应采用顺纹抗压强度设计值。</w:t>
      </w:r>
    </w:p>
    <w:p w14:paraId="6FD64F85">
      <w:pPr>
        <w:pStyle w:val="4"/>
        <w:ind w:firstLine="480" w:firstLineChars="200"/>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当局部承压产生的压应力大于顺纹受压强度设计值的75%时，局部承压的荷载应作用在厚度不小于6mm的钢板上或</w:t>
      </w:r>
      <w:r>
        <w:rPr>
          <w:rFonts w:hint="eastAsia"/>
          <w:color w:val="auto"/>
          <w:highlight w:val="none"/>
        </w:rPr>
        <w:t>其他具有相同刚度的材料上。</w:t>
      </w:r>
    </w:p>
    <w:p w14:paraId="675681D2">
      <w:pPr>
        <w:pStyle w:val="3"/>
        <w:ind w:firstLineChars="0"/>
        <w:jc w:val="center"/>
        <w:outlineLvl w:val="1"/>
        <w:rPr>
          <w:color w:val="auto"/>
          <w:highlight w:val="none"/>
        </w:rPr>
      </w:pPr>
      <w:bookmarkStart w:id="187" w:name="_Toc20501"/>
      <w:bookmarkStart w:id="188" w:name="_Toc5690"/>
      <w:r>
        <w:rPr>
          <w:color w:val="auto"/>
          <w:highlight w:val="none"/>
        </w:rPr>
        <w:t xml:space="preserve">8.3 </w:t>
      </w:r>
      <w:r>
        <w:rPr>
          <w:rFonts w:hint="eastAsia"/>
          <w:color w:val="auto"/>
          <w:highlight w:val="none"/>
          <w:lang w:val="en-US" w:eastAsia="zh-CN"/>
        </w:rPr>
        <w:t xml:space="preserve"> </w:t>
      </w:r>
      <w:r>
        <w:rPr>
          <w:rFonts w:hint="eastAsia"/>
          <w:color w:val="auto"/>
          <w:highlight w:val="none"/>
        </w:rPr>
        <w:t>连接</w:t>
      </w:r>
      <w:r>
        <w:rPr>
          <w:color w:val="auto"/>
          <w:highlight w:val="none"/>
        </w:rPr>
        <w:t>设计</w:t>
      </w:r>
      <w:bookmarkEnd w:id="187"/>
      <w:bookmarkEnd w:id="188"/>
    </w:p>
    <w:p w14:paraId="670ECC27">
      <w:pPr>
        <w:pStyle w:val="4"/>
        <w:ind w:firstLineChars="0"/>
        <w:rPr>
          <w:color w:val="auto"/>
          <w:highlight w:val="none"/>
        </w:rPr>
      </w:pPr>
      <w:r>
        <w:rPr>
          <w:b/>
          <w:bCs/>
          <w:color w:val="auto"/>
          <w:highlight w:val="none"/>
        </w:rPr>
        <w:t>8.3.1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胶合木构件一般采用螺栓、销、六角头木螺钉和剪板等紧固件进行连接</w:t>
      </w:r>
      <w:r>
        <w:rPr>
          <w:color w:val="auto"/>
          <w:highlight w:val="none"/>
        </w:rPr>
        <w:t>(图8.3.1)。当采用其他紧固件连接时应参照</w:t>
      </w:r>
      <w:r>
        <w:rPr>
          <w:rFonts w:hint="eastAsia"/>
          <w:color w:val="auto"/>
          <w:highlight w:val="none"/>
        </w:rPr>
        <w:t>现行国家标准《</w:t>
      </w:r>
      <w:r>
        <w:rPr>
          <w:rFonts w:hint="eastAsia"/>
          <w:color w:val="auto"/>
          <w:highlight w:val="none"/>
          <w:lang w:eastAsia="zh-CN"/>
        </w:rPr>
        <w:t>木结构设计标准</w:t>
      </w:r>
      <w:r>
        <w:rPr>
          <w:rFonts w:hint="eastAsia"/>
          <w:color w:val="auto"/>
          <w:highlight w:val="none"/>
        </w:rPr>
        <w:t>》</w:t>
      </w:r>
      <w:r>
        <w:rPr>
          <w:color w:val="auto"/>
          <w:highlight w:val="none"/>
        </w:rPr>
        <w:t>GB 50005中的有关规定进行</w:t>
      </w:r>
      <w:r>
        <w:rPr>
          <w:rFonts w:hint="eastAsia"/>
          <w:color w:val="auto"/>
          <w:highlight w:val="none"/>
        </w:rPr>
        <w:t>设计。紧固件的规格尺寸应符合国家现行相关产品标准的规定。</w:t>
      </w:r>
    </w:p>
    <w:p w14:paraId="72C611EB">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477260" cy="2204085"/>
            <wp:effectExtent l="0" t="0" r="889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2"/>
                    <a:stretch>
                      <a:fillRect/>
                    </a:stretch>
                  </pic:blipFill>
                  <pic:spPr>
                    <a:xfrm>
                      <a:off x="0" y="0"/>
                      <a:ext cx="3493259" cy="2214580"/>
                    </a:xfrm>
                    <a:prstGeom prst="rect">
                      <a:avLst/>
                    </a:prstGeom>
                  </pic:spPr>
                </pic:pic>
              </a:graphicData>
            </a:graphic>
          </wp:inline>
        </w:drawing>
      </w:r>
    </w:p>
    <w:p w14:paraId="4230FB11">
      <w:pPr>
        <w:pStyle w:val="44"/>
        <w:spacing w:line="240" w:lineRule="auto"/>
        <w:ind w:firstLineChars="0"/>
        <w:jc w:val="center"/>
        <w:rPr>
          <w:color w:val="auto"/>
          <w:highlight w:val="none"/>
        </w:rPr>
      </w:pPr>
      <w:r>
        <w:rPr>
          <w:rFonts w:hint="eastAsia"/>
          <w:color w:val="auto"/>
          <w:highlight w:val="none"/>
        </w:rPr>
        <w:t>图</w:t>
      </w:r>
      <w:r>
        <w:rPr>
          <w:color w:val="auto"/>
          <w:highlight w:val="none"/>
        </w:rPr>
        <w:t>8.3.1胶合木构件的主要连接方式</w:t>
      </w:r>
    </w:p>
    <w:p w14:paraId="74DDEA22">
      <w:pPr>
        <w:pStyle w:val="4"/>
        <w:ind w:firstLineChars="0"/>
        <w:jc w:val="left"/>
        <w:rPr>
          <w:color w:val="auto"/>
          <w:highlight w:val="none"/>
        </w:rPr>
      </w:pPr>
      <w:r>
        <w:rPr>
          <w:b/>
          <w:bCs/>
          <w:color w:val="auto"/>
          <w:highlight w:val="none"/>
        </w:rPr>
        <w:t>8.3.2</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当紧固件头部有螺帽时，螺帽与胶合木表面之间应安装垫圈。当紧固件受拉时，垫圈的面积应按胶合木表面局部承压强度值进行计算。采用钢垫圈时，垫圈的厚度不得小于直径（</w:t>
      </w:r>
      <w:r>
        <w:rPr>
          <w:color w:val="auto"/>
          <w:highlight w:val="none"/>
        </w:rPr>
        <w:t>对于</w:t>
      </w:r>
      <w:r>
        <w:rPr>
          <w:rFonts w:hint="eastAsia"/>
          <w:color w:val="auto"/>
          <w:highlight w:val="none"/>
        </w:rPr>
        <w:t>圆形垫圈）</w:t>
      </w:r>
      <w:r>
        <w:rPr>
          <w:color w:val="auto"/>
          <w:highlight w:val="none"/>
        </w:rPr>
        <w:t>或长边</w:t>
      </w:r>
      <w:r>
        <w:rPr>
          <w:rFonts w:hint="eastAsia"/>
          <w:color w:val="auto"/>
          <w:highlight w:val="none"/>
        </w:rPr>
        <w:t>（</w:t>
      </w:r>
      <w:r>
        <w:rPr>
          <w:color w:val="auto"/>
          <w:highlight w:val="none"/>
        </w:rPr>
        <w:t>对于矩形垫圈</w:t>
      </w:r>
      <w:r>
        <w:rPr>
          <w:rFonts w:hint="eastAsia"/>
          <w:color w:val="auto"/>
          <w:highlight w:val="none"/>
        </w:rPr>
        <w:t>）</w:t>
      </w:r>
      <w:r>
        <w:rPr>
          <w:color w:val="auto"/>
          <w:highlight w:val="none"/>
        </w:rPr>
        <w:t>的1/10。</w:t>
      </w:r>
    </w:p>
    <w:p w14:paraId="19082247">
      <w:pPr>
        <w:pStyle w:val="4"/>
        <w:ind w:firstLineChars="0"/>
        <w:jc w:val="left"/>
        <w:rPr>
          <w:color w:val="auto"/>
          <w:highlight w:val="none"/>
        </w:rPr>
      </w:pPr>
      <w:r>
        <w:rPr>
          <w:b/>
          <w:bCs/>
          <w:color w:val="auto"/>
          <w:highlight w:val="none"/>
        </w:rPr>
        <w:t>8.3.3</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构件连接设计时，应避免因不同紧固件之间的偏心作用产生横纹受拉。同一连接中，不宜采用不同种类的紧固件。</w:t>
      </w:r>
    </w:p>
    <w:p w14:paraId="179883B9">
      <w:pPr>
        <w:pStyle w:val="4"/>
        <w:ind w:firstLineChars="0"/>
        <w:jc w:val="left"/>
        <w:rPr>
          <w:color w:val="auto"/>
          <w:highlight w:val="none"/>
        </w:rPr>
      </w:pPr>
      <w:r>
        <w:rPr>
          <w:b/>
          <w:bCs/>
          <w:color w:val="auto"/>
          <w:highlight w:val="none"/>
        </w:rPr>
        <w:t xml:space="preserve">8.3.4 </w:t>
      </w:r>
      <w:r>
        <w:rPr>
          <w:rFonts w:hint="eastAsia"/>
          <w:b/>
          <w:bCs/>
          <w:color w:val="auto"/>
          <w:highlight w:val="none"/>
          <w:lang w:val="en-US" w:eastAsia="zh-CN"/>
        </w:rPr>
        <w:t xml:space="preserve"> </w:t>
      </w:r>
      <w:r>
        <w:rPr>
          <w:color w:val="auto"/>
          <w:highlight w:val="none"/>
        </w:rPr>
        <w:t>紧固件连接设计应符合下列规定</w:t>
      </w:r>
      <w:r>
        <w:rPr>
          <w:rFonts w:hint="eastAsia"/>
          <w:color w:val="auto"/>
          <w:highlight w:val="none"/>
        </w:rPr>
        <w:t>：</w:t>
      </w:r>
    </w:p>
    <w:p w14:paraId="754FA4CD">
      <w:pPr>
        <w:pStyle w:val="4"/>
        <w:ind w:firstLine="480" w:firstLineChars="200"/>
        <w:jc w:val="left"/>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紧固件安装完成后，构件面与面之间应紧密接触</w:t>
      </w:r>
      <w:r>
        <w:rPr>
          <w:rFonts w:hint="eastAsia"/>
          <w:color w:val="auto"/>
          <w:highlight w:val="none"/>
        </w:rPr>
        <w:t>；</w:t>
      </w:r>
    </w:p>
    <w:p w14:paraId="6D9AF8FE">
      <w:pPr>
        <w:pStyle w:val="4"/>
        <w:ind w:firstLine="480" w:firstLineChars="200"/>
        <w:jc w:val="left"/>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连接中应考虑含水率变化可能产生的收缩变形</w:t>
      </w:r>
      <w:r>
        <w:rPr>
          <w:rFonts w:hint="eastAsia"/>
          <w:color w:val="auto"/>
          <w:highlight w:val="none"/>
        </w:rPr>
        <w:t>；</w:t>
      </w:r>
    </w:p>
    <w:p w14:paraId="058F5964">
      <w:pPr>
        <w:pStyle w:val="4"/>
        <w:ind w:firstLine="480" w:firstLineChars="200"/>
        <w:jc w:val="left"/>
        <w:rPr>
          <w:color w:val="auto"/>
          <w:highlight w:val="none"/>
        </w:rPr>
      </w:pPr>
      <w:r>
        <w:rPr>
          <w:color w:val="auto"/>
          <w:highlight w:val="none"/>
        </w:rPr>
        <w:t xml:space="preserve">3 </w:t>
      </w:r>
      <w:r>
        <w:rPr>
          <w:rFonts w:hint="eastAsia"/>
          <w:color w:val="auto"/>
          <w:highlight w:val="none"/>
          <w:lang w:val="en-US" w:eastAsia="zh-CN"/>
        </w:rPr>
        <w:t xml:space="preserve"> </w:t>
      </w:r>
      <w:r>
        <w:rPr>
          <w:color w:val="auto"/>
          <w:highlight w:val="none"/>
        </w:rPr>
        <w:t>当采用螺栓、销或六角头木螺钉作为紧固件时，其直径</w:t>
      </w:r>
      <w:r>
        <w:rPr>
          <w:rFonts w:hint="eastAsia"/>
          <w:color w:val="auto"/>
          <w:highlight w:val="none"/>
        </w:rPr>
        <w:t>不应小于</w:t>
      </w:r>
      <w:r>
        <w:rPr>
          <w:color w:val="auto"/>
          <w:highlight w:val="none"/>
        </w:rPr>
        <w:t>6mm。</w:t>
      </w:r>
    </w:p>
    <w:p w14:paraId="4592EE30">
      <w:pPr>
        <w:pStyle w:val="4"/>
        <w:ind w:firstLineChars="0"/>
        <w:jc w:val="left"/>
        <w:rPr>
          <w:color w:val="auto"/>
          <w:highlight w:val="none"/>
        </w:rPr>
      </w:pPr>
      <w:r>
        <w:rPr>
          <w:b/>
          <w:bCs/>
          <w:color w:val="auto"/>
          <w:highlight w:val="none"/>
        </w:rPr>
        <w:t xml:space="preserve">8.3.5 </w:t>
      </w:r>
      <w:r>
        <w:rPr>
          <w:rFonts w:hint="eastAsia"/>
          <w:b/>
          <w:bCs/>
          <w:color w:val="auto"/>
          <w:highlight w:val="none"/>
          <w:lang w:val="en-US" w:eastAsia="zh-CN"/>
        </w:rPr>
        <w:t xml:space="preserve"> </w:t>
      </w:r>
      <w:r>
        <w:rPr>
          <w:color w:val="auto"/>
          <w:highlight w:val="none"/>
        </w:rPr>
        <w:t>各种连接的承载力设计值应根据下列规定采用</w:t>
      </w:r>
      <w:r>
        <w:rPr>
          <w:rFonts w:hint="eastAsia"/>
          <w:color w:val="auto"/>
          <w:highlight w:val="none"/>
        </w:rPr>
        <w:t>：</w:t>
      </w:r>
    </w:p>
    <w:p w14:paraId="19076D23">
      <w:pPr>
        <w:pStyle w:val="4"/>
        <w:ind w:firstLine="480" w:firstLineChars="200"/>
        <w:jc w:val="left"/>
        <w:rPr>
          <w:color w:val="auto"/>
          <w:highlight w:val="none"/>
        </w:rPr>
      </w:pPr>
      <w:r>
        <w:rPr>
          <w:color w:val="auto"/>
          <w:highlight w:val="none"/>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对于某一树种，单根紧固件连接的承载力设计值，与该树种木材的不同材质等级无关；</w:t>
      </w:r>
    </w:p>
    <w:p w14:paraId="1887F254">
      <w:pPr>
        <w:pStyle w:val="4"/>
        <w:ind w:firstLine="480" w:firstLineChars="200"/>
        <w:jc w:val="left"/>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连接中，当类型、尺寸以及屈服模式相同的紧固件的数</w:t>
      </w:r>
      <w:r>
        <w:rPr>
          <w:rFonts w:hint="eastAsia"/>
          <w:color w:val="auto"/>
          <w:highlight w:val="none"/>
        </w:rPr>
        <w:t>量大于或等于两根时，总的连接承载力设计值为每一单个紧固件承载力设计值的总和。</w:t>
      </w:r>
    </w:p>
    <w:p w14:paraId="07B93DED">
      <w:pPr>
        <w:pStyle w:val="4"/>
        <w:ind w:firstLineChars="0"/>
        <w:jc w:val="left"/>
        <w:rPr>
          <w:color w:val="auto"/>
          <w:highlight w:val="none"/>
        </w:rPr>
      </w:pPr>
      <w:r>
        <w:rPr>
          <w:b/>
          <w:bCs/>
          <w:color w:val="auto"/>
          <w:highlight w:val="none"/>
        </w:rPr>
        <w:t xml:space="preserve">8.3.6 </w:t>
      </w:r>
      <w:r>
        <w:rPr>
          <w:rFonts w:hint="eastAsia"/>
          <w:b/>
          <w:bCs/>
          <w:color w:val="auto"/>
          <w:highlight w:val="none"/>
          <w:lang w:val="en-US" w:eastAsia="zh-CN"/>
        </w:rPr>
        <w:t xml:space="preserve"> </w:t>
      </w:r>
      <w:r>
        <w:rPr>
          <w:color w:val="auto"/>
          <w:highlight w:val="none"/>
        </w:rPr>
        <w:t>连接设计时，单根紧固件的侧向承载力设计值和抗拔承</w:t>
      </w:r>
      <w:r>
        <w:rPr>
          <w:rFonts w:hint="eastAsia"/>
          <w:color w:val="auto"/>
          <w:highlight w:val="none"/>
        </w:rPr>
        <w:t>载力设计值应根据具体情况乘以下列各项强度调整系数：</w:t>
      </w:r>
    </w:p>
    <w:p w14:paraId="03ED7349">
      <w:pPr>
        <w:pStyle w:val="4"/>
        <w:ind w:firstLine="480" w:firstLineChars="200"/>
        <w:jc w:val="left"/>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螺栓、销、六角头木螺钉和剪板的剪面承载力设计值以</w:t>
      </w:r>
      <w:r>
        <w:rPr>
          <w:rFonts w:hint="eastAsia"/>
          <w:color w:val="auto"/>
          <w:highlight w:val="none"/>
        </w:rPr>
        <w:t>及六角头木螺钉的抗拔承载力设计值应乘以本规范表</w:t>
      </w:r>
      <w:r>
        <w:rPr>
          <w:color w:val="auto"/>
          <w:highlight w:val="none"/>
        </w:rPr>
        <w:t>8.1.1-3和</w:t>
      </w:r>
      <w:r>
        <w:rPr>
          <w:rFonts w:hint="eastAsia"/>
          <w:color w:val="auto"/>
          <w:highlight w:val="none"/>
        </w:rPr>
        <w:t>表</w:t>
      </w:r>
      <w:r>
        <w:rPr>
          <w:color w:val="auto"/>
          <w:highlight w:val="none"/>
        </w:rPr>
        <w:t>8.1.1-4规定的含水率调整系数、温度调整系数和设计使用年</w:t>
      </w:r>
      <w:r>
        <w:rPr>
          <w:rFonts w:hint="eastAsia"/>
          <w:color w:val="auto"/>
          <w:highlight w:val="none"/>
        </w:rPr>
        <w:t>限调整系数。</w:t>
      </w:r>
    </w:p>
    <w:p w14:paraId="11F8C183">
      <w:pPr>
        <w:pStyle w:val="4"/>
        <w:ind w:firstLine="480" w:firstLineChars="200"/>
        <w:jc w:val="left"/>
        <w:rPr>
          <w:color w:val="auto"/>
          <w:highlight w:val="none"/>
        </w:rPr>
      </w:pPr>
      <w:r>
        <w:rPr>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当螺栓、销和六角头木螺钉位于主构件的端部时，紧固件的抗拔承载力设计值应乘以端面调整系数</w:t>
      </w:r>
      <w:r>
        <w:rPr>
          <w:i/>
          <w:iCs/>
          <w:color w:val="auto"/>
          <w:highlight w:val="none"/>
        </w:rPr>
        <w:t>k</w:t>
      </w:r>
      <w:r>
        <w:rPr>
          <w:i/>
          <w:iCs/>
          <w:color w:val="auto"/>
          <w:highlight w:val="none"/>
          <w:vertAlign w:val="subscript"/>
        </w:rPr>
        <w:t>e</w:t>
      </w:r>
      <w:r>
        <w:rPr>
          <w:color w:val="auto"/>
          <w:highlight w:val="none"/>
        </w:rPr>
        <w:t>。对于六角头木</w:t>
      </w:r>
      <w:r>
        <w:rPr>
          <w:rFonts w:hint="eastAsia"/>
          <w:color w:val="auto"/>
          <w:highlight w:val="none"/>
        </w:rPr>
        <w:t>螺钉取</w:t>
      </w:r>
      <w:r>
        <w:rPr>
          <w:i/>
          <w:iCs/>
          <w:color w:val="auto"/>
          <w:highlight w:val="none"/>
        </w:rPr>
        <w:t>k</w:t>
      </w:r>
      <w:r>
        <w:rPr>
          <w:i/>
          <w:iCs/>
          <w:color w:val="auto"/>
          <w:highlight w:val="none"/>
          <w:vertAlign w:val="subscript"/>
        </w:rPr>
        <w:t>e</w:t>
      </w:r>
      <w:r>
        <w:rPr>
          <w:color w:val="auto"/>
          <w:highlight w:val="none"/>
        </w:rPr>
        <w:t>= 0.75</w:t>
      </w:r>
      <w:r>
        <w:rPr>
          <w:rFonts w:hint="eastAsia"/>
          <w:color w:val="auto"/>
          <w:highlight w:val="none"/>
        </w:rPr>
        <w:t>；</w:t>
      </w:r>
      <w:r>
        <w:rPr>
          <w:color w:val="auto"/>
          <w:highlight w:val="none"/>
        </w:rPr>
        <w:t>对于其他紧固件取</w:t>
      </w:r>
      <w:r>
        <w:rPr>
          <w:i/>
          <w:iCs/>
          <w:color w:val="auto"/>
          <w:highlight w:val="none"/>
        </w:rPr>
        <w:t>k</w:t>
      </w:r>
      <w:r>
        <w:rPr>
          <w:i/>
          <w:iCs/>
          <w:color w:val="auto"/>
          <w:highlight w:val="none"/>
          <w:vertAlign w:val="subscript"/>
        </w:rPr>
        <w:t>e</w:t>
      </w:r>
      <w:r>
        <w:rPr>
          <w:color w:val="auto"/>
          <w:highlight w:val="none"/>
        </w:rPr>
        <w:t>= 0.67</w:t>
      </w:r>
      <w:r>
        <w:rPr>
          <w:rFonts w:hint="eastAsia"/>
          <w:color w:val="auto"/>
          <w:highlight w:val="none"/>
        </w:rPr>
        <w:t>。</w:t>
      </w:r>
    </w:p>
    <w:p w14:paraId="03396845">
      <w:pPr>
        <w:pStyle w:val="4"/>
        <w:ind w:firstLine="480" w:firstLineChars="200"/>
        <w:jc w:val="left"/>
        <w:rPr>
          <w:color w:val="auto"/>
          <w:highlight w:val="none"/>
        </w:rPr>
      </w:pPr>
      <w:r>
        <w:rPr>
          <w:color w:val="auto"/>
          <w:highlight w:val="none"/>
        </w:rPr>
        <w:t xml:space="preserve">3 </w:t>
      </w:r>
      <w:r>
        <w:rPr>
          <w:rFonts w:hint="eastAsia"/>
          <w:color w:val="auto"/>
          <w:highlight w:val="none"/>
          <w:lang w:val="en-US" w:eastAsia="zh-CN"/>
        </w:rPr>
        <w:t xml:space="preserve"> </w:t>
      </w:r>
      <w:r>
        <w:rPr>
          <w:color w:val="auto"/>
          <w:highlight w:val="none"/>
        </w:rPr>
        <w:t>当连接的侧构件采用钢板时，剪板连接的顺纹荷载作用</w:t>
      </w:r>
      <w:r>
        <w:rPr>
          <w:rFonts w:hint="eastAsia"/>
          <w:color w:val="auto"/>
          <w:highlight w:val="none"/>
        </w:rPr>
        <w:t>下的设计承载力应乘以本规范第</w:t>
      </w:r>
      <w:r>
        <w:rPr>
          <w:color w:val="auto"/>
          <w:highlight w:val="none"/>
        </w:rPr>
        <w:t>8.3.19条规定的金属侧板调整系</w:t>
      </w:r>
      <w:r>
        <w:rPr>
          <w:rFonts w:hint="eastAsia"/>
          <w:color w:val="auto"/>
          <w:highlight w:val="none"/>
        </w:rPr>
        <w:t>数</w:t>
      </w:r>
      <w:r>
        <w:rPr>
          <w:i/>
          <w:iCs/>
          <w:color w:val="auto"/>
          <w:highlight w:val="none"/>
        </w:rPr>
        <w:t>k</w:t>
      </w:r>
      <w:r>
        <w:rPr>
          <w:i/>
          <w:iCs/>
          <w:color w:val="auto"/>
          <w:highlight w:val="none"/>
          <w:vertAlign w:val="subscript"/>
        </w:rPr>
        <w:t>s</w:t>
      </w:r>
      <w:r>
        <w:rPr>
          <w:color w:val="auto"/>
          <w:highlight w:val="none"/>
        </w:rPr>
        <w:t>。</w:t>
      </w:r>
    </w:p>
    <w:p w14:paraId="55E5F621">
      <w:pPr>
        <w:pStyle w:val="4"/>
        <w:ind w:firstLine="480" w:firstLineChars="200"/>
        <w:jc w:val="left"/>
        <w:rPr>
          <w:rFonts w:hint="eastAsia"/>
          <w:color w:val="auto"/>
          <w:highlight w:val="none"/>
          <w:lang w:eastAsia="zh-CN"/>
        </w:rPr>
      </w:pPr>
      <w:r>
        <w:rPr>
          <w:color w:val="auto"/>
          <w:highlight w:val="none"/>
        </w:rPr>
        <w:t>4</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当采用螺栓、销或六角头木螺钉作为紧固件，并符合以下条件时，设计承载力不考虑含水率调整系数</w:t>
      </w:r>
      <w:r>
        <w:rPr>
          <w:rFonts w:hint="eastAsia"/>
          <w:color w:val="auto"/>
          <w:highlight w:val="none"/>
          <w:lang w:eastAsia="zh-CN"/>
        </w:rPr>
        <w:t>：</w:t>
      </w:r>
    </w:p>
    <w:p w14:paraId="7C4DEC43">
      <w:pPr>
        <w:pStyle w:val="4"/>
        <w:ind w:firstLine="480" w:firstLineChars="200"/>
        <w:jc w:val="left"/>
        <w:rPr>
          <w:color w:val="auto"/>
          <w:highlight w:val="none"/>
        </w:rPr>
      </w:pPr>
      <w:r>
        <w:rPr>
          <w:color w:val="auto"/>
          <w:highlight w:val="none"/>
        </w:rPr>
        <w:t>1</w:t>
      </w:r>
      <w:r>
        <w:rPr>
          <w:rFonts w:hint="eastAsia"/>
          <w:color w:val="auto"/>
          <w:highlight w:val="none"/>
        </w:rPr>
        <w:t>）</w:t>
      </w:r>
      <w:r>
        <w:rPr>
          <w:color w:val="auto"/>
          <w:highlight w:val="none"/>
        </w:rPr>
        <w:t>仅有1个紧固件</w:t>
      </w:r>
      <w:r>
        <w:rPr>
          <w:rFonts w:hint="eastAsia"/>
          <w:color w:val="auto"/>
          <w:highlight w:val="none"/>
        </w:rPr>
        <w:t>；</w:t>
      </w:r>
    </w:p>
    <w:p w14:paraId="07B1DD17">
      <w:pPr>
        <w:pStyle w:val="4"/>
        <w:ind w:firstLine="480" w:firstLineChars="200"/>
        <w:jc w:val="left"/>
        <w:rPr>
          <w:color w:val="auto"/>
          <w:highlight w:val="none"/>
        </w:rPr>
      </w:pPr>
      <w:r>
        <w:rPr>
          <w:color w:val="auto"/>
          <w:highlight w:val="none"/>
        </w:rPr>
        <w:t>2</w:t>
      </w:r>
      <w:r>
        <w:rPr>
          <w:rFonts w:hint="eastAsia"/>
          <w:color w:val="auto"/>
          <w:highlight w:val="none"/>
        </w:rPr>
        <w:t>）</w:t>
      </w:r>
      <w:r>
        <w:rPr>
          <w:color w:val="auto"/>
          <w:highlight w:val="none"/>
        </w:rPr>
        <w:t>两个或两个以上的紧固件沿顺纹方向排成一行</w:t>
      </w:r>
      <w:r>
        <w:rPr>
          <w:rFonts w:hint="eastAsia"/>
          <w:color w:val="auto"/>
          <w:highlight w:val="none"/>
        </w:rPr>
        <w:t>；</w:t>
      </w:r>
    </w:p>
    <w:p w14:paraId="4FD272B2">
      <w:pPr>
        <w:pStyle w:val="4"/>
        <w:ind w:firstLine="480" w:firstLineChars="200"/>
        <w:jc w:val="left"/>
        <w:rPr>
          <w:color w:val="auto"/>
          <w:highlight w:val="none"/>
        </w:rPr>
      </w:pPr>
      <w:r>
        <w:rPr>
          <w:color w:val="auto"/>
          <w:highlight w:val="none"/>
        </w:rPr>
        <w:t>3</w:t>
      </w:r>
      <w:r>
        <w:rPr>
          <w:rFonts w:hint="eastAsia"/>
          <w:color w:val="auto"/>
          <w:highlight w:val="none"/>
        </w:rPr>
        <w:t>）</w:t>
      </w:r>
      <w:r>
        <w:rPr>
          <w:color w:val="auto"/>
          <w:highlight w:val="none"/>
        </w:rPr>
        <w:t>两行或两行以上的紧固件，每行紧固件分别用单独的</w:t>
      </w:r>
      <w:r>
        <w:rPr>
          <w:rFonts w:hint="eastAsia"/>
          <w:color w:val="auto"/>
          <w:highlight w:val="none"/>
        </w:rPr>
        <w:t>连接板连接。</w:t>
      </w:r>
    </w:p>
    <w:p w14:paraId="37DAC601">
      <w:pPr>
        <w:pStyle w:val="4"/>
        <w:ind w:firstLine="480" w:firstLineChars="200"/>
        <w:jc w:val="left"/>
        <w:rPr>
          <w:color w:val="auto"/>
          <w:highlight w:val="none"/>
        </w:rPr>
      </w:pPr>
      <w:r>
        <w:rPr>
          <w:color w:val="auto"/>
          <w:highlight w:val="none"/>
        </w:rPr>
        <w:t>5</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当直径小于</w:t>
      </w:r>
      <w:r>
        <w:rPr>
          <w:color w:val="auto"/>
          <w:highlight w:val="none"/>
        </w:rPr>
        <w:t>25mm的螺栓、销、六角头木螺钉排成一行</w:t>
      </w:r>
      <w:r>
        <w:rPr>
          <w:rFonts w:hint="eastAsia"/>
          <w:color w:val="auto"/>
          <w:highlight w:val="none"/>
        </w:rPr>
        <w:t>或剪板排成一行时，各单根紧固件的承载力设计值应乘以</w:t>
      </w:r>
      <w:r>
        <w:rPr>
          <w:color w:val="auto"/>
          <w:highlight w:val="none"/>
        </w:rPr>
        <w:t>紧固件组合作用系数</w:t>
      </w:r>
      <w:r>
        <w:rPr>
          <w:i/>
          <w:iCs/>
          <w:color w:val="auto"/>
          <w:highlight w:val="none"/>
        </w:rPr>
        <w:t>k</w:t>
      </w:r>
      <w:r>
        <w:rPr>
          <w:i/>
          <w:iCs/>
          <w:color w:val="auto"/>
          <w:highlight w:val="none"/>
          <w:vertAlign w:val="subscript"/>
        </w:rPr>
        <w:t>g</w:t>
      </w:r>
      <w:r>
        <w:rPr>
          <w:color w:val="auto"/>
          <w:highlight w:val="none"/>
        </w:rPr>
        <w:t>。</w:t>
      </w:r>
    </w:p>
    <w:p w14:paraId="770B8AEB">
      <w:pPr>
        <w:pStyle w:val="4"/>
        <w:jc w:val="left"/>
        <w:rPr>
          <w:color w:val="auto"/>
          <w:highlight w:val="none"/>
        </w:rPr>
      </w:pPr>
      <w:r>
        <w:rPr>
          <w:rFonts w:hint="eastAsia"/>
          <w:color w:val="auto"/>
          <w:highlight w:val="none"/>
        </w:rPr>
        <w:t>注</w:t>
      </w:r>
      <w:r>
        <w:rPr>
          <w:color w:val="auto"/>
          <w:highlight w:val="none"/>
        </w:rPr>
        <w:t>：</w:t>
      </w:r>
      <w:r>
        <w:rPr>
          <w:i/>
          <w:iCs/>
          <w:color w:val="auto"/>
          <w:highlight w:val="none"/>
        </w:rPr>
        <w:t>k</w:t>
      </w:r>
      <w:r>
        <w:rPr>
          <w:i/>
          <w:iCs/>
          <w:color w:val="auto"/>
          <w:highlight w:val="none"/>
          <w:vertAlign w:val="subscript"/>
        </w:rPr>
        <w:t>g</w:t>
      </w:r>
      <w:r>
        <w:rPr>
          <w:rFonts w:hint="eastAsia"/>
          <w:color w:val="auto"/>
          <w:highlight w:val="none"/>
        </w:rPr>
        <w:t>按</w:t>
      </w:r>
      <w:r>
        <w:rPr>
          <w:color w:val="auto"/>
          <w:highlight w:val="none"/>
        </w:rPr>
        <w:t>现行国家标准《胶合木结构技术规范》GB/T50708的相关规定</w:t>
      </w:r>
      <w:r>
        <w:rPr>
          <w:rFonts w:hint="eastAsia"/>
          <w:color w:val="auto"/>
          <w:highlight w:val="none"/>
        </w:rPr>
        <w:t>确定</w:t>
      </w:r>
      <w:r>
        <w:rPr>
          <w:color w:val="auto"/>
          <w:highlight w:val="none"/>
        </w:rPr>
        <w:t>。</w:t>
      </w:r>
    </w:p>
    <w:p w14:paraId="3904E5EF">
      <w:pPr>
        <w:pStyle w:val="4"/>
        <w:ind w:firstLineChars="0"/>
        <w:jc w:val="left"/>
        <w:rPr>
          <w:rFonts w:hint="eastAsia"/>
          <w:color w:val="auto"/>
          <w:highlight w:val="none"/>
        </w:rPr>
      </w:pPr>
      <w:r>
        <w:rPr>
          <w:b/>
          <w:bCs/>
          <w:color w:val="auto"/>
          <w:highlight w:val="none"/>
        </w:rPr>
        <w:t xml:space="preserve">8.3.7 </w:t>
      </w:r>
      <w:r>
        <w:rPr>
          <w:rFonts w:hint="eastAsia"/>
          <w:b/>
          <w:bCs/>
          <w:color w:val="auto"/>
          <w:highlight w:val="none"/>
          <w:lang w:val="en-US" w:eastAsia="zh-CN"/>
        </w:rPr>
        <w:t xml:space="preserve"> </w:t>
      </w:r>
      <w:r>
        <w:rPr>
          <w:color w:val="auto"/>
          <w:highlight w:val="none"/>
        </w:rPr>
        <w:t>销轴类紧固件的端距、边距、间距和行距的最小值尺寸</w:t>
      </w:r>
      <w:r>
        <w:rPr>
          <w:rFonts w:hint="eastAsia"/>
          <w:color w:val="auto"/>
          <w:highlight w:val="none"/>
        </w:rPr>
        <w:t>应符合表</w:t>
      </w:r>
      <w:r>
        <w:rPr>
          <w:color w:val="auto"/>
          <w:highlight w:val="none"/>
        </w:rPr>
        <w:t>8.3.7的规定。</w:t>
      </w:r>
    </w:p>
    <w:p w14:paraId="346C719C">
      <w:pPr>
        <w:pStyle w:val="40"/>
        <w:ind w:firstLineChars="0"/>
        <w:jc w:val="center"/>
        <w:rPr>
          <w:rFonts w:hint="eastAsia"/>
          <w:color w:val="auto"/>
          <w:highlight w:val="none"/>
        </w:rPr>
      </w:pPr>
      <w:r>
        <w:rPr>
          <w:color w:val="auto"/>
          <w:highlight w:val="none"/>
        </w:rPr>
        <w:t>表8.3.7 销轴类紧固件的端距、边距、间距和行距的最小值尺寸</w:t>
      </w:r>
    </w:p>
    <w:p w14:paraId="2E87C44B">
      <w:pPr>
        <w:ind w:firstLine="0" w:firstLineChars="0"/>
        <w:jc w:val="center"/>
        <w:rPr>
          <w:rFonts w:ascii="Times New Roman" w:hAnsi="Times New Roman" w:eastAsia="黑体" w:cs="Times New Roman"/>
          <w:color w:val="auto"/>
          <w:highlight w:val="none"/>
        </w:rPr>
      </w:pPr>
      <w:r>
        <w:rPr>
          <w:color w:val="auto"/>
          <w:highlight w:val="none"/>
        </w:rPr>
        <w:drawing>
          <wp:inline distT="0" distB="0" distL="0" distR="0">
            <wp:extent cx="4253230" cy="4287520"/>
            <wp:effectExtent l="0" t="0" r="13970" b="177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4279579" cy="4314091"/>
                    </a:xfrm>
                    <a:prstGeom prst="rect">
                      <a:avLst/>
                    </a:prstGeom>
                  </pic:spPr>
                </pic:pic>
              </a:graphicData>
            </a:graphic>
          </wp:inline>
        </w:drawing>
      </w:r>
    </w:p>
    <w:p w14:paraId="20E52A70">
      <w:pPr>
        <w:pStyle w:val="4"/>
        <w:ind w:firstLineChars="0"/>
        <w:jc w:val="left"/>
        <w:rPr>
          <w:color w:val="auto"/>
          <w:highlight w:val="none"/>
        </w:rPr>
      </w:pPr>
      <w:r>
        <w:rPr>
          <w:b/>
          <w:bCs/>
          <w:color w:val="auto"/>
          <w:highlight w:val="none"/>
        </w:rPr>
        <w:t xml:space="preserve">8.3.8 </w:t>
      </w:r>
      <w:r>
        <w:rPr>
          <w:rFonts w:hint="eastAsia"/>
          <w:b/>
          <w:bCs/>
          <w:color w:val="auto"/>
          <w:highlight w:val="none"/>
          <w:lang w:val="en-US" w:eastAsia="zh-CN"/>
        </w:rPr>
        <w:t xml:space="preserve"> </w:t>
      </w:r>
      <w:r>
        <w:rPr>
          <w:color w:val="auto"/>
          <w:highlight w:val="none"/>
        </w:rPr>
        <w:t>交错布置的销轴类紧固件</w:t>
      </w:r>
      <w:r>
        <w:rPr>
          <w:rFonts w:hint="eastAsia"/>
          <w:color w:val="auto"/>
          <w:highlight w:val="none"/>
        </w:rPr>
        <w:t>（</w:t>
      </w:r>
      <w:r>
        <w:rPr>
          <w:color w:val="auto"/>
          <w:highlight w:val="none"/>
        </w:rPr>
        <w:t>图8.3.8</w:t>
      </w:r>
      <w:r>
        <w:rPr>
          <w:rFonts w:hint="eastAsia"/>
          <w:color w:val="auto"/>
          <w:highlight w:val="none"/>
        </w:rPr>
        <w:t>）</w:t>
      </w:r>
      <w:r>
        <w:rPr>
          <w:color w:val="auto"/>
          <w:highlight w:val="none"/>
        </w:rPr>
        <w:t>，应按以下规定确</w:t>
      </w:r>
      <w:r>
        <w:rPr>
          <w:rFonts w:hint="eastAsia"/>
          <w:color w:val="auto"/>
          <w:highlight w:val="none"/>
        </w:rPr>
        <w:t>定紧固件的端距、边距、间距和行距布置要求：</w:t>
      </w:r>
    </w:p>
    <w:p w14:paraId="67FC72C3">
      <w:pPr>
        <w:pStyle w:val="4"/>
        <w:ind w:firstLine="480" w:firstLineChars="200"/>
        <w:jc w:val="left"/>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对于顺纹荷载作用下交错布置的紧固件，当相邻行上的</w:t>
      </w:r>
      <w:r>
        <w:rPr>
          <w:rFonts w:hint="eastAsia"/>
          <w:color w:val="auto"/>
          <w:highlight w:val="none"/>
        </w:rPr>
        <w:t>紧固件在顺纹方向的间距不大于</w:t>
      </w:r>
      <w:r>
        <w:rPr>
          <w:color w:val="auto"/>
          <w:highlight w:val="none"/>
        </w:rPr>
        <w:t>4d时，则认为相邻行的紧固</w:t>
      </w:r>
      <w:r>
        <w:rPr>
          <w:rFonts w:hint="eastAsia"/>
          <w:color w:val="auto"/>
          <w:highlight w:val="none"/>
        </w:rPr>
        <w:t>件位于同一截面；</w:t>
      </w:r>
    </w:p>
    <w:p w14:paraId="339A7378">
      <w:pPr>
        <w:pStyle w:val="4"/>
        <w:ind w:firstLine="480" w:firstLineChars="200"/>
        <w:jc w:val="left"/>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对于横纹荷载作用下交</w:t>
      </w:r>
      <w:r>
        <w:rPr>
          <w:rFonts w:hint="eastAsia"/>
          <w:color w:val="auto"/>
          <w:highlight w:val="none"/>
        </w:rPr>
        <w:t>错布置的紧固件，当相邻行上的紧固件在横纹方向的间距不小于</w:t>
      </w:r>
      <w:r>
        <w:rPr>
          <w:color w:val="auto"/>
          <w:highlight w:val="none"/>
        </w:rPr>
        <w:t>4d时，则紧固件在顺纹方</w:t>
      </w:r>
      <w:r>
        <w:rPr>
          <w:rFonts w:hint="eastAsia"/>
          <w:color w:val="auto"/>
          <w:highlight w:val="none"/>
        </w:rPr>
        <w:t>向的间距不受限制；</w:t>
      </w:r>
      <w:r>
        <w:rPr>
          <w:color w:val="auto"/>
          <w:highlight w:val="none"/>
        </w:rPr>
        <w:t>当相邻行</w:t>
      </w:r>
      <w:r>
        <w:rPr>
          <w:rFonts w:hint="eastAsia"/>
          <w:color w:val="auto"/>
          <w:highlight w:val="none"/>
        </w:rPr>
        <w:t>上的紧固件在横纹方向的间距小于</w:t>
      </w:r>
      <w:r>
        <w:rPr>
          <w:color w:val="auto"/>
          <w:highlight w:val="none"/>
        </w:rPr>
        <w:t>4d时，则紧固件在顺纹方</w:t>
      </w:r>
      <w:r>
        <w:rPr>
          <w:rFonts w:hint="eastAsia"/>
          <w:color w:val="auto"/>
          <w:highlight w:val="none"/>
        </w:rPr>
        <w:t>向的间距应符合本规范表</w:t>
      </w:r>
      <w:r>
        <w:rPr>
          <w:color w:val="auto"/>
          <w:highlight w:val="none"/>
        </w:rPr>
        <w:t>8.3.7</w:t>
      </w:r>
      <w:r>
        <w:rPr>
          <w:rFonts w:hint="eastAsia"/>
          <w:color w:val="auto"/>
          <w:highlight w:val="none"/>
        </w:rPr>
        <w:t>的</w:t>
      </w:r>
      <w:r>
        <w:rPr>
          <w:color w:val="auto"/>
          <w:highlight w:val="none"/>
        </w:rPr>
        <w:t>规定。</w:t>
      </w:r>
    </w:p>
    <w:p w14:paraId="76F56375">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2628265" cy="2112645"/>
            <wp:effectExtent l="0" t="0" r="635"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2646854" cy="2127535"/>
                    </a:xfrm>
                    <a:prstGeom prst="rect">
                      <a:avLst/>
                    </a:prstGeom>
                  </pic:spPr>
                </pic:pic>
              </a:graphicData>
            </a:graphic>
          </wp:inline>
        </w:drawing>
      </w:r>
    </w:p>
    <w:p w14:paraId="46A00F65">
      <w:pPr>
        <w:pStyle w:val="44"/>
        <w:spacing w:line="240" w:lineRule="auto"/>
        <w:ind w:firstLineChars="0"/>
        <w:jc w:val="center"/>
        <w:rPr>
          <w:rFonts w:ascii="Times New Roman" w:hAnsi="Times New Roman" w:cs="Times New Roman" w:eastAsiaTheme="minorEastAsia"/>
          <w:color w:val="auto"/>
          <w:szCs w:val="24"/>
          <w:highlight w:val="none"/>
        </w:rPr>
      </w:pPr>
      <w:r>
        <w:rPr>
          <w:rFonts w:hint="eastAsia"/>
          <w:color w:val="auto"/>
          <w:highlight w:val="none"/>
        </w:rPr>
        <w:t>图</w:t>
      </w:r>
      <w:r>
        <w:rPr>
          <w:color w:val="auto"/>
          <w:highlight w:val="none"/>
        </w:rPr>
        <w:t xml:space="preserve">8.3.8 </w:t>
      </w:r>
      <w:r>
        <w:rPr>
          <w:rFonts w:hint="eastAsia"/>
          <w:color w:val="auto"/>
          <w:highlight w:val="none"/>
        </w:rPr>
        <w:t>紧固件交错布置几何位置示意图</w:t>
      </w:r>
    </w:p>
    <w:p w14:paraId="5E8FAF07">
      <w:pPr>
        <w:pStyle w:val="4"/>
        <w:ind w:firstLineChars="0"/>
        <w:rPr>
          <w:color w:val="auto"/>
          <w:highlight w:val="none"/>
        </w:rPr>
      </w:pPr>
      <w:r>
        <w:rPr>
          <w:b/>
          <w:bCs/>
          <w:color w:val="auto"/>
          <w:highlight w:val="none"/>
        </w:rPr>
        <w:t>8.3.9</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当六角头木螺钉承受轴向上拔荷载时的端距、边距、间距和行距的最小值应满足表</w:t>
      </w:r>
      <w:r>
        <w:rPr>
          <w:color w:val="auto"/>
          <w:highlight w:val="none"/>
        </w:rPr>
        <w:t>8.3.9的规定。</w:t>
      </w:r>
    </w:p>
    <w:p w14:paraId="59239739">
      <w:pPr>
        <w:pStyle w:val="40"/>
        <w:ind w:firstLineChars="0"/>
        <w:jc w:val="center"/>
        <w:rPr>
          <w:color w:val="auto"/>
          <w:highlight w:val="none"/>
        </w:rPr>
      </w:pPr>
      <w:r>
        <w:rPr>
          <w:rFonts w:hint="eastAsia"/>
          <w:color w:val="auto"/>
          <w:highlight w:val="none"/>
        </w:rPr>
        <w:t>表</w:t>
      </w:r>
      <w:r>
        <w:rPr>
          <w:color w:val="auto"/>
          <w:highlight w:val="none"/>
        </w:rPr>
        <w:t>8.3.9 六角头木螺钉承受轴向上拔荷载时的端距、</w:t>
      </w:r>
      <w:r>
        <w:rPr>
          <w:rFonts w:hint="eastAsia"/>
          <w:color w:val="auto"/>
          <w:highlight w:val="none"/>
        </w:rPr>
        <w:t>边距、间距和行距的最小值</w:t>
      </w:r>
    </w:p>
    <w:p w14:paraId="502E6F7C">
      <w:pPr>
        <w:ind w:firstLine="0" w:firstLineChars="0"/>
        <w:jc w:val="center"/>
        <w:rPr>
          <w:rFonts w:ascii="Times New Roman" w:hAnsi="Times New Roman" w:eastAsia="黑体" w:cs="Times New Roman"/>
          <w:color w:val="auto"/>
          <w:highlight w:val="none"/>
        </w:rPr>
      </w:pPr>
      <w:r>
        <w:rPr>
          <w:color w:val="auto"/>
          <w:highlight w:val="none"/>
        </w:rPr>
        <w:drawing>
          <wp:inline distT="0" distB="0" distL="0" distR="0">
            <wp:extent cx="5676900" cy="15773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5"/>
                    <a:stretch>
                      <a:fillRect/>
                    </a:stretch>
                  </pic:blipFill>
                  <pic:spPr>
                    <a:xfrm>
                      <a:off x="0" y="0"/>
                      <a:ext cx="5677392" cy="1577477"/>
                    </a:xfrm>
                    <a:prstGeom prst="rect">
                      <a:avLst/>
                    </a:prstGeom>
                  </pic:spPr>
                </pic:pic>
              </a:graphicData>
            </a:graphic>
          </wp:inline>
        </w:drawing>
      </w:r>
    </w:p>
    <w:p w14:paraId="0B0E9A53">
      <w:pPr>
        <w:pStyle w:val="4"/>
        <w:ind w:firstLineChars="0"/>
        <w:rPr>
          <w:rFonts w:hint="eastAsia"/>
          <w:color w:val="auto"/>
          <w:highlight w:val="none"/>
        </w:rPr>
      </w:pPr>
      <w:r>
        <w:rPr>
          <w:b/>
          <w:bCs/>
          <w:color w:val="auto"/>
          <w:highlight w:val="none"/>
        </w:rPr>
        <w:t xml:space="preserve">8.3.10 </w:t>
      </w:r>
      <w:r>
        <w:rPr>
          <w:rFonts w:hint="eastAsia"/>
          <w:b/>
          <w:bCs/>
          <w:color w:val="auto"/>
          <w:highlight w:val="none"/>
          <w:lang w:val="en-US" w:eastAsia="zh-CN"/>
        </w:rPr>
        <w:t xml:space="preserve"> </w:t>
      </w:r>
      <w:r>
        <w:rPr>
          <w:color w:val="auto"/>
          <w:highlight w:val="none"/>
        </w:rPr>
        <w:t>对于采用单剪或对称双剪的销轴类紧固件的连接</w:t>
      </w:r>
      <w:r>
        <w:rPr>
          <w:rFonts w:hint="eastAsia"/>
          <w:color w:val="auto"/>
          <w:highlight w:val="none"/>
        </w:rPr>
        <w:t>（</w:t>
      </w:r>
      <w:r>
        <w:rPr>
          <w:color w:val="auto"/>
          <w:highlight w:val="none"/>
        </w:rPr>
        <w:t>图8.3.10</w:t>
      </w:r>
      <w:r>
        <w:rPr>
          <w:rFonts w:hint="eastAsia"/>
          <w:color w:val="auto"/>
          <w:highlight w:val="none"/>
        </w:rPr>
        <w:t>）</w:t>
      </w:r>
      <w:r>
        <w:rPr>
          <w:color w:val="auto"/>
          <w:highlight w:val="none"/>
        </w:rPr>
        <w:t>，当满足下列要求时，</w:t>
      </w:r>
      <w:r>
        <w:rPr>
          <w:rFonts w:hint="eastAsia"/>
          <w:color w:val="auto"/>
          <w:highlight w:val="none"/>
        </w:rPr>
        <w:t>其</w:t>
      </w:r>
      <w:r>
        <w:rPr>
          <w:color w:val="auto"/>
          <w:highlight w:val="none"/>
        </w:rPr>
        <w:t>承载力</w:t>
      </w:r>
      <w:r>
        <w:rPr>
          <w:rFonts w:hint="eastAsia"/>
          <w:color w:val="auto"/>
          <w:highlight w:val="none"/>
        </w:rPr>
        <w:t>可</w:t>
      </w:r>
      <w:r>
        <w:rPr>
          <w:color w:val="auto"/>
          <w:highlight w:val="none"/>
        </w:rPr>
        <w:t>按</w:t>
      </w:r>
      <w:r>
        <w:rPr>
          <w:rFonts w:hint="eastAsia"/>
          <w:color w:val="auto"/>
          <w:highlight w:val="none"/>
        </w:rPr>
        <w:t>现行国家标准</w:t>
      </w:r>
      <w:r>
        <w:rPr>
          <w:color w:val="auto"/>
          <w:highlight w:val="none"/>
        </w:rPr>
        <w:t>《胶合木结构技术规范》GB/T50708中的有关规定进行</w:t>
      </w:r>
      <w:r>
        <w:rPr>
          <w:rFonts w:hint="eastAsia"/>
          <w:color w:val="auto"/>
          <w:highlight w:val="none"/>
        </w:rPr>
        <w:t>计算：</w:t>
      </w:r>
    </w:p>
    <w:p w14:paraId="4264191A">
      <w:pPr>
        <w:pStyle w:val="4"/>
        <w:ind w:firstLine="480" w:firstLineChars="200"/>
        <w:rPr>
          <w:rFonts w:hint="eastAsia"/>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构件连接面应紧密接触</w:t>
      </w:r>
      <w:r>
        <w:rPr>
          <w:rFonts w:hint="eastAsia"/>
          <w:color w:val="auto"/>
          <w:highlight w:val="none"/>
        </w:rPr>
        <w:t>；</w:t>
      </w:r>
    </w:p>
    <w:p w14:paraId="48E80C73">
      <w:pPr>
        <w:pStyle w:val="4"/>
        <w:ind w:firstLine="480" w:firstLineChars="200"/>
        <w:rPr>
          <w:rFonts w:hint="eastAsia"/>
          <w:color w:val="auto"/>
          <w:highlight w:val="none"/>
        </w:rPr>
      </w:pPr>
      <w:r>
        <w:rPr>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荷载作用方向与销轴类紧固件轴线方向垂直；</w:t>
      </w:r>
    </w:p>
    <w:p w14:paraId="5F1B23C0">
      <w:pPr>
        <w:pStyle w:val="4"/>
        <w:ind w:firstLine="480" w:firstLineChars="200"/>
        <w:rPr>
          <w:rFonts w:hint="eastAsia"/>
          <w:color w:val="auto"/>
          <w:highlight w:val="none"/>
        </w:rPr>
      </w:pPr>
      <w:r>
        <w:rPr>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紧固件在构件上的边距、端距以及间距应符合本规范表</w:t>
      </w:r>
      <w:r>
        <w:rPr>
          <w:color w:val="auto"/>
          <w:highlight w:val="none"/>
        </w:rPr>
        <w:t>8.3.7的规定</w:t>
      </w:r>
      <w:r>
        <w:rPr>
          <w:rFonts w:hint="eastAsia"/>
          <w:color w:val="auto"/>
          <w:highlight w:val="none"/>
        </w:rPr>
        <w:t>；</w:t>
      </w:r>
    </w:p>
    <w:p w14:paraId="43A4EDC9">
      <w:pPr>
        <w:pStyle w:val="4"/>
        <w:ind w:firstLine="480" w:firstLineChars="200"/>
        <w:rPr>
          <w:color w:val="auto"/>
          <w:highlight w:val="none"/>
        </w:rPr>
      </w:pPr>
      <w:r>
        <w:rPr>
          <w:color w:val="auto"/>
          <w:highlight w:val="none"/>
        </w:rPr>
        <w:t xml:space="preserve">4 </w:t>
      </w:r>
      <w:r>
        <w:rPr>
          <w:rFonts w:hint="eastAsia"/>
          <w:color w:val="auto"/>
          <w:highlight w:val="none"/>
          <w:lang w:val="en-US" w:eastAsia="zh-CN"/>
        </w:rPr>
        <w:t xml:space="preserve"> </w:t>
      </w:r>
      <w:r>
        <w:rPr>
          <w:color w:val="auto"/>
          <w:highlight w:val="none"/>
        </w:rPr>
        <w:t>六角头木螺钉在单剪连接中的主构件上或双剪连接中侧</w:t>
      </w:r>
      <w:r>
        <w:rPr>
          <w:rFonts w:hint="eastAsia"/>
          <w:color w:val="auto"/>
          <w:highlight w:val="none"/>
        </w:rPr>
        <w:t>构件上的最小贯入深度</w:t>
      </w:r>
      <w:r>
        <w:rPr>
          <w:color w:val="auto"/>
          <w:highlight w:val="none"/>
        </w:rPr>
        <w:t>(不包括端尖部分的长度)不得小于六角</w:t>
      </w:r>
      <w:r>
        <w:rPr>
          <w:rFonts w:hint="eastAsia"/>
          <w:color w:val="auto"/>
          <w:highlight w:val="none"/>
        </w:rPr>
        <w:t>头木螺钉直径的</w:t>
      </w:r>
      <w:r>
        <w:rPr>
          <w:color w:val="auto"/>
          <w:highlight w:val="none"/>
        </w:rPr>
        <w:t>4倍。</w:t>
      </w:r>
    </w:p>
    <w:p w14:paraId="49F941E9">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869180" cy="1417320"/>
            <wp:effectExtent l="0" t="0" r="762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6"/>
                    <a:stretch>
                      <a:fillRect/>
                    </a:stretch>
                  </pic:blipFill>
                  <pic:spPr>
                    <a:xfrm>
                      <a:off x="0" y="0"/>
                      <a:ext cx="4869602" cy="1417443"/>
                    </a:xfrm>
                    <a:prstGeom prst="rect">
                      <a:avLst/>
                    </a:prstGeom>
                  </pic:spPr>
                </pic:pic>
              </a:graphicData>
            </a:graphic>
          </wp:inline>
        </w:drawing>
      </w:r>
    </w:p>
    <w:p w14:paraId="77C391C8">
      <w:pPr>
        <w:pStyle w:val="44"/>
        <w:spacing w:line="240" w:lineRule="auto"/>
        <w:ind w:firstLineChars="0"/>
        <w:jc w:val="center"/>
        <w:rPr>
          <w:color w:val="auto"/>
          <w:highlight w:val="none"/>
        </w:rPr>
      </w:pPr>
      <w:r>
        <w:rPr>
          <w:rFonts w:hint="eastAsia"/>
          <w:color w:val="auto"/>
          <w:highlight w:val="none"/>
        </w:rPr>
        <w:t>图</w:t>
      </w:r>
      <w:r>
        <w:rPr>
          <w:color w:val="auto"/>
          <w:highlight w:val="none"/>
        </w:rPr>
        <w:t>8.3.10</w:t>
      </w:r>
      <w:r>
        <w:rPr>
          <w:rFonts w:hint="eastAsia"/>
          <w:color w:val="auto"/>
          <w:highlight w:val="none"/>
        </w:rPr>
        <w:t xml:space="preserve"> 销轴类紧固件的连接方式</w:t>
      </w:r>
    </w:p>
    <w:p w14:paraId="2A381BB6">
      <w:pPr>
        <w:pStyle w:val="4"/>
        <w:ind w:firstLineChars="0"/>
        <w:rPr>
          <w:rFonts w:hint="eastAsia"/>
          <w:color w:val="auto"/>
          <w:highlight w:val="none"/>
        </w:rPr>
      </w:pPr>
      <w:r>
        <w:rPr>
          <w:b/>
          <w:bCs/>
          <w:color w:val="auto"/>
          <w:highlight w:val="none"/>
        </w:rPr>
        <w:t>8.3.11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销轴类紧固件的抗弯强度标准值和销槽的承压长度应符合下列规定：</w:t>
      </w:r>
    </w:p>
    <w:p w14:paraId="1F19A756">
      <w:pPr>
        <w:pStyle w:val="4"/>
        <w:ind w:firstLine="480" w:firstLineChars="200"/>
        <w:rPr>
          <w:color w:val="auto"/>
          <w:highlight w:val="none"/>
        </w:rPr>
      </w:pPr>
      <w:r>
        <w:rPr>
          <w:rFonts w:hint="eastAsia"/>
          <w:color w:val="auto"/>
          <w:highlight w:val="none"/>
        </w:rPr>
        <w:t xml:space="preserve">1 </w:t>
      </w:r>
      <w:r>
        <w:rPr>
          <w:rFonts w:hint="eastAsia"/>
          <w:color w:val="auto"/>
          <w:highlight w:val="none"/>
          <w:lang w:val="en-US" w:eastAsia="zh-CN"/>
        </w:rPr>
        <w:t xml:space="preserve"> </w:t>
      </w:r>
      <w:r>
        <w:rPr>
          <w:rFonts w:hint="eastAsia"/>
          <w:color w:val="auto"/>
          <w:highlight w:val="none"/>
        </w:rPr>
        <w:t>销轴类紧固件抗弯强度标准值应取销轴屈服强度的</w:t>
      </w:r>
      <w:r>
        <w:rPr>
          <w:color w:val="auto"/>
          <w:highlight w:val="none"/>
        </w:rPr>
        <w:t>1.3倍</w:t>
      </w:r>
      <w:r>
        <w:rPr>
          <w:rFonts w:hint="eastAsia"/>
          <w:color w:val="auto"/>
          <w:highlight w:val="none"/>
        </w:rPr>
        <w:t>；</w:t>
      </w:r>
    </w:p>
    <w:p w14:paraId="2DD34CBF">
      <w:pPr>
        <w:pStyle w:val="4"/>
        <w:ind w:firstLine="480" w:firstLineChars="200"/>
        <w:rPr>
          <w:color w:val="auto"/>
          <w:highlight w:val="none"/>
        </w:rPr>
      </w:pPr>
      <w:r>
        <w:rPr>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当销轴的贯人深度小于</w:t>
      </w:r>
      <w:r>
        <w:rPr>
          <w:color w:val="auto"/>
          <w:highlight w:val="none"/>
        </w:rPr>
        <w:t>10倍销轴直径时，承压面的长度</w:t>
      </w:r>
      <w:r>
        <w:rPr>
          <w:rFonts w:hint="eastAsia"/>
          <w:color w:val="auto"/>
          <w:highlight w:val="none"/>
        </w:rPr>
        <w:t>不应包括销轴尖端部分的长度。</w:t>
      </w:r>
    </w:p>
    <w:p w14:paraId="60C186D4">
      <w:pPr>
        <w:pStyle w:val="4"/>
        <w:ind w:firstLineChars="0"/>
        <w:rPr>
          <w:color w:val="auto"/>
          <w:highlight w:val="none"/>
        </w:rPr>
      </w:pPr>
      <w:r>
        <w:rPr>
          <w:b/>
          <w:bCs/>
          <w:color w:val="auto"/>
          <w:highlight w:val="none"/>
        </w:rPr>
        <w:t xml:space="preserve">8.3.12 </w:t>
      </w:r>
      <w:r>
        <w:rPr>
          <w:rFonts w:hint="eastAsia"/>
          <w:b/>
          <w:bCs/>
          <w:color w:val="auto"/>
          <w:highlight w:val="none"/>
          <w:lang w:val="en-US" w:eastAsia="zh-CN"/>
        </w:rPr>
        <w:t xml:space="preserve"> </w:t>
      </w:r>
      <w:r>
        <w:rPr>
          <w:color w:val="auto"/>
          <w:highlight w:val="none"/>
        </w:rPr>
        <w:t>互相不对称的三个构件连接时，剪面承载力设计值应</w:t>
      </w:r>
      <w:r>
        <w:rPr>
          <w:rFonts w:hint="eastAsia"/>
          <w:color w:val="auto"/>
          <w:highlight w:val="none"/>
        </w:rPr>
        <w:t>按两个侧构件中销槽承压长度最小的侧构件作为计算标准，按对称连接计算得到的最小剪面承载力作为连接的剪面设计承载力。</w:t>
      </w:r>
    </w:p>
    <w:p w14:paraId="415A31E7">
      <w:pPr>
        <w:pStyle w:val="4"/>
        <w:ind w:firstLineChars="0"/>
        <w:rPr>
          <w:color w:val="auto"/>
          <w:highlight w:val="none"/>
        </w:rPr>
      </w:pPr>
      <w:r>
        <w:rPr>
          <w:b/>
          <w:bCs/>
          <w:color w:val="auto"/>
          <w:highlight w:val="none"/>
        </w:rPr>
        <w:t xml:space="preserve">8.3.13 </w:t>
      </w:r>
      <w:r>
        <w:rPr>
          <w:rFonts w:hint="eastAsia"/>
          <w:b/>
          <w:bCs/>
          <w:color w:val="auto"/>
          <w:highlight w:val="none"/>
          <w:lang w:val="en-US" w:eastAsia="zh-CN"/>
        </w:rPr>
        <w:t xml:space="preserve"> </w:t>
      </w:r>
      <w:r>
        <w:rPr>
          <w:color w:val="auto"/>
          <w:highlight w:val="none"/>
        </w:rPr>
        <w:t>当四个或四个以上构件连接时，每一剪面按单剪连接计</w:t>
      </w:r>
      <w:r>
        <w:rPr>
          <w:rFonts w:hint="eastAsia"/>
          <w:color w:val="auto"/>
          <w:highlight w:val="none"/>
        </w:rPr>
        <w:t>算。连接的剪面设计承载力等于最小承载力乘以剪面数量。</w:t>
      </w:r>
    </w:p>
    <w:p w14:paraId="2036CE0F">
      <w:pPr>
        <w:pStyle w:val="4"/>
        <w:ind w:firstLineChars="0"/>
        <w:rPr>
          <w:color w:val="auto"/>
          <w:highlight w:val="none"/>
        </w:rPr>
      </w:pPr>
      <w:r>
        <w:rPr>
          <w:b/>
          <w:bCs/>
          <w:color w:val="auto"/>
          <w:highlight w:val="none"/>
        </w:rPr>
        <w:t>8.3.14</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当单剪连接中的荷载与紧固件轴线呈一定角度时</w:t>
      </w:r>
      <w:r>
        <w:rPr>
          <w:color w:val="auto"/>
          <w:highlight w:val="none"/>
        </w:rPr>
        <w:t>(除90°外)</w:t>
      </w:r>
      <w:r>
        <w:rPr>
          <w:rFonts w:hint="eastAsia"/>
          <w:color w:val="auto"/>
          <w:highlight w:val="none"/>
        </w:rPr>
        <w:t>，垂直于紧固件轴线方向作用的荷载分量不得超过紧固件剪面设计承载力。平行于紧固件轴线方向的荷载分量，应采取可靠的措施，满足局部承压要求。</w:t>
      </w:r>
    </w:p>
    <w:p w14:paraId="52D00ED5">
      <w:pPr>
        <w:pStyle w:val="4"/>
        <w:ind w:firstLineChars="0"/>
        <w:rPr>
          <w:color w:val="auto"/>
          <w:highlight w:val="none"/>
        </w:rPr>
      </w:pPr>
      <w:r>
        <w:rPr>
          <w:b/>
          <w:bCs/>
          <w:color w:val="auto"/>
          <w:highlight w:val="none"/>
        </w:rPr>
        <w:t xml:space="preserve">8.3.15 </w:t>
      </w:r>
      <w:r>
        <w:rPr>
          <w:rFonts w:hint="eastAsia"/>
          <w:b/>
          <w:bCs/>
          <w:color w:val="auto"/>
          <w:highlight w:val="none"/>
          <w:lang w:val="en-US" w:eastAsia="zh-CN"/>
        </w:rPr>
        <w:t xml:space="preserve"> </w:t>
      </w:r>
      <w:r>
        <w:rPr>
          <w:color w:val="auto"/>
          <w:highlight w:val="none"/>
        </w:rPr>
        <w:t>六角头木螺钉的抗拔强度按</w:t>
      </w:r>
      <w:r>
        <w:rPr>
          <w:rFonts w:hint="eastAsia"/>
          <w:color w:val="auto"/>
          <w:highlight w:val="none"/>
        </w:rPr>
        <w:t>现行国家标准</w:t>
      </w:r>
      <w:r>
        <w:rPr>
          <w:color w:val="auto"/>
          <w:highlight w:val="none"/>
        </w:rPr>
        <w:t>《胶合木结构技术规范》GB/T</w:t>
      </w:r>
      <w:r>
        <w:rPr>
          <w:rFonts w:hint="eastAsia"/>
          <w:color w:val="auto"/>
          <w:highlight w:val="none"/>
          <w:lang w:val="en-US" w:eastAsia="zh-CN"/>
        </w:rPr>
        <w:t xml:space="preserve"> </w:t>
      </w:r>
      <w:r>
        <w:rPr>
          <w:color w:val="auto"/>
          <w:highlight w:val="none"/>
        </w:rPr>
        <w:t>50708中的有关规定进行</w:t>
      </w:r>
      <w:r>
        <w:rPr>
          <w:rFonts w:hint="eastAsia"/>
          <w:color w:val="auto"/>
          <w:highlight w:val="none"/>
        </w:rPr>
        <w:t>计算。</w:t>
      </w:r>
    </w:p>
    <w:p w14:paraId="703EACE7">
      <w:pPr>
        <w:pStyle w:val="4"/>
        <w:ind w:firstLineChars="0"/>
        <w:rPr>
          <w:color w:val="auto"/>
          <w:highlight w:val="none"/>
        </w:rPr>
      </w:pPr>
      <w:r>
        <w:rPr>
          <w:b/>
          <w:bCs/>
          <w:color w:val="auto"/>
          <w:highlight w:val="none"/>
        </w:rPr>
        <w:t>8.3.16</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剪板材料可采用压制钢和可锻铸铁</w:t>
      </w:r>
      <w:r>
        <w:rPr>
          <w:color w:val="auto"/>
          <w:highlight w:val="none"/>
        </w:rPr>
        <w:t>(玛钢)制作，剪板</w:t>
      </w:r>
      <w:r>
        <w:rPr>
          <w:rFonts w:hint="eastAsia"/>
          <w:color w:val="auto"/>
          <w:highlight w:val="none"/>
        </w:rPr>
        <w:t>种类和连接方式应符合表</w:t>
      </w:r>
      <w:r>
        <w:rPr>
          <w:color w:val="auto"/>
          <w:highlight w:val="none"/>
        </w:rPr>
        <w:t>8.3.16的规定(图8.3.16)。</w:t>
      </w:r>
    </w:p>
    <w:p w14:paraId="16177246">
      <w:pPr>
        <w:ind w:firstLine="0" w:firstLineChars="0"/>
        <w:rPr>
          <w:rFonts w:hint="eastAsia" w:ascii="Times New Roman" w:hAnsi="Times New Roman" w:cs="Times New Roman" w:eastAsiaTheme="minorEastAsia"/>
          <w:color w:val="auto"/>
          <w:highlight w:val="none"/>
        </w:rPr>
      </w:pPr>
    </w:p>
    <w:p w14:paraId="389E555C">
      <w:pPr>
        <w:pStyle w:val="40"/>
        <w:ind w:firstLineChars="0"/>
        <w:jc w:val="center"/>
        <w:rPr>
          <w:color w:val="auto"/>
          <w:highlight w:val="none"/>
        </w:rPr>
      </w:pPr>
      <w:r>
        <w:rPr>
          <w:color w:val="auto"/>
          <w:highlight w:val="none"/>
        </w:rPr>
        <w:t>表8.3.16 剪板的种类和连接方式</w:t>
      </w:r>
    </w:p>
    <w:p w14:paraId="2ECC46FF">
      <w:pPr>
        <w:ind w:firstLine="0" w:firstLineChars="0"/>
        <w:jc w:val="center"/>
        <w:rPr>
          <w:rFonts w:cs="Times New Roman" w:asciiTheme="minorEastAsia" w:hAnsiTheme="minorEastAsia" w:eastAsiaTheme="minorEastAsia"/>
          <w:color w:val="auto"/>
          <w:highlight w:val="none"/>
        </w:rPr>
      </w:pPr>
      <w:r>
        <w:rPr>
          <w:color w:val="auto"/>
          <w:highlight w:val="none"/>
        </w:rPr>
        <w:drawing>
          <wp:inline distT="0" distB="0" distL="0" distR="0">
            <wp:extent cx="4944110" cy="2446020"/>
            <wp:effectExtent l="0" t="0" r="889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7"/>
                    <a:stretch>
                      <a:fillRect/>
                    </a:stretch>
                  </pic:blipFill>
                  <pic:spPr>
                    <a:xfrm>
                      <a:off x="0" y="0"/>
                      <a:ext cx="4944110" cy="2446020"/>
                    </a:xfrm>
                    <a:prstGeom prst="rect">
                      <a:avLst/>
                    </a:prstGeom>
                  </pic:spPr>
                </pic:pic>
              </a:graphicData>
            </a:graphic>
          </wp:inline>
        </w:drawing>
      </w:r>
    </w:p>
    <w:p w14:paraId="090D7D1A">
      <w:pPr>
        <w:ind w:firstLine="0" w:firstLineChars="0"/>
        <w:jc w:val="center"/>
        <w:rPr>
          <w:rFonts w:hint="eastAsia" w:cs="Times New Roman" w:asciiTheme="minorEastAsia" w:hAnsiTheme="minorEastAsia" w:eastAsiaTheme="minorEastAsia"/>
          <w:color w:val="auto"/>
          <w:highlight w:val="none"/>
        </w:rPr>
      </w:pPr>
      <w:r>
        <w:rPr>
          <w:color w:val="auto"/>
          <w:highlight w:val="none"/>
        </w:rPr>
        <w:drawing>
          <wp:inline distT="0" distB="0" distL="0" distR="0">
            <wp:extent cx="3522345" cy="2668270"/>
            <wp:effectExtent l="0" t="0" r="190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8"/>
                    <a:stretch>
                      <a:fillRect/>
                    </a:stretch>
                  </pic:blipFill>
                  <pic:spPr>
                    <a:xfrm>
                      <a:off x="0" y="0"/>
                      <a:ext cx="3522345" cy="2668270"/>
                    </a:xfrm>
                    <a:prstGeom prst="rect">
                      <a:avLst/>
                    </a:prstGeom>
                  </pic:spPr>
                </pic:pic>
              </a:graphicData>
            </a:graphic>
          </wp:inline>
        </w:drawing>
      </w:r>
    </w:p>
    <w:p w14:paraId="04EA5F3F">
      <w:pPr>
        <w:pStyle w:val="44"/>
        <w:spacing w:line="240" w:lineRule="auto"/>
        <w:ind w:firstLineChars="0"/>
        <w:jc w:val="center"/>
        <w:rPr>
          <w:rFonts w:hint="eastAsia"/>
          <w:color w:val="auto"/>
          <w:highlight w:val="none"/>
        </w:rPr>
      </w:pPr>
      <w:r>
        <w:rPr>
          <w:color w:val="auto"/>
          <w:highlight w:val="none"/>
        </w:rPr>
        <w:t xml:space="preserve">图8.3.16 </w:t>
      </w:r>
      <w:r>
        <w:rPr>
          <w:rFonts w:hint="eastAsia"/>
          <w:color w:val="auto"/>
          <w:highlight w:val="none"/>
          <w:lang w:val="en-US" w:eastAsia="zh-CN"/>
        </w:rPr>
        <w:t xml:space="preserve"> </w:t>
      </w:r>
      <w:r>
        <w:rPr>
          <w:color w:val="auto"/>
          <w:highlight w:val="none"/>
        </w:rPr>
        <w:t>剪板连接示意图</w:t>
      </w:r>
    </w:p>
    <w:p w14:paraId="268F3699">
      <w:pPr>
        <w:pStyle w:val="4"/>
        <w:ind w:firstLineChars="0"/>
        <w:jc w:val="left"/>
        <w:rPr>
          <w:color w:val="auto"/>
          <w:highlight w:val="none"/>
        </w:rPr>
      </w:pPr>
      <w:r>
        <w:rPr>
          <w:b/>
          <w:bCs/>
          <w:color w:val="auto"/>
          <w:highlight w:val="none"/>
        </w:rPr>
        <w:t xml:space="preserve">8.3.17 </w:t>
      </w:r>
      <w:r>
        <w:rPr>
          <w:rFonts w:hint="eastAsia"/>
          <w:b/>
          <w:bCs/>
          <w:color w:val="auto"/>
          <w:highlight w:val="none"/>
          <w:lang w:val="en-US" w:eastAsia="zh-CN"/>
        </w:rPr>
        <w:t xml:space="preserve"> </w:t>
      </w:r>
      <w:r>
        <w:rPr>
          <w:color w:val="auto"/>
          <w:highlight w:val="none"/>
        </w:rPr>
        <w:t>剪板的强度设计值与木材的全干相对密度有关，木材的全干相对密度分组应符合表8.3.17-1的规定。单个剪板的受剪承载力设计值应符合表8.3.17-2的规定。</w:t>
      </w:r>
    </w:p>
    <w:p w14:paraId="68D7983D">
      <w:pPr>
        <w:pStyle w:val="40"/>
        <w:ind w:firstLineChars="0"/>
        <w:jc w:val="center"/>
        <w:rPr>
          <w:rFonts w:hint="eastAsia"/>
          <w:color w:val="auto"/>
          <w:highlight w:val="none"/>
        </w:rPr>
      </w:pPr>
      <w:r>
        <w:rPr>
          <w:rFonts w:hint="eastAsia"/>
          <w:color w:val="auto"/>
          <w:highlight w:val="none"/>
        </w:rPr>
        <w:t>表</w:t>
      </w:r>
      <w:r>
        <w:rPr>
          <w:color w:val="auto"/>
          <w:highlight w:val="none"/>
        </w:rPr>
        <w:t>8.3.17-1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剪板连接中树种的全干相对密度分组</w:t>
      </w:r>
    </w:p>
    <w:p w14:paraId="48B323E1">
      <w:pPr>
        <w:ind w:firstLine="0" w:firstLineChars="0"/>
        <w:jc w:val="center"/>
        <w:rPr>
          <w:rFonts w:hint="eastAsia" w:cs="Times New Roman" w:asciiTheme="minorEastAsia" w:hAnsiTheme="minorEastAsia" w:eastAsiaTheme="minorEastAsia"/>
          <w:color w:val="auto"/>
          <w:highlight w:val="none"/>
        </w:rPr>
      </w:pPr>
      <w:r>
        <w:rPr>
          <w:color w:val="auto"/>
          <w:highlight w:val="none"/>
        </w:rPr>
        <w:drawing>
          <wp:inline distT="0" distB="0" distL="0" distR="0">
            <wp:extent cx="5759450" cy="1053465"/>
            <wp:effectExtent l="0" t="0" r="1270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9"/>
                    <a:stretch>
                      <a:fillRect/>
                    </a:stretch>
                  </pic:blipFill>
                  <pic:spPr>
                    <a:xfrm>
                      <a:off x="0" y="0"/>
                      <a:ext cx="5759450" cy="1053465"/>
                    </a:xfrm>
                    <a:prstGeom prst="rect">
                      <a:avLst/>
                    </a:prstGeom>
                  </pic:spPr>
                </pic:pic>
              </a:graphicData>
            </a:graphic>
          </wp:inline>
        </w:drawing>
      </w:r>
    </w:p>
    <w:p w14:paraId="013FE484">
      <w:pPr>
        <w:pStyle w:val="40"/>
        <w:ind w:firstLineChars="0"/>
        <w:jc w:val="center"/>
        <w:rPr>
          <w:color w:val="auto"/>
          <w:highlight w:val="none"/>
        </w:rPr>
      </w:pPr>
      <w:r>
        <w:rPr>
          <w:rFonts w:hint="eastAsia"/>
          <w:color w:val="auto"/>
          <w:highlight w:val="none"/>
        </w:rPr>
        <w:t>表</w:t>
      </w:r>
      <w:r>
        <w:rPr>
          <w:color w:val="auto"/>
          <w:highlight w:val="none"/>
        </w:rPr>
        <w:t>8.3.17-2</w:t>
      </w:r>
      <w:r>
        <w:rPr>
          <w:rFonts w:hint="eastAsia"/>
          <w:color w:val="auto"/>
          <w:highlight w:val="none"/>
          <w:lang w:val="en-US" w:eastAsia="zh-CN"/>
        </w:rPr>
        <w:t xml:space="preserve">  </w:t>
      </w:r>
      <w:r>
        <w:rPr>
          <w:color w:val="auto"/>
          <w:highlight w:val="none"/>
        </w:rPr>
        <w:t>单个剪板连接件(剪板加螺栓)的受剪承载力设计值</w:t>
      </w:r>
    </w:p>
    <w:p w14:paraId="7AFD3F41">
      <w:pPr>
        <w:ind w:firstLine="0" w:firstLineChars="0"/>
        <w:jc w:val="center"/>
        <w:rPr>
          <w:rFonts w:ascii="Times New Roman" w:hAnsi="Times New Roman" w:eastAsia="黑体" w:cs="Times New Roman"/>
          <w:color w:val="auto"/>
          <w:highlight w:val="none"/>
        </w:rPr>
      </w:pPr>
      <w:r>
        <w:rPr>
          <w:color w:val="auto"/>
          <w:highlight w:val="none"/>
        </w:rPr>
        <w:drawing>
          <wp:inline distT="0" distB="0" distL="0" distR="0">
            <wp:extent cx="5707380" cy="3688080"/>
            <wp:effectExtent l="0" t="0" r="762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0"/>
                    <a:stretch>
                      <a:fillRect/>
                    </a:stretch>
                  </pic:blipFill>
                  <pic:spPr>
                    <a:xfrm>
                      <a:off x="0" y="0"/>
                      <a:ext cx="5707875" cy="3688400"/>
                    </a:xfrm>
                    <a:prstGeom prst="rect">
                      <a:avLst/>
                    </a:prstGeom>
                  </pic:spPr>
                </pic:pic>
              </a:graphicData>
            </a:graphic>
          </wp:inline>
        </w:drawing>
      </w:r>
    </w:p>
    <w:p w14:paraId="6B6ED7D9">
      <w:pPr>
        <w:pStyle w:val="4"/>
        <w:ind w:firstLineChars="0"/>
        <w:jc w:val="left"/>
        <w:rPr>
          <w:rFonts w:hint="eastAsia"/>
          <w:color w:val="auto"/>
          <w:highlight w:val="none"/>
        </w:rPr>
      </w:pPr>
      <w:r>
        <w:rPr>
          <w:b/>
          <w:bCs/>
          <w:color w:val="auto"/>
          <w:highlight w:val="none"/>
        </w:rPr>
        <w:t xml:space="preserve">8.3.18 </w:t>
      </w:r>
      <w:r>
        <w:rPr>
          <w:rFonts w:hint="eastAsia"/>
          <w:b/>
          <w:bCs/>
          <w:color w:val="auto"/>
          <w:highlight w:val="none"/>
          <w:lang w:val="en-US" w:eastAsia="zh-CN"/>
        </w:rPr>
        <w:t xml:space="preserve"> </w:t>
      </w:r>
      <w:r>
        <w:rPr>
          <w:color w:val="auto"/>
          <w:highlight w:val="none"/>
        </w:rPr>
        <w:t>当剪板采用六角头木螺钉作为紧固件时，六角头木螺钉</w:t>
      </w:r>
      <w:r>
        <w:rPr>
          <w:rFonts w:hint="eastAsia"/>
          <w:color w:val="auto"/>
          <w:highlight w:val="none"/>
        </w:rPr>
        <w:t>在主构件中贯人深度不得小于表</w:t>
      </w:r>
      <w:r>
        <w:rPr>
          <w:color w:val="auto"/>
          <w:highlight w:val="none"/>
        </w:rPr>
        <w:t>8.3.18的规定。</w:t>
      </w:r>
    </w:p>
    <w:p w14:paraId="3E4E3D29">
      <w:pPr>
        <w:pStyle w:val="40"/>
        <w:ind w:firstLineChars="0"/>
        <w:jc w:val="center"/>
        <w:rPr>
          <w:color w:val="auto"/>
          <w:highlight w:val="none"/>
        </w:rPr>
      </w:pPr>
      <w:r>
        <w:rPr>
          <w:rFonts w:hint="eastAsia"/>
          <w:color w:val="auto"/>
          <w:highlight w:val="none"/>
        </w:rPr>
        <w:t>表</w:t>
      </w:r>
      <w:r>
        <w:rPr>
          <w:color w:val="auto"/>
          <w:highlight w:val="none"/>
        </w:rPr>
        <w:t xml:space="preserve">8.3.18 </w:t>
      </w:r>
      <w:r>
        <w:rPr>
          <w:rFonts w:hint="eastAsia"/>
          <w:color w:val="auto"/>
          <w:highlight w:val="none"/>
          <w:lang w:val="en-US" w:eastAsia="zh-CN"/>
        </w:rPr>
        <w:t xml:space="preserve"> </w:t>
      </w:r>
      <w:r>
        <w:rPr>
          <w:color w:val="auto"/>
          <w:highlight w:val="none"/>
        </w:rPr>
        <w:t>六角头木螺钉在构件中最小贯入深度</w:t>
      </w:r>
    </w:p>
    <w:p w14:paraId="3DD66670">
      <w:pPr>
        <w:ind w:firstLine="0" w:firstLineChars="0"/>
        <w:jc w:val="center"/>
        <w:rPr>
          <w:rFonts w:ascii="Times New Roman" w:hAnsi="Times New Roman" w:eastAsia="黑体" w:cs="Times New Roman"/>
          <w:color w:val="auto"/>
          <w:highlight w:val="none"/>
        </w:rPr>
      </w:pPr>
      <w:r>
        <w:rPr>
          <w:color w:val="auto"/>
          <w:highlight w:val="none"/>
        </w:rPr>
        <w:drawing>
          <wp:inline distT="0" distB="0" distL="0" distR="0">
            <wp:extent cx="5285105" cy="1817370"/>
            <wp:effectExtent l="0" t="0" r="1079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1"/>
                    <a:stretch>
                      <a:fillRect/>
                    </a:stretch>
                  </pic:blipFill>
                  <pic:spPr>
                    <a:xfrm>
                      <a:off x="0" y="0"/>
                      <a:ext cx="5297437" cy="1821687"/>
                    </a:xfrm>
                    <a:prstGeom prst="rect">
                      <a:avLst/>
                    </a:prstGeom>
                  </pic:spPr>
                </pic:pic>
              </a:graphicData>
            </a:graphic>
          </wp:inline>
        </w:drawing>
      </w:r>
    </w:p>
    <w:p w14:paraId="34AD4E64">
      <w:pPr>
        <w:pStyle w:val="4"/>
        <w:ind w:firstLineChars="0"/>
        <w:jc w:val="left"/>
        <w:rPr>
          <w:rFonts w:hint="eastAsia"/>
          <w:color w:val="auto"/>
          <w:highlight w:val="none"/>
        </w:rPr>
      </w:pPr>
      <w:r>
        <w:rPr>
          <w:b/>
          <w:bCs/>
          <w:color w:val="auto"/>
          <w:highlight w:val="none"/>
        </w:rPr>
        <w:t xml:space="preserve">8.3.19 </w:t>
      </w:r>
      <w:r>
        <w:rPr>
          <w:rFonts w:hint="eastAsia"/>
          <w:b/>
          <w:bCs/>
          <w:color w:val="auto"/>
          <w:highlight w:val="none"/>
          <w:lang w:val="en-US" w:eastAsia="zh-CN"/>
        </w:rPr>
        <w:t xml:space="preserve"> </w:t>
      </w:r>
      <w:r>
        <w:rPr>
          <w:color w:val="auto"/>
          <w:highlight w:val="none"/>
        </w:rPr>
        <w:t>当侧构件采用钢板时，102mm的剪板连接件的顺纹荷载</w:t>
      </w:r>
      <w:r>
        <w:rPr>
          <w:rFonts w:hint="eastAsia"/>
          <w:color w:val="auto"/>
          <w:highlight w:val="none"/>
        </w:rPr>
        <w:t>作用下的受剪承载力设计值</w:t>
      </w:r>
      <w:r>
        <w:rPr>
          <w:color w:val="auto"/>
          <w:highlight w:val="none"/>
        </w:rPr>
        <w:t>P应根据树种全干相对密度，按表8.3.19中规定的调整系数</w:t>
      </w:r>
      <w:r>
        <w:rPr>
          <w:i/>
          <w:iCs/>
          <w:color w:val="auto"/>
          <w:highlight w:val="none"/>
        </w:rPr>
        <w:t>k</w:t>
      </w:r>
      <w:r>
        <w:rPr>
          <w:rFonts w:hint="eastAsia"/>
          <w:i/>
          <w:iCs/>
          <w:color w:val="auto"/>
          <w:highlight w:val="none"/>
          <w:vertAlign w:val="subscript"/>
        </w:rPr>
        <w:t>s</w:t>
      </w:r>
      <w:r>
        <w:rPr>
          <w:color w:val="auto"/>
          <w:highlight w:val="none"/>
        </w:rPr>
        <w:t>进行调整。</w:t>
      </w:r>
    </w:p>
    <w:p w14:paraId="438521FC">
      <w:pPr>
        <w:pStyle w:val="40"/>
        <w:ind w:firstLineChars="0"/>
        <w:jc w:val="center"/>
        <w:rPr>
          <w:color w:val="auto"/>
          <w:highlight w:val="none"/>
        </w:rPr>
      </w:pPr>
      <w:r>
        <w:rPr>
          <w:rFonts w:hint="eastAsia"/>
          <w:color w:val="auto"/>
          <w:highlight w:val="none"/>
        </w:rPr>
        <w:t>表</w:t>
      </w:r>
      <w:r>
        <w:rPr>
          <w:color w:val="auto"/>
          <w:highlight w:val="none"/>
        </w:rPr>
        <w:t>8.3.19 剪板连接件的顺纹承载力调整系数</w:t>
      </w:r>
    </w:p>
    <w:p w14:paraId="44E5233B">
      <w:pPr>
        <w:ind w:firstLine="0" w:firstLineChars="0"/>
        <w:jc w:val="center"/>
        <w:rPr>
          <w:rFonts w:ascii="Times New Roman" w:hAnsi="Times New Roman" w:eastAsia="黑体" w:cs="Times New Roman"/>
          <w:color w:val="auto"/>
          <w:highlight w:val="none"/>
        </w:rPr>
      </w:pPr>
      <w:r>
        <w:rPr>
          <w:color w:val="auto"/>
          <w:highlight w:val="none"/>
        </w:rPr>
        <w:drawing>
          <wp:inline distT="0" distB="0" distL="0" distR="0">
            <wp:extent cx="5759450" cy="553720"/>
            <wp:effectExtent l="0" t="0" r="1270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2"/>
                    <a:stretch>
                      <a:fillRect/>
                    </a:stretch>
                  </pic:blipFill>
                  <pic:spPr>
                    <a:xfrm>
                      <a:off x="0" y="0"/>
                      <a:ext cx="5759450" cy="553720"/>
                    </a:xfrm>
                    <a:prstGeom prst="rect">
                      <a:avLst/>
                    </a:prstGeom>
                  </pic:spPr>
                </pic:pic>
              </a:graphicData>
            </a:graphic>
          </wp:inline>
        </w:drawing>
      </w:r>
    </w:p>
    <w:p w14:paraId="23A4DD19">
      <w:pPr>
        <w:pStyle w:val="4"/>
        <w:ind w:firstLineChars="0"/>
        <w:rPr>
          <w:color w:val="auto"/>
          <w:highlight w:val="none"/>
        </w:rPr>
      </w:pPr>
      <w:r>
        <w:rPr>
          <w:b/>
          <w:bCs/>
          <w:color w:val="auto"/>
          <w:highlight w:val="none"/>
        </w:rPr>
        <w:t>8.3.20</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剪板的</w:t>
      </w:r>
      <w:r>
        <w:rPr>
          <w:color w:val="auto"/>
          <w:highlight w:val="none"/>
        </w:rPr>
        <w:t>受剪承载力按</w:t>
      </w:r>
      <w:r>
        <w:rPr>
          <w:rFonts w:hint="eastAsia"/>
          <w:color w:val="auto"/>
          <w:highlight w:val="none"/>
        </w:rPr>
        <w:t>现行国家标准</w:t>
      </w:r>
      <w:r>
        <w:rPr>
          <w:color w:val="auto"/>
          <w:highlight w:val="none"/>
        </w:rPr>
        <w:t>《胶合木结构技术规范》GB/T50708中的有关规定进行</w:t>
      </w:r>
      <w:r>
        <w:rPr>
          <w:rFonts w:hint="eastAsia"/>
          <w:color w:val="auto"/>
          <w:highlight w:val="none"/>
        </w:rPr>
        <w:t>计算。</w:t>
      </w:r>
    </w:p>
    <w:p w14:paraId="0DE124E9">
      <w:pPr>
        <w:pStyle w:val="4"/>
        <w:ind w:firstLineChars="0"/>
        <w:jc w:val="left"/>
        <w:rPr>
          <w:rFonts w:hint="eastAsia"/>
          <w:color w:val="auto"/>
          <w:highlight w:val="none"/>
        </w:rPr>
      </w:pPr>
      <w:r>
        <w:rPr>
          <w:b/>
          <w:bCs/>
          <w:color w:val="auto"/>
          <w:highlight w:val="none"/>
        </w:rPr>
        <w:t>8.3.21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剪板在构件上安装时，其边距和端距以及两个</w:t>
      </w:r>
      <w:r>
        <w:rPr>
          <w:color w:val="auto"/>
          <w:highlight w:val="none"/>
        </w:rPr>
        <w:t>剪板间的</w:t>
      </w:r>
      <w:r>
        <w:rPr>
          <w:rFonts w:hint="eastAsia"/>
          <w:color w:val="auto"/>
          <w:highlight w:val="none"/>
        </w:rPr>
        <w:t>间距</w:t>
      </w:r>
      <w:r>
        <w:rPr>
          <w:color w:val="auto"/>
          <w:highlight w:val="none"/>
        </w:rPr>
        <w:t>应符合</w:t>
      </w:r>
      <w:r>
        <w:rPr>
          <w:rFonts w:hint="eastAsia"/>
          <w:color w:val="auto"/>
          <w:highlight w:val="none"/>
        </w:rPr>
        <w:t>现行国家标准</w:t>
      </w:r>
      <w:r>
        <w:rPr>
          <w:color w:val="auto"/>
          <w:highlight w:val="none"/>
        </w:rPr>
        <w:t>《胶合木结构技术规范》GB/T50708中的有关规定</w:t>
      </w:r>
      <w:r>
        <w:rPr>
          <w:rFonts w:hint="eastAsia"/>
          <w:color w:val="auto"/>
          <w:highlight w:val="none"/>
        </w:rPr>
        <w:t>。</w:t>
      </w:r>
    </w:p>
    <w:p w14:paraId="244305F2">
      <w:pPr>
        <w:pStyle w:val="3"/>
        <w:ind w:firstLineChars="0"/>
        <w:jc w:val="center"/>
        <w:outlineLvl w:val="1"/>
        <w:rPr>
          <w:color w:val="auto"/>
          <w:highlight w:val="none"/>
        </w:rPr>
      </w:pPr>
      <w:bookmarkStart w:id="189" w:name="_Toc21152"/>
      <w:bookmarkStart w:id="190" w:name="_Toc10135"/>
      <w:r>
        <w:rPr>
          <w:color w:val="auto"/>
          <w:highlight w:val="none"/>
        </w:rPr>
        <w:t xml:space="preserve">8.4 </w:t>
      </w:r>
      <w:r>
        <w:rPr>
          <w:rFonts w:hint="eastAsia"/>
          <w:color w:val="auto"/>
          <w:highlight w:val="none"/>
          <w:lang w:val="en-US" w:eastAsia="zh-CN"/>
        </w:rPr>
        <w:t xml:space="preserve"> </w:t>
      </w:r>
      <w:r>
        <w:rPr>
          <w:rFonts w:hint="eastAsia"/>
          <w:color w:val="auto"/>
          <w:highlight w:val="none"/>
        </w:rPr>
        <w:t>构造要求</w:t>
      </w:r>
      <w:bookmarkEnd w:id="189"/>
      <w:bookmarkEnd w:id="190"/>
    </w:p>
    <w:p w14:paraId="17005208">
      <w:pPr>
        <w:pStyle w:val="4"/>
        <w:ind w:firstLineChars="0"/>
        <w:rPr>
          <w:color w:val="auto"/>
          <w:highlight w:val="none"/>
        </w:rPr>
      </w:pPr>
      <w:r>
        <w:rPr>
          <w:b/>
          <w:bCs/>
          <w:color w:val="auto"/>
          <w:highlight w:val="none"/>
        </w:rPr>
        <w:t xml:space="preserve">8.4.1 </w:t>
      </w:r>
      <w:r>
        <w:rPr>
          <w:rFonts w:hint="eastAsia"/>
          <w:b/>
          <w:bCs/>
          <w:color w:val="auto"/>
          <w:highlight w:val="none"/>
          <w:lang w:val="en-US" w:eastAsia="zh-CN"/>
        </w:rPr>
        <w:t xml:space="preserve"> </w:t>
      </w:r>
      <w:r>
        <w:rPr>
          <w:color w:val="auto"/>
          <w:highlight w:val="none"/>
        </w:rPr>
        <w:t>胶合木结构的设计应考虑构件含水率变化对构件尺寸和构件连接的影响。采用螺栓和六角头木螺钉作紧固件时，应注意预钻孔的尺寸。</w:t>
      </w:r>
    </w:p>
    <w:p w14:paraId="3A9EADB1">
      <w:pPr>
        <w:pStyle w:val="4"/>
        <w:ind w:firstLineChars="0"/>
        <w:rPr>
          <w:color w:val="auto"/>
          <w:highlight w:val="none"/>
        </w:rPr>
      </w:pPr>
      <w:r>
        <w:rPr>
          <w:b/>
          <w:bCs/>
          <w:color w:val="auto"/>
          <w:highlight w:val="none"/>
        </w:rPr>
        <w:t xml:space="preserve">8.4.2 </w:t>
      </w:r>
      <w:r>
        <w:rPr>
          <w:rFonts w:hint="eastAsia"/>
          <w:b/>
          <w:bCs/>
          <w:color w:val="auto"/>
          <w:highlight w:val="none"/>
          <w:lang w:val="en-US" w:eastAsia="zh-CN"/>
        </w:rPr>
        <w:t xml:space="preserve"> </w:t>
      </w:r>
      <w:r>
        <w:rPr>
          <w:color w:val="auto"/>
          <w:highlight w:val="none"/>
        </w:rPr>
        <w:t>构件连接时应避免出现横纹受拉现象，多个紧固件不宜沿顺纹方向布置成一排。</w:t>
      </w:r>
    </w:p>
    <w:p w14:paraId="5E042ADF">
      <w:pPr>
        <w:pStyle w:val="4"/>
        <w:ind w:firstLineChars="0"/>
        <w:rPr>
          <w:color w:val="auto"/>
          <w:highlight w:val="none"/>
        </w:rPr>
      </w:pPr>
      <w:r>
        <w:rPr>
          <w:b/>
          <w:bCs/>
          <w:color w:val="auto"/>
          <w:highlight w:val="none"/>
        </w:rPr>
        <w:t>8.4.3</w:t>
      </w:r>
      <w:r>
        <w:rPr>
          <w:rFonts w:hint="eastAsia"/>
          <w:b/>
          <w:bCs/>
          <w:color w:val="auto"/>
          <w:highlight w:val="none"/>
          <w:lang w:val="en-US" w:eastAsia="zh-CN"/>
        </w:rPr>
        <w:t xml:space="preserve"> </w:t>
      </w:r>
      <w:r>
        <w:rPr>
          <w:b/>
          <w:bCs/>
          <w:color w:val="auto"/>
          <w:highlight w:val="none"/>
        </w:rPr>
        <w:t xml:space="preserve"> </w:t>
      </w:r>
      <w:r>
        <w:rPr>
          <w:color w:val="auto"/>
          <w:highlight w:val="none"/>
        </w:rPr>
        <w:t>胶合木结构的连接设计应考虑耐久性的影响。</w:t>
      </w:r>
    </w:p>
    <w:p w14:paraId="6A7ABBF8">
      <w:pPr>
        <w:pStyle w:val="4"/>
        <w:ind w:firstLineChars="0"/>
        <w:rPr>
          <w:color w:val="auto"/>
          <w:highlight w:val="none"/>
        </w:rPr>
      </w:pPr>
      <w:r>
        <w:rPr>
          <w:b/>
          <w:bCs/>
          <w:color w:val="auto"/>
          <w:highlight w:val="none"/>
        </w:rPr>
        <w:t xml:space="preserve">8.4.4 </w:t>
      </w:r>
      <w:r>
        <w:rPr>
          <w:rFonts w:hint="eastAsia"/>
          <w:b/>
          <w:bCs/>
          <w:color w:val="auto"/>
          <w:highlight w:val="none"/>
          <w:lang w:val="en-US" w:eastAsia="zh-CN"/>
        </w:rPr>
        <w:t xml:space="preserve"> </w:t>
      </w:r>
      <w:r>
        <w:rPr>
          <w:color w:val="auto"/>
          <w:highlight w:val="none"/>
        </w:rPr>
        <w:t>本章规定的节点构造中，紧固件的数量、尺寸以及连接件的设计均应通过设计和计算确定。构件的连接和安装应与设计要求相符。</w:t>
      </w:r>
    </w:p>
    <w:p w14:paraId="7A0D28D0">
      <w:pPr>
        <w:pStyle w:val="4"/>
        <w:ind w:firstLineChars="0"/>
        <w:rPr>
          <w:color w:val="auto"/>
          <w:highlight w:val="none"/>
        </w:rPr>
      </w:pPr>
      <w:r>
        <w:rPr>
          <w:b/>
          <w:bCs/>
          <w:color w:val="auto"/>
          <w:highlight w:val="none"/>
        </w:rPr>
        <w:t xml:space="preserve">8.4.5 </w:t>
      </w:r>
      <w:r>
        <w:rPr>
          <w:rFonts w:hint="eastAsia"/>
          <w:b/>
          <w:bCs/>
          <w:color w:val="auto"/>
          <w:highlight w:val="none"/>
          <w:lang w:val="en-US" w:eastAsia="zh-CN"/>
        </w:rPr>
        <w:t xml:space="preserve"> </w:t>
      </w:r>
      <w:r>
        <w:rPr>
          <w:color w:val="auto"/>
          <w:highlight w:val="none"/>
        </w:rPr>
        <w:t>当胶合梁上有悬挂荷载时，荷载作用点的位置应在梁顶或在梁中和轴以上的位置(图8.4.5)，并按现行国家标准《胶合木结构技术规范》GB/T</w:t>
      </w:r>
      <w:r>
        <w:rPr>
          <w:rFonts w:hint="eastAsia"/>
          <w:color w:val="auto"/>
          <w:highlight w:val="none"/>
          <w:lang w:val="en-US" w:eastAsia="zh-CN"/>
        </w:rPr>
        <w:t xml:space="preserve"> </w:t>
      </w:r>
      <w:r>
        <w:rPr>
          <w:color w:val="auto"/>
          <w:highlight w:val="none"/>
        </w:rPr>
        <w:t>50708的相关规定验算梁在吊点处的受剪承载力。</w:t>
      </w:r>
    </w:p>
    <w:p w14:paraId="5FFCA5D9">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462655" cy="2001520"/>
            <wp:effectExtent l="0" t="0" r="444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3"/>
                    <a:stretch>
                      <a:fillRect/>
                    </a:stretch>
                  </pic:blipFill>
                  <pic:spPr>
                    <a:xfrm>
                      <a:off x="0" y="0"/>
                      <a:ext cx="3504863" cy="2026047"/>
                    </a:xfrm>
                    <a:prstGeom prst="rect">
                      <a:avLst/>
                    </a:prstGeom>
                  </pic:spPr>
                </pic:pic>
              </a:graphicData>
            </a:graphic>
          </wp:inline>
        </w:drawing>
      </w:r>
    </w:p>
    <w:p w14:paraId="6F585DFF">
      <w:pPr>
        <w:pStyle w:val="44"/>
        <w:spacing w:line="240" w:lineRule="auto"/>
        <w:ind w:firstLineChars="0"/>
        <w:jc w:val="center"/>
        <w:rPr>
          <w:rFonts w:hint="eastAsia"/>
          <w:color w:val="auto"/>
          <w:highlight w:val="none"/>
        </w:rPr>
      </w:pPr>
      <w:r>
        <w:rPr>
          <w:rFonts w:hint="eastAsia"/>
          <w:color w:val="auto"/>
          <w:highlight w:val="none"/>
        </w:rPr>
        <w:t>图</w:t>
      </w:r>
      <w:r>
        <w:rPr>
          <w:color w:val="auto"/>
          <w:highlight w:val="none"/>
        </w:rPr>
        <w:t>8.4.5</w:t>
      </w:r>
      <w:r>
        <w:rPr>
          <w:rFonts w:hint="eastAsia"/>
          <w:color w:val="auto"/>
          <w:highlight w:val="none"/>
        </w:rPr>
        <w:t xml:space="preserve"> 悬挂荷载构造示意图</w:t>
      </w:r>
    </w:p>
    <w:p w14:paraId="425E73CF">
      <w:pPr>
        <w:ind w:firstLine="0" w:firstLineChars="0"/>
        <w:rPr>
          <w:rFonts w:ascii="Times New Roman" w:hAnsi="Times New Roman" w:cs="Times New Roman" w:eastAsiaTheme="minorEastAsia"/>
          <w:color w:val="auto"/>
          <w:highlight w:val="none"/>
        </w:rPr>
      </w:pPr>
      <w:r>
        <w:rPr>
          <w:rFonts w:ascii="Times New Roman" w:hAnsi="Times New Roman" w:cs="Times New Roman" w:eastAsiaTheme="minorEastAsia"/>
          <w:b/>
          <w:bCs/>
          <w:color w:val="auto"/>
          <w:highlight w:val="none"/>
        </w:rPr>
        <w:t xml:space="preserve">8.4.6 </w:t>
      </w:r>
      <w:r>
        <w:rPr>
          <w:rFonts w:hint="eastAsia" w:cs="Times New Roman" w:eastAsiaTheme="minorEastAsia"/>
          <w:b/>
          <w:bCs/>
          <w:color w:val="auto"/>
          <w:highlight w:val="none"/>
          <w:lang w:val="en-US" w:eastAsia="zh-CN"/>
        </w:rPr>
        <w:t xml:space="preserve"> </w:t>
      </w:r>
      <w:r>
        <w:rPr>
          <w:rFonts w:ascii="Times New Roman" w:hAnsi="Times New Roman" w:cs="Times New Roman" w:eastAsiaTheme="minorEastAsia"/>
          <w:color w:val="auto"/>
          <w:highlight w:val="none"/>
        </w:rPr>
        <w:t>制作胶合木构件时，木板的放置宜使构件中各层木板的年轮方向一致。</w:t>
      </w:r>
    </w:p>
    <w:p w14:paraId="0D185693">
      <w:pPr>
        <w:pStyle w:val="4"/>
        <w:ind w:firstLineChars="0"/>
        <w:rPr>
          <w:rFonts w:hint="eastAsia"/>
          <w:color w:val="auto"/>
          <w:highlight w:val="none"/>
        </w:rPr>
      </w:pPr>
      <w:r>
        <w:rPr>
          <w:b/>
          <w:bCs/>
          <w:color w:val="auto"/>
          <w:highlight w:val="none"/>
        </w:rPr>
        <w:t xml:space="preserve">8.4.7 </w:t>
      </w:r>
      <w:r>
        <w:rPr>
          <w:rFonts w:hint="eastAsia"/>
          <w:b/>
          <w:bCs/>
          <w:color w:val="auto"/>
          <w:highlight w:val="none"/>
          <w:lang w:val="en-US" w:eastAsia="zh-CN"/>
        </w:rPr>
        <w:t xml:space="preserve"> </w:t>
      </w:r>
      <w:r>
        <w:rPr>
          <w:color w:val="auto"/>
          <w:highlight w:val="none"/>
        </w:rPr>
        <w:t>制作胶合木构件的木板接长应采用指接。</w:t>
      </w:r>
      <w:r>
        <w:rPr>
          <w:rFonts w:hint="eastAsia"/>
          <w:color w:val="auto"/>
          <w:highlight w:val="none"/>
        </w:rPr>
        <w:t>用于承重构件，其指接边坡度</w:t>
      </w:r>
      <w:r>
        <w:rPr>
          <w:i/>
          <w:iCs/>
          <w:color w:val="auto"/>
          <w:highlight w:val="none"/>
        </w:rPr>
        <w:t>η</w:t>
      </w:r>
      <w:r>
        <w:rPr>
          <w:rFonts w:hint="eastAsia"/>
          <w:color w:val="auto"/>
          <w:highlight w:val="none"/>
        </w:rPr>
        <w:t>不宜大于</w:t>
      </w:r>
      <w:r>
        <w:rPr>
          <w:color w:val="auto"/>
          <w:highlight w:val="none"/>
        </w:rPr>
        <w:t>1/10</w:t>
      </w:r>
      <w:r>
        <w:rPr>
          <w:rFonts w:hint="eastAsia"/>
          <w:color w:val="auto"/>
          <w:highlight w:val="none"/>
        </w:rPr>
        <w:t>，</w:t>
      </w:r>
      <w:r>
        <w:rPr>
          <w:color w:val="auto"/>
          <w:highlight w:val="none"/>
        </w:rPr>
        <w:t>指长不应小于15mm</w:t>
      </w:r>
      <w:r>
        <w:rPr>
          <w:rFonts w:hint="eastAsia"/>
          <w:color w:val="auto"/>
          <w:highlight w:val="none"/>
        </w:rPr>
        <w:t>，</w:t>
      </w:r>
      <w:r>
        <w:rPr>
          <w:color w:val="auto"/>
          <w:highlight w:val="none"/>
        </w:rPr>
        <w:t>指端宽度</w:t>
      </w:r>
      <w:r>
        <w:rPr>
          <w:i/>
          <w:iCs/>
          <w:color w:val="auto"/>
          <w:highlight w:val="none"/>
        </w:rPr>
        <w:t>b</w:t>
      </w:r>
      <w:r>
        <w:rPr>
          <w:i w:val="0"/>
          <w:iCs w:val="0"/>
          <w:color w:val="auto"/>
          <w:highlight w:val="none"/>
          <w:vertAlign w:val="subscript"/>
        </w:rPr>
        <w:t>f</w:t>
      </w:r>
      <w:r>
        <w:rPr>
          <w:color w:val="auto"/>
          <w:highlight w:val="none"/>
        </w:rPr>
        <w:t>宜取0.1mm~0.25mm (图8.4.7)。</w:t>
      </w:r>
    </w:p>
    <w:p w14:paraId="0DCBD7B6">
      <w:pPr>
        <w:ind w:firstLine="0" w:firstLineChars="0"/>
        <w:jc w:val="center"/>
        <w:rPr>
          <w:rFonts w:ascii="Times New Roman" w:hAnsi="Times New Roman" w:eastAsia="黑体" w:cs="Times New Roman"/>
          <w:color w:val="auto"/>
          <w:highlight w:val="none"/>
        </w:rPr>
      </w:pPr>
      <w:r>
        <w:rPr>
          <w:color w:val="auto"/>
          <w:highlight w:val="none"/>
        </w:rPr>
        <w:drawing>
          <wp:inline distT="0" distB="0" distL="0" distR="0">
            <wp:extent cx="3169920" cy="1181100"/>
            <wp:effectExtent l="0" t="0" r="1143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4"/>
                    <a:stretch>
                      <a:fillRect/>
                    </a:stretch>
                  </pic:blipFill>
                  <pic:spPr>
                    <a:xfrm>
                      <a:off x="0" y="0"/>
                      <a:ext cx="3170195" cy="1181202"/>
                    </a:xfrm>
                    <a:prstGeom prst="rect">
                      <a:avLst/>
                    </a:prstGeom>
                  </pic:spPr>
                </pic:pic>
              </a:graphicData>
            </a:graphic>
          </wp:inline>
        </w:drawing>
      </w:r>
    </w:p>
    <w:p w14:paraId="0F455758">
      <w:pPr>
        <w:pStyle w:val="44"/>
        <w:spacing w:line="240" w:lineRule="auto"/>
        <w:ind w:firstLineChars="0"/>
        <w:jc w:val="center"/>
        <w:rPr>
          <w:color w:val="auto"/>
          <w:highlight w:val="none"/>
        </w:rPr>
      </w:pPr>
      <w:r>
        <w:rPr>
          <w:rFonts w:hint="eastAsia"/>
          <w:color w:val="auto"/>
          <w:highlight w:val="none"/>
        </w:rPr>
        <w:t>图</w:t>
      </w:r>
      <w:r>
        <w:rPr>
          <w:color w:val="auto"/>
          <w:highlight w:val="none"/>
        </w:rPr>
        <w:t>8.4.7</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木板指接</w:t>
      </w:r>
    </w:p>
    <w:p w14:paraId="05648B88">
      <w:pPr>
        <w:pStyle w:val="4"/>
        <w:ind w:firstLineChars="0"/>
        <w:rPr>
          <w:color w:val="auto"/>
          <w:highlight w:val="none"/>
        </w:rPr>
      </w:pPr>
      <w:r>
        <w:rPr>
          <w:b/>
          <w:bCs/>
          <w:color w:val="auto"/>
          <w:highlight w:val="none"/>
        </w:rPr>
        <w:t>8.4.8</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胶合木构件所用木板的横向拼宽可采用平接；</w:t>
      </w:r>
      <w:r>
        <w:rPr>
          <w:color w:val="auto"/>
          <w:highlight w:val="none"/>
        </w:rPr>
        <w:t>上下相邻</w:t>
      </w:r>
      <w:r>
        <w:rPr>
          <w:rFonts w:hint="eastAsia"/>
          <w:color w:val="auto"/>
          <w:highlight w:val="none"/>
        </w:rPr>
        <w:t>两层木板平接线水平距离不应小于</w:t>
      </w:r>
      <w:r>
        <w:rPr>
          <w:color w:val="auto"/>
          <w:highlight w:val="none"/>
        </w:rPr>
        <w:t>40mm(图8.4.8)。</w:t>
      </w:r>
    </w:p>
    <w:p w14:paraId="7A81FC4B">
      <w:pPr>
        <w:ind w:firstLine="0" w:firstLineChars="0"/>
        <w:rPr>
          <w:rFonts w:ascii="Times New Roman" w:hAnsi="Times New Roman" w:cs="Times New Roman" w:eastAsiaTheme="minorEastAsia"/>
          <w:color w:val="auto"/>
          <w:highlight w:val="none"/>
        </w:rPr>
      </w:pPr>
    </w:p>
    <w:p w14:paraId="1600FEE3">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1463040" cy="1897380"/>
            <wp:effectExtent l="0" t="0" r="381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5"/>
                    <a:stretch>
                      <a:fillRect/>
                    </a:stretch>
                  </pic:blipFill>
                  <pic:spPr>
                    <a:xfrm>
                      <a:off x="0" y="0"/>
                      <a:ext cx="1463167" cy="1897544"/>
                    </a:xfrm>
                    <a:prstGeom prst="rect">
                      <a:avLst/>
                    </a:prstGeom>
                  </pic:spPr>
                </pic:pic>
              </a:graphicData>
            </a:graphic>
          </wp:inline>
        </w:drawing>
      </w:r>
    </w:p>
    <w:p w14:paraId="3F6D8195">
      <w:pPr>
        <w:pStyle w:val="44"/>
        <w:spacing w:line="240" w:lineRule="auto"/>
        <w:ind w:firstLineChars="0"/>
        <w:jc w:val="center"/>
        <w:rPr>
          <w:rFonts w:hint="eastAsia"/>
          <w:color w:val="auto"/>
          <w:highlight w:val="none"/>
        </w:rPr>
      </w:pPr>
      <w:r>
        <w:rPr>
          <w:rFonts w:hint="eastAsia"/>
          <w:color w:val="auto"/>
          <w:highlight w:val="none"/>
        </w:rPr>
        <w:t>图</w:t>
      </w:r>
      <w:r>
        <w:rPr>
          <w:color w:val="auto"/>
          <w:highlight w:val="none"/>
        </w:rPr>
        <w:t>8.4.8</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木板拼接</w:t>
      </w:r>
    </w:p>
    <w:p w14:paraId="741F7659">
      <w:pPr>
        <w:pStyle w:val="4"/>
        <w:ind w:firstLineChars="0"/>
        <w:rPr>
          <w:color w:val="auto"/>
          <w:highlight w:val="none"/>
        </w:rPr>
      </w:pPr>
      <w:r>
        <w:rPr>
          <w:b/>
          <w:bCs/>
          <w:color w:val="auto"/>
          <w:highlight w:val="none"/>
        </w:rPr>
        <w:t>8.4.9</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同一层木板指接接头间距不应小于</w:t>
      </w:r>
      <w:r>
        <w:rPr>
          <w:color w:val="auto"/>
          <w:highlight w:val="none"/>
        </w:rPr>
        <w:t>1.5m，相邻上下两层木板层的指接接头距离</w:t>
      </w:r>
      <w:r>
        <w:rPr>
          <w:rFonts w:hint="eastAsia"/>
          <w:color w:val="auto"/>
          <w:highlight w:val="none"/>
        </w:rPr>
        <w:t>不应小于</w:t>
      </w:r>
      <w:r>
        <w:rPr>
          <w:color w:val="auto"/>
          <w:highlight w:val="none"/>
        </w:rPr>
        <w:t>10</w:t>
      </w:r>
      <w:r>
        <w:rPr>
          <w:i/>
          <w:iCs/>
          <w:color w:val="auto"/>
          <w:highlight w:val="none"/>
        </w:rPr>
        <w:t>t</w:t>
      </w:r>
      <w:r>
        <w:rPr>
          <w:rFonts w:hint="eastAsia"/>
          <w:color w:val="auto"/>
          <w:highlight w:val="none"/>
        </w:rPr>
        <w:t>，</w:t>
      </w:r>
      <w:r>
        <w:rPr>
          <w:i/>
          <w:iCs/>
          <w:color w:val="auto"/>
          <w:highlight w:val="none"/>
        </w:rPr>
        <w:t>t</w:t>
      </w:r>
      <w:r>
        <w:rPr>
          <w:color w:val="auto"/>
          <w:highlight w:val="none"/>
        </w:rPr>
        <w:t>为板厚。</w:t>
      </w:r>
    </w:p>
    <w:p w14:paraId="036820EA">
      <w:pPr>
        <w:pStyle w:val="4"/>
        <w:ind w:firstLineChars="0"/>
        <w:rPr>
          <w:color w:val="auto"/>
          <w:highlight w:val="none"/>
        </w:rPr>
      </w:pPr>
      <w:r>
        <w:rPr>
          <w:b/>
          <w:bCs/>
          <w:color w:val="auto"/>
          <w:highlight w:val="none"/>
        </w:rPr>
        <w:t>8.4.10</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胶合木构件同一截面上板材指接接头数目不应多于木板层数的</w:t>
      </w:r>
      <w:r>
        <w:rPr>
          <w:color w:val="auto"/>
          <w:highlight w:val="none"/>
        </w:rPr>
        <w:t>1/4。应避免将各层</w:t>
      </w:r>
      <w:r>
        <w:rPr>
          <w:rFonts w:hint="eastAsia"/>
          <w:color w:val="auto"/>
          <w:highlight w:val="none"/>
        </w:rPr>
        <w:t>木板指接接头沿构件高度布置成阶梯形。</w:t>
      </w:r>
    </w:p>
    <w:p w14:paraId="3DB7BAE9">
      <w:pPr>
        <w:pStyle w:val="4"/>
        <w:ind w:firstLineChars="0"/>
        <w:rPr>
          <w:rFonts w:hint="eastAsia"/>
          <w:color w:val="auto"/>
          <w:highlight w:val="none"/>
        </w:rPr>
      </w:pPr>
      <w:r>
        <w:rPr>
          <w:b/>
          <w:bCs/>
          <w:color w:val="auto"/>
          <w:highlight w:val="none"/>
        </w:rPr>
        <w:t>8.4.11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层板指接时应符合以下对木材缺陷和加工缺陷的规定：</w:t>
      </w:r>
    </w:p>
    <w:p w14:paraId="1111E77C">
      <w:pPr>
        <w:pStyle w:val="4"/>
        <w:ind w:firstLine="480" w:firstLineChars="200"/>
        <w:rPr>
          <w:rFonts w:hint="eastAsia"/>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层板内不允许有裂缝、涡纹及树脂条纹</w:t>
      </w:r>
      <w:r>
        <w:rPr>
          <w:rFonts w:hint="eastAsia"/>
          <w:color w:val="auto"/>
          <w:highlight w:val="none"/>
        </w:rPr>
        <w:t>；</w:t>
      </w:r>
    </w:p>
    <w:p w14:paraId="6B980F0C">
      <w:pPr>
        <w:pStyle w:val="4"/>
        <w:ind w:firstLine="480" w:firstLineChars="200"/>
        <w:rPr>
          <w:rFonts w:hint="eastAsia"/>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木节距指端的净距不应小于木节直径的3倍</w:t>
      </w:r>
      <w:r>
        <w:rPr>
          <w:rFonts w:hint="eastAsia"/>
          <w:color w:val="auto"/>
          <w:highlight w:val="none"/>
        </w:rPr>
        <w:t>；</w:t>
      </w:r>
    </w:p>
    <w:p w14:paraId="1E49B940">
      <w:pPr>
        <w:pStyle w:val="4"/>
        <w:ind w:firstLine="480" w:firstLineChars="200"/>
        <w:rPr>
          <w:rFonts w:hint="eastAsia"/>
          <w:color w:val="auto"/>
          <w:highlight w:val="none"/>
        </w:rPr>
      </w:pPr>
      <w:r>
        <w:rPr>
          <w:color w:val="auto"/>
          <w:highlight w:val="none"/>
        </w:rPr>
        <w:t xml:space="preserve">3 </w:t>
      </w:r>
      <w:r>
        <w:rPr>
          <w:rFonts w:hint="eastAsia"/>
          <w:color w:val="auto"/>
          <w:highlight w:val="none"/>
          <w:lang w:val="en-US" w:eastAsia="zh-CN"/>
        </w:rPr>
        <w:t xml:space="preserve"> </w:t>
      </w:r>
      <w:r>
        <w:rPr>
          <w:color w:val="auto"/>
          <w:highlight w:val="none"/>
        </w:rPr>
        <w:t>层板缺指或坏指的宽度不得大于各类层板允许木节尺寸</w:t>
      </w:r>
      <w:r>
        <w:rPr>
          <w:rFonts w:hint="eastAsia"/>
          <w:color w:val="auto"/>
          <w:highlight w:val="none"/>
        </w:rPr>
        <w:t>的</w:t>
      </w:r>
      <w:r>
        <w:rPr>
          <w:color w:val="auto"/>
          <w:highlight w:val="none"/>
        </w:rPr>
        <w:t>1/3</w:t>
      </w:r>
      <w:r>
        <w:rPr>
          <w:rFonts w:hint="eastAsia"/>
          <w:color w:val="auto"/>
          <w:highlight w:val="none"/>
        </w:rPr>
        <w:t>；</w:t>
      </w:r>
    </w:p>
    <w:p w14:paraId="06F49FF2">
      <w:pPr>
        <w:pStyle w:val="4"/>
        <w:ind w:firstLine="480" w:firstLineChars="200"/>
        <w:rPr>
          <w:rFonts w:hint="eastAsia"/>
          <w:color w:val="auto"/>
          <w:highlight w:val="none"/>
          <w:lang w:eastAsia="zh-CN"/>
        </w:rPr>
      </w:pPr>
      <w:r>
        <w:rPr>
          <w:color w:val="auto"/>
          <w:highlight w:val="none"/>
        </w:rPr>
        <w:t xml:space="preserve">4 </w:t>
      </w:r>
      <w:r>
        <w:rPr>
          <w:rFonts w:hint="eastAsia"/>
          <w:color w:val="auto"/>
          <w:highlight w:val="none"/>
          <w:lang w:val="en-US" w:eastAsia="zh-CN"/>
        </w:rPr>
        <w:t xml:space="preserve"> </w:t>
      </w:r>
      <w:r>
        <w:rPr>
          <w:color w:val="auto"/>
          <w:highlight w:val="none"/>
        </w:rPr>
        <w:t>在指长范围内及离指根75mm的距离内，允许截面上一</w:t>
      </w:r>
      <w:r>
        <w:rPr>
          <w:rFonts w:hint="eastAsia"/>
          <w:color w:val="auto"/>
          <w:highlight w:val="none"/>
        </w:rPr>
        <w:t>个角有钝棱或边缘缺损存在，但钝棱面积不得大于正常截面面积的</w:t>
      </w:r>
      <w:r>
        <w:rPr>
          <w:color w:val="auto"/>
          <w:highlight w:val="none"/>
        </w:rPr>
        <w:t>1</w:t>
      </w:r>
      <w:r>
        <w:rPr>
          <w:rFonts w:hint="eastAsia"/>
          <w:color w:val="auto"/>
          <w:highlight w:val="none"/>
          <w:lang w:eastAsia="zh-CN"/>
        </w:rPr>
        <w:t>% 。</w:t>
      </w:r>
    </w:p>
    <w:p w14:paraId="0F3C0D3B">
      <w:pPr>
        <w:pStyle w:val="4"/>
        <w:ind w:firstLineChars="0"/>
        <w:rPr>
          <w:b/>
          <w:bCs/>
          <w:color w:val="auto"/>
          <w:highlight w:val="none"/>
        </w:rPr>
      </w:pPr>
      <w:r>
        <w:rPr>
          <w:b/>
          <w:bCs/>
          <w:color w:val="auto"/>
          <w:highlight w:val="none"/>
        </w:rPr>
        <w:t>8.4.12</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胶合木矩形、工字形截面构件的高度</w:t>
      </w:r>
      <w:r>
        <w:rPr>
          <w:i/>
          <w:iCs/>
          <w:color w:val="auto"/>
          <w:highlight w:val="none"/>
        </w:rPr>
        <w:t>h</w:t>
      </w:r>
      <w:r>
        <w:rPr>
          <w:color w:val="auto"/>
          <w:highlight w:val="none"/>
        </w:rPr>
        <w:t>与其宽度</w:t>
      </w:r>
      <w:r>
        <w:rPr>
          <w:i/>
          <w:iCs/>
          <w:color w:val="auto"/>
          <w:highlight w:val="none"/>
        </w:rPr>
        <w:t>b</w:t>
      </w:r>
      <w:r>
        <w:rPr>
          <w:color w:val="auto"/>
          <w:highlight w:val="none"/>
        </w:rPr>
        <w:t>的比</w:t>
      </w:r>
      <w:r>
        <w:rPr>
          <w:rFonts w:hint="eastAsia"/>
          <w:color w:val="auto"/>
          <w:highlight w:val="none"/>
        </w:rPr>
        <w:t>值，梁一般不宜大于</w:t>
      </w:r>
      <w:r>
        <w:rPr>
          <w:color w:val="auto"/>
          <w:highlight w:val="none"/>
        </w:rPr>
        <w:t>6，直线形受压或压弯构件一般不宜大于5</w:t>
      </w:r>
      <w:r>
        <w:rPr>
          <w:rFonts w:hint="eastAsia"/>
          <w:color w:val="auto"/>
          <w:highlight w:val="none"/>
        </w:rPr>
        <w:t>，弧形构件一般不宜大于</w:t>
      </w:r>
      <w:r>
        <w:rPr>
          <w:color w:val="auto"/>
          <w:highlight w:val="none"/>
        </w:rPr>
        <w:t>4</w:t>
      </w:r>
      <w:r>
        <w:rPr>
          <w:rFonts w:hint="eastAsia"/>
          <w:color w:val="auto"/>
          <w:highlight w:val="none"/>
        </w:rPr>
        <w:t>；</w:t>
      </w:r>
      <w:r>
        <w:rPr>
          <w:color w:val="auto"/>
          <w:highlight w:val="none"/>
        </w:rPr>
        <w:t>超过上述高宽比的构件，应设置必</w:t>
      </w:r>
      <w:r>
        <w:rPr>
          <w:b/>
          <w:bCs/>
          <w:color w:val="auto"/>
          <w:highlight w:val="none"/>
        </w:rPr>
        <w:t>要</w:t>
      </w:r>
      <w:r>
        <w:rPr>
          <w:rFonts w:hint="eastAsia"/>
          <w:b/>
          <w:bCs/>
          <w:color w:val="auto"/>
          <w:highlight w:val="none"/>
        </w:rPr>
        <w:t>的侧向支撑，满足侧向稳定要求。</w:t>
      </w:r>
    </w:p>
    <w:p w14:paraId="58E32A5B">
      <w:pPr>
        <w:pStyle w:val="4"/>
        <w:ind w:firstLineChars="0"/>
        <w:rPr>
          <w:rFonts w:hint="eastAsia"/>
          <w:color w:val="auto"/>
          <w:highlight w:val="none"/>
        </w:rPr>
      </w:pPr>
      <w:r>
        <w:rPr>
          <w:b/>
          <w:bCs/>
          <w:color w:val="auto"/>
          <w:highlight w:val="none"/>
        </w:rPr>
        <w:t>8.4.13</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胶合木桁架在制作时应按其跨度的</w:t>
      </w:r>
      <w:r>
        <w:rPr>
          <w:color w:val="auto"/>
          <w:highlight w:val="none"/>
        </w:rPr>
        <w:t>1/200起拱。对于较</w:t>
      </w:r>
      <w:r>
        <w:rPr>
          <w:rFonts w:hint="eastAsia"/>
          <w:color w:val="auto"/>
          <w:highlight w:val="none"/>
        </w:rPr>
        <w:t>大跨度的胶合木屋面梁，起拱高度为恒载作用下计算挠度的</w:t>
      </w:r>
      <w:r>
        <w:rPr>
          <w:color w:val="auto"/>
          <w:highlight w:val="none"/>
        </w:rPr>
        <w:t>1.5倍。</w:t>
      </w:r>
    </w:p>
    <w:p w14:paraId="09BAC97F">
      <w:pPr>
        <w:ind w:firstLine="0" w:firstLineChars="0"/>
        <w:jc w:val="center"/>
        <w:outlineLvl w:val="9"/>
        <w:rPr>
          <w:rFonts w:ascii="黑体" w:hAnsi="黑体" w:eastAsia="黑体" w:cs="Times New Roman"/>
          <w:color w:val="auto"/>
          <w:highlight w:val="none"/>
        </w:rPr>
      </w:pPr>
      <w:r>
        <w:rPr>
          <w:rFonts w:hint="eastAsia" w:ascii="黑体" w:hAnsi="黑体" w:eastAsia="黑体" w:cs="Times New Roman"/>
          <w:color w:val="auto"/>
          <w:highlight w:val="none"/>
        </w:rPr>
        <w:t>（一）梁与砌体或混凝土结构的连接</w:t>
      </w:r>
    </w:p>
    <w:p w14:paraId="014577D2">
      <w:pPr>
        <w:pStyle w:val="4"/>
        <w:ind w:firstLineChars="0"/>
        <w:rPr>
          <w:color w:val="auto"/>
          <w:highlight w:val="none"/>
        </w:rPr>
      </w:pPr>
      <w:r>
        <w:rPr>
          <w:b/>
          <w:bCs/>
          <w:color w:val="auto"/>
          <w:highlight w:val="none"/>
        </w:rPr>
        <w:t>8.4.14</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胶合木梁与砌体或混凝土结构连接时，应避免采用切口连接。木构件不得与砌体或混凝土构件直接接触。</w:t>
      </w:r>
    </w:p>
    <w:p w14:paraId="58A84DA6">
      <w:pPr>
        <w:pStyle w:val="4"/>
        <w:ind w:firstLineChars="0"/>
        <w:rPr>
          <w:color w:val="auto"/>
          <w:highlight w:val="none"/>
        </w:rPr>
      </w:pPr>
      <w:r>
        <w:rPr>
          <w:b/>
          <w:bCs/>
          <w:color w:val="auto"/>
          <w:highlight w:val="none"/>
        </w:rPr>
        <w:t>8.4.15</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胶合梁支座连接可以采用焊接板或角钢连接（图8.4.15）</w:t>
      </w:r>
      <w:r>
        <w:rPr>
          <w:color w:val="auto"/>
          <w:highlight w:val="none"/>
        </w:rPr>
        <w:t>。木构件与砌体、混凝土构件及金属连接件之间应留有大</w:t>
      </w:r>
      <w:r>
        <w:rPr>
          <w:rFonts w:hint="eastAsia"/>
          <w:color w:val="auto"/>
          <w:highlight w:val="none"/>
        </w:rPr>
        <w:t>于</w:t>
      </w:r>
      <w:r>
        <w:rPr>
          <w:color w:val="auto"/>
          <w:highlight w:val="none"/>
        </w:rPr>
        <w:t>10mm的空隙，与连接件接触的梁角应根据焊缝的位置进行</w:t>
      </w:r>
      <w:r>
        <w:rPr>
          <w:rFonts w:hint="eastAsia"/>
          <w:color w:val="auto"/>
          <w:highlight w:val="none"/>
        </w:rPr>
        <w:t>倒角。采用角钢连接时，角钢不得与垫板焊接。</w:t>
      </w:r>
    </w:p>
    <w:p w14:paraId="002F2235">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737860" cy="4183380"/>
            <wp:effectExtent l="0" t="0" r="152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6"/>
                    <a:stretch>
                      <a:fillRect/>
                    </a:stretch>
                  </pic:blipFill>
                  <pic:spPr>
                    <a:xfrm>
                      <a:off x="0" y="0"/>
                      <a:ext cx="5738357" cy="4183743"/>
                    </a:xfrm>
                    <a:prstGeom prst="rect">
                      <a:avLst/>
                    </a:prstGeom>
                  </pic:spPr>
                </pic:pic>
              </a:graphicData>
            </a:graphic>
          </wp:inline>
        </w:drawing>
      </w:r>
    </w:p>
    <w:p w14:paraId="0595F5AC">
      <w:pPr>
        <w:pStyle w:val="44"/>
        <w:spacing w:line="240" w:lineRule="auto"/>
        <w:ind w:firstLineChars="0"/>
        <w:jc w:val="center"/>
        <w:rPr>
          <w:color w:val="auto"/>
          <w:highlight w:val="none"/>
        </w:rPr>
      </w:pPr>
      <w:r>
        <w:rPr>
          <w:rFonts w:hint="eastAsia"/>
          <w:color w:val="auto"/>
          <w:highlight w:val="none"/>
        </w:rPr>
        <w:t>图</w:t>
      </w:r>
      <w:r>
        <w:rPr>
          <w:color w:val="auto"/>
          <w:highlight w:val="none"/>
        </w:rPr>
        <w:t>8.4.15 胶合梁支座连接构造示意图</w:t>
      </w:r>
    </w:p>
    <w:p w14:paraId="75A6DB3F">
      <w:pPr>
        <w:pStyle w:val="44"/>
        <w:spacing w:line="240" w:lineRule="auto"/>
        <w:ind w:firstLineChars="0"/>
        <w:jc w:val="center"/>
        <w:rPr>
          <w:color w:val="auto"/>
          <w:highlight w:val="none"/>
        </w:rPr>
      </w:pPr>
      <w:r>
        <w:rPr>
          <w:color w:val="auto"/>
          <w:highlight w:val="none"/>
        </w:rPr>
        <w:t>1—金属垫板</w:t>
      </w:r>
      <w:r>
        <w:rPr>
          <w:rFonts w:hint="eastAsia"/>
          <w:color w:val="auto"/>
          <w:highlight w:val="none"/>
        </w:rPr>
        <w:t>；</w:t>
      </w:r>
      <w:r>
        <w:rPr>
          <w:color w:val="auto"/>
          <w:highlight w:val="none"/>
        </w:rPr>
        <w:t>2—地锚螺栓</w:t>
      </w:r>
      <w:r>
        <w:rPr>
          <w:rFonts w:hint="eastAsia"/>
          <w:color w:val="auto"/>
          <w:highlight w:val="none"/>
        </w:rPr>
        <w:t>；</w:t>
      </w:r>
      <w:r>
        <w:rPr>
          <w:color w:val="auto"/>
          <w:highlight w:val="none"/>
        </w:rPr>
        <w:t>3—金属连接件与梁之间空隙</w:t>
      </w:r>
      <w:r>
        <w:rPr>
          <w:rFonts w:hint="eastAsia"/>
          <w:color w:val="auto"/>
          <w:highlight w:val="none"/>
        </w:rPr>
        <w:t>；</w:t>
      </w:r>
      <w:r>
        <w:rPr>
          <w:color w:val="auto"/>
          <w:highlight w:val="none"/>
        </w:rPr>
        <w:t>4—梁角倒角</w:t>
      </w:r>
      <w:r>
        <w:rPr>
          <w:rFonts w:hint="eastAsia"/>
          <w:color w:val="auto"/>
          <w:highlight w:val="none"/>
        </w:rPr>
        <w:t>；</w:t>
      </w:r>
      <w:r>
        <w:rPr>
          <w:color w:val="auto"/>
          <w:highlight w:val="none"/>
        </w:rPr>
        <w:t>5—金</w:t>
      </w:r>
      <w:r>
        <w:rPr>
          <w:rFonts w:hint="eastAsia"/>
          <w:color w:val="auto"/>
          <w:highlight w:val="none"/>
        </w:rPr>
        <w:t>属连接侧板</w:t>
      </w:r>
      <w:r>
        <w:rPr>
          <w:color w:val="auto"/>
          <w:highlight w:val="none"/>
        </w:rPr>
        <w:t>(与垫板焊接)</w:t>
      </w:r>
      <w:r>
        <w:rPr>
          <w:rFonts w:hint="eastAsia"/>
          <w:color w:val="auto"/>
          <w:highlight w:val="none"/>
        </w:rPr>
        <w:t>；</w:t>
      </w:r>
      <w:r>
        <w:rPr>
          <w:color w:val="auto"/>
          <w:highlight w:val="none"/>
        </w:rPr>
        <w:t>6—角钢(不得与垫板焊接)</w:t>
      </w:r>
    </w:p>
    <w:p w14:paraId="7EC329DA">
      <w:pPr>
        <w:pStyle w:val="4"/>
        <w:ind w:firstLineChars="0"/>
        <w:rPr>
          <w:color w:val="auto"/>
          <w:highlight w:val="none"/>
        </w:rPr>
      </w:pPr>
      <w:r>
        <w:rPr>
          <w:b/>
          <w:bCs/>
          <w:color w:val="auto"/>
          <w:highlight w:val="none"/>
        </w:rPr>
        <w:t xml:space="preserve">8.4.16 </w:t>
      </w:r>
      <w:r>
        <w:rPr>
          <w:rFonts w:hint="eastAsia"/>
          <w:b/>
          <w:bCs/>
          <w:color w:val="auto"/>
          <w:highlight w:val="none"/>
          <w:lang w:val="en-US" w:eastAsia="zh-CN"/>
        </w:rPr>
        <w:t xml:space="preserve"> </w:t>
      </w:r>
      <w:r>
        <w:rPr>
          <w:color w:val="auto"/>
          <w:highlight w:val="none"/>
        </w:rPr>
        <w:t>当支座宽度小于胶合木构件的截面宽度时，预埋螺栓应</w:t>
      </w:r>
      <w:r>
        <w:rPr>
          <w:rFonts w:hint="eastAsia"/>
          <w:color w:val="auto"/>
          <w:highlight w:val="none"/>
        </w:rPr>
        <w:t>放置在构件的中部，可与支座底板焊接，也可将螺栓穿过底板，在底板面上采用螺栓连接。当采用螺栓连接时，在构件上应预留安装螺栓与螺帽的槽口</w:t>
      </w:r>
      <w:r>
        <w:rPr>
          <w:color w:val="auto"/>
          <w:highlight w:val="none"/>
        </w:rPr>
        <w:t>(图8.4.16)。</w:t>
      </w:r>
    </w:p>
    <w:p w14:paraId="6CFC83EE">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124200" cy="19812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7"/>
                    <a:stretch>
                      <a:fillRect/>
                    </a:stretch>
                  </pic:blipFill>
                  <pic:spPr>
                    <a:xfrm>
                      <a:off x="0" y="0"/>
                      <a:ext cx="3124471" cy="1981372"/>
                    </a:xfrm>
                    <a:prstGeom prst="rect">
                      <a:avLst/>
                    </a:prstGeom>
                  </pic:spPr>
                </pic:pic>
              </a:graphicData>
            </a:graphic>
          </wp:inline>
        </w:drawing>
      </w:r>
    </w:p>
    <w:p w14:paraId="67EFE6C7">
      <w:pPr>
        <w:pStyle w:val="44"/>
        <w:spacing w:line="240" w:lineRule="auto"/>
        <w:ind w:firstLineChars="0"/>
        <w:jc w:val="center"/>
        <w:rPr>
          <w:color w:val="auto"/>
          <w:highlight w:val="none"/>
        </w:rPr>
      </w:pPr>
      <w:r>
        <w:rPr>
          <w:rFonts w:hint="eastAsia"/>
          <w:color w:val="auto"/>
          <w:highlight w:val="none"/>
        </w:rPr>
        <w:t>图</w:t>
      </w:r>
      <w:r>
        <w:rPr>
          <w:color w:val="auto"/>
          <w:highlight w:val="none"/>
        </w:rPr>
        <w:t>8.4.16 支座宽度小于梁宽度的</w:t>
      </w:r>
      <w:r>
        <w:rPr>
          <w:rFonts w:hint="eastAsia"/>
          <w:color w:val="auto"/>
          <w:highlight w:val="none"/>
        </w:rPr>
        <w:t>连接构造示意图</w:t>
      </w:r>
    </w:p>
    <w:p w14:paraId="49C42610">
      <w:pPr>
        <w:pStyle w:val="44"/>
        <w:spacing w:line="240" w:lineRule="auto"/>
        <w:ind w:firstLineChars="0"/>
        <w:jc w:val="center"/>
        <w:rPr>
          <w:color w:val="auto"/>
          <w:highlight w:val="none"/>
        </w:rPr>
      </w:pPr>
      <w:r>
        <w:rPr>
          <w:color w:val="auto"/>
          <w:highlight w:val="none"/>
        </w:rPr>
        <w:t>1—金属连接件(与垫板焊接)</w:t>
      </w:r>
      <w:r>
        <w:rPr>
          <w:rFonts w:hint="eastAsia"/>
          <w:color w:val="auto"/>
          <w:highlight w:val="none"/>
        </w:rPr>
        <w:t>；</w:t>
      </w:r>
      <w:r>
        <w:rPr>
          <w:color w:val="auto"/>
          <w:highlight w:val="none"/>
        </w:rPr>
        <w:t>2—预</w:t>
      </w:r>
      <w:r>
        <w:rPr>
          <w:rFonts w:hint="eastAsia"/>
          <w:color w:val="auto"/>
          <w:highlight w:val="none"/>
        </w:rPr>
        <w:t>留槽口；</w:t>
      </w:r>
      <w:r>
        <w:rPr>
          <w:color w:val="auto"/>
          <w:highlight w:val="none"/>
        </w:rPr>
        <w:t>3—地锚螺栓</w:t>
      </w:r>
      <w:r>
        <w:rPr>
          <w:rFonts w:hint="eastAsia"/>
          <w:color w:val="auto"/>
          <w:highlight w:val="none"/>
        </w:rPr>
        <w:t>；</w:t>
      </w:r>
      <w:r>
        <w:rPr>
          <w:color w:val="auto"/>
          <w:highlight w:val="none"/>
        </w:rPr>
        <w:t>4—混凝土支座</w:t>
      </w:r>
    </w:p>
    <w:p w14:paraId="7F86CEF7">
      <w:pPr>
        <w:pStyle w:val="4"/>
        <w:ind w:firstLineChars="0"/>
        <w:rPr>
          <w:color w:val="auto"/>
          <w:highlight w:val="none"/>
        </w:rPr>
      </w:pPr>
      <w:r>
        <w:rPr>
          <w:b/>
          <w:bCs/>
          <w:color w:val="auto"/>
          <w:highlight w:val="none"/>
        </w:rPr>
        <w:t xml:space="preserve">8.4.17 </w:t>
      </w:r>
      <w:r>
        <w:rPr>
          <w:rFonts w:hint="eastAsia"/>
          <w:b/>
          <w:bCs/>
          <w:color w:val="auto"/>
          <w:highlight w:val="none"/>
          <w:lang w:val="en-US" w:eastAsia="zh-CN"/>
        </w:rPr>
        <w:t xml:space="preserve"> </w:t>
      </w:r>
      <w:r>
        <w:rPr>
          <w:color w:val="auto"/>
          <w:highlight w:val="none"/>
        </w:rPr>
        <w:t>当梁有较大变形时，梁的端部应做成斜切口，斜切口宽</w:t>
      </w:r>
      <w:r>
        <w:rPr>
          <w:rFonts w:hint="eastAsia"/>
          <w:color w:val="auto"/>
          <w:highlight w:val="none"/>
        </w:rPr>
        <w:t>度不得超过支座外边缘</w:t>
      </w:r>
      <w:r>
        <w:rPr>
          <w:color w:val="auto"/>
          <w:highlight w:val="none"/>
        </w:rPr>
        <w:t>(图8.4.17)。</w:t>
      </w:r>
    </w:p>
    <w:p w14:paraId="76CE6FA0">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2606040" cy="2118360"/>
            <wp:effectExtent l="0" t="0" r="3810" b="152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8"/>
                    <a:stretch>
                      <a:fillRect/>
                    </a:stretch>
                  </pic:blipFill>
                  <pic:spPr>
                    <a:xfrm>
                      <a:off x="0" y="0"/>
                      <a:ext cx="2606266" cy="2118544"/>
                    </a:xfrm>
                    <a:prstGeom prst="rect">
                      <a:avLst/>
                    </a:prstGeom>
                  </pic:spPr>
                </pic:pic>
              </a:graphicData>
            </a:graphic>
          </wp:inline>
        </w:drawing>
      </w:r>
    </w:p>
    <w:p w14:paraId="20265103">
      <w:pPr>
        <w:pStyle w:val="44"/>
        <w:spacing w:line="240" w:lineRule="auto"/>
        <w:ind w:firstLineChars="0"/>
        <w:jc w:val="center"/>
        <w:rPr>
          <w:color w:val="auto"/>
          <w:highlight w:val="none"/>
        </w:rPr>
      </w:pPr>
      <w:r>
        <w:rPr>
          <w:rFonts w:hint="eastAsia"/>
          <w:color w:val="auto"/>
          <w:highlight w:val="none"/>
        </w:rPr>
        <w:t>图</w:t>
      </w:r>
      <w:r>
        <w:rPr>
          <w:color w:val="auto"/>
          <w:highlight w:val="none"/>
        </w:rPr>
        <w:t>8.4.17 梁端部斜切口构造</w:t>
      </w:r>
      <w:r>
        <w:rPr>
          <w:rFonts w:hint="eastAsia"/>
          <w:color w:val="auto"/>
          <w:highlight w:val="none"/>
        </w:rPr>
        <w:t>示意图</w:t>
      </w:r>
    </w:p>
    <w:p w14:paraId="08595190">
      <w:pPr>
        <w:pStyle w:val="44"/>
        <w:spacing w:line="240" w:lineRule="auto"/>
        <w:ind w:firstLineChars="0"/>
        <w:jc w:val="center"/>
        <w:rPr>
          <w:color w:val="auto"/>
          <w:highlight w:val="none"/>
        </w:rPr>
      </w:pPr>
      <w:r>
        <w:rPr>
          <w:color w:val="auto"/>
          <w:highlight w:val="none"/>
        </w:rPr>
        <w:t>1—斜切口宽度</w:t>
      </w:r>
      <w:r>
        <w:rPr>
          <w:rFonts w:hint="eastAsia"/>
          <w:color w:val="auto"/>
          <w:highlight w:val="none"/>
        </w:rPr>
        <w:t>；</w:t>
      </w:r>
      <w:r>
        <w:rPr>
          <w:color w:val="auto"/>
          <w:highlight w:val="none"/>
        </w:rPr>
        <w:t>2—洞口</w:t>
      </w:r>
    </w:p>
    <w:p w14:paraId="1B39241F">
      <w:pPr>
        <w:pStyle w:val="4"/>
        <w:ind w:firstLineChars="0"/>
        <w:rPr>
          <w:color w:val="auto"/>
          <w:highlight w:val="none"/>
        </w:rPr>
      </w:pPr>
      <w:r>
        <w:rPr>
          <w:b/>
          <w:bCs/>
          <w:color w:val="auto"/>
          <w:highlight w:val="none"/>
        </w:rPr>
        <w:t>8.4.18</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斜梁底部与支座连接时，斜梁底部及外边缘不应超出支座外缘（</w:t>
      </w:r>
      <w:r>
        <w:rPr>
          <w:color w:val="auto"/>
          <w:highlight w:val="none"/>
        </w:rPr>
        <w:t>图8.4.18a</w:t>
      </w:r>
      <w:r>
        <w:rPr>
          <w:rFonts w:hint="eastAsia"/>
          <w:color w:val="auto"/>
          <w:highlight w:val="none"/>
        </w:rPr>
        <w:t>）</w:t>
      </w:r>
      <w:r>
        <w:rPr>
          <w:color w:val="auto"/>
          <w:highlight w:val="none"/>
        </w:rPr>
        <w:t>。当斜梁项部与支座连接时，不得在构件连</w:t>
      </w:r>
      <w:r>
        <w:rPr>
          <w:rFonts w:hint="eastAsia"/>
          <w:color w:val="auto"/>
          <w:highlight w:val="none"/>
        </w:rPr>
        <w:t>接处开槽口，斜梁底边应放置在与金属连接件侧板焊接的斜向垫板上（</w:t>
      </w:r>
      <w:r>
        <w:rPr>
          <w:color w:val="auto"/>
          <w:highlight w:val="none"/>
        </w:rPr>
        <w:t>图8.4.18b</w:t>
      </w:r>
      <w:r>
        <w:rPr>
          <w:rFonts w:hint="eastAsia"/>
          <w:color w:val="auto"/>
          <w:highlight w:val="none"/>
        </w:rPr>
        <w:t>）</w:t>
      </w:r>
      <w:r>
        <w:rPr>
          <w:color w:val="auto"/>
          <w:highlight w:val="none"/>
        </w:rPr>
        <w:t>。</w:t>
      </w:r>
    </w:p>
    <w:p w14:paraId="52ADE43E">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724400" cy="228346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9"/>
                    <a:stretch>
                      <a:fillRect/>
                    </a:stretch>
                  </pic:blipFill>
                  <pic:spPr>
                    <a:xfrm>
                      <a:off x="0" y="0"/>
                      <a:ext cx="4738095" cy="2290079"/>
                    </a:xfrm>
                    <a:prstGeom prst="rect">
                      <a:avLst/>
                    </a:prstGeom>
                  </pic:spPr>
                </pic:pic>
              </a:graphicData>
            </a:graphic>
          </wp:inline>
        </w:drawing>
      </w:r>
    </w:p>
    <w:p w14:paraId="72C352CA">
      <w:pPr>
        <w:pStyle w:val="44"/>
        <w:spacing w:line="240" w:lineRule="auto"/>
        <w:ind w:firstLineChars="0"/>
        <w:jc w:val="center"/>
        <w:rPr>
          <w:color w:val="auto"/>
          <w:highlight w:val="none"/>
        </w:rPr>
      </w:pPr>
      <w:r>
        <w:rPr>
          <w:rFonts w:hint="eastAsia"/>
          <w:color w:val="auto"/>
          <w:highlight w:val="none"/>
        </w:rPr>
        <w:t>图</w:t>
      </w:r>
      <w:r>
        <w:rPr>
          <w:color w:val="auto"/>
          <w:highlight w:val="none"/>
        </w:rPr>
        <w:t>8.4.18 斜梁支座连接示意图</w:t>
      </w:r>
    </w:p>
    <w:p w14:paraId="61C5B015">
      <w:pPr>
        <w:pStyle w:val="44"/>
        <w:spacing w:line="240" w:lineRule="auto"/>
        <w:ind w:firstLineChars="0"/>
        <w:jc w:val="center"/>
        <w:rPr>
          <w:color w:val="auto"/>
          <w:highlight w:val="none"/>
        </w:rPr>
      </w:pPr>
      <w:r>
        <w:rPr>
          <w:color w:val="auto"/>
          <w:highlight w:val="none"/>
        </w:rPr>
        <w:t>1—斜梁</w:t>
      </w:r>
      <w:r>
        <w:rPr>
          <w:rFonts w:hint="eastAsia"/>
          <w:color w:val="auto"/>
          <w:highlight w:val="none"/>
        </w:rPr>
        <w:t>；</w:t>
      </w:r>
      <w:r>
        <w:rPr>
          <w:color w:val="auto"/>
          <w:highlight w:val="none"/>
        </w:rPr>
        <w:t>2—支座</w:t>
      </w:r>
      <w:r>
        <w:rPr>
          <w:rFonts w:hint="eastAsia"/>
          <w:color w:val="auto"/>
          <w:highlight w:val="none"/>
        </w:rPr>
        <w:t>；</w:t>
      </w:r>
      <w:r>
        <w:rPr>
          <w:color w:val="auto"/>
          <w:highlight w:val="none"/>
        </w:rPr>
        <w:t>3—地锚螺栓</w:t>
      </w:r>
      <w:r>
        <w:rPr>
          <w:rFonts w:hint="eastAsia"/>
          <w:color w:val="auto"/>
          <w:highlight w:val="none"/>
        </w:rPr>
        <w:t>；</w:t>
      </w:r>
      <w:r>
        <w:rPr>
          <w:color w:val="auto"/>
          <w:highlight w:val="none"/>
        </w:rPr>
        <w:t>4—连接件侧板</w:t>
      </w:r>
      <w:r>
        <w:rPr>
          <w:rFonts w:hint="eastAsia"/>
          <w:color w:val="auto"/>
          <w:highlight w:val="none"/>
        </w:rPr>
        <w:t>；</w:t>
      </w:r>
    </w:p>
    <w:p w14:paraId="4C42C763">
      <w:pPr>
        <w:pStyle w:val="44"/>
        <w:spacing w:line="240" w:lineRule="auto"/>
        <w:ind w:firstLineChars="0"/>
        <w:jc w:val="center"/>
        <w:rPr>
          <w:color w:val="auto"/>
          <w:highlight w:val="none"/>
        </w:rPr>
      </w:pPr>
      <w:r>
        <w:rPr>
          <w:color w:val="auto"/>
          <w:highlight w:val="none"/>
        </w:rPr>
        <w:t>5—梁端应设</w:t>
      </w:r>
      <w:r>
        <w:rPr>
          <w:rFonts w:hint="eastAsia"/>
          <w:color w:val="auto"/>
          <w:highlight w:val="none"/>
        </w:rPr>
        <w:t>侧向支撑；</w:t>
      </w:r>
      <w:r>
        <w:rPr>
          <w:color w:val="auto"/>
          <w:highlight w:val="none"/>
        </w:rPr>
        <w:t>6—斜向金属垫板</w:t>
      </w:r>
    </w:p>
    <w:p w14:paraId="57422CA2">
      <w:pPr>
        <w:pStyle w:val="4"/>
        <w:ind w:firstLineChars="0"/>
        <w:rPr>
          <w:color w:val="auto"/>
          <w:highlight w:val="none"/>
        </w:rPr>
      </w:pPr>
      <w:r>
        <w:rPr>
          <w:b/>
          <w:bCs/>
          <w:color w:val="auto"/>
          <w:highlight w:val="none"/>
        </w:rPr>
        <w:t>8.4.19</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梁端支座处当采用角钢作为侧向支撑时，角钢与木梁不得连接</w:t>
      </w:r>
      <w:r>
        <w:rPr>
          <w:color w:val="auto"/>
          <w:highlight w:val="none"/>
        </w:rPr>
        <w:t>(图8.4.19a)。当梁截面高度不大于450mm时，梁端支</w:t>
      </w:r>
      <w:r>
        <w:rPr>
          <w:rFonts w:hint="eastAsia"/>
          <w:color w:val="auto"/>
          <w:highlight w:val="none"/>
        </w:rPr>
        <w:t>座处可采用隐蔽式地锚螺栓的连接方式</w:t>
      </w:r>
      <w:r>
        <w:rPr>
          <w:color w:val="auto"/>
          <w:highlight w:val="none"/>
        </w:rPr>
        <w:t>(图8.4.19b)</w:t>
      </w:r>
      <w:r>
        <w:rPr>
          <w:rFonts w:hint="eastAsia"/>
          <w:color w:val="auto"/>
          <w:highlight w:val="none"/>
        </w:rPr>
        <w:t>，</w:t>
      </w:r>
      <w:r>
        <w:rPr>
          <w:color w:val="auto"/>
          <w:highlight w:val="none"/>
        </w:rPr>
        <w:t>并应对支</w:t>
      </w:r>
      <w:r>
        <w:rPr>
          <w:rFonts w:hint="eastAsia"/>
          <w:color w:val="auto"/>
          <w:highlight w:val="none"/>
        </w:rPr>
        <w:t>座处的上拔荷载和水平荷载进行验算。采用隐蔽式地锚螺栓连接时，梁中应预留螺栓孔，预留孔直径应比地锚螺栓直径大</w:t>
      </w:r>
      <w:r>
        <w:rPr>
          <w:color w:val="auto"/>
          <w:highlight w:val="none"/>
        </w:rPr>
        <w:t>10mm。</w:t>
      </w:r>
    </w:p>
    <w:p w14:paraId="09043305">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333240" cy="2368550"/>
            <wp:effectExtent l="0" t="0" r="10160" b="127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0"/>
                    <a:stretch>
                      <a:fillRect/>
                    </a:stretch>
                  </pic:blipFill>
                  <pic:spPr>
                    <a:xfrm>
                      <a:off x="0" y="0"/>
                      <a:ext cx="4371122" cy="2389647"/>
                    </a:xfrm>
                    <a:prstGeom prst="rect">
                      <a:avLst/>
                    </a:prstGeom>
                  </pic:spPr>
                </pic:pic>
              </a:graphicData>
            </a:graphic>
          </wp:inline>
        </w:drawing>
      </w:r>
    </w:p>
    <w:p w14:paraId="61941BC9">
      <w:pPr>
        <w:pStyle w:val="44"/>
        <w:spacing w:line="240" w:lineRule="auto"/>
        <w:ind w:firstLineChars="0"/>
        <w:jc w:val="center"/>
        <w:rPr>
          <w:color w:val="auto"/>
          <w:highlight w:val="none"/>
        </w:rPr>
      </w:pPr>
      <w:r>
        <w:rPr>
          <w:rFonts w:hint="eastAsia"/>
          <w:color w:val="auto"/>
          <w:highlight w:val="none"/>
        </w:rPr>
        <w:t>图</w:t>
      </w:r>
      <w:r>
        <w:rPr>
          <w:color w:val="auto"/>
          <w:highlight w:val="none"/>
        </w:rPr>
        <w:t>8.4.19</w:t>
      </w:r>
      <w:r>
        <w:rPr>
          <w:rFonts w:hint="eastAsia"/>
          <w:color w:val="auto"/>
          <w:highlight w:val="none"/>
        </w:rPr>
        <w:t xml:space="preserve"> 梁端侧向支座构造示意图</w:t>
      </w:r>
    </w:p>
    <w:p w14:paraId="7B082C5F">
      <w:pPr>
        <w:pStyle w:val="44"/>
        <w:spacing w:line="240" w:lineRule="auto"/>
        <w:ind w:firstLineChars="0"/>
        <w:jc w:val="center"/>
        <w:rPr>
          <w:rFonts w:hint="eastAsia"/>
          <w:color w:val="auto"/>
          <w:highlight w:val="none"/>
        </w:rPr>
      </w:pPr>
      <w:r>
        <w:rPr>
          <w:color w:val="auto"/>
          <w:highlight w:val="none"/>
        </w:rPr>
        <w:t>1—地锚螺栓</w:t>
      </w:r>
      <w:r>
        <w:rPr>
          <w:rFonts w:hint="eastAsia"/>
          <w:color w:val="auto"/>
          <w:highlight w:val="none"/>
        </w:rPr>
        <w:t>；</w:t>
      </w:r>
      <w:r>
        <w:rPr>
          <w:color w:val="auto"/>
          <w:highlight w:val="none"/>
        </w:rPr>
        <w:t>2—角钢</w:t>
      </w:r>
      <w:r>
        <w:rPr>
          <w:rFonts w:hint="eastAsia"/>
          <w:color w:val="auto"/>
          <w:highlight w:val="none"/>
        </w:rPr>
        <w:t>；</w:t>
      </w:r>
      <w:r>
        <w:rPr>
          <w:color w:val="auto"/>
          <w:highlight w:val="none"/>
        </w:rPr>
        <w:t>3—金属垫板</w:t>
      </w:r>
      <w:r>
        <w:rPr>
          <w:rFonts w:hint="eastAsia"/>
          <w:color w:val="auto"/>
          <w:highlight w:val="none"/>
        </w:rPr>
        <w:t>；</w:t>
      </w:r>
      <w:r>
        <w:rPr>
          <w:color w:val="auto"/>
          <w:highlight w:val="none"/>
        </w:rPr>
        <w:t>4—预留孔</w:t>
      </w:r>
      <w:r>
        <w:rPr>
          <w:rFonts w:hint="eastAsia"/>
          <w:color w:val="auto"/>
          <w:highlight w:val="none"/>
        </w:rPr>
        <w:t>；</w:t>
      </w:r>
      <w:r>
        <w:rPr>
          <w:color w:val="auto"/>
          <w:highlight w:val="none"/>
        </w:rPr>
        <w:t>5—梁项预留螺帽凹槽</w:t>
      </w:r>
    </w:p>
    <w:p w14:paraId="4C466FED">
      <w:pPr>
        <w:pStyle w:val="4"/>
        <w:ind w:firstLineChars="0"/>
        <w:rPr>
          <w:color w:val="auto"/>
          <w:highlight w:val="none"/>
        </w:rPr>
      </w:pPr>
      <w:r>
        <w:rPr>
          <w:b/>
          <w:bCs/>
          <w:color w:val="auto"/>
          <w:highlight w:val="none"/>
        </w:rPr>
        <w:t xml:space="preserve">8.4.20 </w:t>
      </w:r>
      <w:r>
        <w:rPr>
          <w:rFonts w:hint="eastAsia"/>
          <w:b/>
          <w:bCs/>
          <w:color w:val="auto"/>
          <w:highlight w:val="none"/>
          <w:lang w:val="en-US" w:eastAsia="zh-CN"/>
        </w:rPr>
        <w:t xml:space="preserve"> </w:t>
      </w:r>
      <w:r>
        <w:rPr>
          <w:color w:val="auto"/>
          <w:highlight w:val="none"/>
        </w:rPr>
        <w:t>曲线梁或变截面梁与支</w:t>
      </w:r>
      <w:r>
        <w:rPr>
          <w:rFonts w:hint="eastAsia"/>
          <w:color w:val="auto"/>
          <w:highlight w:val="none"/>
        </w:rPr>
        <w:t>座连接时，应设置低摩擦力的底板，并在底板上预留椭圆形槽孔，允许构件水平移动（</w:t>
      </w:r>
      <w:r>
        <w:rPr>
          <w:color w:val="auto"/>
          <w:highlight w:val="none"/>
        </w:rPr>
        <w:t>图8.4.20</w:t>
      </w:r>
      <w:r>
        <w:rPr>
          <w:rFonts w:hint="eastAsia"/>
          <w:color w:val="auto"/>
          <w:highlight w:val="none"/>
        </w:rPr>
        <w:t>）</w:t>
      </w:r>
      <w:r>
        <w:rPr>
          <w:color w:val="auto"/>
          <w:highlight w:val="none"/>
        </w:rPr>
        <w:t>。</w:t>
      </w:r>
    </w:p>
    <w:p w14:paraId="192CAF37">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2001520" cy="1904365"/>
            <wp:effectExtent l="0" t="0" r="1778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1"/>
                    <a:stretch>
                      <a:fillRect/>
                    </a:stretch>
                  </pic:blipFill>
                  <pic:spPr>
                    <a:xfrm>
                      <a:off x="0" y="0"/>
                      <a:ext cx="2007570" cy="1909799"/>
                    </a:xfrm>
                    <a:prstGeom prst="rect">
                      <a:avLst/>
                    </a:prstGeom>
                  </pic:spPr>
                </pic:pic>
              </a:graphicData>
            </a:graphic>
          </wp:inline>
        </w:drawing>
      </w:r>
    </w:p>
    <w:p w14:paraId="1AAE41B6">
      <w:pPr>
        <w:pStyle w:val="44"/>
        <w:spacing w:line="240" w:lineRule="auto"/>
        <w:ind w:firstLineChars="0"/>
        <w:jc w:val="center"/>
        <w:rPr>
          <w:color w:val="auto"/>
          <w:highlight w:val="none"/>
        </w:rPr>
      </w:pPr>
      <w:r>
        <w:rPr>
          <w:rFonts w:hint="eastAsia"/>
          <w:color w:val="auto"/>
          <w:highlight w:val="none"/>
        </w:rPr>
        <w:t>图</w:t>
      </w:r>
      <w:r>
        <w:rPr>
          <w:color w:val="auto"/>
          <w:highlight w:val="none"/>
        </w:rPr>
        <w:t>8.4.20</w:t>
      </w:r>
      <w:r>
        <w:rPr>
          <w:rFonts w:hint="eastAsia"/>
          <w:color w:val="auto"/>
          <w:highlight w:val="none"/>
        </w:rPr>
        <w:t xml:space="preserve"> 曲线梁或变截面梁支座示意图</w:t>
      </w:r>
    </w:p>
    <w:p w14:paraId="6DDE5C41">
      <w:pPr>
        <w:pStyle w:val="44"/>
        <w:spacing w:line="240" w:lineRule="auto"/>
        <w:ind w:firstLineChars="0"/>
        <w:jc w:val="center"/>
        <w:rPr>
          <w:color w:val="auto"/>
          <w:highlight w:val="none"/>
        </w:rPr>
      </w:pPr>
      <w:r>
        <w:rPr>
          <w:color w:val="auto"/>
          <w:highlight w:val="none"/>
        </w:rPr>
        <w:t>1—低摩擦力底板</w:t>
      </w:r>
      <w:r>
        <w:rPr>
          <w:rFonts w:hint="eastAsia"/>
          <w:color w:val="auto"/>
          <w:highlight w:val="none"/>
        </w:rPr>
        <w:t>；</w:t>
      </w:r>
      <w:r>
        <w:rPr>
          <w:color w:val="auto"/>
          <w:highlight w:val="none"/>
        </w:rPr>
        <w:t>2—椭圆形槽孔</w:t>
      </w:r>
    </w:p>
    <w:p w14:paraId="3C80B85D">
      <w:pPr>
        <w:ind w:firstLine="0" w:firstLineChars="0"/>
        <w:jc w:val="center"/>
        <w:rPr>
          <w:rFonts w:hint="eastAsia" w:ascii="Times New Roman" w:hAnsi="Times New Roman" w:cs="Times New Roman" w:eastAsiaTheme="minorEastAsia"/>
          <w:color w:val="auto"/>
          <w:highlight w:val="none"/>
        </w:rPr>
      </w:pPr>
    </w:p>
    <w:p w14:paraId="0738EC50">
      <w:pPr>
        <w:ind w:firstLine="0" w:firstLineChars="0"/>
        <w:jc w:val="center"/>
        <w:outlineLvl w:val="9"/>
        <w:rPr>
          <w:rFonts w:ascii="黑体" w:hAnsi="黑体" w:eastAsia="黑体" w:cs="Times New Roman"/>
          <w:color w:val="auto"/>
          <w:highlight w:val="none"/>
        </w:rPr>
      </w:pPr>
      <w:r>
        <w:rPr>
          <w:rFonts w:hint="eastAsia" w:ascii="黑体" w:hAnsi="黑体" w:eastAsia="黑体" w:cs="Times New Roman"/>
          <w:color w:val="auto"/>
          <w:highlight w:val="none"/>
        </w:rPr>
        <w:t>（二）梁与梁的连接</w:t>
      </w:r>
    </w:p>
    <w:p w14:paraId="3A0304DD">
      <w:pPr>
        <w:pStyle w:val="4"/>
        <w:ind w:firstLineChars="0"/>
        <w:rPr>
          <w:color w:val="auto"/>
          <w:highlight w:val="none"/>
        </w:rPr>
      </w:pPr>
      <w:r>
        <w:rPr>
          <w:b/>
          <w:bCs/>
          <w:color w:val="auto"/>
          <w:highlight w:val="none"/>
        </w:rPr>
        <w:t>8.4.21</w:t>
      </w:r>
      <w:r>
        <w:rPr>
          <w:rFonts w:hint="eastAsia"/>
          <w:b/>
          <w:bCs/>
          <w:color w:val="auto"/>
          <w:highlight w:val="none"/>
        </w:rPr>
        <w:t xml:space="preserve"> </w:t>
      </w:r>
      <w:r>
        <w:rPr>
          <w:rFonts w:hint="eastAsia"/>
          <w:color w:val="auto"/>
          <w:highlight w:val="none"/>
          <w:lang w:val="en-US" w:eastAsia="zh-CN"/>
        </w:rPr>
        <w:t xml:space="preserve"> </w:t>
      </w:r>
      <w:r>
        <w:rPr>
          <w:rFonts w:hint="eastAsia"/>
          <w:color w:val="auto"/>
          <w:highlight w:val="none"/>
        </w:rPr>
        <w:t>悬臂连续梁由简支梁和悬臂梁组成，结构系统主要有三种形式</w:t>
      </w:r>
      <w:r>
        <w:rPr>
          <w:color w:val="auto"/>
          <w:highlight w:val="none"/>
        </w:rPr>
        <w:t>(图8.4.21a)。悬臂梁与简支梁之间的连接可采用金属悬</w:t>
      </w:r>
      <w:r>
        <w:rPr>
          <w:rFonts w:hint="eastAsia"/>
          <w:color w:val="auto"/>
          <w:highlight w:val="none"/>
        </w:rPr>
        <w:t>臂梁托连接</w:t>
      </w:r>
      <w:r>
        <w:rPr>
          <w:color w:val="auto"/>
          <w:highlight w:val="none"/>
        </w:rPr>
        <w:t>(图8.4.21b、c)。悬臂梁应根据金属梁托的位置和</w:t>
      </w:r>
      <w:r>
        <w:rPr>
          <w:rFonts w:hint="eastAsia"/>
          <w:color w:val="auto"/>
          <w:highlight w:val="none"/>
        </w:rPr>
        <w:t>厚度开槽，使金属梁托与梁顶面齐平，并用螺栓连接。</w:t>
      </w:r>
    </w:p>
    <w:p w14:paraId="015CA2EE">
      <w:pPr>
        <w:ind w:firstLine="0" w:firstLineChars="0"/>
        <w:jc w:val="center"/>
        <w:rPr>
          <w:rFonts w:hint="eastAsia" w:ascii="Times New Roman" w:hAnsi="Times New Roman" w:cs="Times New Roman" w:eastAsiaTheme="minorEastAsia"/>
          <w:color w:val="auto"/>
          <w:highlight w:val="none"/>
        </w:rPr>
      </w:pPr>
      <w:r>
        <w:rPr>
          <w:color w:val="auto"/>
          <w:highlight w:val="none"/>
        </w:rPr>
        <w:drawing>
          <wp:inline distT="0" distB="0" distL="0" distR="0">
            <wp:extent cx="3899535" cy="2560320"/>
            <wp:effectExtent l="0" t="0" r="5715" b="1143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2"/>
                    <a:stretch>
                      <a:fillRect/>
                    </a:stretch>
                  </pic:blipFill>
                  <pic:spPr>
                    <a:xfrm>
                      <a:off x="0" y="0"/>
                      <a:ext cx="3942916" cy="2588519"/>
                    </a:xfrm>
                    <a:prstGeom prst="rect">
                      <a:avLst/>
                    </a:prstGeom>
                  </pic:spPr>
                </pic:pic>
              </a:graphicData>
            </a:graphic>
          </wp:inline>
        </w:drawing>
      </w:r>
    </w:p>
    <w:p w14:paraId="18F00361">
      <w:pPr>
        <w:pStyle w:val="44"/>
        <w:spacing w:line="240" w:lineRule="auto"/>
        <w:ind w:firstLineChars="0"/>
        <w:jc w:val="center"/>
        <w:rPr>
          <w:color w:val="auto"/>
          <w:highlight w:val="none"/>
        </w:rPr>
      </w:pPr>
      <w:r>
        <w:rPr>
          <w:rFonts w:hint="eastAsia"/>
          <w:color w:val="auto"/>
          <w:highlight w:val="none"/>
        </w:rPr>
        <w:t>图</w:t>
      </w:r>
      <w:r>
        <w:rPr>
          <w:color w:val="auto"/>
          <w:highlight w:val="none"/>
        </w:rPr>
        <w:t>8.4.21</w:t>
      </w:r>
      <w:r>
        <w:rPr>
          <w:rFonts w:hint="eastAsia"/>
          <w:color w:val="auto"/>
          <w:highlight w:val="none"/>
        </w:rPr>
        <w:t xml:space="preserve"> 悬臂连续梁的连接示意图</w:t>
      </w:r>
    </w:p>
    <w:p w14:paraId="65E8106C">
      <w:pPr>
        <w:pStyle w:val="44"/>
        <w:spacing w:line="240" w:lineRule="auto"/>
        <w:ind w:firstLineChars="0"/>
        <w:jc w:val="center"/>
        <w:rPr>
          <w:color w:val="auto"/>
          <w:highlight w:val="none"/>
        </w:rPr>
      </w:pPr>
      <w:r>
        <w:rPr>
          <w:color w:val="auto"/>
          <w:highlight w:val="none"/>
        </w:rPr>
        <w:t>1—被承载构件</w:t>
      </w:r>
      <w:r>
        <w:rPr>
          <w:rFonts w:hint="eastAsia"/>
          <w:color w:val="auto"/>
          <w:highlight w:val="none"/>
        </w:rPr>
        <w:t>；</w:t>
      </w:r>
      <w:r>
        <w:rPr>
          <w:color w:val="auto"/>
          <w:highlight w:val="none"/>
        </w:rPr>
        <w:t>2—承载构件</w:t>
      </w:r>
    </w:p>
    <w:p w14:paraId="7FF8ACA1">
      <w:pPr>
        <w:pStyle w:val="4"/>
        <w:ind w:firstLineChars="0"/>
        <w:rPr>
          <w:color w:val="auto"/>
          <w:highlight w:val="none"/>
        </w:rPr>
      </w:pPr>
      <w:r>
        <w:rPr>
          <w:b/>
          <w:bCs/>
          <w:color w:val="auto"/>
          <w:highlight w:val="none"/>
        </w:rPr>
        <w:t>8.4.22</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悬臂连续梁的拉力由附加扁钢承担。当附加扁钢不与梁托整体连接时，扁钢应用螺栓连接两端的胶合梁</w:t>
      </w:r>
      <w:r>
        <w:rPr>
          <w:color w:val="auto"/>
          <w:highlight w:val="none"/>
        </w:rPr>
        <w:t>(图8.4.22a)。</w:t>
      </w:r>
      <w:r>
        <w:rPr>
          <w:rFonts w:hint="eastAsia"/>
          <w:color w:val="auto"/>
          <w:highlight w:val="none"/>
        </w:rPr>
        <w:t>当扁钢与悬臂梁托焊接成整体时，扁钢上应预留椭圆形槽孔，并通过螺栓与两端的胶合梁连接</w:t>
      </w:r>
      <w:r>
        <w:rPr>
          <w:color w:val="auto"/>
          <w:highlight w:val="none"/>
        </w:rPr>
        <w:t>(图8.4.22b)。</w:t>
      </w:r>
    </w:p>
    <w:p w14:paraId="25A6B6B4">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387340" cy="2286000"/>
            <wp:effectExtent l="0" t="0" r="38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3"/>
                    <a:stretch>
                      <a:fillRect/>
                    </a:stretch>
                  </pic:blipFill>
                  <pic:spPr>
                    <a:xfrm>
                      <a:off x="0" y="0"/>
                      <a:ext cx="5387807" cy="2286198"/>
                    </a:xfrm>
                    <a:prstGeom prst="rect">
                      <a:avLst/>
                    </a:prstGeom>
                  </pic:spPr>
                </pic:pic>
              </a:graphicData>
            </a:graphic>
          </wp:inline>
        </w:drawing>
      </w:r>
    </w:p>
    <w:p w14:paraId="58AE8E89">
      <w:pPr>
        <w:pStyle w:val="44"/>
        <w:spacing w:line="240" w:lineRule="auto"/>
        <w:ind w:firstLineChars="0"/>
        <w:jc w:val="center"/>
        <w:rPr>
          <w:color w:val="auto"/>
          <w:highlight w:val="none"/>
        </w:rPr>
      </w:pPr>
      <w:r>
        <w:rPr>
          <w:rFonts w:hint="eastAsia"/>
          <w:color w:val="auto"/>
          <w:highlight w:val="none"/>
        </w:rPr>
        <w:t>图</w:t>
      </w:r>
      <w:r>
        <w:rPr>
          <w:color w:val="auto"/>
          <w:highlight w:val="none"/>
        </w:rPr>
        <w:t>8.4.22 扁钢与梁托连接构造示意图</w:t>
      </w:r>
    </w:p>
    <w:p w14:paraId="23FDDB6E">
      <w:pPr>
        <w:pStyle w:val="44"/>
        <w:spacing w:line="240" w:lineRule="auto"/>
        <w:ind w:firstLineChars="0"/>
        <w:jc w:val="center"/>
        <w:rPr>
          <w:rFonts w:hint="eastAsia"/>
          <w:color w:val="auto"/>
          <w:highlight w:val="none"/>
        </w:rPr>
      </w:pPr>
      <w:r>
        <w:rPr>
          <w:color w:val="auto"/>
          <w:highlight w:val="none"/>
        </w:rPr>
        <w:t>1—被承载构件</w:t>
      </w:r>
      <w:r>
        <w:rPr>
          <w:rFonts w:hint="eastAsia"/>
          <w:color w:val="auto"/>
          <w:highlight w:val="none"/>
        </w:rPr>
        <w:t>；</w:t>
      </w:r>
      <w:r>
        <w:rPr>
          <w:color w:val="auto"/>
          <w:highlight w:val="none"/>
        </w:rPr>
        <w:t>2—承载构件</w:t>
      </w:r>
      <w:r>
        <w:rPr>
          <w:rFonts w:hint="eastAsia"/>
          <w:color w:val="auto"/>
          <w:highlight w:val="none"/>
        </w:rPr>
        <w:t>；</w:t>
      </w:r>
      <w:r>
        <w:rPr>
          <w:color w:val="auto"/>
          <w:highlight w:val="none"/>
        </w:rPr>
        <w:t>3—连接板连接两端的梁</w:t>
      </w:r>
      <w:r>
        <w:rPr>
          <w:rFonts w:hint="eastAsia"/>
          <w:color w:val="auto"/>
          <w:highlight w:val="none"/>
        </w:rPr>
        <w:t>；</w:t>
      </w:r>
      <w:r>
        <w:rPr>
          <w:color w:val="auto"/>
          <w:highlight w:val="none"/>
        </w:rPr>
        <w:t>4—连接板与梁托焊接</w:t>
      </w:r>
    </w:p>
    <w:p w14:paraId="4078B44E">
      <w:pPr>
        <w:pStyle w:val="4"/>
        <w:ind w:firstLineChars="0"/>
        <w:rPr>
          <w:color w:val="auto"/>
          <w:highlight w:val="none"/>
        </w:rPr>
      </w:pPr>
      <w:r>
        <w:rPr>
          <w:b/>
          <w:bCs/>
          <w:color w:val="auto"/>
          <w:highlight w:val="none"/>
        </w:rPr>
        <w:t xml:space="preserve">8.4.23 </w:t>
      </w:r>
      <w:r>
        <w:rPr>
          <w:rFonts w:hint="eastAsia"/>
          <w:b/>
          <w:bCs/>
          <w:color w:val="auto"/>
          <w:highlight w:val="none"/>
          <w:lang w:val="en-US" w:eastAsia="zh-CN"/>
        </w:rPr>
        <w:t xml:space="preserve"> </w:t>
      </w:r>
      <w:r>
        <w:rPr>
          <w:color w:val="auto"/>
          <w:highlight w:val="none"/>
        </w:rPr>
        <w:t>次梁与主梁连接时，紧固件应靠近支座承载面。</w:t>
      </w:r>
    </w:p>
    <w:p w14:paraId="19ABE959">
      <w:pPr>
        <w:pStyle w:val="4"/>
        <w:ind w:firstLineChars="0"/>
        <w:rPr>
          <w:color w:val="auto"/>
          <w:highlight w:val="none"/>
        </w:rPr>
      </w:pPr>
      <w:r>
        <w:rPr>
          <w:b/>
          <w:bCs/>
          <w:color w:val="auto"/>
          <w:highlight w:val="none"/>
        </w:rPr>
        <w:t xml:space="preserve">8.4.24 </w:t>
      </w:r>
      <w:r>
        <w:rPr>
          <w:rFonts w:hint="eastAsia"/>
          <w:b/>
          <w:bCs/>
          <w:color w:val="auto"/>
          <w:highlight w:val="none"/>
          <w:lang w:val="en-US" w:eastAsia="zh-CN"/>
        </w:rPr>
        <w:t xml:space="preserve"> </w:t>
      </w:r>
      <w:r>
        <w:rPr>
          <w:color w:val="auto"/>
          <w:highlight w:val="none"/>
        </w:rPr>
        <w:t>当主梁仅单侧有次梁连接时，宜采用侧固式连接件连接(图8.4.24)。</w:t>
      </w:r>
    </w:p>
    <w:p w14:paraId="30883CFA">
      <w:pPr>
        <w:ind w:firstLine="0" w:firstLineChars="0"/>
        <w:rPr>
          <w:rFonts w:ascii="Times New Roman" w:hAnsi="Times New Roman" w:cs="Times New Roman" w:eastAsiaTheme="minorEastAsia"/>
          <w:color w:val="auto"/>
          <w:highlight w:val="none"/>
        </w:rPr>
      </w:pPr>
      <w:r>
        <w:rPr>
          <w:color w:val="auto"/>
          <w:highlight w:val="none"/>
        </w:rPr>
        <w:drawing>
          <wp:inline distT="0" distB="0" distL="0" distR="0">
            <wp:extent cx="5676900" cy="1851660"/>
            <wp:effectExtent l="0" t="0" r="0"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4"/>
                    <a:stretch>
                      <a:fillRect/>
                    </a:stretch>
                  </pic:blipFill>
                  <pic:spPr>
                    <a:xfrm>
                      <a:off x="0" y="0"/>
                      <a:ext cx="5677392" cy="1851820"/>
                    </a:xfrm>
                    <a:prstGeom prst="rect">
                      <a:avLst/>
                    </a:prstGeom>
                  </pic:spPr>
                </pic:pic>
              </a:graphicData>
            </a:graphic>
          </wp:inline>
        </w:drawing>
      </w:r>
    </w:p>
    <w:p w14:paraId="4809BB22">
      <w:pPr>
        <w:pStyle w:val="44"/>
        <w:spacing w:line="240" w:lineRule="auto"/>
        <w:ind w:firstLineChars="0"/>
        <w:jc w:val="center"/>
        <w:rPr>
          <w:color w:val="auto"/>
          <w:highlight w:val="none"/>
        </w:rPr>
      </w:pPr>
      <w:r>
        <w:rPr>
          <w:rFonts w:hint="eastAsia"/>
          <w:color w:val="auto"/>
          <w:highlight w:val="none"/>
        </w:rPr>
        <w:t>图</w:t>
      </w:r>
      <w:r>
        <w:rPr>
          <w:color w:val="auto"/>
          <w:highlight w:val="none"/>
        </w:rPr>
        <w:t>8.4.24</w:t>
      </w:r>
      <w:r>
        <w:rPr>
          <w:rFonts w:hint="eastAsia"/>
          <w:color w:val="auto"/>
          <w:highlight w:val="none"/>
        </w:rPr>
        <w:t xml:space="preserve"> 次梁与主梁采用侧固式连接件示意图</w:t>
      </w:r>
    </w:p>
    <w:p w14:paraId="0E57DDF6">
      <w:pPr>
        <w:pStyle w:val="44"/>
        <w:spacing w:line="240" w:lineRule="auto"/>
        <w:ind w:firstLineChars="0"/>
        <w:jc w:val="center"/>
        <w:rPr>
          <w:color w:val="auto"/>
          <w:highlight w:val="none"/>
        </w:rPr>
      </w:pPr>
      <w:r>
        <w:rPr>
          <w:color w:val="auto"/>
          <w:highlight w:val="none"/>
        </w:rPr>
        <w:t>1—主梁</w:t>
      </w:r>
      <w:r>
        <w:rPr>
          <w:rFonts w:hint="eastAsia"/>
          <w:color w:val="auto"/>
          <w:highlight w:val="none"/>
        </w:rPr>
        <w:t>；</w:t>
      </w:r>
      <w:r>
        <w:rPr>
          <w:color w:val="auto"/>
          <w:highlight w:val="none"/>
        </w:rPr>
        <w:t>2—次梁</w:t>
      </w:r>
      <w:r>
        <w:rPr>
          <w:rFonts w:hint="eastAsia"/>
          <w:color w:val="auto"/>
          <w:highlight w:val="none"/>
        </w:rPr>
        <w:t>；</w:t>
      </w:r>
      <w:r>
        <w:rPr>
          <w:color w:val="auto"/>
          <w:highlight w:val="none"/>
        </w:rPr>
        <w:t>3—金属侧固式连接件</w:t>
      </w:r>
      <w:r>
        <w:rPr>
          <w:rFonts w:hint="eastAsia"/>
          <w:color w:val="auto"/>
          <w:highlight w:val="none"/>
        </w:rPr>
        <w:t>；</w:t>
      </w:r>
      <w:r>
        <w:rPr>
          <w:color w:val="auto"/>
          <w:highlight w:val="none"/>
        </w:rPr>
        <w:t>4—螺栓</w:t>
      </w:r>
    </w:p>
    <w:p w14:paraId="738BC668">
      <w:pPr>
        <w:pStyle w:val="4"/>
        <w:ind w:firstLineChars="0"/>
        <w:rPr>
          <w:rFonts w:hint="eastAsia"/>
          <w:color w:val="auto"/>
          <w:highlight w:val="none"/>
        </w:rPr>
      </w:pPr>
      <w:r>
        <w:rPr>
          <w:b/>
          <w:bCs/>
          <w:color w:val="auto"/>
          <w:highlight w:val="none"/>
        </w:rPr>
        <w:t xml:space="preserve">8.4.25 </w:t>
      </w:r>
      <w:r>
        <w:rPr>
          <w:rFonts w:hint="eastAsia"/>
          <w:b/>
          <w:bCs/>
          <w:color w:val="auto"/>
          <w:highlight w:val="none"/>
          <w:lang w:val="en-US" w:eastAsia="zh-CN"/>
        </w:rPr>
        <w:t xml:space="preserve"> </w:t>
      </w:r>
      <w:r>
        <w:rPr>
          <w:color w:val="auto"/>
          <w:highlight w:val="none"/>
        </w:rPr>
        <w:t>主梁两侧均有次梁连接时，应符合下列规定</w:t>
      </w:r>
      <w:r>
        <w:rPr>
          <w:rFonts w:hint="eastAsia"/>
          <w:color w:val="auto"/>
          <w:highlight w:val="none"/>
        </w:rPr>
        <w:t>：</w:t>
      </w:r>
    </w:p>
    <w:p w14:paraId="3D4FA2BA">
      <w:pPr>
        <w:pStyle w:val="4"/>
        <w:ind w:firstLine="480" w:firstLineChars="200"/>
        <w:rPr>
          <w:color w:val="auto"/>
          <w:highlight w:val="none"/>
        </w:rPr>
      </w:pPr>
      <w:r>
        <w:rPr>
          <w:color w:val="auto"/>
          <w:highlight w:val="none"/>
        </w:rPr>
        <w:t xml:space="preserve">1 </w:t>
      </w:r>
      <w:r>
        <w:rPr>
          <w:rFonts w:hint="eastAsia"/>
          <w:color w:val="auto"/>
          <w:highlight w:val="none"/>
          <w:lang w:val="en-US" w:eastAsia="zh-CN"/>
        </w:rPr>
        <w:t xml:space="preserve"> </w:t>
      </w:r>
      <w:r>
        <w:rPr>
          <w:color w:val="auto"/>
          <w:highlight w:val="none"/>
        </w:rPr>
        <w:t>安装次梁梁托时不得在主梁梁顶开槽口。</w:t>
      </w:r>
    </w:p>
    <w:p w14:paraId="4449B6B2">
      <w:pPr>
        <w:pStyle w:val="4"/>
        <w:ind w:firstLine="480" w:firstLineChars="200"/>
        <w:rPr>
          <w:color w:val="auto"/>
          <w:highlight w:val="none"/>
        </w:rPr>
      </w:pPr>
      <w:r>
        <w:rPr>
          <w:color w:val="auto"/>
          <w:highlight w:val="none"/>
        </w:rPr>
        <w:t xml:space="preserve">2 </w:t>
      </w:r>
      <w:r>
        <w:rPr>
          <w:rFonts w:hint="eastAsia"/>
          <w:color w:val="auto"/>
          <w:highlight w:val="none"/>
          <w:lang w:val="en-US" w:eastAsia="zh-CN"/>
        </w:rPr>
        <w:t xml:space="preserve"> </w:t>
      </w:r>
      <w:r>
        <w:rPr>
          <w:color w:val="auto"/>
          <w:highlight w:val="none"/>
        </w:rPr>
        <w:t>当采用外露连接件时(图8.4.25a)，梁托附加扁钢上的</w:t>
      </w:r>
      <w:r>
        <w:rPr>
          <w:rFonts w:hint="eastAsia"/>
          <w:color w:val="auto"/>
          <w:highlight w:val="none"/>
        </w:rPr>
        <w:t>紧固件应安装在预留椭圆形槽孔内。可采用在梁顶部附加通长扁钢代替梁托两侧带槽孔的扁钢。</w:t>
      </w:r>
    </w:p>
    <w:p w14:paraId="4D0BBBAF">
      <w:pPr>
        <w:pStyle w:val="4"/>
        <w:ind w:firstLine="480" w:firstLineChars="200"/>
        <w:rPr>
          <w:rFonts w:ascii="Times New Roman" w:hAnsi="Times New Roman" w:cs="Times New Roman" w:eastAsiaTheme="minorEastAsia"/>
          <w:color w:val="auto"/>
          <w:highlight w:val="none"/>
        </w:rPr>
      </w:pPr>
      <w:r>
        <w:rPr>
          <w:color w:val="auto"/>
          <w:highlight w:val="none"/>
        </w:rPr>
        <w:t xml:space="preserve">3 </w:t>
      </w:r>
      <w:r>
        <w:rPr>
          <w:rFonts w:hint="eastAsia"/>
          <w:color w:val="auto"/>
          <w:highlight w:val="none"/>
          <w:lang w:val="en-US" w:eastAsia="zh-CN"/>
        </w:rPr>
        <w:t xml:space="preserve"> </w:t>
      </w:r>
      <w:r>
        <w:rPr>
          <w:color w:val="auto"/>
          <w:highlight w:val="none"/>
        </w:rPr>
        <w:t>当采用半隐藏式连接件时(图8.4.25b)，应在次梁截面</w:t>
      </w:r>
      <w:r>
        <w:rPr>
          <w:rFonts w:hint="eastAsia"/>
          <w:color w:val="auto"/>
          <w:highlight w:val="none"/>
        </w:rPr>
        <w:t>中间开槽安装梁托加劲肋，加劲肋应采用螺栓或六角头木螺钉与次梁连接。荷载不大时，梁托底部可嵌人次梁内与次梁底面齐平。</w:t>
      </w:r>
    </w:p>
    <w:p w14:paraId="7F69BCB3">
      <w:pPr>
        <w:ind w:firstLine="480" w:firstLineChars="200"/>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 xml:space="preserve">4 </w:t>
      </w:r>
      <w:r>
        <w:rPr>
          <w:rFonts w:hint="eastAsia" w:cs="Times New Roman" w:eastAsiaTheme="minorEastAsia"/>
          <w:color w:val="auto"/>
          <w:highlight w:val="none"/>
          <w:lang w:val="en-US" w:eastAsia="zh-CN"/>
        </w:rPr>
        <w:t xml:space="preserve"> </w:t>
      </w:r>
      <w:r>
        <w:rPr>
          <w:rFonts w:ascii="Times New Roman" w:hAnsi="Times New Roman" w:cs="Times New Roman" w:eastAsiaTheme="minorEastAsia"/>
          <w:color w:val="auto"/>
          <w:highlight w:val="none"/>
        </w:rPr>
        <w:t>当次梁承受的荷载较轻或次梁截面尺寸较小时，主梁与</w:t>
      </w:r>
      <w:r>
        <w:rPr>
          <w:rFonts w:hint="eastAsia" w:ascii="Times New Roman" w:hAnsi="Times New Roman" w:cs="Times New Roman" w:eastAsiaTheme="minorEastAsia"/>
          <w:color w:val="auto"/>
          <w:highlight w:val="none"/>
        </w:rPr>
        <w:t>次梁之间可采用角钢连接件连接</w:t>
      </w:r>
      <w:r>
        <w:rPr>
          <w:rFonts w:ascii="Times New Roman" w:hAnsi="Times New Roman" w:cs="Times New Roman" w:eastAsiaTheme="minorEastAsia"/>
          <w:color w:val="auto"/>
          <w:highlight w:val="none"/>
        </w:rPr>
        <w:t>(图8.4.25c)。采用角钢连接件</w:t>
      </w:r>
      <w:r>
        <w:rPr>
          <w:rFonts w:hint="eastAsia" w:ascii="Times New Roman" w:hAnsi="Times New Roman" w:cs="Times New Roman" w:eastAsiaTheme="minorEastAsia"/>
          <w:color w:val="auto"/>
          <w:highlight w:val="none"/>
        </w:rPr>
        <w:t>时，次梁应按高度为</w:t>
      </w:r>
      <w:r>
        <w:rPr>
          <w:rFonts w:ascii="Times New Roman" w:hAnsi="Times New Roman" w:cs="Times New Roman" w:eastAsiaTheme="minorEastAsia"/>
          <w:i/>
          <w:color w:val="auto"/>
          <w:highlight w:val="none"/>
        </w:rPr>
        <w:t>h</w:t>
      </w:r>
      <w:r>
        <w:rPr>
          <w:rFonts w:ascii="Times New Roman" w:hAnsi="Times New Roman" w:cs="Times New Roman" w:eastAsiaTheme="minorEastAsia"/>
          <w:color w:val="auto"/>
          <w:highlight w:val="none"/>
          <w:vertAlign w:val="subscript"/>
        </w:rPr>
        <w:t>e</w:t>
      </w:r>
      <w:r>
        <w:rPr>
          <w:rFonts w:ascii="Times New Roman" w:hAnsi="Times New Roman" w:cs="Times New Roman" w:eastAsiaTheme="minorEastAsia"/>
          <w:color w:val="auto"/>
          <w:highlight w:val="none"/>
        </w:rPr>
        <w:t>的切口梁计算。角钢连接件上的螺栓间</w:t>
      </w:r>
      <w:r>
        <w:rPr>
          <w:rFonts w:hint="eastAsia" w:ascii="Times New Roman" w:hAnsi="Times New Roman" w:cs="Times New Roman" w:eastAsiaTheme="minorEastAsia"/>
          <w:color w:val="auto"/>
          <w:highlight w:val="none"/>
        </w:rPr>
        <w:t>距不应小于</w:t>
      </w:r>
      <w:r>
        <w:rPr>
          <w:rFonts w:ascii="Times New Roman" w:hAnsi="Times New Roman" w:cs="Times New Roman" w:eastAsiaTheme="minorEastAsia"/>
          <w:color w:val="auto"/>
          <w:highlight w:val="none"/>
        </w:rPr>
        <w:t>5d。</w:t>
      </w:r>
    </w:p>
    <w:p w14:paraId="5CBD86E9">
      <w:pPr>
        <w:ind w:firstLine="480" w:firstLineChars="200"/>
        <w:rPr>
          <w:rFonts w:ascii="Times New Roman" w:hAnsi="Times New Roman" w:cs="Times New Roman" w:eastAsiaTheme="minorEastAsia"/>
          <w:color w:val="auto"/>
          <w:highlight w:val="none"/>
        </w:rPr>
      </w:pPr>
      <w:r>
        <w:rPr>
          <w:color w:val="auto"/>
          <w:highlight w:val="none"/>
        </w:rPr>
        <w:drawing>
          <wp:inline distT="0" distB="0" distL="0" distR="0">
            <wp:extent cx="5759450" cy="1644650"/>
            <wp:effectExtent l="0" t="0" r="12700" b="1270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5"/>
                    <a:stretch>
                      <a:fillRect/>
                    </a:stretch>
                  </pic:blipFill>
                  <pic:spPr>
                    <a:xfrm>
                      <a:off x="0" y="0"/>
                      <a:ext cx="5759450" cy="1644650"/>
                    </a:xfrm>
                    <a:prstGeom prst="rect">
                      <a:avLst/>
                    </a:prstGeom>
                  </pic:spPr>
                </pic:pic>
              </a:graphicData>
            </a:graphic>
          </wp:inline>
        </w:drawing>
      </w:r>
    </w:p>
    <w:p w14:paraId="2476607D">
      <w:pPr>
        <w:pStyle w:val="44"/>
        <w:spacing w:line="240" w:lineRule="auto"/>
        <w:ind w:firstLineChars="0"/>
        <w:jc w:val="center"/>
        <w:rPr>
          <w:color w:val="auto"/>
          <w:highlight w:val="none"/>
        </w:rPr>
      </w:pPr>
      <w:r>
        <w:rPr>
          <w:rFonts w:hint="eastAsia"/>
          <w:color w:val="auto"/>
          <w:highlight w:val="none"/>
        </w:rPr>
        <w:t>图</w:t>
      </w:r>
      <w:r>
        <w:rPr>
          <w:color w:val="auto"/>
          <w:highlight w:val="none"/>
        </w:rPr>
        <w:t>8.4.25</w:t>
      </w:r>
      <w:r>
        <w:rPr>
          <w:rFonts w:hint="eastAsia"/>
          <w:color w:val="auto"/>
          <w:highlight w:val="none"/>
        </w:rPr>
        <w:t xml:space="preserve"> 次梁与主梁的连接示意图</w:t>
      </w:r>
    </w:p>
    <w:p w14:paraId="4D985409">
      <w:pPr>
        <w:pStyle w:val="44"/>
        <w:spacing w:line="240" w:lineRule="auto"/>
        <w:ind w:firstLineChars="0"/>
        <w:jc w:val="center"/>
        <w:rPr>
          <w:color w:val="auto"/>
          <w:highlight w:val="none"/>
        </w:rPr>
      </w:pPr>
      <w:r>
        <w:rPr>
          <w:color w:val="auto"/>
          <w:highlight w:val="none"/>
        </w:rPr>
        <w:t>1—附加扁钢</w:t>
      </w:r>
      <w:r>
        <w:rPr>
          <w:rFonts w:hint="eastAsia"/>
          <w:color w:val="auto"/>
          <w:highlight w:val="none"/>
        </w:rPr>
        <w:t>；</w:t>
      </w:r>
      <w:r>
        <w:rPr>
          <w:color w:val="auto"/>
          <w:highlight w:val="none"/>
        </w:rPr>
        <w:t>2—梁托加劲肋</w:t>
      </w:r>
      <w:r>
        <w:rPr>
          <w:rFonts w:hint="eastAsia"/>
          <w:color w:val="auto"/>
          <w:highlight w:val="none"/>
        </w:rPr>
        <w:t>；</w:t>
      </w:r>
      <w:r>
        <w:rPr>
          <w:color w:val="auto"/>
          <w:highlight w:val="none"/>
        </w:rPr>
        <w:t>3—螺栓或螺钉</w:t>
      </w:r>
      <w:r>
        <w:rPr>
          <w:rFonts w:hint="eastAsia"/>
          <w:color w:val="auto"/>
          <w:highlight w:val="none"/>
        </w:rPr>
        <w:t>；</w:t>
      </w:r>
      <w:r>
        <w:rPr>
          <w:color w:val="auto"/>
          <w:highlight w:val="none"/>
        </w:rPr>
        <w:t>4—角钢连接件</w:t>
      </w:r>
    </w:p>
    <w:p w14:paraId="30EA03BF">
      <w:pPr>
        <w:rPr>
          <w:rFonts w:ascii="Times New Roman" w:hAnsi="Times New Roman" w:cs="Times New Roman" w:eastAsiaTheme="minorEastAsia"/>
          <w:color w:val="auto"/>
          <w:highlight w:val="none"/>
        </w:rPr>
      </w:pPr>
      <w:r>
        <w:rPr>
          <w:rFonts w:hint="eastAsia" w:ascii="Times New Roman" w:hAnsi="Times New Roman" w:cs="Times New Roman" w:eastAsiaTheme="minorEastAsia"/>
          <w:color w:val="auto"/>
          <w:highlight w:val="none"/>
        </w:rPr>
        <w:t>注：</w:t>
      </w:r>
      <w:r>
        <w:rPr>
          <w:rFonts w:ascii="Times New Roman" w:hAnsi="Times New Roman" w:cs="Times New Roman" w:eastAsiaTheme="minorEastAsia"/>
          <w:i/>
          <w:color w:val="auto"/>
          <w:highlight w:val="none"/>
        </w:rPr>
        <w:t>h</w:t>
      </w:r>
      <w:r>
        <w:rPr>
          <w:rFonts w:ascii="Times New Roman" w:hAnsi="Times New Roman" w:cs="Times New Roman" w:eastAsiaTheme="minorEastAsia"/>
          <w:color w:val="auto"/>
          <w:highlight w:val="none"/>
          <w:vertAlign w:val="subscript"/>
        </w:rPr>
        <w:t>e</w:t>
      </w:r>
      <w:r>
        <w:rPr>
          <w:rFonts w:ascii="Times New Roman" w:hAnsi="Times New Roman" w:cs="Times New Roman" w:eastAsiaTheme="minorEastAsia"/>
          <w:color w:val="auto"/>
          <w:highlight w:val="none"/>
        </w:rPr>
        <w:t>为下部螺栓距粱项的高度</w:t>
      </w:r>
      <w:r>
        <w:rPr>
          <w:rFonts w:hint="eastAsia" w:ascii="Times New Roman" w:hAnsi="Times New Roman" w:cs="Times New Roman" w:eastAsiaTheme="minorEastAsia"/>
          <w:color w:val="auto"/>
          <w:highlight w:val="none"/>
        </w:rPr>
        <w:t>；</w:t>
      </w:r>
      <w:r>
        <w:rPr>
          <w:rFonts w:ascii="Times New Roman" w:hAnsi="Times New Roman" w:cs="Times New Roman" w:eastAsiaTheme="minorEastAsia"/>
          <w:color w:val="auto"/>
          <w:highlight w:val="none"/>
        </w:rPr>
        <w:t>d为螺栓直径。</w:t>
      </w:r>
    </w:p>
    <w:p w14:paraId="425D9EBE">
      <w:pPr>
        <w:rPr>
          <w:rFonts w:ascii="Times New Roman" w:hAnsi="Times New Roman" w:cs="Times New Roman" w:eastAsiaTheme="minorEastAsia"/>
          <w:color w:val="auto"/>
          <w:highlight w:val="none"/>
        </w:rPr>
      </w:pPr>
    </w:p>
    <w:p w14:paraId="4E225035">
      <w:pPr>
        <w:pStyle w:val="4"/>
        <w:ind w:firstLineChars="0"/>
        <w:rPr>
          <w:color w:val="auto"/>
          <w:highlight w:val="none"/>
        </w:rPr>
      </w:pPr>
      <w:r>
        <w:rPr>
          <w:b/>
          <w:bCs/>
          <w:color w:val="auto"/>
          <w:highlight w:val="none"/>
        </w:rPr>
        <w:t xml:space="preserve">8.4.26 </w:t>
      </w:r>
      <w:r>
        <w:rPr>
          <w:rFonts w:hint="eastAsia"/>
          <w:b/>
          <w:bCs/>
          <w:color w:val="auto"/>
          <w:highlight w:val="none"/>
          <w:lang w:val="en-US" w:eastAsia="zh-CN"/>
        </w:rPr>
        <w:t xml:space="preserve"> </w:t>
      </w:r>
      <w:r>
        <w:rPr>
          <w:color w:val="auto"/>
          <w:highlight w:val="none"/>
        </w:rPr>
        <w:t>起支撑作用的檁条应与桁架或大梁可靠锚固，在台风地</w:t>
      </w:r>
      <w:r>
        <w:rPr>
          <w:rFonts w:hint="eastAsia"/>
          <w:color w:val="auto"/>
          <w:highlight w:val="none"/>
        </w:rPr>
        <w:t>区或在设防烈度</w:t>
      </w:r>
      <w:r>
        <w:rPr>
          <w:color w:val="auto"/>
          <w:highlight w:val="none"/>
        </w:rPr>
        <w:t>8度及8度以上地区，更应加强檩条与桁架、大</w:t>
      </w:r>
      <w:r>
        <w:rPr>
          <w:rFonts w:hint="eastAsia"/>
          <w:color w:val="auto"/>
          <w:highlight w:val="none"/>
        </w:rPr>
        <w:t>梁和端部山墙的锚固连接。采用螺栓锚固时，螺栓直径不应小于</w:t>
      </w:r>
      <w:r>
        <w:rPr>
          <w:color w:val="auto"/>
          <w:highlight w:val="none"/>
        </w:rPr>
        <w:t>12mm。</w:t>
      </w:r>
    </w:p>
    <w:p w14:paraId="33DB3ACD">
      <w:pPr>
        <w:pStyle w:val="4"/>
        <w:ind w:firstLineChars="0"/>
        <w:rPr>
          <w:rFonts w:hint="eastAsia"/>
          <w:color w:val="auto"/>
          <w:highlight w:val="none"/>
        </w:rPr>
      </w:pPr>
      <w:r>
        <w:rPr>
          <w:b/>
          <w:bCs/>
          <w:color w:val="auto"/>
          <w:highlight w:val="none"/>
        </w:rPr>
        <w:t>8.4.27</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在屋脊处和需外挑檐口的椽条应采用螺栓连接，其余椽条均可用钉连接固定。椽条接头应设在檩条处，相邻椽条接头至少应错开一个檩条间距。</w:t>
      </w:r>
    </w:p>
    <w:p w14:paraId="47F84862">
      <w:pPr>
        <w:ind w:firstLine="0" w:firstLineChars="0"/>
        <w:jc w:val="center"/>
        <w:outlineLvl w:val="9"/>
        <w:rPr>
          <w:rFonts w:ascii="黑体" w:hAnsi="黑体" w:eastAsia="黑体" w:cs="Times New Roman"/>
          <w:color w:val="auto"/>
          <w:highlight w:val="none"/>
        </w:rPr>
      </w:pPr>
      <w:r>
        <w:rPr>
          <w:rFonts w:hint="eastAsia" w:ascii="黑体" w:hAnsi="黑体" w:eastAsia="黑体" w:cs="Times New Roman"/>
          <w:color w:val="auto"/>
          <w:highlight w:val="none"/>
        </w:rPr>
        <w:t>（三）梁和柱的连接</w:t>
      </w:r>
    </w:p>
    <w:p w14:paraId="61A9266F">
      <w:pPr>
        <w:pStyle w:val="4"/>
        <w:ind w:firstLineChars="0"/>
        <w:rPr>
          <w:color w:val="auto"/>
          <w:highlight w:val="none"/>
        </w:rPr>
      </w:pPr>
      <w:r>
        <w:rPr>
          <w:b/>
          <w:bCs/>
          <w:color w:val="auto"/>
          <w:highlight w:val="none"/>
        </w:rPr>
        <w:t>8.4.28</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木梁与木柱或与钢柱在中间支座的连接，可采用</w:t>
      </w:r>
      <w:r>
        <w:rPr>
          <w:color w:val="auto"/>
          <w:highlight w:val="none"/>
        </w:rPr>
        <w:t>U形连</w:t>
      </w:r>
      <w:r>
        <w:rPr>
          <w:rFonts w:hint="eastAsia"/>
          <w:color w:val="auto"/>
          <w:highlight w:val="none"/>
        </w:rPr>
        <w:t>接件连接</w:t>
      </w:r>
      <w:r>
        <w:rPr>
          <w:color w:val="auto"/>
          <w:highlight w:val="none"/>
        </w:rPr>
        <w:t>(图8.4.28a、b)，或采用T形连接钢板连接(图8.4.28c)。当梁端局部承压不满足要求时，可在柱顶部附加底板。</w:t>
      </w:r>
    </w:p>
    <w:p w14:paraId="10D97647">
      <w:pPr>
        <w:ind w:firstLine="0" w:firstLineChars="0"/>
        <w:rPr>
          <w:rFonts w:ascii="Times New Roman" w:hAnsi="Times New Roman" w:cs="Times New Roman" w:eastAsiaTheme="minorEastAsia"/>
          <w:color w:val="auto"/>
          <w:highlight w:val="none"/>
        </w:rPr>
      </w:pPr>
      <w:r>
        <w:rPr>
          <w:color w:val="auto"/>
          <w:highlight w:val="none"/>
        </w:rPr>
        <w:drawing>
          <wp:inline distT="0" distB="0" distL="0" distR="0">
            <wp:extent cx="5730240" cy="1554480"/>
            <wp:effectExtent l="0" t="0" r="381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6"/>
                    <a:stretch>
                      <a:fillRect/>
                    </a:stretch>
                  </pic:blipFill>
                  <pic:spPr>
                    <a:xfrm>
                      <a:off x="0" y="0"/>
                      <a:ext cx="5730737" cy="1554615"/>
                    </a:xfrm>
                    <a:prstGeom prst="rect">
                      <a:avLst/>
                    </a:prstGeom>
                  </pic:spPr>
                </pic:pic>
              </a:graphicData>
            </a:graphic>
          </wp:inline>
        </w:drawing>
      </w:r>
    </w:p>
    <w:p w14:paraId="608229CC">
      <w:pPr>
        <w:pStyle w:val="44"/>
        <w:spacing w:line="240" w:lineRule="auto"/>
        <w:ind w:firstLineChars="0"/>
        <w:jc w:val="center"/>
        <w:rPr>
          <w:color w:val="auto"/>
          <w:highlight w:val="none"/>
        </w:rPr>
      </w:pPr>
      <w:r>
        <w:rPr>
          <w:rFonts w:hint="eastAsia"/>
          <w:color w:val="auto"/>
          <w:highlight w:val="none"/>
        </w:rPr>
        <w:t>图</w:t>
      </w:r>
      <w:r>
        <w:rPr>
          <w:color w:val="auto"/>
          <w:highlight w:val="none"/>
        </w:rPr>
        <w:t>8.4.28 梁柱在中间支座连接示意图.</w:t>
      </w:r>
    </w:p>
    <w:p w14:paraId="78C562D8">
      <w:pPr>
        <w:pStyle w:val="44"/>
        <w:spacing w:line="240" w:lineRule="auto"/>
        <w:ind w:firstLineChars="0"/>
        <w:jc w:val="center"/>
        <w:rPr>
          <w:color w:val="auto"/>
          <w:highlight w:val="none"/>
        </w:rPr>
      </w:pPr>
      <w:r>
        <w:rPr>
          <w:color w:val="auto"/>
          <w:highlight w:val="none"/>
        </w:rPr>
        <w:t>1—木柱</w:t>
      </w:r>
      <w:r>
        <w:rPr>
          <w:rFonts w:hint="eastAsia"/>
          <w:color w:val="auto"/>
          <w:highlight w:val="none"/>
        </w:rPr>
        <w:t>；</w:t>
      </w:r>
      <w:r>
        <w:rPr>
          <w:color w:val="auto"/>
          <w:highlight w:val="none"/>
        </w:rPr>
        <w:t>2-金属焊接连接件</w:t>
      </w:r>
      <w:r>
        <w:rPr>
          <w:rFonts w:hint="eastAsia"/>
          <w:color w:val="auto"/>
          <w:highlight w:val="none"/>
        </w:rPr>
        <w:t>；</w:t>
      </w:r>
      <w:r>
        <w:rPr>
          <w:color w:val="auto"/>
          <w:highlight w:val="none"/>
        </w:rPr>
        <w:t>3-螺栓</w:t>
      </w:r>
      <w:r>
        <w:rPr>
          <w:rFonts w:hint="eastAsia"/>
          <w:color w:val="auto"/>
          <w:highlight w:val="none"/>
        </w:rPr>
        <w:t>；</w:t>
      </w:r>
      <w:r>
        <w:rPr>
          <w:color w:val="auto"/>
          <w:highlight w:val="none"/>
        </w:rPr>
        <w:t>4—U形连接件(与钢柱焊接)</w:t>
      </w:r>
      <w:r>
        <w:rPr>
          <w:rFonts w:hint="eastAsia"/>
          <w:color w:val="auto"/>
          <w:highlight w:val="none"/>
        </w:rPr>
        <w:t>；</w:t>
      </w:r>
    </w:p>
    <w:p w14:paraId="6EE67013">
      <w:pPr>
        <w:pStyle w:val="44"/>
        <w:spacing w:line="240" w:lineRule="auto"/>
        <w:ind w:firstLineChars="0"/>
        <w:jc w:val="center"/>
        <w:rPr>
          <w:color w:val="auto"/>
          <w:highlight w:val="none"/>
        </w:rPr>
      </w:pPr>
      <w:r>
        <w:rPr>
          <w:color w:val="auto"/>
          <w:highlight w:val="none"/>
        </w:rPr>
        <w:t>5—两侧的T形连接件</w:t>
      </w:r>
    </w:p>
    <w:p w14:paraId="7ABF2780">
      <w:pPr>
        <w:pStyle w:val="4"/>
        <w:ind w:firstLineChars="0"/>
        <w:rPr>
          <w:color w:val="auto"/>
          <w:highlight w:val="none"/>
        </w:rPr>
      </w:pPr>
      <w:r>
        <w:rPr>
          <w:b/>
          <w:bCs/>
          <w:color w:val="auto"/>
          <w:highlight w:val="none"/>
        </w:rPr>
        <w:t>8.4.29</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梁在屋脊处与柱连接时，可采用柱项剖斜口的连接构造</w:t>
      </w:r>
      <w:r>
        <w:rPr>
          <w:color w:val="auto"/>
          <w:highlight w:val="none"/>
        </w:rPr>
        <w:t>(图8.4.29a)，也可采用在柱顶安装三角形填块的连接构造(图8.4.29b)。</w:t>
      </w:r>
    </w:p>
    <w:p w14:paraId="248EAC95">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5173980" cy="1703705"/>
            <wp:effectExtent l="0" t="0" r="7620" b="1079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7"/>
                    <a:stretch>
                      <a:fillRect/>
                    </a:stretch>
                  </pic:blipFill>
                  <pic:spPr>
                    <a:xfrm>
                      <a:off x="0" y="0"/>
                      <a:ext cx="5261068" cy="1732781"/>
                    </a:xfrm>
                    <a:prstGeom prst="rect">
                      <a:avLst/>
                    </a:prstGeom>
                  </pic:spPr>
                </pic:pic>
              </a:graphicData>
            </a:graphic>
          </wp:inline>
        </w:drawing>
      </w:r>
    </w:p>
    <w:p w14:paraId="20A3A081">
      <w:pPr>
        <w:pStyle w:val="44"/>
        <w:spacing w:line="240" w:lineRule="auto"/>
        <w:ind w:firstLineChars="0"/>
        <w:jc w:val="center"/>
        <w:rPr>
          <w:color w:val="auto"/>
          <w:highlight w:val="none"/>
        </w:rPr>
      </w:pPr>
      <w:r>
        <w:rPr>
          <w:rFonts w:hint="eastAsia"/>
          <w:color w:val="auto"/>
          <w:highlight w:val="none"/>
        </w:rPr>
        <w:t>图</w:t>
      </w:r>
      <w:r>
        <w:rPr>
          <w:color w:val="auto"/>
          <w:highlight w:val="none"/>
        </w:rPr>
        <w:t>8.4.29 梁柱在屋脊处连接构造示意图</w:t>
      </w:r>
    </w:p>
    <w:p w14:paraId="57CA58E9">
      <w:pPr>
        <w:pStyle w:val="44"/>
        <w:spacing w:line="240" w:lineRule="auto"/>
        <w:ind w:firstLineChars="0"/>
        <w:jc w:val="center"/>
        <w:rPr>
          <w:color w:val="auto"/>
          <w:highlight w:val="none"/>
        </w:rPr>
      </w:pPr>
      <w:r>
        <w:rPr>
          <w:color w:val="auto"/>
          <w:highlight w:val="none"/>
        </w:rPr>
        <w:t>1—两侧的T形连接件</w:t>
      </w:r>
      <w:r>
        <w:rPr>
          <w:rFonts w:hint="eastAsia"/>
          <w:color w:val="auto"/>
          <w:highlight w:val="none"/>
        </w:rPr>
        <w:t>；</w:t>
      </w:r>
      <w:r>
        <w:rPr>
          <w:color w:val="auto"/>
          <w:highlight w:val="none"/>
        </w:rPr>
        <w:t>2—柱顶斜面</w:t>
      </w:r>
      <w:r>
        <w:rPr>
          <w:rFonts w:hint="eastAsia"/>
          <w:color w:val="auto"/>
          <w:highlight w:val="none"/>
        </w:rPr>
        <w:t>；</w:t>
      </w:r>
      <w:r>
        <w:rPr>
          <w:color w:val="auto"/>
          <w:highlight w:val="none"/>
        </w:rPr>
        <w:t>3—两侧的金属连接板</w:t>
      </w:r>
      <w:r>
        <w:rPr>
          <w:rFonts w:hint="eastAsia"/>
          <w:color w:val="auto"/>
          <w:highlight w:val="none"/>
        </w:rPr>
        <w:t>；</w:t>
      </w:r>
      <w:r>
        <w:rPr>
          <w:color w:val="auto"/>
          <w:highlight w:val="none"/>
        </w:rPr>
        <w:t>4—三角形填块</w:t>
      </w:r>
    </w:p>
    <w:p w14:paraId="37845B64">
      <w:pPr>
        <w:pStyle w:val="4"/>
        <w:ind w:firstLineChars="0"/>
        <w:rPr>
          <w:color w:val="auto"/>
          <w:highlight w:val="none"/>
        </w:rPr>
      </w:pPr>
      <w:r>
        <w:rPr>
          <w:b/>
          <w:bCs/>
          <w:color w:val="auto"/>
          <w:highlight w:val="none"/>
        </w:rPr>
        <w:t xml:space="preserve">8.4.30 </w:t>
      </w:r>
      <w:r>
        <w:rPr>
          <w:rFonts w:hint="eastAsia"/>
          <w:b/>
          <w:bCs/>
          <w:color w:val="auto"/>
          <w:highlight w:val="none"/>
          <w:lang w:val="en-US" w:eastAsia="zh-CN"/>
        </w:rPr>
        <w:t xml:space="preserve"> </w:t>
      </w:r>
      <w:r>
        <w:rPr>
          <w:color w:val="auto"/>
          <w:highlight w:val="none"/>
        </w:rPr>
        <w:t>梁与木柱或与钢柱在端支座处的连接，可采用扁钢连接</w:t>
      </w:r>
      <w:r>
        <w:rPr>
          <w:rFonts w:hint="eastAsia"/>
          <w:color w:val="auto"/>
          <w:highlight w:val="none"/>
        </w:rPr>
        <w:t>件连接</w:t>
      </w:r>
      <w:r>
        <w:rPr>
          <w:color w:val="auto"/>
          <w:highlight w:val="none"/>
        </w:rPr>
        <w:t>(图8.4.30a)</w:t>
      </w:r>
      <w:r>
        <w:rPr>
          <w:rFonts w:hint="eastAsia"/>
          <w:color w:val="auto"/>
          <w:highlight w:val="none"/>
        </w:rPr>
        <w:t>，</w:t>
      </w:r>
      <w:r>
        <w:rPr>
          <w:color w:val="auto"/>
          <w:highlight w:val="none"/>
        </w:rPr>
        <w:t>或采用U形连接件连接(图8.4.30b)。当</w:t>
      </w:r>
      <w:r>
        <w:rPr>
          <w:rFonts w:hint="eastAsia"/>
          <w:color w:val="auto"/>
          <w:highlight w:val="none"/>
        </w:rPr>
        <w:t>要求连接件不外露时，梁与木柱连接可采用隐藏式连接构造</w:t>
      </w:r>
      <w:r>
        <w:rPr>
          <w:color w:val="auto"/>
          <w:highlight w:val="none"/>
        </w:rPr>
        <w:t>(图8.4.30c)。隐藏式连接应采用螺纹销进行连接，螺纹销在梁或柱</w:t>
      </w:r>
      <w:r>
        <w:rPr>
          <w:rFonts w:hint="eastAsia"/>
          <w:color w:val="auto"/>
          <w:highlight w:val="none"/>
        </w:rPr>
        <w:t>内的长度不应大于</w:t>
      </w:r>
      <w:r>
        <w:rPr>
          <w:color w:val="auto"/>
          <w:highlight w:val="none"/>
        </w:rPr>
        <w:t>150mm。</w:t>
      </w:r>
    </w:p>
    <w:p w14:paraId="306AD82B">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883150" cy="1627505"/>
            <wp:effectExtent l="0" t="0" r="12700" b="1079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8"/>
                    <a:stretch>
                      <a:fillRect/>
                    </a:stretch>
                  </pic:blipFill>
                  <pic:spPr>
                    <a:xfrm>
                      <a:off x="0" y="0"/>
                      <a:ext cx="4904397" cy="1634799"/>
                    </a:xfrm>
                    <a:prstGeom prst="rect">
                      <a:avLst/>
                    </a:prstGeom>
                  </pic:spPr>
                </pic:pic>
              </a:graphicData>
            </a:graphic>
          </wp:inline>
        </w:drawing>
      </w:r>
    </w:p>
    <w:p w14:paraId="58686498">
      <w:pPr>
        <w:pStyle w:val="44"/>
        <w:spacing w:line="240" w:lineRule="auto"/>
        <w:ind w:firstLineChars="0"/>
        <w:jc w:val="center"/>
        <w:rPr>
          <w:color w:val="auto"/>
          <w:highlight w:val="none"/>
        </w:rPr>
      </w:pPr>
      <w:r>
        <w:rPr>
          <w:rFonts w:hint="eastAsia"/>
          <w:color w:val="auto"/>
          <w:highlight w:val="none"/>
        </w:rPr>
        <w:t>图</w:t>
      </w:r>
      <w:r>
        <w:rPr>
          <w:color w:val="auto"/>
          <w:highlight w:val="none"/>
        </w:rPr>
        <w:t>8.4.30 梁柱在端支座上的连接示意图</w:t>
      </w:r>
    </w:p>
    <w:p w14:paraId="4BA91D7D">
      <w:pPr>
        <w:pStyle w:val="44"/>
        <w:spacing w:line="240" w:lineRule="auto"/>
        <w:ind w:firstLineChars="0"/>
        <w:jc w:val="center"/>
        <w:rPr>
          <w:rFonts w:hint="eastAsia"/>
          <w:color w:val="auto"/>
          <w:highlight w:val="none"/>
        </w:rPr>
      </w:pPr>
      <w:r>
        <w:rPr>
          <w:color w:val="auto"/>
          <w:highlight w:val="none"/>
        </w:rPr>
        <w:t>1—木柱</w:t>
      </w:r>
      <w:r>
        <w:rPr>
          <w:rFonts w:hint="eastAsia"/>
          <w:color w:val="auto"/>
          <w:highlight w:val="none"/>
        </w:rPr>
        <w:t>；</w:t>
      </w:r>
      <w:r>
        <w:rPr>
          <w:color w:val="auto"/>
          <w:highlight w:val="none"/>
        </w:rPr>
        <w:t>2—两侧扁钢连接件</w:t>
      </w:r>
      <w:r>
        <w:rPr>
          <w:rFonts w:hint="eastAsia"/>
          <w:color w:val="auto"/>
          <w:highlight w:val="none"/>
        </w:rPr>
        <w:t>；</w:t>
      </w:r>
      <w:r>
        <w:rPr>
          <w:color w:val="auto"/>
          <w:highlight w:val="none"/>
        </w:rPr>
        <w:t>3—螺栓</w:t>
      </w:r>
      <w:r>
        <w:rPr>
          <w:rFonts w:hint="eastAsia"/>
          <w:color w:val="auto"/>
          <w:highlight w:val="none"/>
        </w:rPr>
        <w:t>；</w:t>
      </w:r>
      <w:r>
        <w:rPr>
          <w:color w:val="auto"/>
          <w:highlight w:val="none"/>
        </w:rPr>
        <w:t>4—U形连接件(与钢柱焊接)</w:t>
      </w:r>
      <w:r>
        <w:rPr>
          <w:rFonts w:hint="eastAsia"/>
          <w:color w:val="auto"/>
          <w:highlight w:val="none"/>
        </w:rPr>
        <w:t>；</w:t>
      </w:r>
    </w:p>
    <w:p w14:paraId="65CD3182">
      <w:pPr>
        <w:pStyle w:val="44"/>
        <w:spacing w:line="240" w:lineRule="auto"/>
        <w:ind w:firstLineChars="0"/>
        <w:jc w:val="center"/>
        <w:rPr>
          <w:color w:val="auto"/>
          <w:highlight w:val="none"/>
        </w:rPr>
      </w:pPr>
      <w:r>
        <w:rPr>
          <w:color w:val="auto"/>
          <w:highlight w:val="none"/>
        </w:rPr>
        <w:t>5—螺纹销</w:t>
      </w:r>
      <w:r>
        <w:rPr>
          <w:rFonts w:hint="eastAsia"/>
          <w:color w:val="auto"/>
          <w:highlight w:val="none"/>
        </w:rPr>
        <w:t>；</w:t>
      </w:r>
      <w:r>
        <w:rPr>
          <w:color w:val="auto"/>
          <w:highlight w:val="none"/>
        </w:rPr>
        <w:t>6—凹槽安装孔</w:t>
      </w:r>
    </w:p>
    <w:p w14:paraId="2666B7A4">
      <w:pPr>
        <w:pStyle w:val="4"/>
        <w:ind w:firstLineChars="0"/>
        <w:rPr>
          <w:rFonts w:hint="eastAsia"/>
          <w:color w:val="auto"/>
          <w:highlight w:val="none"/>
        </w:rPr>
      </w:pPr>
      <w:r>
        <w:rPr>
          <w:b/>
          <w:bCs/>
          <w:color w:val="auto"/>
          <w:highlight w:val="none"/>
        </w:rPr>
        <w:t>8.4.31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当梁柱的截面宽度不同时，梁柱连接处可采用</w:t>
      </w:r>
      <w:r>
        <w:rPr>
          <w:color w:val="auto"/>
          <w:highlight w:val="none"/>
        </w:rPr>
        <w:t>U形连接</w:t>
      </w:r>
      <w:r>
        <w:rPr>
          <w:rFonts w:hint="eastAsia"/>
          <w:color w:val="auto"/>
          <w:highlight w:val="none"/>
        </w:rPr>
        <w:t>件和附加木垫块的连接构造。附加木垫块应由连接螺栓与梁或柱连接在一起。</w:t>
      </w:r>
    </w:p>
    <w:p w14:paraId="3C9519A1">
      <w:pPr>
        <w:ind w:firstLine="0" w:firstLineChars="0"/>
        <w:jc w:val="center"/>
        <w:outlineLvl w:val="9"/>
        <w:rPr>
          <w:rFonts w:ascii="黑体" w:hAnsi="黑体" w:eastAsia="黑体" w:cs="Times New Roman"/>
          <w:color w:val="auto"/>
          <w:highlight w:val="none"/>
        </w:rPr>
      </w:pPr>
      <w:r>
        <w:rPr>
          <w:rFonts w:hint="eastAsia" w:ascii="黑体" w:hAnsi="黑体" w:eastAsia="黑体" w:cs="Times New Roman"/>
          <w:color w:val="auto"/>
          <w:highlight w:val="none"/>
        </w:rPr>
        <w:t>（四）</w:t>
      </w:r>
      <w:r>
        <w:rPr>
          <w:rFonts w:ascii="黑体" w:hAnsi="黑体" w:eastAsia="黑体" w:cs="Times New Roman"/>
          <w:color w:val="auto"/>
          <w:highlight w:val="none"/>
        </w:rPr>
        <w:t>构件与基础的连接</w:t>
      </w:r>
    </w:p>
    <w:p w14:paraId="44AA9663">
      <w:pPr>
        <w:pStyle w:val="4"/>
        <w:ind w:firstLineChars="0"/>
        <w:rPr>
          <w:color w:val="auto"/>
          <w:highlight w:val="none"/>
        </w:rPr>
      </w:pPr>
      <w:r>
        <w:rPr>
          <w:b/>
          <w:bCs/>
          <w:color w:val="auto"/>
          <w:highlight w:val="none"/>
        </w:rPr>
        <w:t>8.4.32</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木柱与混凝土基础接触面应设置金属底板，底板的底面应高于地面，且不应小于</w:t>
      </w:r>
      <w:r>
        <w:rPr>
          <w:color w:val="auto"/>
          <w:highlight w:val="none"/>
        </w:rPr>
        <w:t>300mm。在木柱容易受到撞击破坏的</w:t>
      </w:r>
      <w:r>
        <w:rPr>
          <w:rFonts w:hint="eastAsia"/>
          <w:color w:val="auto"/>
          <w:highlight w:val="none"/>
        </w:rPr>
        <w:t>部位，应采取保护措施。长期暴露在室外或经常受到潮湿侵袭的木柱应作好防腐处理。</w:t>
      </w:r>
    </w:p>
    <w:p w14:paraId="3D0ACC65">
      <w:pPr>
        <w:pStyle w:val="4"/>
        <w:ind w:firstLineChars="0"/>
        <w:rPr>
          <w:color w:val="auto"/>
          <w:highlight w:val="none"/>
        </w:rPr>
      </w:pPr>
      <w:r>
        <w:rPr>
          <w:b/>
          <w:bCs/>
          <w:color w:val="auto"/>
          <w:highlight w:val="none"/>
        </w:rPr>
        <w:t xml:space="preserve">8.4.33 </w:t>
      </w:r>
      <w:r>
        <w:rPr>
          <w:rFonts w:hint="eastAsia"/>
          <w:b/>
          <w:bCs/>
          <w:color w:val="auto"/>
          <w:highlight w:val="none"/>
          <w:lang w:val="en-US" w:eastAsia="zh-CN"/>
        </w:rPr>
        <w:t xml:space="preserve"> </w:t>
      </w:r>
      <w:r>
        <w:rPr>
          <w:color w:val="auto"/>
          <w:highlight w:val="none"/>
        </w:rPr>
        <w:t>柱与基础的锚固可采用U形扁钢、角钢和柱靴(图8.4.33)。</w:t>
      </w:r>
    </w:p>
    <w:p w14:paraId="55C057E8">
      <w:pPr>
        <w:ind w:firstLine="0" w:firstLineChars="0"/>
        <w:rPr>
          <w:rFonts w:ascii="Times New Roman" w:hAnsi="Times New Roman" w:cs="Times New Roman" w:eastAsiaTheme="minorEastAsia"/>
          <w:color w:val="auto"/>
          <w:highlight w:val="none"/>
        </w:rPr>
      </w:pPr>
      <w:r>
        <w:rPr>
          <w:color w:val="auto"/>
          <w:highlight w:val="none"/>
        </w:rPr>
        <w:drawing>
          <wp:inline distT="0" distB="0" distL="0" distR="0">
            <wp:extent cx="5570220" cy="1562100"/>
            <wp:effectExtent l="0" t="0" r="1143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9"/>
                    <a:stretch>
                      <a:fillRect/>
                    </a:stretch>
                  </pic:blipFill>
                  <pic:spPr>
                    <a:xfrm>
                      <a:off x="0" y="0"/>
                      <a:ext cx="5570703" cy="1562235"/>
                    </a:xfrm>
                    <a:prstGeom prst="rect">
                      <a:avLst/>
                    </a:prstGeom>
                  </pic:spPr>
                </pic:pic>
              </a:graphicData>
            </a:graphic>
          </wp:inline>
        </w:drawing>
      </w:r>
    </w:p>
    <w:p w14:paraId="7C5A0724">
      <w:pPr>
        <w:pStyle w:val="44"/>
        <w:spacing w:line="240" w:lineRule="auto"/>
        <w:ind w:firstLineChars="0"/>
        <w:jc w:val="center"/>
        <w:rPr>
          <w:color w:val="auto"/>
          <w:highlight w:val="none"/>
        </w:rPr>
      </w:pPr>
      <w:r>
        <w:rPr>
          <w:rFonts w:hint="eastAsia"/>
          <w:color w:val="auto"/>
          <w:highlight w:val="none"/>
        </w:rPr>
        <w:t>图</w:t>
      </w:r>
      <w:r>
        <w:rPr>
          <w:color w:val="auto"/>
          <w:highlight w:val="none"/>
        </w:rPr>
        <w:t>8.4.33 柱与基础的锚固示意图</w:t>
      </w:r>
    </w:p>
    <w:p w14:paraId="461FD443">
      <w:pPr>
        <w:pStyle w:val="44"/>
        <w:spacing w:line="240" w:lineRule="auto"/>
        <w:ind w:firstLineChars="0"/>
        <w:jc w:val="center"/>
        <w:rPr>
          <w:color w:val="auto"/>
          <w:highlight w:val="none"/>
        </w:rPr>
      </w:pPr>
      <w:r>
        <w:rPr>
          <w:color w:val="auto"/>
          <w:highlight w:val="none"/>
        </w:rPr>
        <w:t>1—木柱</w:t>
      </w:r>
      <w:r>
        <w:rPr>
          <w:rFonts w:hint="eastAsia"/>
          <w:color w:val="auto"/>
          <w:highlight w:val="none"/>
        </w:rPr>
        <w:t>；</w:t>
      </w:r>
      <w:r>
        <w:rPr>
          <w:color w:val="auto"/>
          <w:highlight w:val="none"/>
        </w:rPr>
        <w:t>2—螺栓</w:t>
      </w:r>
      <w:r>
        <w:rPr>
          <w:rFonts w:hint="eastAsia"/>
          <w:color w:val="auto"/>
          <w:highlight w:val="none"/>
        </w:rPr>
        <w:t>；</w:t>
      </w:r>
      <w:r>
        <w:rPr>
          <w:color w:val="auto"/>
          <w:highlight w:val="none"/>
        </w:rPr>
        <w:t>3—金属底板</w:t>
      </w:r>
      <w:r>
        <w:rPr>
          <w:rFonts w:hint="eastAsia"/>
          <w:color w:val="auto"/>
          <w:highlight w:val="none"/>
        </w:rPr>
        <w:t>；</w:t>
      </w:r>
      <w:r>
        <w:rPr>
          <w:color w:val="auto"/>
          <w:highlight w:val="none"/>
        </w:rPr>
        <w:t>4—U形扁钢</w:t>
      </w:r>
      <w:r>
        <w:rPr>
          <w:rFonts w:hint="eastAsia"/>
          <w:color w:val="auto"/>
          <w:highlight w:val="none"/>
        </w:rPr>
        <w:t>；</w:t>
      </w:r>
      <w:r>
        <w:rPr>
          <w:color w:val="auto"/>
          <w:highlight w:val="none"/>
        </w:rPr>
        <w:t>5—角钢</w:t>
      </w:r>
      <w:r>
        <w:rPr>
          <w:rFonts w:hint="eastAsia"/>
          <w:color w:val="auto"/>
          <w:highlight w:val="none"/>
        </w:rPr>
        <w:t>；</w:t>
      </w:r>
    </w:p>
    <w:p w14:paraId="21A09170">
      <w:pPr>
        <w:pStyle w:val="44"/>
        <w:spacing w:line="240" w:lineRule="auto"/>
        <w:ind w:firstLineChars="0"/>
        <w:jc w:val="center"/>
        <w:rPr>
          <w:color w:val="auto"/>
          <w:highlight w:val="none"/>
        </w:rPr>
      </w:pPr>
      <w:r>
        <w:rPr>
          <w:color w:val="auto"/>
          <w:highlight w:val="none"/>
        </w:rPr>
        <w:t>6—地锚螺栓</w:t>
      </w:r>
      <w:r>
        <w:rPr>
          <w:rFonts w:hint="eastAsia"/>
          <w:color w:val="auto"/>
          <w:highlight w:val="none"/>
        </w:rPr>
        <w:t>；</w:t>
      </w:r>
      <w:r>
        <w:rPr>
          <w:color w:val="auto"/>
          <w:highlight w:val="none"/>
        </w:rPr>
        <w:t>7—焊接柱靴</w:t>
      </w:r>
      <w:r>
        <w:rPr>
          <w:rFonts w:hint="eastAsia"/>
          <w:color w:val="auto"/>
          <w:highlight w:val="none"/>
        </w:rPr>
        <w:t>；</w:t>
      </w:r>
      <w:r>
        <w:rPr>
          <w:color w:val="auto"/>
          <w:highlight w:val="none"/>
        </w:rPr>
        <w:t>8—嵌入孔洞(用于安装地锚螺栓)</w:t>
      </w:r>
    </w:p>
    <w:p w14:paraId="48A6CF1F">
      <w:pPr>
        <w:pStyle w:val="4"/>
        <w:ind w:firstLineChars="0"/>
        <w:rPr>
          <w:color w:val="auto"/>
          <w:highlight w:val="none"/>
        </w:rPr>
      </w:pPr>
      <w:r>
        <w:rPr>
          <w:b/>
          <w:bCs/>
          <w:color w:val="auto"/>
          <w:highlight w:val="none"/>
        </w:rPr>
        <w:t xml:space="preserve">8.4.34 </w:t>
      </w:r>
      <w:r>
        <w:rPr>
          <w:rFonts w:hint="eastAsia"/>
          <w:b/>
          <w:bCs/>
          <w:color w:val="auto"/>
          <w:highlight w:val="none"/>
          <w:lang w:val="en-US" w:eastAsia="zh-CN"/>
        </w:rPr>
        <w:t xml:space="preserve"> </w:t>
      </w:r>
      <w:r>
        <w:rPr>
          <w:rFonts w:hint="eastAsia"/>
          <w:color w:val="auto"/>
          <w:highlight w:val="none"/>
        </w:rPr>
        <w:t>当基础表面尺寸较小，柱两侧不能安装外露地锚螺栓时，可采用隐藏式地锚螺栓的连接构造</w:t>
      </w:r>
      <w:r>
        <w:rPr>
          <w:color w:val="auto"/>
          <w:highlight w:val="none"/>
        </w:rPr>
        <w:t>(图8.4.34)。</w:t>
      </w:r>
    </w:p>
    <w:p w14:paraId="12242614">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179445" cy="2296160"/>
            <wp:effectExtent l="0" t="0" r="1905"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0"/>
                    <a:stretch>
                      <a:fillRect/>
                    </a:stretch>
                  </pic:blipFill>
                  <pic:spPr>
                    <a:xfrm>
                      <a:off x="0" y="0"/>
                      <a:ext cx="3191614" cy="2305055"/>
                    </a:xfrm>
                    <a:prstGeom prst="rect">
                      <a:avLst/>
                    </a:prstGeom>
                  </pic:spPr>
                </pic:pic>
              </a:graphicData>
            </a:graphic>
          </wp:inline>
        </w:drawing>
      </w:r>
    </w:p>
    <w:p w14:paraId="543F60C6">
      <w:pPr>
        <w:pStyle w:val="44"/>
        <w:spacing w:line="240" w:lineRule="auto"/>
        <w:ind w:firstLineChars="0"/>
        <w:jc w:val="center"/>
        <w:rPr>
          <w:color w:val="auto"/>
          <w:highlight w:val="none"/>
        </w:rPr>
      </w:pPr>
      <w:r>
        <w:rPr>
          <w:rFonts w:hint="eastAsia"/>
          <w:color w:val="auto"/>
          <w:highlight w:val="none"/>
        </w:rPr>
        <w:t>图</w:t>
      </w:r>
      <w:r>
        <w:rPr>
          <w:color w:val="auto"/>
          <w:highlight w:val="none"/>
        </w:rPr>
        <w:t>8.4.34 隐藏式地锚螺栓连接构造示意图</w:t>
      </w:r>
    </w:p>
    <w:p w14:paraId="79C6CB21">
      <w:pPr>
        <w:pStyle w:val="44"/>
        <w:spacing w:line="240" w:lineRule="auto"/>
        <w:ind w:firstLineChars="0"/>
        <w:jc w:val="center"/>
        <w:rPr>
          <w:color w:val="auto"/>
          <w:highlight w:val="none"/>
        </w:rPr>
      </w:pPr>
      <w:r>
        <w:rPr>
          <w:color w:val="auto"/>
          <w:highlight w:val="none"/>
        </w:rPr>
        <w:t>1—木柱</w:t>
      </w:r>
      <w:r>
        <w:rPr>
          <w:rFonts w:hint="eastAsia"/>
          <w:color w:val="auto"/>
          <w:highlight w:val="none"/>
        </w:rPr>
        <w:t>；</w:t>
      </w:r>
      <w:r>
        <w:rPr>
          <w:color w:val="auto"/>
          <w:highlight w:val="none"/>
        </w:rPr>
        <w:t>2—螺栓</w:t>
      </w:r>
      <w:r>
        <w:rPr>
          <w:rFonts w:hint="eastAsia"/>
          <w:color w:val="auto"/>
          <w:highlight w:val="none"/>
        </w:rPr>
        <w:t>；</w:t>
      </w:r>
      <w:r>
        <w:rPr>
          <w:color w:val="auto"/>
          <w:highlight w:val="none"/>
        </w:rPr>
        <w:t>3—金属侧板</w:t>
      </w:r>
      <w:r>
        <w:rPr>
          <w:rFonts w:hint="eastAsia"/>
          <w:color w:val="auto"/>
          <w:highlight w:val="none"/>
        </w:rPr>
        <w:t>；</w:t>
      </w:r>
      <w:r>
        <w:rPr>
          <w:color w:val="auto"/>
          <w:highlight w:val="none"/>
        </w:rPr>
        <w:t>4—地锚螺栓</w:t>
      </w:r>
      <w:r>
        <w:rPr>
          <w:rFonts w:hint="eastAsia"/>
          <w:color w:val="auto"/>
          <w:highlight w:val="none"/>
        </w:rPr>
        <w:t>；</w:t>
      </w:r>
      <w:r>
        <w:rPr>
          <w:color w:val="auto"/>
          <w:highlight w:val="none"/>
        </w:rPr>
        <w:t>5—嵌入孔洞</w:t>
      </w:r>
    </w:p>
    <w:p w14:paraId="607C6BCC">
      <w:pPr>
        <w:pStyle w:val="4"/>
        <w:ind w:firstLineChars="0"/>
        <w:rPr>
          <w:color w:val="auto"/>
          <w:highlight w:val="none"/>
        </w:rPr>
      </w:pPr>
      <w:r>
        <w:rPr>
          <w:b/>
          <w:bCs/>
          <w:color w:val="auto"/>
          <w:highlight w:val="none"/>
        </w:rPr>
        <w:t xml:space="preserve">8.4.35 </w:t>
      </w:r>
      <w:r>
        <w:rPr>
          <w:rFonts w:hint="eastAsia"/>
          <w:b/>
          <w:bCs/>
          <w:color w:val="auto"/>
          <w:highlight w:val="none"/>
          <w:lang w:val="en-US" w:eastAsia="zh-CN"/>
        </w:rPr>
        <w:t xml:space="preserve"> </w:t>
      </w:r>
      <w:r>
        <w:rPr>
          <w:color w:val="auto"/>
          <w:highlight w:val="none"/>
        </w:rPr>
        <w:t>拱靴与地锚螺栓的连接可采用外露连接(图8.4.35a)</w:t>
      </w:r>
      <w:r>
        <w:rPr>
          <w:rFonts w:hint="eastAsia"/>
          <w:color w:val="auto"/>
          <w:highlight w:val="none"/>
        </w:rPr>
        <w:t>，或采用隐藏式连接</w:t>
      </w:r>
      <w:r>
        <w:rPr>
          <w:color w:val="auto"/>
          <w:highlight w:val="none"/>
        </w:rPr>
        <w:t>(图8.4.35b)。</w:t>
      </w:r>
    </w:p>
    <w:p w14:paraId="7732E0EA">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429000" cy="3013075"/>
            <wp:effectExtent l="0" t="0" r="0" b="158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1"/>
                    <a:stretch>
                      <a:fillRect/>
                    </a:stretch>
                  </pic:blipFill>
                  <pic:spPr>
                    <a:xfrm>
                      <a:off x="0" y="0"/>
                      <a:ext cx="3440557" cy="3023734"/>
                    </a:xfrm>
                    <a:prstGeom prst="rect">
                      <a:avLst/>
                    </a:prstGeom>
                  </pic:spPr>
                </pic:pic>
              </a:graphicData>
            </a:graphic>
          </wp:inline>
        </w:drawing>
      </w:r>
    </w:p>
    <w:p w14:paraId="19A283DA">
      <w:pPr>
        <w:pStyle w:val="44"/>
        <w:spacing w:line="240" w:lineRule="auto"/>
        <w:ind w:firstLineChars="0"/>
        <w:jc w:val="center"/>
        <w:rPr>
          <w:color w:val="auto"/>
          <w:highlight w:val="none"/>
        </w:rPr>
      </w:pPr>
      <w:r>
        <w:rPr>
          <w:rFonts w:hint="eastAsia"/>
          <w:color w:val="auto"/>
          <w:highlight w:val="none"/>
        </w:rPr>
        <w:t>图</w:t>
      </w:r>
      <w:r>
        <w:rPr>
          <w:color w:val="auto"/>
          <w:highlight w:val="none"/>
        </w:rPr>
        <w:t>8.4.35</w:t>
      </w:r>
      <w:r>
        <w:rPr>
          <w:rFonts w:hint="eastAsia"/>
          <w:color w:val="auto"/>
          <w:highlight w:val="none"/>
        </w:rPr>
        <w:t xml:space="preserve"> 拱靴与地锚螺栓连接构造</w:t>
      </w:r>
    </w:p>
    <w:p w14:paraId="0CF2385B">
      <w:pPr>
        <w:pStyle w:val="44"/>
        <w:spacing w:line="240" w:lineRule="auto"/>
        <w:ind w:firstLineChars="0"/>
        <w:jc w:val="center"/>
        <w:rPr>
          <w:color w:val="auto"/>
          <w:highlight w:val="none"/>
        </w:rPr>
      </w:pPr>
      <w:r>
        <w:rPr>
          <w:color w:val="auto"/>
          <w:highlight w:val="none"/>
        </w:rPr>
        <w:t>1—木拱</w:t>
      </w:r>
      <w:r>
        <w:rPr>
          <w:rFonts w:hint="eastAsia"/>
          <w:color w:val="auto"/>
          <w:highlight w:val="none"/>
        </w:rPr>
        <w:t>；</w:t>
      </w:r>
      <w:r>
        <w:rPr>
          <w:color w:val="auto"/>
          <w:highlight w:val="none"/>
        </w:rPr>
        <w:t>2—焊接连接件</w:t>
      </w:r>
      <w:r>
        <w:rPr>
          <w:rFonts w:hint="eastAsia"/>
          <w:color w:val="auto"/>
          <w:highlight w:val="none"/>
        </w:rPr>
        <w:t>；</w:t>
      </w:r>
      <w:r>
        <w:rPr>
          <w:color w:val="auto"/>
          <w:highlight w:val="none"/>
        </w:rPr>
        <w:t>3—金属底板</w:t>
      </w:r>
      <w:r>
        <w:rPr>
          <w:rFonts w:hint="eastAsia"/>
          <w:color w:val="auto"/>
          <w:highlight w:val="none"/>
        </w:rPr>
        <w:t>；</w:t>
      </w:r>
      <w:r>
        <w:rPr>
          <w:color w:val="auto"/>
          <w:highlight w:val="none"/>
        </w:rPr>
        <w:t>4—地锚螺</w:t>
      </w:r>
      <w:r>
        <w:rPr>
          <w:rFonts w:hint="eastAsia"/>
          <w:color w:val="auto"/>
          <w:highlight w:val="none"/>
        </w:rPr>
        <w:t>栓；</w:t>
      </w:r>
      <w:r>
        <w:rPr>
          <w:color w:val="auto"/>
          <w:highlight w:val="none"/>
        </w:rPr>
        <w:t>5—螺栓</w:t>
      </w:r>
      <w:r>
        <w:rPr>
          <w:rFonts w:hint="eastAsia"/>
          <w:color w:val="auto"/>
          <w:highlight w:val="none"/>
        </w:rPr>
        <w:t>；</w:t>
      </w:r>
    </w:p>
    <w:p w14:paraId="49A84167">
      <w:pPr>
        <w:pStyle w:val="44"/>
        <w:spacing w:line="240" w:lineRule="auto"/>
        <w:ind w:firstLineChars="0"/>
        <w:jc w:val="center"/>
        <w:rPr>
          <w:color w:val="auto"/>
          <w:highlight w:val="none"/>
        </w:rPr>
      </w:pPr>
      <w:r>
        <w:rPr>
          <w:color w:val="auto"/>
          <w:highlight w:val="none"/>
        </w:rPr>
        <w:t>6—嵌</w:t>
      </w:r>
      <w:r>
        <w:rPr>
          <w:rFonts w:hint="eastAsia"/>
          <w:color w:val="auto"/>
          <w:highlight w:val="none"/>
        </w:rPr>
        <w:t>入</w:t>
      </w:r>
      <w:r>
        <w:rPr>
          <w:color w:val="auto"/>
          <w:highlight w:val="none"/>
        </w:rPr>
        <w:t>孔洞(用于安装地锚螺栓)</w:t>
      </w:r>
    </w:p>
    <w:p w14:paraId="08C32216">
      <w:pPr>
        <w:pStyle w:val="4"/>
        <w:ind w:firstLineChars="0"/>
        <w:rPr>
          <w:color w:val="auto"/>
          <w:highlight w:val="none"/>
        </w:rPr>
      </w:pPr>
      <w:r>
        <w:rPr>
          <w:b/>
          <w:bCs/>
          <w:color w:val="auto"/>
          <w:highlight w:val="none"/>
        </w:rPr>
        <w:t>8.4.36</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拱脚与木梁连接时，拱脚连接件应采用剪板与木梁连接</w:t>
      </w:r>
      <w:r>
        <w:rPr>
          <w:color w:val="auto"/>
          <w:highlight w:val="none"/>
        </w:rPr>
        <w:t>(图8.4.36a)，剪板采用六角头木螺钉固定，剪板和六角头木螺</w:t>
      </w:r>
      <w:r>
        <w:rPr>
          <w:rFonts w:hint="eastAsia"/>
          <w:color w:val="auto"/>
          <w:highlight w:val="none"/>
        </w:rPr>
        <w:t>钉应位于构件截面中心线上。当拱脚与钢梁连接时，拱脚连接件与钢梁之问的连接应采用现场焊接</w:t>
      </w:r>
      <w:r>
        <w:rPr>
          <w:color w:val="auto"/>
          <w:highlight w:val="none"/>
        </w:rPr>
        <w:t>(图8.4.36b)。</w:t>
      </w:r>
    </w:p>
    <w:p w14:paraId="1BA09B76">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3892550" cy="1882775"/>
            <wp:effectExtent l="0" t="0" r="1270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2"/>
                    <a:stretch>
                      <a:fillRect/>
                    </a:stretch>
                  </pic:blipFill>
                  <pic:spPr>
                    <a:xfrm>
                      <a:off x="0" y="0"/>
                      <a:ext cx="3907561" cy="1890300"/>
                    </a:xfrm>
                    <a:prstGeom prst="rect">
                      <a:avLst/>
                    </a:prstGeom>
                  </pic:spPr>
                </pic:pic>
              </a:graphicData>
            </a:graphic>
          </wp:inline>
        </w:drawing>
      </w:r>
    </w:p>
    <w:p w14:paraId="2400C97D">
      <w:pPr>
        <w:pStyle w:val="44"/>
        <w:spacing w:line="240" w:lineRule="auto"/>
        <w:ind w:firstLineChars="0"/>
        <w:jc w:val="center"/>
        <w:rPr>
          <w:color w:val="auto"/>
          <w:highlight w:val="none"/>
        </w:rPr>
      </w:pPr>
      <w:r>
        <w:rPr>
          <w:rFonts w:hint="eastAsia"/>
          <w:color w:val="auto"/>
          <w:highlight w:val="none"/>
        </w:rPr>
        <w:t>图</w:t>
      </w:r>
      <w:r>
        <w:rPr>
          <w:color w:val="auto"/>
          <w:highlight w:val="none"/>
        </w:rPr>
        <w:t>8.4.36</w:t>
      </w:r>
      <w:r>
        <w:rPr>
          <w:rFonts w:hint="eastAsia"/>
          <w:color w:val="auto"/>
          <w:highlight w:val="none"/>
        </w:rPr>
        <w:t xml:space="preserve"> 拱与梁的连接构造</w:t>
      </w:r>
    </w:p>
    <w:p w14:paraId="24821DA1">
      <w:pPr>
        <w:pStyle w:val="44"/>
        <w:spacing w:line="240" w:lineRule="auto"/>
        <w:ind w:firstLineChars="0"/>
        <w:jc w:val="center"/>
        <w:rPr>
          <w:rFonts w:hint="eastAsia"/>
          <w:color w:val="auto"/>
          <w:highlight w:val="none"/>
        </w:rPr>
      </w:pPr>
      <w:r>
        <w:rPr>
          <w:color w:val="auto"/>
          <w:highlight w:val="none"/>
        </w:rPr>
        <w:t>1—木拱</w:t>
      </w:r>
      <w:r>
        <w:rPr>
          <w:rFonts w:hint="eastAsia"/>
          <w:color w:val="auto"/>
          <w:highlight w:val="none"/>
        </w:rPr>
        <w:t>；</w:t>
      </w:r>
      <w:r>
        <w:rPr>
          <w:color w:val="auto"/>
          <w:highlight w:val="none"/>
        </w:rPr>
        <w:t>2—木梁</w:t>
      </w:r>
      <w:r>
        <w:rPr>
          <w:rFonts w:hint="eastAsia"/>
          <w:color w:val="auto"/>
          <w:highlight w:val="none"/>
        </w:rPr>
        <w:t>；</w:t>
      </w:r>
      <w:r>
        <w:rPr>
          <w:color w:val="auto"/>
          <w:highlight w:val="none"/>
        </w:rPr>
        <w:t>3—焊接连接件</w:t>
      </w:r>
      <w:r>
        <w:rPr>
          <w:rFonts w:hint="eastAsia"/>
          <w:color w:val="auto"/>
          <w:highlight w:val="none"/>
        </w:rPr>
        <w:t>；</w:t>
      </w:r>
      <w:r>
        <w:rPr>
          <w:color w:val="auto"/>
          <w:highlight w:val="none"/>
        </w:rPr>
        <w:t>4—六角头木螺</w:t>
      </w:r>
      <w:r>
        <w:rPr>
          <w:rFonts w:hint="eastAsia"/>
          <w:color w:val="auto"/>
          <w:highlight w:val="none"/>
        </w:rPr>
        <w:t>钉；</w:t>
      </w:r>
      <w:r>
        <w:rPr>
          <w:color w:val="auto"/>
          <w:highlight w:val="none"/>
        </w:rPr>
        <w:t>5—剪板</w:t>
      </w:r>
      <w:r>
        <w:rPr>
          <w:rFonts w:hint="eastAsia"/>
          <w:color w:val="auto"/>
          <w:highlight w:val="none"/>
        </w:rPr>
        <w:t>；</w:t>
      </w:r>
    </w:p>
    <w:p w14:paraId="3AF5A068">
      <w:pPr>
        <w:pStyle w:val="44"/>
        <w:spacing w:line="240" w:lineRule="auto"/>
        <w:ind w:firstLineChars="0"/>
        <w:jc w:val="center"/>
        <w:rPr>
          <w:rFonts w:hint="eastAsia"/>
          <w:color w:val="auto"/>
          <w:highlight w:val="none"/>
        </w:rPr>
      </w:pPr>
      <w:r>
        <w:rPr>
          <w:color w:val="auto"/>
          <w:highlight w:val="none"/>
        </w:rPr>
        <w:t>6—嵌人孔洞(用于安装六角头木螺钉)</w:t>
      </w:r>
      <w:r>
        <w:rPr>
          <w:rFonts w:hint="eastAsia"/>
          <w:color w:val="auto"/>
          <w:highlight w:val="none"/>
        </w:rPr>
        <w:t>；</w:t>
      </w:r>
      <w:r>
        <w:rPr>
          <w:color w:val="auto"/>
          <w:highlight w:val="none"/>
        </w:rPr>
        <w:t>7—钢梁</w:t>
      </w:r>
      <w:r>
        <w:rPr>
          <w:rFonts w:hint="eastAsia"/>
          <w:color w:val="auto"/>
          <w:highlight w:val="none"/>
        </w:rPr>
        <w:t>；</w:t>
      </w:r>
      <w:r>
        <w:rPr>
          <w:color w:val="auto"/>
          <w:highlight w:val="none"/>
        </w:rPr>
        <w:t>8—现场焊接</w:t>
      </w:r>
    </w:p>
    <w:p w14:paraId="458A7182">
      <w:pPr>
        <w:pStyle w:val="4"/>
        <w:ind w:firstLineChars="0"/>
        <w:rPr>
          <w:color w:val="auto"/>
          <w:highlight w:val="none"/>
        </w:rPr>
      </w:pPr>
      <w:r>
        <w:rPr>
          <w:b/>
          <w:bCs/>
          <w:color w:val="auto"/>
          <w:highlight w:val="none"/>
        </w:rPr>
        <w:t>8.4.35</w:t>
      </w:r>
      <w:r>
        <w:rPr>
          <w:rFonts w:hint="eastAsia"/>
          <w:b/>
          <w:bCs/>
          <w:color w:val="auto"/>
          <w:highlight w:val="none"/>
          <w:lang w:val="en-US" w:eastAsia="zh-CN"/>
        </w:rPr>
        <w:t xml:space="preserve"> </w:t>
      </w:r>
      <w:r>
        <w:rPr>
          <w:rFonts w:hint="eastAsia"/>
          <w:b/>
          <w:bCs/>
          <w:color w:val="auto"/>
          <w:highlight w:val="none"/>
        </w:rPr>
        <w:t xml:space="preserve"> </w:t>
      </w:r>
      <w:r>
        <w:rPr>
          <w:rFonts w:hint="eastAsia"/>
          <w:color w:val="auto"/>
          <w:highlight w:val="none"/>
        </w:rPr>
        <w:t>当需要采用钢拉杆承载拱的外推作用力时，钢拉杆与拱的连接可采用钢拉杆与金属底板焊接</w:t>
      </w:r>
      <w:r>
        <w:rPr>
          <w:color w:val="auto"/>
          <w:highlight w:val="none"/>
        </w:rPr>
        <w:t>(图8.4.35a)，或采用杆端</w:t>
      </w:r>
      <w:r>
        <w:rPr>
          <w:rFonts w:hint="eastAsia"/>
          <w:color w:val="auto"/>
          <w:highlight w:val="none"/>
        </w:rPr>
        <w:t>有螺纹的钢拉杆与拱脚连接件连接</w:t>
      </w:r>
      <w:r>
        <w:rPr>
          <w:color w:val="auto"/>
          <w:highlight w:val="none"/>
        </w:rPr>
        <w:t>(图8.4.35b)，杆端固定螺帽</w:t>
      </w:r>
      <w:r>
        <w:rPr>
          <w:rFonts w:hint="eastAsia"/>
          <w:color w:val="auto"/>
          <w:highlight w:val="none"/>
        </w:rPr>
        <w:t>必须采用双螺帽。当拱的基础之间需要采用钢拉杆承载拱的外推作用力时，可在基础之间采用地锚钢拉杆</w:t>
      </w:r>
      <w:r>
        <w:rPr>
          <w:color w:val="auto"/>
          <w:highlight w:val="none"/>
        </w:rPr>
        <w:t>(图8.4.35c)。</w:t>
      </w:r>
    </w:p>
    <w:p w14:paraId="46775A5B">
      <w:pPr>
        <w:ind w:firstLine="0" w:firstLineChars="0"/>
        <w:jc w:val="center"/>
        <w:rPr>
          <w:rFonts w:ascii="Times New Roman" w:hAnsi="Times New Roman" w:cs="Times New Roman" w:eastAsiaTheme="minorEastAsia"/>
          <w:color w:val="auto"/>
          <w:highlight w:val="none"/>
        </w:rPr>
      </w:pPr>
      <w:r>
        <w:rPr>
          <w:color w:val="auto"/>
          <w:highlight w:val="none"/>
        </w:rPr>
        <w:drawing>
          <wp:inline distT="0" distB="0" distL="0" distR="0">
            <wp:extent cx="4370705" cy="1764030"/>
            <wp:effectExtent l="0" t="0" r="10795"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3"/>
                    <a:stretch>
                      <a:fillRect/>
                    </a:stretch>
                  </pic:blipFill>
                  <pic:spPr>
                    <a:xfrm>
                      <a:off x="0" y="0"/>
                      <a:ext cx="4376234" cy="1766416"/>
                    </a:xfrm>
                    <a:prstGeom prst="rect">
                      <a:avLst/>
                    </a:prstGeom>
                  </pic:spPr>
                </pic:pic>
              </a:graphicData>
            </a:graphic>
          </wp:inline>
        </w:drawing>
      </w:r>
    </w:p>
    <w:p w14:paraId="5C4CA678">
      <w:pPr>
        <w:pStyle w:val="44"/>
        <w:spacing w:line="240" w:lineRule="auto"/>
        <w:ind w:firstLineChars="0"/>
        <w:jc w:val="center"/>
        <w:rPr>
          <w:color w:val="auto"/>
          <w:highlight w:val="none"/>
        </w:rPr>
      </w:pPr>
      <w:r>
        <w:rPr>
          <w:rFonts w:hint="eastAsia"/>
          <w:color w:val="auto"/>
          <w:highlight w:val="none"/>
        </w:rPr>
        <w:t>图</w:t>
      </w:r>
      <w:r>
        <w:rPr>
          <w:color w:val="auto"/>
          <w:highlight w:val="none"/>
        </w:rPr>
        <w:t>8.4.35</w:t>
      </w:r>
      <w:r>
        <w:rPr>
          <w:rFonts w:hint="eastAsia"/>
          <w:color w:val="auto"/>
          <w:highlight w:val="none"/>
        </w:rPr>
        <w:t xml:space="preserve"> 拱和三种附加拉杆的构造</w:t>
      </w:r>
    </w:p>
    <w:p w14:paraId="1229771B">
      <w:pPr>
        <w:pStyle w:val="44"/>
        <w:spacing w:line="240" w:lineRule="auto"/>
        <w:ind w:firstLineChars="0"/>
        <w:jc w:val="center"/>
        <w:rPr>
          <w:color w:val="auto"/>
          <w:highlight w:val="none"/>
        </w:rPr>
      </w:pPr>
      <w:r>
        <w:rPr>
          <w:color w:val="auto"/>
          <w:highlight w:val="none"/>
        </w:rPr>
        <w:t>1—木拱</w:t>
      </w:r>
      <w:r>
        <w:rPr>
          <w:rFonts w:hint="eastAsia"/>
          <w:color w:val="auto"/>
          <w:highlight w:val="none"/>
        </w:rPr>
        <w:t>；</w:t>
      </w:r>
      <w:r>
        <w:rPr>
          <w:color w:val="auto"/>
          <w:highlight w:val="none"/>
        </w:rPr>
        <w:t>2—焊接连接件</w:t>
      </w:r>
      <w:r>
        <w:rPr>
          <w:rFonts w:hint="eastAsia"/>
          <w:color w:val="auto"/>
          <w:highlight w:val="none"/>
        </w:rPr>
        <w:t>；</w:t>
      </w:r>
      <w:r>
        <w:rPr>
          <w:color w:val="auto"/>
          <w:highlight w:val="none"/>
        </w:rPr>
        <w:t>3—金属底板</w:t>
      </w:r>
      <w:r>
        <w:rPr>
          <w:rFonts w:hint="eastAsia"/>
          <w:color w:val="auto"/>
          <w:highlight w:val="none"/>
        </w:rPr>
        <w:t>；</w:t>
      </w:r>
      <w:r>
        <w:rPr>
          <w:color w:val="auto"/>
          <w:highlight w:val="none"/>
        </w:rPr>
        <w:t>4—焊接钢拉杆</w:t>
      </w:r>
      <w:r>
        <w:rPr>
          <w:rFonts w:hint="eastAsia"/>
          <w:color w:val="auto"/>
          <w:highlight w:val="none"/>
        </w:rPr>
        <w:t>；</w:t>
      </w:r>
      <w:r>
        <w:rPr>
          <w:color w:val="auto"/>
          <w:highlight w:val="none"/>
        </w:rPr>
        <w:t>5—地锚螺栓</w:t>
      </w:r>
      <w:r>
        <w:rPr>
          <w:rFonts w:hint="eastAsia"/>
          <w:color w:val="auto"/>
          <w:highlight w:val="none"/>
        </w:rPr>
        <w:t>；</w:t>
      </w:r>
      <w:r>
        <w:rPr>
          <w:color w:val="auto"/>
          <w:highlight w:val="none"/>
        </w:rPr>
        <w:t>6—地面标高</w:t>
      </w:r>
      <w:r>
        <w:rPr>
          <w:rFonts w:hint="eastAsia"/>
          <w:color w:val="auto"/>
          <w:highlight w:val="none"/>
        </w:rPr>
        <w:t>；</w:t>
      </w:r>
      <w:r>
        <w:rPr>
          <w:color w:val="auto"/>
          <w:highlight w:val="none"/>
        </w:rPr>
        <w:t>7—杆端带螺纹拉杆</w:t>
      </w:r>
      <w:r>
        <w:rPr>
          <w:rFonts w:hint="eastAsia"/>
          <w:color w:val="auto"/>
          <w:highlight w:val="none"/>
        </w:rPr>
        <w:t>；</w:t>
      </w:r>
      <w:r>
        <w:rPr>
          <w:color w:val="auto"/>
          <w:highlight w:val="none"/>
        </w:rPr>
        <w:t>8—地锚拉杆</w:t>
      </w:r>
    </w:p>
    <w:p w14:paraId="64CE9113">
      <w:pPr>
        <w:pStyle w:val="4"/>
        <w:ind w:firstLineChars="0"/>
        <w:rPr>
          <w:color w:val="auto"/>
          <w:highlight w:val="none"/>
        </w:rPr>
      </w:pPr>
      <w:r>
        <w:rPr>
          <w:b/>
          <w:bCs/>
          <w:color w:val="auto"/>
          <w:highlight w:val="none"/>
        </w:rPr>
        <w:t>8.4.36</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当拱与基础之间按铰连接设计时，拱靴应通过钢基座与基础连接，拱靴与钢基座之间采用圆销连接</w:t>
      </w:r>
      <w:r>
        <w:rPr>
          <w:color w:val="auto"/>
          <w:highlight w:val="none"/>
        </w:rPr>
        <w:t>(图8.4.36a)。当拱</w:t>
      </w:r>
      <w:r>
        <w:rPr>
          <w:rFonts w:hint="eastAsia"/>
          <w:color w:val="auto"/>
          <w:highlight w:val="none"/>
        </w:rPr>
        <w:t>与基础之间不是铰连接设计时，拱靴可通过地锚螺栓直接与基础连接</w:t>
      </w:r>
      <w:r>
        <w:rPr>
          <w:color w:val="auto"/>
          <w:highlight w:val="none"/>
        </w:rPr>
        <w:t>(图8.4.36b)。连接拱与拱靴的紧固件应位于构件截面中心</w:t>
      </w:r>
      <w:r>
        <w:rPr>
          <w:rFonts w:hint="eastAsia"/>
          <w:color w:val="auto"/>
          <w:highlight w:val="none"/>
        </w:rPr>
        <w:t>线附近，紧固件应符合最小间距的要求。</w:t>
      </w:r>
    </w:p>
    <w:p w14:paraId="387C9E3F">
      <w:pPr>
        <w:ind w:firstLine="0" w:firstLineChars="0"/>
        <w:rPr>
          <w:rFonts w:ascii="Times New Roman" w:hAnsi="Times New Roman" w:cs="Times New Roman" w:eastAsiaTheme="minorEastAsia"/>
          <w:color w:val="auto"/>
          <w:highlight w:val="none"/>
        </w:rPr>
      </w:pPr>
      <w:r>
        <w:rPr>
          <w:color w:val="auto"/>
          <w:highlight w:val="none"/>
        </w:rPr>
        <w:drawing>
          <wp:inline distT="0" distB="0" distL="0" distR="0">
            <wp:extent cx="5097780" cy="2125980"/>
            <wp:effectExtent l="0" t="0" r="762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4"/>
                    <a:stretch>
                      <a:fillRect/>
                    </a:stretch>
                  </pic:blipFill>
                  <pic:spPr>
                    <a:xfrm>
                      <a:off x="0" y="0"/>
                      <a:ext cx="5098222" cy="2126164"/>
                    </a:xfrm>
                    <a:prstGeom prst="rect">
                      <a:avLst/>
                    </a:prstGeom>
                  </pic:spPr>
                </pic:pic>
              </a:graphicData>
            </a:graphic>
          </wp:inline>
        </w:drawing>
      </w:r>
    </w:p>
    <w:p w14:paraId="1F62825B">
      <w:pPr>
        <w:pStyle w:val="44"/>
        <w:spacing w:line="240" w:lineRule="auto"/>
        <w:ind w:firstLineChars="0"/>
        <w:jc w:val="center"/>
        <w:rPr>
          <w:color w:val="auto"/>
          <w:highlight w:val="none"/>
        </w:rPr>
      </w:pPr>
      <w:r>
        <w:rPr>
          <w:rFonts w:hint="eastAsia"/>
          <w:color w:val="auto"/>
          <w:highlight w:val="none"/>
        </w:rPr>
        <w:t>图</w:t>
      </w:r>
      <w:r>
        <w:rPr>
          <w:color w:val="auto"/>
          <w:highlight w:val="none"/>
        </w:rPr>
        <w:t>8.4.36</w:t>
      </w:r>
      <w:r>
        <w:rPr>
          <w:rFonts w:hint="eastAsia"/>
          <w:color w:val="auto"/>
          <w:highlight w:val="none"/>
        </w:rPr>
        <w:t xml:space="preserve"> 拱于基础之间的连接构造</w:t>
      </w:r>
    </w:p>
    <w:p w14:paraId="4966414D">
      <w:pPr>
        <w:pStyle w:val="44"/>
        <w:spacing w:line="240" w:lineRule="auto"/>
        <w:ind w:firstLineChars="0"/>
        <w:jc w:val="center"/>
        <w:rPr>
          <w:rFonts w:hint="eastAsia"/>
          <w:color w:val="auto"/>
          <w:highlight w:val="none"/>
        </w:rPr>
      </w:pPr>
      <w:r>
        <w:rPr>
          <w:color w:val="auto"/>
          <w:highlight w:val="none"/>
        </w:rPr>
        <w:t>1—木拱</w:t>
      </w:r>
      <w:r>
        <w:rPr>
          <w:rFonts w:hint="eastAsia"/>
          <w:color w:val="auto"/>
          <w:highlight w:val="none"/>
        </w:rPr>
        <w:t>；</w:t>
      </w:r>
      <w:r>
        <w:rPr>
          <w:color w:val="auto"/>
          <w:highlight w:val="none"/>
        </w:rPr>
        <w:t>2—拱靴</w:t>
      </w:r>
      <w:r>
        <w:rPr>
          <w:rFonts w:hint="eastAsia"/>
          <w:color w:val="auto"/>
          <w:highlight w:val="none"/>
        </w:rPr>
        <w:t>；</w:t>
      </w:r>
      <w:r>
        <w:rPr>
          <w:color w:val="auto"/>
          <w:highlight w:val="none"/>
        </w:rPr>
        <w:t>3—钢基座</w:t>
      </w:r>
      <w:r>
        <w:rPr>
          <w:rFonts w:hint="eastAsia"/>
          <w:color w:val="auto"/>
          <w:highlight w:val="none"/>
        </w:rPr>
        <w:t>；</w:t>
      </w:r>
      <w:r>
        <w:rPr>
          <w:color w:val="auto"/>
          <w:highlight w:val="none"/>
        </w:rPr>
        <w:t>4—圆销</w:t>
      </w:r>
      <w:r>
        <w:rPr>
          <w:rFonts w:hint="eastAsia"/>
          <w:color w:val="auto"/>
          <w:highlight w:val="none"/>
        </w:rPr>
        <w:t>；</w:t>
      </w:r>
      <w:r>
        <w:rPr>
          <w:color w:val="auto"/>
          <w:highlight w:val="none"/>
        </w:rPr>
        <w:t>5—椭圆形螺栓孔</w:t>
      </w:r>
      <w:r>
        <w:rPr>
          <w:rFonts w:hint="eastAsia"/>
          <w:color w:val="auto"/>
          <w:highlight w:val="none"/>
        </w:rPr>
        <w:t>；</w:t>
      </w:r>
    </w:p>
    <w:p w14:paraId="68FF9975">
      <w:pPr>
        <w:pStyle w:val="44"/>
        <w:spacing w:line="240" w:lineRule="auto"/>
        <w:ind w:firstLineChars="0"/>
        <w:jc w:val="center"/>
        <w:rPr>
          <w:color w:val="auto"/>
          <w:highlight w:val="none"/>
        </w:rPr>
      </w:pPr>
      <w:r>
        <w:rPr>
          <w:color w:val="auto"/>
          <w:highlight w:val="none"/>
        </w:rPr>
        <w:t>6—底部预留排水孔</w:t>
      </w:r>
      <w:r>
        <w:rPr>
          <w:rFonts w:hint="eastAsia"/>
          <w:color w:val="auto"/>
          <w:highlight w:val="none"/>
        </w:rPr>
        <w:t>；</w:t>
      </w:r>
      <w:r>
        <w:rPr>
          <w:color w:val="auto"/>
          <w:highlight w:val="none"/>
        </w:rPr>
        <w:t>7—地锚螺栓</w:t>
      </w:r>
      <w:r>
        <w:rPr>
          <w:rFonts w:hint="eastAsia"/>
          <w:color w:val="auto"/>
          <w:highlight w:val="none"/>
        </w:rPr>
        <w:t>；</w:t>
      </w:r>
      <w:r>
        <w:rPr>
          <w:color w:val="auto"/>
          <w:highlight w:val="none"/>
        </w:rPr>
        <w:t>8—螺栓靠近截面中心</w:t>
      </w:r>
    </w:p>
    <w:p w14:paraId="5D4EC46B">
      <w:pPr>
        <w:ind w:firstLine="0" w:firstLineChars="0"/>
        <w:jc w:val="center"/>
        <w:rPr>
          <w:rFonts w:hint="eastAsia" w:ascii="Times New Roman" w:hAnsi="Times New Roman" w:cs="Times New Roman" w:eastAsiaTheme="minorEastAsia"/>
          <w:color w:val="auto"/>
          <w:highlight w:val="none"/>
        </w:rPr>
      </w:pPr>
    </w:p>
    <w:p w14:paraId="56FCFF0A">
      <w:pPr>
        <w:ind w:firstLine="0" w:firstLineChars="0"/>
        <w:jc w:val="center"/>
        <w:outlineLvl w:val="9"/>
        <w:rPr>
          <w:rFonts w:ascii="黑体" w:hAnsi="黑体" w:eastAsia="黑体" w:cs="Times New Roman"/>
          <w:color w:val="auto"/>
          <w:highlight w:val="none"/>
        </w:rPr>
      </w:pPr>
      <w:r>
        <w:rPr>
          <w:rFonts w:hint="eastAsia" w:ascii="黑体" w:hAnsi="黑体" w:eastAsia="黑体" w:cs="Times New Roman"/>
          <w:color w:val="auto"/>
          <w:highlight w:val="none"/>
        </w:rPr>
        <w:t>（五）拱</w:t>
      </w:r>
      <w:r>
        <w:rPr>
          <w:rFonts w:ascii="黑体" w:hAnsi="黑体" w:eastAsia="黑体" w:cs="Times New Roman"/>
          <w:color w:val="auto"/>
          <w:highlight w:val="none"/>
        </w:rPr>
        <w:t>构件</w:t>
      </w:r>
      <w:r>
        <w:rPr>
          <w:rFonts w:hint="eastAsia" w:ascii="黑体" w:hAnsi="黑体" w:eastAsia="黑体" w:cs="Times New Roman"/>
          <w:color w:val="auto"/>
          <w:highlight w:val="none"/>
        </w:rPr>
        <w:t>、</w:t>
      </w:r>
      <w:r>
        <w:rPr>
          <w:rFonts w:ascii="黑体" w:hAnsi="黑体" w:eastAsia="黑体" w:cs="Times New Roman"/>
          <w:color w:val="auto"/>
          <w:highlight w:val="none"/>
        </w:rPr>
        <w:t>桁架构件的连接</w:t>
      </w:r>
    </w:p>
    <w:p w14:paraId="10FFBB35">
      <w:pPr>
        <w:pStyle w:val="4"/>
        <w:ind w:firstLineChars="0"/>
        <w:rPr>
          <w:color w:val="auto"/>
          <w:highlight w:val="none"/>
        </w:rPr>
      </w:pPr>
      <w:r>
        <w:rPr>
          <w:b/>
          <w:bCs/>
          <w:color w:val="auto"/>
          <w:highlight w:val="none"/>
        </w:rPr>
        <w:t xml:space="preserve">8.4.37 </w:t>
      </w:r>
      <w:r>
        <w:rPr>
          <w:rFonts w:hint="eastAsia"/>
          <w:b/>
          <w:bCs/>
          <w:color w:val="auto"/>
          <w:highlight w:val="none"/>
          <w:lang w:val="en-US" w:eastAsia="zh-CN"/>
        </w:rPr>
        <w:t xml:space="preserve"> </w:t>
      </w:r>
      <w:r>
        <w:rPr>
          <w:rFonts w:hint="eastAsia"/>
          <w:color w:val="auto"/>
          <w:highlight w:val="none"/>
        </w:rPr>
        <w:t>胶合</w:t>
      </w:r>
      <w:r>
        <w:rPr>
          <w:color w:val="auto"/>
          <w:highlight w:val="none"/>
        </w:rPr>
        <w:t>木结构</w:t>
      </w:r>
      <w:r>
        <w:rPr>
          <w:rFonts w:hint="eastAsia"/>
          <w:color w:val="auto"/>
          <w:highlight w:val="none"/>
        </w:rPr>
        <w:t>拱</w:t>
      </w:r>
      <w:r>
        <w:rPr>
          <w:color w:val="auto"/>
          <w:highlight w:val="none"/>
        </w:rPr>
        <w:t>构件</w:t>
      </w:r>
      <w:r>
        <w:rPr>
          <w:rFonts w:hint="eastAsia"/>
          <w:color w:val="auto"/>
          <w:highlight w:val="none"/>
        </w:rPr>
        <w:t>、</w:t>
      </w:r>
      <w:r>
        <w:rPr>
          <w:color w:val="auto"/>
          <w:highlight w:val="none"/>
        </w:rPr>
        <w:t>桁架构件的连接</w:t>
      </w:r>
      <w:r>
        <w:rPr>
          <w:rFonts w:hint="eastAsia"/>
          <w:color w:val="auto"/>
          <w:highlight w:val="none"/>
        </w:rPr>
        <w:t>构造</w:t>
      </w:r>
      <w:r>
        <w:rPr>
          <w:color w:val="auto"/>
          <w:highlight w:val="none"/>
        </w:rPr>
        <w:t>应满足</w:t>
      </w:r>
      <w:r>
        <w:rPr>
          <w:rFonts w:hint="eastAsia"/>
          <w:color w:val="auto"/>
          <w:highlight w:val="none"/>
        </w:rPr>
        <w:t>现行国家标准</w:t>
      </w:r>
      <w:r>
        <w:rPr>
          <w:color w:val="auto"/>
          <w:highlight w:val="none"/>
        </w:rPr>
        <w:t>《胶合木结构技术规范》GB/T50708中的有关规定</w:t>
      </w:r>
      <w:r>
        <w:rPr>
          <w:rFonts w:hint="eastAsia"/>
          <w:color w:val="auto"/>
          <w:highlight w:val="none"/>
        </w:rPr>
        <w:t>。</w:t>
      </w:r>
    </w:p>
    <w:p w14:paraId="4722E82D">
      <w:pPr>
        <w:ind w:firstLine="0" w:firstLineChars="0"/>
        <w:jc w:val="center"/>
        <w:outlineLvl w:val="9"/>
        <w:rPr>
          <w:rFonts w:hint="eastAsia" w:ascii="黑体" w:hAnsi="黑体" w:eastAsia="黑体" w:cs="Times New Roman"/>
          <w:color w:val="auto"/>
          <w:highlight w:val="none"/>
        </w:rPr>
      </w:pPr>
      <w:r>
        <w:rPr>
          <w:rFonts w:hint="eastAsia" w:ascii="黑体" w:hAnsi="黑体" w:eastAsia="黑体" w:cs="Times New Roman"/>
          <w:color w:val="auto"/>
          <w:highlight w:val="none"/>
        </w:rPr>
        <w:t>（六）</w:t>
      </w:r>
      <w:r>
        <w:rPr>
          <w:rFonts w:ascii="黑体" w:hAnsi="黑体" w:eastAsia="黑体" w:cs="Times New Roman"/>
          <w:color w:val="auto"/>
          <w:highlight w:val="none"/>
        </w:rPr>
        <w:t>构件</w:t>
      </w:r>
      <w:r>
        <w:rPr>
          <w:rFonts w:hint="eastAsia" w:ascii="黑体" w:hAnsi="黑体" w:eastAsia="黑体" w:cs="Times New Roman"/>
          <w:color w:val="auto"/>
          <w:highlight w:val="none"/>
        </w:rPr>
        <w:t>耐久性构造</w:t>
      </w:r>
    </w:p>
    <w:p w14:paraId="46A03E07">
      <w:pPr>
        <w:pStyle w:val="4"/>
        <w:ind w:firstLineChars="0"/>
        <w:rPr>
          <w:color w:val="auto"/>
          <w:highlight w:val="none"/>
        </w:rPr>
      </w:pPr>
      <w:r>
        <w:rPr>
          <w:b/>
          <w:bCs/>
          <w:color w:val="auto"/>
          <w:highlight w:val="none"/>
        </w:rPr>
        <w:t xml:space="preserve">8.4.38 </w:t>
      </w:r>
      <w:r>
        <w:rPr>
          <w:rFonts w:hint="eastAsia"/>
          <w:b/>
          <w:bCs/>
          <w:color w:val="auto"/>
          <w:highlight w:val="none"/>
          <w:lang w:val="en-US" w:eastAsia="zh-CN"/>
        </w:rPr>
        <w:t xml:space="preserve"> </w:t>
      </w:r>
      <w:r>
        <w:rPr>
          <w:rFonts w:hint="eastAsia"/>
          <w:color w:val="auto"/>
          <w:highlight w:val="none"/>
        </w:rPr>
        <w:t>胶合</w:t>
      </w:r>
      <w:r>
        <w:rPr>
          <w:color w:val="auto"/>
          <w:highlight w:val="none"/>
        </w:rPr>
        <w:t>木结构构件的</w:t>
      </w:r>
      <w:r>
        <w:rPr>
          <w:rFonts w:hint="eastAsia"/>
          <w:color w:val="auto"/>
          <w:highlight w:val="none"/>
        </w:rPr>
        <w:t>耐久性构造</w:t>
      </w:r>
      <w:r>
        <w:rPr>
          <w:color w:val="auto"/>
          <w:highlight w:val="none"/>
        </w:rPr>
        <w:t>应满足</w:t>
      </w:r>
      <w:r>
        <w:rPr>
          <w:rFonts w:hint="eastAsia"/>
          <w:color w:val="auto"/>
          <w:highlight w:val="none"/>
        </w:rPr>
        <w:t>现行国家标准</w:t>
      </w:r>
      <w:r>
        <w:rPr>
          <w:color w:val="auto"/>
          <w:highlight w:val="none"/>
        </w:rPr>
        <w:t>《胶合木结构技术规范》GB/T50708中的有关规定</w:t>
      </w:r>
      <w:r>
        <w:rPr>
          <w:rFonts w:hint="eastAsia"/>
          <w:color w:val="auto"/>
          <w:highlight w:val="none"/>
        </w:rPr>
        <w:t>。</w:t>
      </w:r>
    </w:p>
    <w:p w14:paraId="370D578A">
      <w:pPr>
        <w:pStyle w:val="2"/>
        <w:bidi w:val="0"/>
        <w:rPr>
          <w:rFonts w:hint="eastAsia"/>
          <w:color w:val="auto"/>
          <w:highlight w:val="none"/>
          <w:lang w:val="en-US" w:eastAsia="zh-CN"/>
        </w:rPr>
      </w:pPr>
      <w:bookmarkStart w:id="191" w:name="_Toc30804"/>
      <w:bookmarkStart w:id="192" w:name="_Toc10276"/>
      <w:r>
        <w:rPr>
          <w:rFonts w:hint="eastAsia"/>
          <w:color w:val="auto"/>
          <w:highlight w:val="none"/>
          <w:lang w:val="en-US" w:eastAsia="zh-CN"/>
        </w:rPr>
        <w:t>9  节能与隔声设计</w:t>
      </w:r>
      <w:bookmarkEnd w:id="177"/>
      <w:bookmarkEnd w:id="191"/>
      <w:bookmarkEnd w:id="192"/>
    </w:p>
    <w:p w14:paraId="05855700">
      <w:pPr>
        <w:pStyle w:val="3"/>
        <w:spacing w:before="156" w:after="156"/>
        <w:rPr>
          <w:color w:val="auto"/>
          <w:highlight w:val="none"/>
          <w:lang w:eastAsia="zh-CN"/>
        </w:rPr>
      </w:pPr>
      <w:bookmarkStart w:id="193" w:name="_Toc22564"/>
      <w:bookmarkStart w:id="194" w:name="_Toc16942"/>
      <w:bookmarkStart w:id="195" w:name="_Toc14732"/>
      <w:bookmarkStart w:id="196" w:name="_Toc14333"/>
      <w:r>
        <w:rPr>
          <w:rFonts w:hint="eastAsia"/>
          <w:color w:val="auto"/>
          <w:highlight w:val="none"/>
          <w:lang w:eastAsia="zh-CN"/>
        </w:rPr>
        <w:t>9.1  一般规定</w:t>
      </w:r>
      <w:bookmarkEnd w:id="193"/>
      <w:bookmarkEnd w:id="194"/>
      <w:bookmarkEnd w:id="195"/>
      <w:bookmarkEnd w:id="196"/>
    </w:p>
    <w:p w14:paraId="776F0476">
      <w:pPr>
        <w:pStyle w:val="4"/>
        <w:bidi w:val="0"/>
        <w:rPr>
          <w:rFonts w:hint="eastAsia"/>
          <w:color w:val="auto"/>
          <w:highlight w:val="none"/>
        </w:rPr>
      </w:pPr>
      <w:bookmarkStart w:id="197" w:name="_Toc8038"/>
      <w:r>
        <w:rPr>
          <w:rFonts w:hint="eastAsia"/>
          <w:b/>
          <w:bCs/>
          <w:color w:val="auto"/>
          <w:highlight w:val="none"/>
          <w:lang w:val="en-US" w:eastAsia="zh-CN"/>
        </w:rPr>
        <w:t xml:space="preserve">9.1.1  </w:t>
      </w:r>
      <w:r>
        <w:rPr>
          <w:rFonts w:hint="eastAsia"/>
          <w:color w:val="auto"/>
          <w:highlight w:val="none"/>
          <w:lang w:val="en-US" w:eastAsia="zh-CN"/>
        </w:rPr>
        <w:t>木结构</w:t>
      </w:r>
      <w:r>
        <w:rPr>
          <w:rFonts w:hint="eastAsia"/>
          <w:color w:val="auto"/>
          <w:highlight w:val="none"/>
        </w:rPr>
        <w:t>建筑</w:t>
      </w:r>
      <w:r>
        <w:rPr>
          <w:rFonts w:hint="eastAsia"/>
          <w:color w:val="auto"/>
          <w:highlight w:val="none"/>
          <w:lang w:val="en-US" w:eastAsia="zh-CN"/>
        </w:rPr>
        <w:t>节能</w:t>
      </w:r>
      <w:r>
        <w:rPr>
          <w:rFonts w:hint="eastAsia"/>
          <w:color w:val="auto"/>
          <w:highlight w:val="none"/>
        </w:rPr>
        <w:t>设计宜</w:t>
      </w:r>
      <w:r>
        <w:rPr>
          <w:rFonts w:hint="eastAsia"/>
          <w:color w:val="auto"/>
          <w:highlight w:val="none"/>
          <w:lang w:val="en-US" w:eastAsia="zh-CN"/>
        </w:rPr>
        <w:t>遵循被动节能措施优先的原则</w:t>
      </w:r>
      <w:r>
        <w:rPr>
          <w:rFonts w:hint="eastAsia"/>
          <w:color w:val="auto"/>
          <w:highlight w:val="none"/>
        </w:rPr>
        <w:t>，应优化建筑形体、空间布局</w:t>
      </w:r>
      <w:r>
        <w:rPr>
          <w:rFonts w:hint="eastAsia"/>
          <w:color w:val="auto"/>
          <w:highlight w:val="none"/>
          <w:lang w:eastAsia="zh-CN"/>
        </w:rPr>
        <w:t>，</w:t>
      </w:r>
      <w:r>
        <w:rPr>
          <w:rFonts w:hint="eastAsia"/>
          <w:color w:val="auto"/>
          <w:highlight w:val="none"/>
          <w:lang w:val="en-US" w:eastAsia="zh-CN"/>
        </w:rPr>
        <w:t>充分利用</w:t>
      </w:r>
      <w:r>
        <w:rPr>
          <w:rFonts w:hint="eastAsia"/>
          <w:color w:val="auto"/>
          <w:highlight w:val="none"/>
        </w:rPr>
        <w:t>自然采光、自然通风</w:t>
      </w:r>
      <w:r>
        <w:rPr>
          <w:rFonts w:hint="eastAsia"/>
          <w:color w:val="auto"/>
          <w:highlight w:val="none"/>
          <w:lang w:eastAsia="zh-CN"/>
        </w:rPr>
        <w:t>，</w:t>
      </w:r>
      <w:r>
        <w:rPr>
          <w:rFonts w:hint="eastAsia"/>
          <w:color w:val="auto"/>
          <w:highlight w:val="none"/>
          <w:lang w:val="en-US" w:eastAsia="zh-CN"/>
        </w:rPr>
        <w:t>改善</w:t>
      </w:r>
      <w:r>
        <w:rPr>
          <w:rFonts w:hint="eastAsia"/>
          <w:color w:val="auto"/>
          <w:highlight w:val="none"/>
        </w:rPr>
        <w:t>围护结构保温隔热</w:t>
      </w:r>
      <w:r>
        <w:rPr>
          <w:rFonts w:hint="eastAsia"/>
          <w:color w:val="auto"/>
          <w:highlight w:val="none"/>
          <w:lang w:val="en-US" w:eastAsia="zh-CN"/>
        </w:rPr>
        <w:t>性能</w:t>
      </w:r>
      <w:r>
        <w:rPr>
          <w:rFonts w:hint="eastAsia"/>
          <w:color w:val="auto"/>
          <w:highlight w:val="none"/>
        </w:rPr>
        <w:t>，降低建筑供暖、空调和照明系统的能耗。</w:t>
      </w:r>
    </w:p>
    <w:p w14:paraId="5A01506D">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9.1.1：本条明确了实现建筑节能的一般技术途经。建筑节能应根据场地和气候条件，在满足建筑功能和美观的前提下，通过优化建筑外形和内部空间布局，充分利用天然采光以减少建筑的人工照明需求，适时合理利用自然通风以消除建筑余热余湿。在保证室内环境质量，满足人们对室内舒适度要求的前提下，优先考虑优化围护结构保温隔热能力，减少通过维护结构形成的建筑冷热负荷，降低建筑用能需求。</w:t>
      </w:r>
    </w:p>
    <w:p w14:paraId="1E1F42B4">
      <w:pPr>
        <w:rPr>
          <w:rFonts w:hint="default"/>
          <w:color w:val="auto"/>
          <w:highlight w:val="none"/>
          <w:lang w:val="en-US" w:eastAsia="zh-CN"/>
        </w:rPr>
      </w:pPr>
    </w:p>
    <w:p w14:paraId="1DC87631">
      <w:pPr>
        <w:pStyle w:val="4"/>
        <w:bidi w:val="0"/>
        <w:rPr>
          <w:rFonts w:hint="eastAsia"/>
          <w:color w:val="auto"/>
          <w:highlight w:val="none"/>
        </w:rPr>
      </w:pPr>
      <w:r>
        <w:rPr>
          <w:rFonts w:hint="eastAsia"/>
          <w:b/>
          <w:bCs/>
          <w:color w:val="auto"/>
          <w:highlight w:val="none"/>
          <w:lang w:val="en-US" w:eastAsia="zh-CN"/>
        </w:rPr>
        <w:t xml:space="preserve">9.1.2  </w:t>
      </w:r>
      <w:r>
        <w:rPr>
          <w:rFonts w:hint="eastAsia"/>
          <w:color w:val="auto"/>
          <w:highlight w:val="none"/>
          <w:lang w:val="en-US" w:eastAsia="zh-CN"/>
        </w:rPr>
        <w:t>木结构</w:t>
      </w:r>
      <w:r>
        <w:rPr>
          <w:rFonts w:hint="eastAsia"/>
          <w:color w:val="auto"/>
          <w:highlight w:val="none"/>
        </w:rPr>
        <w:t>建筑的气候分区应符合现行国家标准《民用建筑热工设计规范》GB 50176 中夏热冬暖地区和夏热冬冷地区的相关规定。</w:t>
      </w:r>
    </w:p>
    <w:p w14:paraId="2AF54544">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9.1..2：本条明确了广西区内木结构建筑气候分区应遵循的国家标准。</w:t>
      </w:r>
    </w:p>
    <w:p w14:paraId="5BD819B9">
      <w:pPr>
        <w:rPr>
          <w:rFonts w:hint="default"/>
          <w:color w:val="auto"/>
          <w:highlight w:val="none"/>
          <w:lang w:val="en-US"/>
        </w:rPr>
      </w:pPr>
    </w:p>
    <w:p w14:paraId="58C061FF">
      <w:pPr>
        <w:pStyle w:val="4"/>
        <w:bidi w:val="0"/>
        <w:rPr>
          <w:rFonts w:hint="eastAsia"/>
          <w:color w:val="auto"/>
          <w:highlight w:val="none"/>
        </w:rPr>
      </w:pPr>
      <w:r>
        <w:rPr>
          <w:rFonts w:hint="eastAsia"/>
          <w:b/>
          <w:bCs/>
          <w:color w:val="auto"/>
          <w:highlight w:val="none"/>
          <w:lang w:val="en-US" w:eastAsia="zh-CN"/>
        </w:rPr>
        <w:t xml:space="preserve">9.1.3  </w:t>
      </w:r>
      <w:r>
        <w:rPr>
          <w:rFonts w:hint="eastAsia"/>
          <w:color w:val="auto"/>
          <w:highlight w:val="none"/>
          <w:lang w:val="en-US" w:eastAsia="zh-CN"/>
        </w:rPr>
        <w:t>木结构</w:t>
      </w:r>
      <w:r>
        <w:rPr>
          <w:rFonts w:hint="eastAsia"/>
          <w:color w:val="auto"/>
          <w:highlight w:val="none"/>
        </w:rPr>
        <w:t>建筑</w:t>
      </w:r>
      <w:r>
        <w:rPr>
          <w:rFonts w:hint="eastAsia"/>
          <w:color w:val="auto"/>
          <w:highlight w:val="none"/>
          <w:lang w:val="en-US" w:eastAsia="zh-CN"/>
        </w:rPr>
        <w:t>主要功能房间的的室内噪声级和隔声性能</w:t>
      </w:r>
      <w:r>
        <w:rPr>
          <w:rFonts w:hint="eastAsia"/>
          <w:color w:val="auto"/>
          <w:highlight w:val="none"/>
        </w:rPr>
        <w:t>应符合现行国家标准《民用建筑隔声设计规范》GB 50118的</w:t>
      </w:r>
      <w:r>
        <w:rPr>
          <w:rFonts w:hint="eastAsia"/>
          <w:color w:val="auto"/>
          <w:highlight w:val="none"/>
          <w:lang w:val="en-US" w:eastAsia="zh-CN"/>
        </w:rPr>
        <w:t>低限要求</w:t>
      </w:r>
      <w:r>
        <w:rPr>
          <w:rFonts w:hint="eastAsia"/>
          <w:color w:val="auto"/>
          <w:highlight w:val="none"/>
        </w:rPr>
        <w:t>。</w:t>
      </w:r>
    </w:p>
    <w:p w14:paraId="6B7AA090">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9.1.3：本条所指噪声控制对象包括室内自身声源和室外噪声。提高建筑构造的隔声降噪能力对使用者的健康非常必要。</w:t>
      </w:r>
    </w:p>
    <w:p w14:paraId="53E625B5">
      <w:pPr>
        <w:rPr>
          <w:rFonts w:hint="default"/>
          <w:color w:val="auto"/>
          <w:highlight w:val="none"/>
          <w:lang w:val="en-US"/>
        </w:rPr>
      </w:pPr>
    </w:p>
    <w:p w14:paraId="028EB440">
      <w:pPr>
        <w:pStyle w:val="4"/>
        <w:bidi w:val="0"/>
        <w:rPr>
          <w:rFonts w:hint="eastAsia"/>
          <w:color w:val="auto"/>
          <w:highlight w:val="none"/>
        </w:rPr>
      </w:pPr>
      <w:r>
        <w:rPr>
          <w:rFonts w:hint="eastAsia"/>
          <w:b/>
          <w:bCs/>
          <w:color w:val="auto"/>
          <w:highlight w:val="none"/>
          <w:lang w:val="en-US" w:eastAsia="zh-CN"/>
        </w:rPr>
        <w:t xml:space="preserve">9.1.4  </w:t>
      </w:r>
      <w:r>
        <w:rPr>
          <w:rFonts w:hint="eastAsia"/>
          <w:color w:val="auto"/>
          <w:highlight w:val="none"/>
        </w:rPr>
        <w:t>建筑布局应使建筑基地内的人流、车流与物流合理分流，防止干扰，并应有利于消防、停车、人员集散以及无障碍设施的设置。其中居住建筑应远离噪声源，并应采取隔声降噪措施。设计时，宜根据隔声降噪措施进行噪声预测模拟分析。</w:t>
      </w:r>
    </w:p>
    <w:p w14:paraId="01A99F7A">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9.1.4：对室外声源的控制，应首先在规划选址阶段就做综合考量，建筑设计时应进行合理的平面布局，避免或降低主要功能房间受到室外交通、活动区域等的干扰。</w:t>
      </w:r>
    </w:p>
    <w:p w14:paraId="5A969FDF">
      <w:pPr>
        <w:rPr>
          <w:rFonts w:hint="default"/>
          <w:color w:val="auto"/>
          <w:highlight w:val="none"/>
          <w:lang w:val="en-US" w:eastAsia="zh-CN"/>
        </w:rPr>
      </w:pPr>
    </w:p>
    <w:p w14:paraId="2AEB4DCD">
      <w:pPr>
        <w:pStyle w:val="4"/>
        <w:bidi w:val="0"/>
        <w:rPr>
          <w:rFonts w:hint="eastAsia"/>
          <w:color w:val="auto"/>
          <w:highlight w:val="none"/>
        </w:rPr>
      </w:pPr>
      <w:r>
        <w:rPr>
          <w:rFonts w:hint="eastAsia"/>
          <w:b/>
          <w:bCs/>
          <w:color w:val="auto"/>
          <w:highlight w:val="none"/>
          <w:lang w:val="en-US" w:eastAsia="zh-CN"/>
        </w:rPr>
        <w:t xml:space="preserve">9.1.5  </w:t>
      </w:r>
      <w:r>
        <w:rPr>
          <w:rFonts w:hint="eastAsia"/>
          <w:color w:val="auto"/>
          <w:highlight w:val="none"/>
        </w:rPr>
        <w:t>建筑外门窗应满足节能、通风、防火、防水、防潮和隔声的要求，且应符合抗风压、水密性、气密性、耐久性要求。</w:t>
      </w:r>
    </w:p>
    <w:p w14:paraId="0FFE3833">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9.1.5：门窗是实现建筑物理性能的极其重要的功能性构件，本条对外门窗提出了具体的功能性与热工性能要求。</w:t>
      </w:r>
    </w:p>
    <w:p w14:paraId="37FE12CD">
      <w:pPr>
        <w:rPr>
          <w:rFonts w:hint="eastAsia"/>
          <w:color w:val="auto"/>
          <w:highlight w:val="none"/>
          <w:lang w:val="en-US" w:eastAsia="zh-CN"/>
        </w:rPr>
      </w:pPr>
    </w:p>
    <w:p w14:paraId="5FE91641">
      <w:pPr>
        <w:pStyle w:val="4"/>
        <w:bidi w:val="0"/>
        <w:rPr>
          <w:rFonts w:hint="eastAsia"/>
          <w:color w:val="auto"/>
          <w:highlight w:val="none"/>
          <w:lang w:val="en-US" w:eastAsia="zh-CN"/>
        </w:rPr>
      </w:pPr>
      <w:r>
        <w:rPr>
          <w:rFonts w:hint="eastAsia"/>
          <w:b/>
          <w:bCs/>
          <w:color w:val="auto"/>
          <w:highlight w:val="none"/>
          <w:lang w:val="en-US" w:eastAsia="zh-CN"/>
        </w:rPr>
        <w:t xml:space="preserve">9.1.6  </w:t>
      </w:r>
      <w:r>
        <w:rPr>
          <w:rFonts w:hint="eastAsia"/>
          <w:color w:val="auto"/>
          <w:highlight w:val="none"/>
          <w:lang w:val="en-US" w:eastAsia="zh-CN"/>
        </w:rPr>
        <w:t>木结构建筑在节能固碳方面有天然的优势，对环境效益及碳中和要求较高的多层小型公建及居住类建筑宜采用木结构建筑形式。</w:t>
      </w:r>
    </w:p>
    <w:p w14:paraId="2ADE55EF">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9.1.6：木结构建筑对比钢结构、钢筋混凝土结构建筑，因其材料自重轻、易加工、强度高、韧性好等特点，在材料的物化阶段、建设阶段、使用阶段及降解或再利用阶段所消耗的能源和对生态环境的破坏是最小的。</w:t>
      </w:r>
    </w:p>
    <w:p w14:paraId="586C2D12">
      <w:pPr>
        <w:pStyle w:val="3"/>
        <w:spacing w:before="156" w:after="156"/>
        <w:rPr>
          <w:rFonts w:hint="eastAsia"/>
          <w:color w:val="auto"/>
          <w:highlight w:val="none"/>
          <w:lang w:eastAsia="zh-CN"/>
        </w:rPr>
      </w:pPr>
      <w:bookmarkStart w:id="198" w:name="_Toc17125"/>
      <w:bookmarkStart w:id="199" w:name="_Toc10995"/>
      <w:bookmarkStart w:id="200" w:name="_Toc1440"/>
      <w:r>
        <w:rPr>
          <w:rFonts w:hint="eastAsia"/>
          <w:color w:val="auto"/>
          <w:highlight w:val="none"/>
          <w:lang w:eastAsia="zh-CN"/>
        </w:rPr>
        <w:t>9.2  节  能</w:t>
      </w:r>
      <w:bookmarkEnd w:id="197"/>
      <w:bookmarkEnd w:id="198"/>
      <w:bookmarkEnd w:id="199"/>
      <w:bookmarkEnd w:id="200"/>
    </w:p>
    <w:p w14:paraId="5C4F8149">
      <w:pPr>
        <w:pStyle w:val="4"/>
        <w:bidi w:val="0"/>
        <w:rPr>
          <w:rFonts w:hint="eastAsia"/>
          <w:color w:val="auto"/>
          <w:highlight w:val="none"/>
        </w:rPr>
      </w:pPr>
      <w:r>
        <w:rPr>
          <w:rFonts w:hint="eastAsia"/>
          <w:b/>
          <w:bCs/>
          <w:color w:val="auto"/>
          <w:highlight w:val="none"/>
          <w:lang w:val="en-US" w:eastAsia="zh-CN"/>
        </w:rPr>
        <w:t xml:space="preserve">9.2.1  </w:t>
      </w:r>
      <w:r>
        <w:rPr>
          <w:rFonts w:hint="eastAsia"/>
          <w:color w:val="auto"/>
          <w:highlight w:val="none"/>
          <w:lang w:val="en-US" w:eastAsia="zh-CN"/>
        </w:rPr>
        <w:t>木结构</w:t>
      </w:r>
      <w:r>
        <w:rPr>
          <w:rFonts w:hint="eastAsia"/>
          <w:color w:val="auto"/>
          <w:highlight w:val="none"/>
        </w:rPr>
        <w:t>建筑物的体型系数、窗墙面积比、围护结构的热工性能、外窗的气密性能和屋顶透明部分面积比，应符合国家现行标准《民用建筑热工设计规范》GB 50176、《公共建筑节能设计标准》GB 50189、《夏热冬冷地区居住建筑节能设计标准》JGJ 134、《夏热冬暖地区居住建筑节能设计标准》JGJ 75、《广西壮族自治区居住建筑节能设计标准》DBJ45/029和《公建节能设计标准》DBJ/T45-042的规定。</w:t>
      </w:r>
    </w:p>
    <w:p w14:paraId="7B7A81FD">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9.1.6：本条对影响建筑物节能的因素提出了具体的设计参照标准。标准包括现行的国家标准与地方标准。建筑围护结构的节能设计是实现建筑节能的关键。不同类型的木结构建筑的节能设计应符合国家和地方相关的标准要求。条件允许时，可适当提高节能设计要求，体现木结构建筑在保温节能方面的优异性能。</w:t>
      </w:r>
    </w:p>
    <w:p w14:paraId="65E7D7F8">
      <w:pPr>
        <w:rPr>
          <w:rFonts w:hint="default"/>
          <w:color w:val="auto"/>
          <w:highlight w:val="none"/>
          <w:lang w:val="en-US" w:eastAsia="zh-CN"/>
        </w:rPr>
      </w:pPr>
    </w:p>
    <w:p w14:paraId="355BB7BB">
      <w:pPr>
        <w:pStyle w:val="4"/>
        <w:bidi w:val="0"/>
        <w:rPr>
          <w:rFonts w:hint="eastAsia"/>
          <w:color w:val="auto"/>
          <w:highlight w:val="none"/>
          <w:lang w:val="en-US" w:eastAsia="zh-CN"/>
        </w:rPr>
      </w:pPr>
      <w:r>
        <w:rPr>
          <w:rFonts w:hint="eastAsia"/>
          <w:b/>
          <w:bCs/>
          <w:color w:val="auto"/>
          <w:highlight w:val="none"/>
          <w:lang w:val="en-US" w:eastAsia="zh-CN"/>
        </w:rPr>
        <w:t xml:space="preserve">9.2.2 </w:t>
      </w:r>
      <w:r>
        <w:rPr>
          <w:rFonts w:hint="eastAsia"/>
          <w:b/>
          <w:bCs/>
          <w:color w:val="auto"/>
          <w:highlight w:val="none"/>
        </w:rPr>
        <w:t xml:space="preserve"> </w:t>
      </w:r>
      <w:r>
        <w:rPr>
          <w:rFonts w:hint="eastAsia"/>
          <w:color w:val="auto"/>
          <w:highlight w:val="none"/>
        </w:rPr>
        <w:t>外墙</w:t>
      </w:r>
      <w:r>
        <w:rPr>
          <w:rFonts w:hint="eastAsia"/>
          <w:color w:val="auto"/>
          <w:highlight w:val="none"/>
          <w:lang w:val="en-US" w:eastAsia="zh-CN"/>
        </w:rPr>
        <w:t>常规构造做法如下（从内至外）：</w:t>
      </w:r>
    </w:p>
    <w:p w14:paraId="405C2684">
      <w:pPr>
        <w:pStyle w:val="4"/>
        <w:bidi w:val="0"/>
        <w:ind w:firstLine="480" w:firstLineChars="200"/>
        <w:rPr>
          <w:rFonts w:hint="eastAsia"/>
          <w:color w:val="auto"/>
          <w:highlight w:val="none"/>
          <w:lang w:val="en-US" w:eastAsia="zh-CN"/>
        </w:rPr>
      </w:pPr>
      <w:r>
        <w:rPr>
          <w:rFonts w:hint="eastAsia"/>
          <w:color w:val="auto"/>
          <w:highlight w:val="none"/>
          <w:lang w:val="en-US" w:eastAsia="zh-CN"/>
        </w:rPr>
        <w:t>1  石膏板或其他内饰面；</w:t>
      </w:r>
    </w:p>
    <w:p w14:paraId="5503431F">
      <w:pPr>
        <w:pStyle w:val="4"/>
        <w:bidi w:val="0"/>
        <w:ind w:firstLine="480" w:firstLineChars="200"/>
        <w:rPr>
          <w:rFonts w:hint="eastAsia"/>
          <w:color w:val="auto"/>
          <w:highlight w:val="none"/>
          <w:lang w:val="en-US" w:eastAsia="zh-CN"/>
        </w:rPr>
      </w:pPr>
      <w:r>
        <w:rPr>
          <w:rFonts w:hint="eastAsia"/>
          <w:color w:val="auto"/>
          <w:highlight w:val="none"/>
          <w:lang w:val="en-US" w:eastAsia="zh-CN"/>
        </w:rPr>
        <w:t>2  墙骨柱或木龙骨（内填保温材料）；</w:t>
      </w:r>
    </w:p>
    <w:p w14:paraId="0F70CB1D">
      <w:pPr>
        <w:pStyle w:val="4"/>
        <w:bidi w:val="0"/>
        <w:ind w:firstLine="480" w:firstLineChars="200"/>
        <w:rPr>
          <w:rFonts w:hint="eastAsia"/>
          <w:color w:val="auto"/>
          <w:highlight w:val="none"/>
          <w:lang w:val="en-US" w:eastAsia="zh-CN"/>
        </w:rPr>
      </w:pPr>
      <w:r>
        <w:rPr>
          <w:rFonts w:hint="eastAsia"/>
          <w:color w:val="auto"/>
          <w:highlight w:val="none"/>
          <w:lang w:val="en-US" w:eastAsia="zh-CN"/>
        </w:rPr>
        <w:t>3  墙面板；</w:t>
      </w:r>
    </w:p>
    <w:p w14:paraId="61CE33AD">
      <w:pPr>
        <w:pStyle w:val="4"/>
        <w:bidi w:val="0"/>
        <w:ind w:firstLine="480" w:firstLineChars="200"/>
        <w:rPr>
          <w:rFonts w:hint="eastAsia"/>
          <w:color w:val="auto"/>
          <w:highlight w:val="none"/>
          <w:lang w:val="en-US" w:eastAsia="zh-CN"/>
        </w:rPr>
      </w:pPr>
      <w:r>
        <w:rPr>
          <w:rFonts w:hint="eastAsia"/>
          <w:color w:val="auto"/>
          <w:highlight w:val="none"/>
          <w:lang w:val="en-US" w:eastAsia="zh-CN"/>
        </w:rPr>
        <w:t>4  防水透气膜；</w:t>
      </w:r>
    </w:p>
    <w:p w14:paraId="4E73990C">
      <w:pPr>
        <w:pStyle w:val="4"/>
        <w:bidi w:val="0"/>
        <w:ind w:firstLine="480" w:firstLineChars="200"/>
        <w:rPr>
          <w:rFonts w:hint="eastAsia"/>
          <w:color w:val="auto"/>
          <w:highlight w:val="none"/>
          <w:lang w:val="en-US" w:eastAsia="zh-CN"/>
        </w:rPr>
      </w:pPr>
      <w:r>
        <w:rPr>
          <w:rFonts w:hint="eastAsia"/>
          <w:color w:val="auto"/>
          <w:highlight w:val="none"/>
          <w:lang w:val="en-US" w:eastAsia="zh-CN"/>
        </w:rPr>
        <w:t>5  ≥10厚空气间层（顺水条）；</w:t>
      </w:r>
    </w:p>
    <w:p w14:paraId="082F58E2">
      <w:pPr>
        <w:pStyle w:val="4"/>
        <w:bidi w:val="0"/>
        <w:ind w:firstLine="480" w:firstLineChars="200"/>
        <w:rPr>
          <w:rFonts w:hint="default"/>
          <w:color w:val="auto"/>
          <w:highlight w:val="none"/>
          <w:lang w:val="en-US" w:eastAsia="zh-CN"/>
        </w:rPr>
      </w:pPr>
      <w:r>
        <w:rPr>
          <w:rFonts w:hint="eastAsia"/>
          <w:color w:val="auto"/>
          <w:highlight w:val="none"/>
          <w:lang w:val="en-US" w:eastAsia="zh-CN"/>
        </w:rPr>
        <w:t>6  外墙饰面</w:t>
      </w:r>
    </w:p>
    <w:p w14:paraId="106F3F0A">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9.2.2：本条参考《木结构建筑》（14J924）外墙构造。</w:t>
      </w:r>
    </w:p>
    <w:p w14:paraId="0D35760F">
      <w:pPr>
        <w:rPr>
          <w:rFonts w:hint="eastAsia"/>
          <w:color w:val="auto"/>
          <w:highlight w:val="none"/>
        </w:rPr>
      </w:pPr>
    </w:p>
    <w:p w14:paraId="44AC3108">
      <w:pPr>
        <w:pStyle w:val="4"/>
        <w:bidi w:val="0"/>
        <w:rPr>
          <w:rFonts w:hint="eastAsia"/>
          <w:color w:val="auto"/>
          <w:highlight w:val="none"/>
        </w:rPr>
      </w:pPr>
      <w:r>
        <w:rPr>
          <w:rFonts w:hint="eastAsia"/>
          <w:b/>
          <w:bCs/>
          <w:color w:val="auto"/>
          <w:highlight w:val="none"/>
          <w:lang w:val="en-US" w:eastAsia="zh-CN"/>
        </w:rPr>
        <w:t>9</w:t>
      </w: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 xml:space="preserve">.3  </w:t>
      </w:r>
      <w:r>
        <w:rPr>
          <w:rFonts w:hint="eastAsia"/>
          <w:color w:val="auto"/>
          <w:highlight w:val="none"/>
        </w:rPr>
        <w:t>屋顶</w:t>
      </w:r>
      <w:r>
        <w:rPr>
          <w:rFonts w:hint="eastAsia"/>
          <w:color w:val="auto"/>
          <w:highlight w:val="none"/>
          <w:lang w:val="en-US" w:eastAsia="zh-CN"/>
        </w:rPr>
        <w:t>保温材料可铺设在水平天花板上或置于屋面的上方或下方，</w:t>
      </w:r>
      <w:r>
        <w:rPr>
          <w:rFonts w:hint="eastAsia"/>
          <w:color w:val="auto"/>
          <w:highlight w:val="none"/>
        </w:rPr>
        <w:t>设计宜</w:t>
      </w:r>
      <w:r>
        <w:rPr>
          <w:rFonts w:hint="eastAsia"/>
          <w:color w:val="auto"/>
          <w:highlight w:val="none"/>
          <w:lang w:val="en-US" w:eastAsia="zh-CN"/>
        </w:rPr>
        <w:t>对应</w:t>
      </w:r>
      <w:r>
        <w:rPr>
          <w:rFonts w:hint="eastAsia"/>
          <w:color w:val="auto"/>
          <w:highlight w:val="none"/>
        </w:rPr>
        <w:t>采取下列措施：</w:t>
      </w:r>
    </w:p>
    <w:p w14:paraId="3654E2B7">
      <w:pPr>
        <w:pStyle w:val="4"/>
        <w:bidi w:val="0"/>
        <w:ind w:firstLine="480" w:firstLineChars="200"/>
        <w:rPr>
          <w:rFonts w:hint="eastAsia"/>
          <w:color w:val="auto"/>
          <w:highlight w:val="none"/>
        </w:rPr>
      </w:pPr>
      <w:r>
        <w:rPr>
          <w:rFonts w:hint="eastAsia"/>
          <w:color w:val="auto"/>
          <w:highlight w:val="none"/>
          <w:lang w:val="en-US" w:eastAsia="zh-CN"/>
        </w:rPr>
        <w:t>1</w:t>
      </w:r>
      <w:r>
        <w:rPr>
          <w:rFonts w:hint="eastAsia"/>
          <w:color w:val="auto"/>
          <w:highlight w:val="none"/>
        </w:rPr>
        <w:t xml:space="preserve">  </w:t>
      </w:r>
      <w:r>
        <w:rPr>
          <w:rFonts w:hint="eastAsia"/>
          <w:color w:val="auto"/>
          <w:highlight w:val="none"/>
          <w:lang w:val="en-US" w:eastAsia="zh-CN"/>
        </w:rPr>
        <w:t>当保温材料铺设在水平天花板上时，保温材料上方与屋脊形成的三角空间应与室外保持通风；</w:t>
      </w:r>
    </w:p>
    <w:p w14:paraId="22F49A1E">
      <w:pPr>
        <w:pStyle w:val="4"/>
        <w:bidi w:val="0"/>
        <w:ind w:firstLine="480" w:firstLineChars="200"/>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 xml:space="preserve">  </w:t>
      </w:r>
      <w:r>
        <w:rPr>
          <w:rFonts w:hint="eastAsia"/>
          <w:color w:val="auto"/>
          <w:highlight w:val="none"/>
          <w:lang w:val="en-US" w:eastAsia="zh-CN"/>
        </w:rPr>
        <w:t>当保温材料铺设在屋面板下方时，从上至下（从外至内）的构造应为：</w:t>
      </w:r>
    </w:p>
    <w:p w14:paraId="37482585">
      <w:pPr>
        <w:pStyle w:val="4"/>
        <w:numPr>
          <w:ilvl w:val="0"/>
          <w:numId w:val="0"/>
        </w:numPr>
        <w:bidi w:val="0"/>
        <w:ind w:firstLine="480" w:firstLineChars="200"/>
        <w:rPr>
          <w:rFonts w:hint="eastAsia"/>
          <w:color w:val="auto"/>
          <w:highlight w:val="none"/>
          <w:lang w:val="en-US" w:eastAsia="zh-CN"/>
        </w:rPr>
      </w:pPr>
      <w:r>
        <w:rPr>
          <w:rFonts w:hint="eastAsia" w:ascii="Times New Roman" w:hAnsi="Times New Roman" w:eastAsia="宋体" w:cs="宋体"/>
          <w:color w:val="auto"/>
          <w:sz w:val="24"/>
          <w:szCs w:val="22"/>
          <w:highlight w:val="none"/>
          <w:lang w:val="en-US" w:eastAsia="zh-CN" w:bidi="ar-SA"/>
        </w:rPr>
        <w:t>（1）</w:t>
      </w:r>
      <w:r>
        <w:rPr>
          <w:rFonts w:hint="eastAsia"/>
          <w:color w:val="auto"/>
          <w:highlight w:val="none"/>
          <w:lang w:val="en-US" w:eastAsia="zh-CN"/>
        </w:rPr>
        <w:t>屋面材料；</w:t>
      </w:r>
    </w:p>
    <w:p w14:paraId="4A857731">
      <w:pPr>
        <w:pStyle w:val="4"/>
        <w:numPr>
          <w:ilvl w:val="0"/>
          <w:numId w:val="0"/>
        </w:numPr>
        <w:bidi w:val="0"/>
        <w:ind w:firstLine="480" w:firstLineChars="200"/>
        <w:rPr>
          <w:rFonts w:hint="default"/>
          <w:color w:val="auto"/>
          <w:highlight w:val="none"/>
          <w:lang w:val="en-US"/>
        </w:rPr>
      </w:pPr>
      <w:r>
        <w:rPr>
          <w:rFonts w:hint="default" w:ascii="Times New Roman" w:hAnsi="Times New Roman" w:eastAsia="宋体" w:cs="宋体"/>
          <w:color w:val="auto"/>
          <w:sz w:val="24"/>
          <w:szCs w:val="22"/>
          <w:highlight w:val="none"/>
          <w:lang w:val="en-US" w:eastAsia="en-US" w:bidi="ar-SA"/>
        </w:rPr>
        <w:t>（2）</w:t>
      </w:r>
      <w:r>
        <w:rPr>
          <w:rFonts w:hint="eastAsia"/>
          <w:color w:val="auto"/>
          <w:highlight w:val="none"/>
          <w:lang w:val="en-US" w:eastAsia="zh-CN"/>
        </w:rPr>
        <w:t>防水卷材；</w:t>
      </w:r>
    </w:p>
    <w:p w14:paraId="1F6967D2">
      <w:pPr>
        <w:pStyle w:val="4"/>
        <w:numPr>
          <w:ilvl w:val="0"/>
          <w:numId w:val="0"/>
        </w:numPr>
        <w:bidi w:val="0"/>
        <w:ind w:firstLine="480" w:firstLineChars="200"/>
        <w:rPr>
          <w:rFonts w:hint="default"/>
          <w:color w:val="auto"/>
          <w:highlight w:val="none"/>
          <w:lang w:val="en-US"/>
        </w:rPr>
      </w:pPr>
      <w:r>
        <w:rPr>
          <w:rFonts w:hint="default" w:ascii="Times New Roman" w:hAnsi="Times New Roman" w:eastAsia="宋体" w:cs="宋体"/>
          <w:color w:val="auto"/>
          <w:sz w:val="24"/>
          <w:szCs w:val="22"/>
          <w:highlight w:val="none"/>
          <w:lang w:val="en-US" w:eastAsia="en-US" w:bidi="ar-SA"/>
        </w:rPr>
        <w:t>（3）</w:t>
      </w:r>
      <w:r>
        <w:rPr>
          <w:rFonts w:hint="eastAsia"/>
          <w:color w:val="auto"/>
          <w:highlight w:val="none"/>
          <w:lang w:val="en-US" w:eastAsia="zh-CN"/>
        </w:rPr>
        <w:t>屋面板；</w:t>
      </w:r>
    </w:p>
    <w:p w14:paraId="7E279EC9">
      <w:pPr>
        <w:pStyle w:val="4"/>
        <w:numPr>
          <w:ilvl w:val="0"/>
          <w:numId w:val="0"/>
        </w:numPr>
        <w:bidi w:val="0"/>
        <w:ind w:firstLine="480" w:firstLineChars="200"/>
        <w:rPr>
          <w:rFonts w:hint="default"/>
          <w:color w:val="auto"/>
          <w:highlight w:val="none"/>
          <w:lang w:val="en-US"/>
        </w:rPr>
      </w:pPr>
      <w:r>
        <w:rPr>
          <w:rFonts w:hint="default" w:ascii="Times New Roman" w:hAnsi="Times New Roman" w:eastAsia="宋体" w:cs="宋体"/>
          <w:color w:val="auto"/>
          <w:sz w:val="24"/>
          <w:szCs w:val="22"/>
          <w:highlight w:val="none"/>
          <w:lang w:val="en-US" w:eastAsia="en-US" w:bidi="ar-SA"/>
        </w:rPr>
        <w:t>（4）</w:t>
      </w:r>
      <w:r>
        <w:rPr>
          <w:rFonts w:hint="eastAsia"/>
          <w:color w:val="auto"/>
          <w:highlight w:val="none"/>
          <w:lang w:val="en-US" w:eastAsia="zh-CN"/>
        </w:rPr>
        <w:t>垫条（通风间隙）；</w:t>
      </w:r>
    </w:p>
    <w:p w14:paraId="77EDB6F9">
      <w:pPr>
        <w:pStyle w:val="4"/>
        <w:numPr>
          <w:ilvl w:val="0"/>
          <w:numId w:val="0"/>
        </w:numPr>
        <w:bidi w:val="0"/>
        <w:ind w:firstLine="480" w:firstLineChars="200"/>
        <w:rPr>
          <w:rFonts w:hint="default"/>
          <w:color w:val="auto"/>
          <w:highlight w:val="none"/>
          <w:lang w:val="en-US"/>
        </w:rPr>
      </w:pPr>
      <w:r>
        <w:rPr>
          <w:rFonts w:hint="default" w:ascii="Times New Roman" w:hAnsi="Times New Roman" w:eastAsia="宋体" w:cs="宋体"/>
          <w:color w:val="auto"/>
          <w:sz w:val="24"/>
          <w:szCs w:val="22"/>
          <w:highlight w:val="none"/>
          <w:lang w:val="en-US" w:eastAsia="en-US" w:bidi="ar-SA"/>
        </w:rPr>
        <w:t>（5）</w:t>
      </w:r>
      <w:r>
        <w:rPr>
          <w:rFonts w:hint="eastAsia"/>
          <w:color w:val="auto"/>
          <w:highlight w:val="none"/>
          <w:lang w:val="en-US" w:eastAsia="zh-CN"/>
        </w:rPr>
        <w:t>防水透气膜；</w:t>
      </w:r>
    </w:p>
    <w:p w14:paraId="73675612">
      <w:pPr>
        <w:pStyle w:val="4"/>
        <w:numPr>
          <w:ilvl w:val="0"/>
          <w:numId w:val="0"/>
        </w:numPr>
        <w:bidi w:val="0"/>
        <w:ind w:firstLine="480" w:firstLineChars="200"/>
        <w:rPr>
          <w:rFonts w:hint="default"/>
          <w:color w:val="auto"/>
          <w:highlight w:val="none"/>
          <w:lang w:val="en-US"/>
        </w:rPr>
      </w:pPr>
      <w:r>
        <w:rPr>
          <w:rFonts w:hint="default" w:ascii="Times New Roman" w:hAnsi="Times New Roman" w:eastAsia="宋体" w:cs="宋体"/>
          <w:color w:val="auto"/>
          <w:sz w:val="24"/>
          <w:szCs w:val="22"/>
          <w:highlight w:val="none"/>
          <w:lang w:val="en-US" w:eastAsia="en-US" w:bidi="ar-SA"/>
        </w:rPr>
        <w:t>（6）</w:t>
      </w:r>
      <w:r>
        <w:rPr>
          <w:rFonts w:hint="eastAsia"/>
          <w:color w:val="auto"/>
          <w:highlight w:val="none"/>
          <w:lang w:val="en-US" w:eastAsia="zh-CN"/>
        </w:rPr>
        <w:t>椽子（内填保温棉）；</w:t>
      </w:r>
    </w:p>
    <w:p w14:paraId="33F9DDCB">
      <w:pPr>
        <w:pStyle w:val="4"/>
        <w:numPr>
          <w:ilvl w:val="0"/>
          <w:numId w:val="0"/>
        </w:numPr>
        <w:bidi w:val="0"/>
        <w:ind w:firstLine="480" w:firstLineChars="200"/>
        <w:rPr>
          <w:rFonts w:hint="default"/>
          <w:color w:val="auto"/>
          <w:highlight w:val="none"/>
          <w:lang w:val="en-US"/>
        </w:rPr>
      </w:pPr>
      <w:r>
        <w:rPr>
          <w:rFonts w:hint="default" w:ascii="Times New Roman" w:hAnsi="Times New Roman" w:eastAsia="宋体" w:cs="宋体"/>
          <w:color w:val="auto"/>
          <w:sz w:val="24"/>
          <w:szCs w:val="22"/>
          <w:highlight w:val="none"/>
          <w:lang w:val="en-US" w:eastAsia="en-US" w:bidi="ar-SA"/>
        </w:rPr>
        <w:t>（7）</w:t>
      </w:r>
      <w:r>
        <w:rPr>
          <w:rFonts w:hint="eastAsia"/>
          <w:color w:val="auto"/>
          <w:highlight w:val="none"/>
          <w:lang w:val="en-US" w:eastAsia="zh-CN"/>
        </w:rPr>
        <w:t>塑料薄膜；</w:t>
      </w:r>
    </w:p>
    <w:p w14:paraId="4C973865">
      <w:pPr>
        <w:pStyle w:val="4"/>
        <w:numPr>
          <w:ilvl w:val="0"/>
          <w:numId w:val="0"/>
        </w:numPr>
        <w:bidi w:val="0"/>
        <w:ind w:firstLine="480" w:firstLineChars="200"/>
        <w:rPr>
          <w:rFonts w:hint="eastAsia"/>
          <w:color w:val="auto"/>
          <w:highlight w:val="none"/>
          <w:lang w:val="en-US" w:eastAsia="zh-CN"/>
        </w:rPr>
      </w:pPr>
      <w:r>
        <w:rPr>
          <w:rFonts w:hint="eastAsia" w:ascii="Times New Roman" w:hAnsi="Times New Roman" w:eastAsia="宋体" w:cs="宋体"/>
          <w:color w:val="auto"/>
          <w:sz w:val="24"/>
          <w:szCs w:val="22"/>
          <w:highlight w:val="none"/>
          <w:lang w:val="en-US" w:eastAsia="zh-CN" w:bidi="ar-SA"/>
        </w:rPr>
        <w:t>（8）</w:t>
      </w:r>
      <w:r>
        <w:rPr>
          <w:rFonts w:hint="eastAsia"/>
          <w:color w:val="auto"/>
          <w:highlight w:val="none"/>
          <w:lang w:val="en-US" w:eastAsia="zh-CN"/>
        </w:rPr>
        <w:t>室内吊顶。</w:t>
      </w:r>
    </w:p>
    <w:p w14:paraId="3F8A500F">
      <w:pPr>
        <w:pStyle w:val="4"/>
        <w:bidi w:val="0"/>
        <w:ind w:firstLine="480" w:firstLineChars="200"/>
        <w:rPr>
          <w:rFonts w:hint="default"/>
          <w:color w:val="auto"/>
          <w:highlight w:val="none"/>
          <w:lang w:val="en-US" w:eastAsia="zh-CN"/>
        </w:rPr>
      </w:pPr>
      <w:r>
        <w:rPr>
          <w:rFonts w:hint="eastAsia"/>
          <w:color w:val="auto"/>
          <w:highlight w:val="none"/>
          <w:lang w:val="en-US" w:eastAsia="zh-CN"/>
        </w:rPr>
        <w:t>3  当置于屋面板的上方或下方时，应在檐口设进气口，屋脊处设出气口，形成通风路线，以使保温材料保持干燥。</w:t>
      </w:r>
    </w:p>
    <w:p w14:paraId="5E7ACEA9">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9.2.3：本条1参考《木结构建筑》（14J924）屋脊及屋顶通风构造大样。</w:t>
      </w:r>
    </w:p>
    <w:p w14:paraId="3AA982B0">
      <w:pPr>
        <w:rPr>
          <w:rFonts w:hint="default"/>
          <w:color w:val="auto"/>
          <w:highlight w:val="none"/>
          <w:lang w:val="en-US" w:eastAsia="zh-CN"/>
        </w:rPr>
      </w:pPr>
    </w:p>
    <w:p w14:paraId="62B8ED97">
      <w:pPr>
        <w:pStyle w:val="4"/>
        <w:bidi w:val="0"/>
        <w:rPr>
          <w:rFonts w:hint="default"/>
          <w:color w:val="auto"/>
          <w:highlight w:val="none"/>
          <w:lang w:val="en-US" w:eastAsia="zh-CN"/>
        </w:rPr>
      </w:pPr>
      <w:r>
        <w:rPr>
          <w:rFonts w:hint="eastAsia"/>
          <w:b/>
          <w:bCs/>
          <w:color w:val="auto"/>
          <w:highlight w:val="none"/>
          <w:lang w:val="en-US" w:eastAsia="zh-CN"/>
        </w:rPr>
        <w:t>9</w:t>
      </w: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4</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lang w:val="en-US" w:eastAsia="zh-CN"/>
        </w:rPr>
        <w:t>外围护结构的木骨架空腔内填充的松散保温材料应充满整个空腔，擦急用刚性或半刚性成型材料固定在骨架或基层上不得松动。</w:t>
      </w:r>
    </w:p>
    <w:p w14:paraId="152DF02F">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9.2.4：本条参考《木结构建筑》（14J924）对外围护保温层提出要求。</w:t>
      </w:r>
    </w:p>
    <w:p w14:paraId="11A3DDCF">
      <w:pPr>
        <w:rPr>
          <w:rFonts w:hint="eastAsia"/>
          <w:color w:val="auto"/>
          <w:highlight w:val="none"/>
        </w:rPr>
      </w:pPr>
    </w:p>
    <w:p w14:paraId="0DDF9A13">
      <w:pPr>
        <w:pStyle w:val="4"/>
        <w:bidi w:val="0"/>
        <w:rPr>
          <w:rFonts w:hint="eastAsia"/>
          <w:color w:val="auto"/>
          <w:highlight w:val="none"/>
          <w:lang w:val="en-US" w:eastAsia="zh-CN"/>
        </w:rPr>
      </w:pPr>
      <w:r>
        <w:rPr>
          <w:rFonts w:hint="eastAsia"/>
          <w:b/>
          <w:bCs/>
          <w:color w:val="auto"/>
          <w:highlight w:val="none"/>
          <w:lang w:val="en-US" w:eastAsia="zh-CN"/>
        </w:rPr>
        <w:t>9</w:t>
      </w: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 xml:space="preserve">.5 </w:t>
      </w:r>
      <w:r>
        <w:rPr>
          <w:rFonts w:hint="eastAsia"/>
          <w:b/>
          <w:bCs/>
          <w:color w:val="auto"/>
          <w:highlight w:val="none"/>
          <w:lang w:val="en-US" w:eastAsia="zh-CN"/>
        </w:rPr>
        <w:t xml:space="preserve"> </w:t>
      </w:r>
      <w:r>
        <w:rPr>
          <w:rFonts w:hint="eastAsia"/>
          <w:color w:val="auto"/>
          <w:highlight w:val="none"/>
          <w:lang w:val="en-US" w:eastAsia="zh-CN"/>
        </w:rPr>
        <w:t>木结构建筑遮阳措施应符合下列规定：</w:t>
      </w:r>
    </w:p>
    <w:p w14:paraId="7A96F1D8">
      <w:pPr>
        <w:pStyle w:val="4"/>
        <w:bidi w:val="0"/>
        <w:ind w:firstLine="480" w:firstLineChars="200"/>
        <w:rPr>
          <w:rFonts w:hint="eastAsia"/>
          <w:color w:val="auto"/>
          <w:highlight w:val="none"/>
          <w:lang w:val="en-US" w:eastAsia="zh-CN"/>
        </w:rPr>
      </w:pPr>
      <w:r>
        <w:rPr>
          <w:rFonts w:hint="eastAsia"/>
          <w:color w:val="auto"/>
          <w:highlight w:val="none"/>
          <w:lang w:val="en-US" w:eastAsia="zh-CN"/>
        </w:rPr>
        <w:t>1  夏热东暖、夏热冬冷地区，甲类公共建筑南、东、西向外窗和透光幕墙应采取遮阳措施；</w:t>
      </w:r>
    </w:p>
    <w:p w14:paraId="14B44CE0">
      <w:pPr>
        <w:pStyle w:val="4"/>
        <w:bidi w:val="0"/>
        <w:ind w:firstLine="480" w:firstLineChars="200"/>
        <w:rPr>
          <w:rFonts w:hint="eastAsia"/>
          <w:color w:val="auto"/>
          <w:highlight w:val="none"/>
          <w:lang w:val="en-US" w:eastAsia="zh-CN"/>
        </w:rPr>
      </w:pPr>
      <w:r>
        <w:rPr>
          <w:rFonts w:hint="eastAsia"/>
          <w:color w:val="auto"/>
          <w:highlight w:val="none"/>
          <w:lang w:val="en-US" w:eastAsia="zh-CN"/>
        </w:rPr>
        <w:t>2  夏热冬暖地区，居住建筑的东、西向外窗的建筑遮阳系数不应大于0.8；</w:t>
      </w:r>
    </w:p>
    <w:p w14:paraId="24B9DAA4">
      <w:pPr>
        <w:pStyle w:val="4"/>
        <w:bidi w:val="0"/>
        <w:ind w:firstLine="480" w:firstLineChars="200"/>
        <w:rPr>
          <w:rFonts w:hint="default"/>
          <w:color w:val="auto"/>
          <w:highlight w:val="none"/>
          <w:lang w:val="en-US" w:eastAsia="zh-CN"/>
        </w:rPr>
      </w:pPr>
      <w:r>
        <w:rPr>
          <w:rFonts w:hint="eastAsia"/>
          <w:color w:val="auto"/>
          <w:highlight w:val="none"/>
          <w:lang w:val="en-US" w:eastAsia="zh-CN"/>
        </w:rPr>
        <w:t>3  夏热冬冷地区外遮阳设计应对夏季遮阳与冬季阳光利用进行综合分析，宜设置活动式外遮阳设施。</w:t>
      </w:r>
    </w:p>
    <w:p w14:paraId="556A36C9">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9.2.5：本条根据《建筑节能与可再生能源利用通用规范》（GB 55015）3.1.15条提出。夏热东暖、夏热冬冷地区的建筑，窗和透光幕墙的太阳辐射得热夏季增大了冷负荷，冬季则减小了热负荷，因此摄影措施应根据负荷特性确定。一般而言，外遮阳效果较好，考虑到建筑冬夏不同的要求，设置可调节的活动遮阳能够最大限度的在冬季利用太阳辐射，在夏季避免太阳辐射的影响，有条件的建筑应提倡活动外遮阳。</w:t>
      </w:r>
    </w:p>
    <w:p w14:paraId="6066D0A0">
      <w:pPr>
        <w:rPr>
          <w:rFonts w:hint="default"/>
          <w:color w:val="auto"/>
          <w:highlight w:val="none"/>
          <w:lang w:val="en-US"/>
        </w:rPr>
      </w:pPr>
    </w:p>
    <w:p w14:paraId="4EA1F1FB">
      <w:pPr>
        <w:pStyle w:val="4"/>
        <w:bidi w:val="0"/>
        <w:rPr>
          <w:rFonts w:hint="eastAsia"/>
          <w:color w:val="auto"/>
          <w:highlight w:val="none"/>
          <w:lang w:val="en-US" w:eastAsia="zh-CN"/>
        </w:rPr>
      </w:pPr>
      <w:r>
        <w:rPr>
          <w:rFonts w:hint="eastAsia"/>
          <w:b/>
          <w:bCs/>
          <w:color w:val="auto"/>
          <w:highlight w:val="none"/>
          <w:lang w:val="en-US" w:eastAsia="zh-CN"/>
        </w:rPr>
        <w:t>9</w:t>
      </w: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6</w:t>
      </w:r>
      <w:r>
        <w:rPr>
          <w:rFonts w:hint="eastAsia"/>
          <w:b/>
          <w:bCs/>
          <w:color w:val="auto"/>
          <w:highlight w:val="none"/>
        </w:rPr>
        <w:t xml:space="preserve">  </w:t>
      </w:r>
      <w:r>
        <w:rPr>
          <w:rFonts w:hint="default"/>
          <w:b/>
          <w:bCs/>
          <w:color w:val="auto"/>
          <w:highlight w:val="none"/>
        </w:rPr>
        <w:t>  </w:t>
      </w:r>
      <w:r>
        <w:rPr>
          <w:rFonts w:hint="default"/>
          <w:color w:val="auto"/>
          <w:highlight w:val="none"/>
          <w:lang w:val="en-US" w:eastAsia="zh-CN"/>
        </w:rPr>
        <w:t>建筑围护结构的气密性设计应符合下列规定：</w:t>
      </w:r>
    </w:p>
    <w:p w14:paraId="7D0500A8">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1 </w:t>
      </w:r>
      <w:r>
        <w:rPr>
          <w:rFonts w:hint="eastAsia"/>
          <w:color w:val="auto"/>
          <w:highlight w:val="none"/>
          <w:lang w:val="en-US" w:eastAsia="zh-CN"/>
        </w:rPr>
        <w:t xml:space="preserve"> </w:t>
      </w:r>
      <w:r>
        <w:rPr>
          <w:rFonts w:hint="default"/>
          <w:color w:val="auto"/>
          <w:highlight w:val="none"/>
          <w:lang w:val="en-US" w:eastAsia="zh-CN"/>
        </w:rPr>
        <w:t>气密层应完整连续，并应做好在不同构件或材料之间的连接处或接触面的局部密封处理；隔汽层必须连续，搭接处必须用密封胶带或密封剂密封；</w:t>
      </w:r>
    </w:p>
    <w:p w14:paraId="1020FB23">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2 </w:t>
      </w:r>
      <w:r>
        <w:rPr>
          <w:rFonts w:hint="eastAsia"/>
          <w:color w:val="auto"/>
          <w:highlight w:val="none"/>
          <w:lang w:val="en-US" w:eastAsia="zh-CN"/>
        </w:rPr>
        <w:t xml:space="preserve"> </w:t>
      </w:r>
      <w:r>
        <w:rPr>
          <w:rFonts w:hint="default"/>
          <w:color w:val="auto"/>
          <w:highlight w:val="none"/>
          <w:lang w:val="en-US" w:eastAsia="zh-CN"/>
        </w:rPr>
        <w:t>柔性材料之间的连接处应密封，搭接长度不应小于100mm；</w:t>
      </w:r>
    </w:p>
    <w:p w14:paraId="6941FFA7">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3 </w:t>
      </w:r>
      <w:r>
        <w:rPr>
          <w:rFonts w:hint="eastAsia"/>
          <w:color w:val="auto"/>
          <w:highlight w:val="none"/>
          <w:lang w:val="en-US" w:eastAsia="zh-CN"/>
        </w:rPr>
        <w:t xml:space="preserve"> </w:t>
      </w:r>
      <w:r>
        <w:rPr>
          <w:rFonts w:hint="default"/>
          <w:color w:val="auto"/>
          <w:highlight w:val="none"/>
          <w:lang w:val="en-US" w:eastAsia="zh-CN"/>
        </w:rPr>
        <w:t>当采用外围护墙面板作为连续气密层时，板缝应采用胶带粘接等方式密封；</w:t>
      </w:r>
    </w:p>
    <w:p w14:paraId="790BB16A">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4 </w:t>
      </w:r>
      <w:r>
        <w:rPr>
          <w:rFonts w:hint="eastAsia"/>
          <w:color w:val="auto"/>
          <w:highlight w:val="none"/>
          <w:lang w:val="en-US" w:eastAsia="zh-CN"/>
        </w:rPr>
        <w:t xml:space="preserve"> </w:t>
      </w:r>
      <w:r>
        <w:rPr>
          <w:rFonts w:hint="default"/>
          <w:color w:val="auto"/>
          <w:highlight w:val="none"/>
          <w:lang w:val="en-US" w:eastAsia="zh-CN"/>
        </w:rPr>
        <w:t>内墙与带有气密层的外墙、吊顶、楼板或屋面相交处，应采取保证气密层连续的措施；</w:t>
      </w:r>
    </w:p>
    <w:p w14:paraId="7DDEB30B">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5 </w:t>
      </w:r>
      <w:r>
        <w:rPr>
          <w:rFonts w:hint="eastAsia"/>
          <w:color w:val="auto"/>
          <w:highlight w:val="none"/>
          <w:lang w:val="en-US" w:eastAsia="zh-CN"/>
        </w:rPr>
        <w:t xml:space="preserve"> </w:t>
      </w:r>
      <w:r>
        <w:rPr>
          <w:rFonts w:hint="default"/>
          <w:color w:val="auto"/>
          <w:highlight w:val="none"/>
          <w:lang w:val="en-US" w:eastAsia="zh-CN"/>
        </w:rPr>
        <w:t>内墙伸出吊顶或延伸成外墙处，应密封墙内空间；</w:t>
      </w:r>
    </w:p>
    <w:p w14:paraId="563735F6">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6 </w:t>
      </w:r>
      <w:r>
        <w:rPr>
          <w:rFonts w:hint="eastAsia"/>
          <w:color w:val="auto"/>
          <w:highlight w:val="none"/>
          <w:lang w:val="en-US" w:eastAsia="zh-CN"/>
        </w:rPr>
        <w:t xml:space="preserve"> </w:t>
      </w:r>
      <w:r>
        <w:rPr>
          <w:rFonts w:hint="default"/>
          <w:color w:val="auto"/>
          <w:highlight w:val="none"/>
          <w:lang w:val="en-US" w:eastAsia="zh-CN"/>
        </w:rPr>
        <w:t>楼盖外挑成为阳台或挑台时，应采取保证相邻墙体和楼盖气密层连续的措施；</w:t>
      </w:r>
    </w:p>
    <w:p w14:paraId="1C63E3C2">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7 </w:t>
      </w:r>
      <w:r>
        <w:rPr>
          <w:rFonts w:hint="eastAsia"/>
          <w:color w:val="auto"/>
          <w:highlight w:val="none"/>
          <w:lang w:val="en-US" w:eastAsia="zh-CN"/>
        </w:rPr>
        <w:t xml:space="preserve"> </w:t>
      </w:r>
      <w:r>
        <w:rPr>
          <w:rFonts w:hint="default"/>
          <w:color w:val="auto"/>
          <w:highlight w:val="none"/>
          <w:lang w:val="en-US" w:eastAsia="zh-CN"/>
        </w:rPr>
        <w:t>门、窗、管线或管道等墙体或楼盖孔洞处，应做局部密封处理；</w:t>
      </w:r>
    </w:p>
    <w:p w14:paraId="7FED31E1">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8 </w:t>
      </w:r>
      <w:r>
        <w:rPr>
          <w:rFonts w:hint="eastAsia"/>
          <w:color w:val="auto"/>
          <w:highlight w:val="none"/>
          <w:lang w:val="en-US" w:eastAsia="zh-CN"/>
        </w:rPr>
        <w:t xml:space="preserve"> </w:t>
      </w:r>
      <w:r>
        <w:rPr>
          <w:rFonts w:hint="default"/>
          <w:color w:val="auto"/>
          <w:highlight w:val="none"/>
          <w:lang w:val="en-US" w:eastAsia="zh-CN"/>
        </w:rPr>
        <w:t>在有气密性要求的吊顶及楼地面等处开设检修孔洞时，洞口与盖板四周应设置密封条；</w:t>
      </w:r>
    </w:p>
    <w:p w14:paraId="4775AA0C">
      <w:pPr>
        <w:pStyle w:val="4"/>
        <w:bidi w:val="0"/>
        <w:ind w:firstLine="480" w:firstLineChars="200"/>
        <w:rPr>
          <w:rFonts w:hint="default"/>
          <w:color w:val="auto"/>
          <w:highlight w:val="none"/>
          <w:lang w:val="en-US" w:eastAsia="zh-CN"/>
        </w:rPr>
      </w:pPr>
      <w:r>
        <w:rPr>
          <w:rFonts w:hint="default"/>
          <w:color w:val="auto"/>
          <w:highlight w:val="none"/>
          <w:lang w:val="en-US" w:eastAsia="zh-CN"/>
        </w:rPr>
        <w:t xml:space="preserve">9 </w:t>
      </w:r>
      <w:r>
        <w:rPr>
          <w:rFonts w:hint="eastAsia"/>
          <w:color w:val="auto"/>
          <w:highlight w:val="none"/>
          <w:lang w:val="en-US" w:eastAsia="zh-CN"/>
        </w:rPr>
        <w:t xml:space="preserve"> </w:t>
      </w:r>
      <w:r>
        <w:rPr>
          <w:rFonts w:hint="default"/>
          <w:color w:val="auto"/>
          <w:highlight w:val="none"/>
          <w:lang w:val="en-US" w:eastAsia="zh-CN"/>
        </w:rPr>
        <w:t>烟囱或排气口与其相邻构件之间的缝隙应采用不燃材料密封。</w:t>
      </w:r>
    </w:p>
    <w:p w14:paraId="7D7FD72E">
      <w:pPr>
        <w:pStyle w:val="50"/>
        <w:bidi w:val="0"/>
        <w:rPr>
          <w:rStyle w:val="51"/>
          <w:rFonts w:hint="eastAsia"/>
          <w:color w:val="auto"/>
          <w:highlight w:val="none"/>
          <w:lang w:val="en-US" w:eastAsia="zh-CN"/>
        </w:rPr>
      </w:pPr>
      <w:r>
        <w:rPr>
          <w:rFonts w:hint="eastAsia" w:ascii="Times New Roman" w:hAnsi="Times New Roman" w:eastAsia="宋体" w:cs="宋体"/>
          <w:color w:val="auto"/>
          <w:sz w:val="24"/>
          <w:szCs w:val="24"/>
          <w:highlight w:val="none"/>
          <w:lang w:val="en-US" w:eastAsia="zh-CN" w:bidi="ar-SA"/>
        </w:rPr>
        <w:t>【条文说明】9.2.6：</w:t>
      </w:r>
      <w:r>
        <w:rPr>
          <w:rFonts w:hint="default"/>
          <w:color w:val="auto"/>
          <w:highlight w:val="none"/>
          <w:lang w:val="en-US" w:eastAsia="zh-CN"/>
        </w:rPr>
        <w:t>本条</w:t>
      </w:r>
      <w:r>
        <w:rPr>
          <w:rFonts w:hint="eastAsia" w:ascii="Times New Roman" w:hAnsi="Times New Roman" w:eastAsia="宋体" w:cs="宋体"/>
          <w:color w:val="auto"/>
          <w:sz w:val="24"/>
          <w:szCs w:val="24"/>
          <w:highlight w:val="none"/>
          <w:lang w:val="en-US" w:eastAsia="zh-CN" w:bidi="ar-SA"/>
        </w:rPr>
        <w:t>参考《木结构设计标准》（GB 50005）11.2.3条</w:t>
      </w:r>
      <w:r>
        <w:rPr>
          <w:rFonts w:hint="default" w:ascii="Times New Roman" w:hAnsi="Times New Roman" w:eastAsia="宋体" w:cs="宋体"/>
          <w:color w:val="auto"/>
          <w:sz w:val="24"/>
          <w:szCs w:val="24"/>
          <w:highlight w:val="none"/>
          <w:lang w:val="en-US" w:eastAsia="zh-CN" w:bidi="ar-SA"/>
        </w:rPr>
        <w:t>提出</w:t>
      </w:r>
      <w:r>
        <w:rPr>
          <w:rFonts w:hint="eastAsia" w:ascii="Times New Roman" w:hAnsi="Times New Roman" w:eastAsia="宋体" w:cs="宋体"/>
          <w:color w:val="auto"/>
          <w:sz w:val="24"/>
          <w:szCs w:val="24"/>
          <w:highlight w:val="none"/>
          <w:lang w:val="en-US" w:eastAsia="zh-CN" w:bidi="ar-SA"/>
        </w:rPr>
        <w:t>更详细的</w:t>
      </w:r>
      <w:r>
        <w:rPr>
          <w:rFonts w:hint="default" w:ascii="Times New Roman" w:hAnsi="Times New Roman" w:eastAsia="宋体" w:cs="宋体"/>
          <w:color w:val="auto"/>
          <w:sz w:val="24"/>
          <w:szCs w:val="24"/>
          <w:highlight w:val="none"/>
          <w:lang w:val="en-US" w:eastAsia="zh-CN" w:bidi="ar-SA"/>
        </w:rPr>
        <w:t>木结构建筑围护结构的气密性</w:t>
      </w:r>
      <w:r>
        <w:rPr>
          <w:rFonts w:hint="default"/>
          <w:color w:val="auto"/>
          <w:highlight w:val="none"/>
          <w:lang w:val="en-US" w:eastAsia="zh-CN"/>
        </w:rPr>
        <w:t>设计</w:t>
      </w:r>
      <w:r>
        <w:rPr>
          <w:rFonts w:hint="default" w:ascii="Times New Roman" w:hAnsi="Times New Roman" w:eastAsia="宋体" w:cs="宋体"/>
          <w:color w:val="auto"/>
          <w:sz w:val="24"/>
          <w:szCs w:val="24"/>
          <w:highlight w:val="none"/>
          <w:lang w:val="en-US" w:eastAsia="zh-CN" w:bidi="ar-SA"/>
        </w:rPr>
        <w:t>要求。</w:t>
      </w:r>
      <w:r>
        <w:rPr>
          <w:rFonts w:hint="eastAsia" w:ascii="Times New Roman" w:hAnsi="Times New Roman" w:eastAsia="宋体" w:cs="宋体"/>
          <w:color w:val="auto"/>
          <w:sz w:val="24"/>
          <w:szCs w:val="24"/>
          <w:highlight w:val="none"/>
          <w:lang w:val="en-US" w:eastAsia="zh-CN" w:bidi="ar-SA"/>
        </w:rPr>
        <w:t>提高围护结构气密性对减少建筑供暖制冷能耗，提高隔声性能，改善居住舒适度都尤为重要。保证建筑围护结构气密性的关键在于保证气密层在不同材料和部件的连接及开洞处的连续性。采用胶带粘接和使用密封条等可以提高接触面和连接点的气密性。</w:t>
      </w:r>
    </w:p>
    <w:p w14:paraId="39626A10">
      <w:pPr>
        <w:rPr>
          <w:rFonts w:hint="default"/>
          <w:color w:val="auto"/>
          <w:highlight w:val="none"/>
          <w:lang w:val="en-US" w:eastAsia="zh-CN"/>
        </w:rPr>
      </w:pPr>
    </w:p>
    <w:p w14:paraId="4F7B7968">
      <w:pPr>
        <w:pStyle w:val="4"/>
        <w:bidi w:val="0"/>
        <w:rPr>
          <w:rFonts w:hint="eastAsia"/>
          <w:color w:val="auto"/>
          <w:highlight w:val="none"/>
        </w:rPr>
      </w:pPr>
      <w:r>
        <w:rPr>
          <w:rFonts w:hint="eastAsia"/>
          <w:b/>
          <w:bCs/>
          <w:color w:val="auto"/>
          <w:highlight w:val="none"/>
          <w:lang w:val="en-US" w:eastAsia="zh-CN"/>
        </w:rPr>
        <w:t>9</w:t>
      </w: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7</w:t>
      </w:r>
      <w:r>
        <w:rPr>
          <w:rFonts w:hint="eastAsia"/>
          <w:b/>
          <w:bCs/>
          <w:color w:val="auto"/>
          <w:highlight w:val="none"/>
        </w:rPr>
        <w:t xml:space="preserve">  </w:t>
      </w:r>
      <w:r>
        <w:rPr>
          <w:rFonts w:hint="eastAsia"/>
          <w:color w:val="auto"/>
          <w:highlight w:val="none"/>
        </w:rPr>
        <w:t>无架空层、地下室的建筑，底层地坪应做防潮、保温措施。有架空层或地下室的建筑，架空层与地下室宜采用自然通风或机械通风。</w:t>
      </w:r>
    </w:p>
    <w:p w14:paraId="74EED70B">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9.2.7：</w:t>
      </w:r>
      <w:r>
        <w:rPr>
          <w:rFonts w:hint="default"/>
          <w:color w:val="auto"/>
          <w:highlight w:val="none"/>
          <w:lang w:val="en-US" w:eastAsia="zh-CN"/>
        </w:rPr>
        <w:t>木结构建筑的架空层或地下室多为钢筋混凝土结构，底层楼盖多为木质楼盖，所以做好地下室或架空层的墙体、底板的防水、保温措施就显得尤为重要，并且地下室、架空层应设自然通风或机械通风，保持室内空气流通，减少潮湿环境下木构件腐朽损坏以及建筑保温性能下降的不利影响。</w:t>
      </w:r>
    </w:p>
    <w:p w14:paraId="7C74E53C">
      <w:pPr>
        <w:pStyle w:val="3"/>
        <w:spacing w:before="156" w:after="156"/>
        <w:rPr>
          <w:color w:val="auto"/>
          <w:highlight w:val="none"/>
          <w:lang w:eastAsia="zh-CN"/>
        </w:rPr>
      </w:pPr>
      <w:bookmarkStart w:id="201" w:name="_Toc6080"/>
      <w:bookmarkStart w:id="202" w:name="_Toc1008"/>
      <w:bookmarkStart w:id="203" w:name="_Toc30745"/>
      <w:bookmarkStart w:id="204" w:name="_Toc20510"/>
      <w:r>
        <w:rPr>
          <w:rFonts w:hint="eastAsia"/>
          <w:color w:val="auto"/>
          <w:highlight w:val="none"/>
          <w:lang w:eastAsia="zh-CN"/>
        </w:rPr>
        <w:t>9.3  隔  声</w:t>
      </w:r>
      <w:bookmarkEnd w:id="201"/>
      <w:bookmarkEnd w:id="202"/>
      <w:bookmarkEnd w:id="203"/>
      <w:bookmarkEnd w:id="204"/>
    </w:p>
    <w:p w14:paraId="62797725">
      <w:pPr>
        <w:pStyle w:val="4"/>
        <w:bidi w:val="0"/>
        <w:rPr>
          <w:rFonts w:hint="eastAsia"/>
          <w:color w:val="auto"/>
          <w:highlight w:val="none"/>
        </w:rPr>
      </w:pPr>
      <w:r>
        <w:rPr>
          <w:rFonts w:hint="eastAsia"/>
          <w:b/>
          <w:bCs/>
          <w:color w:val="auto"/>
          <w:highlight w:val="none"/>
          <w:lang w:val="en-US" w:eastAsia="zh-CN"/>
        </w:rPr>
        <w:t>9.3.1</w:t>
      </w:r>
      <w:r>
        <w:rPr>
          <w:rFonts w:hint="eastAsia"/>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木结构建筑隔声构造措施宜按下列规定采用：</w:t>
      </w:r>
    </w:p>
    <w:p w14:paraId="791F6AEA">
      <w:pPr>
        <w:pStyle w:val="4"/>
        <w:bidi w:val="0"/>
        <w:rPr>
          <w:rFonts w:hint="eastAsia"/>
          <w:color w:val="auto"/>
          <w:highlight w:val="none"/>
        </w:rPr>
      </w:pPr>
      <w:r>
        <w:rPr>
          <w:rFonts w:hint="eastAsia"/>
          <w:color w:val="auto"/>
          <w:highlight w:val="none"/>
        </w:rPr>
        <w:t xml:space="preserve">    1  墙体和楼盖空间宜填充隔声材料，墙面宜采用低孔隙度吸声材料；</w:t>
      </w:r>
    </w:p>
    <w:p w14:paraId="02DD2F63">
      <w:pPr>
        <w:pStyle w:val="4"/>
        <w:bidi w:val="0"/>
        <w:rPr>
          <w:rFonts w:hint="eastAsia"/>
          <w:color w:val="auto"/>
          <w:highlight w:val="none"/>
        </w:rPr>
      </w:pPr>
      <w:r>
        <w:rPr>
          <w:rFonts w:hint="eastAsia"/>
          <w:color w:val="auto"/>
          <w:highlight w:val="none"/>
        </w:rPr>
        <w:t xml:space="preserve">    2  隔声要求较高的区域，宜采用双层墙或增加楼板厚度；</w:t>
      </w:r>
    </w:p>
    <w:p w14:paraId="51617EE9">
      <w:pPr>
        <w:pStyle w:val="4"/>
        <w:bidi w:val="0"/>
        <w:rPr>
          <w:rFonts w:hint="eastAsia"/>
          <w:color w:val="auto"/>
          <w:highlight w:val="none"/>
        </w:rPr>
      </w:pPr>
      <w:r>
        <w:rPr>
          <w:rFonts w:hint="eastAsia"/>
          <w:color w:val="auto"/>
          <w:highlight w:val="none"/>
        </w:rPr>
        <w:t xml:space="preserve">    3  石膏板和墙体龙骨、楼盖搁栅间宜安装弹性金属隔声条；</w:t>
      </w:r>
    </w:p>
    <w:p w14:paraId="08FBD3B4">
      <w:pPr>
        <w:pStyle w:val="4"/>
        <w:bidi w:val="0"/>
        <w:ind w:firstLine="480" w:firstLineChars="200"/>
        <w:rPr>
          <w:rFonts w:hint="eastAsia"/>
          <w:color w:val="auto"/>
          <w:highlight w:val="none"/>
        </w:rPr>
      </w:pPr>
      <w:r>
        <w:rPr>
          <w:rFonts w:hint="eastAsia"/>
          <w:color w:val="auto"/>
          <w:highlight w:val="none"/>
        </w:rPr>
        <w:t>4  楼面上宜加铺密度不低于30kg/㎡的铺面材料或地毯类装饰材料。</w:t>
      </w:r>
    </w:p>
    <w:p w14:paraId="0FF7B2E3">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9.3.2：木结构建筑由于其材料轻便及木材本身的特性，不经处理隔音效果差。本条措施采用在构件之间或楼板表面添加缓冲材料减少结构振动的原理来降低构件声音传导性能。</w:t>
      </w:r>
    </w:p>
    <w:p w14:paraId="59D82769">
      <w:pPr>
        <w:pStyle w:val="2"/>
        <w:spacing w:before="312"/>
        <w:rPr>
          <w:color w:val="auto"/>
          <w:highlight w:val="none"/>
          <w:lang w:eastAsia="zh-CN"/>
        </w:rPr>
      </w:pPr>
      <w:bookmarkStart w:id="205" w:name="_Toc11000"/>
      <w:bookmarkStart w:id="206" w:name="_Toc12067"/>
      <w:bookmarkStart w:id="207" w:name="_Toc5538"/>
      <w:r>
        <w:rPr>
          <w:rFonts w:hint="eastAsia"/>
          <w:color w:val="auto"/>
          <w:highlight w:val="none"/>
          <w:lang w:eastAsia="zh-CN"/>
        </w:rPr>
        <w:t>10  防火设计</w:t>
      </w:r>
      <w:bookmarkEnd w:id="178"/>
      <w:bookmarkEnd w:id="179"/>
      <w:bookmarkEnd w:id="205"/>
      <w:bookmarkEnd w:id="206"/>
      <w:bookmarkEnd w:id="207"/>
    </w:p>
    <w:p w14:paraId="7320CAA4">
      <w:pPr>
        <w:pStyle w:val="3"/>
        <w:spacing w:before="156" w:after="156"/>
        <w:rPr>
          <w:color w:val="auto"/>
          <w:highlight w:val="none"/>
          <w:lang w:eastAsia="zh-CN"/>
        </w:rPr>
      </w:pPr>
      <w:bookmarkStart w:id="208" w:name="_Toc29011"/>
      <w:bookmarkStart w:id="209" w:name="_Toc32324"/>
      <w:bookmarkStart w:id="210" w:name="_Toc24634"/>
      <w:bookmarkStart w:id="211" w:name="_Toc12577"/>
      <w:bookmarkStart w:id="212" w:name="_Toc58592746"/>
      <w:bookmarkStart w:id="213" w:name="_Toc22669"/>
      <w:r>
        <w:rPr>
          <w:rFonts w:hint="eastAsia"/>
          <w:color w:val="auto"/>
          <w:highlight w:val="none"/>
          <w:lang w:eastAsia="zh-CN"/>
        </w:rPr>
        <w:t>10</w:t>
      </w:r>
      <w:r>
        <w:rPr>
          <w:color w:val="auto"/>
          <w:highlight w:val="none"/>
          <w:lang w:eastAsia="zh-CN"/>
        </w:rPr>
        <w:t>.1</w:t>
      </w:r>
      <w:r>
        <w:rPr>
          <w:rFonts w:hint="eastAsia"/>
          <w:color w:val="auto"/>
          <w:highlight w:val="none"/>
          <w:lang w:eastAsia="zh-CN"/>
        </w:rPr>
        <w:t xml:space="preserve">  一般规定</w:t>
      </w:r>
      <w:bookmarkEnd w:id="208"/>
      <w:bookmarkEnd w:id="209"/>
      <w:bookmarkEnd w:id="210"/>
      <w:bookmarkEnd w:id="211"/>
      <w:bookmarkEnd w:id="212"/>
      <w:bookmarkEnd w:id="213"/>
    </w:p>
    <w:p w14:paraId="4C0ADABB">
      <w:pPr>
        <w:pStyle w:val="4"/>
        <w:rPr>
          <w:color w:val="auto"/>
          <w:highlight w:val="none"/>
          <w:lang w:eastAsia="zh-CN"/>
        </w:rPr>
      </w:pPr>
      <w:r>
        <w:rPr>
          <w:rFonts w:hint="eastAsia"/>
          <w:b/>
          <w:bCs/>
          <w:color w:val="auto"/>
          <w:highlight w:val="none"/>
          <w:lang w:eastAsia="zh-CN"/>
        </w:rPr>
        <w:t>10</w:t>
      </w:r>
      <w:r>
        <w:rPr>
          <w:b/>
          <w:bCs/>
          <w:color w:val="auto"/>
          <w:highlight w:val="none"/>
          <w:lang w:eastAsia="zh-CN"/>
        </w:rPr>
        <w:t>.1.</w:t>
      </w:r>
      <w:r>
        <w:rPr>
          <w:rFonts w:hint="eastAsia"/>
          <w:b/>
          <w:bCs/>
          <w:color w:val="auto"/>
          <w:highlight w:val="none"/>
          <w:lang w:eastAsia="zh-CN"/>
        </w:rPr>
        <w:t xml:space="preserve">1  </w:t>
      </w:r>
      <w:r>
        <w:rPr>
          <w:rFonts w:hint="eastAsia"/>
          <w:color w:val="auto"/>
          <w:highlight w:val="none"/>
          <w:lang w:eastAsia="zh-CN"/>
        </w:rPr>
        <w:t>当木结构</w:t>
      </w:r>
      <w:r>
        <w:rPr>
          <w:rFonts w:hint="eastAsia"/>
          <w:color w:val="auto"/>
          <w:highlight w:val="none"/>
          <w:lang w:eastAsia="zh-CN"/>
        </w:rPr>
        <w:t>组合建筑</w:t>
      </w:r>
      <w:r>
        <w:rPr>
          <w:rFonts w:hint="eastAsia"/>
          <w:color w:val="auto"/>
          <w:highlight w:val="none"/>
          <w:lang w:eastAsia="zh-CN"/>
        </w:rPr>
        <w:t>的首层设置商业服务设施时，应符合下列规定：</w:t>
      </w:r>
    </w:p>
    <w:p w14:paraId="57761A2A">
      <w:pPr>
        <w:pStyle w:val="4"/>
        <w:rPr>
          <w:color w:val="auto"/>
          <w:highlight w:val="none"/>
          <w:lang w:eastAsia="zh-CN"/>
        </w:rPr>
      </w:pPr>
      <w:r>
        <w:rPr>
          <w:rFonts w:hint="eastAsia"/>
          <w:color w:val="auto"/>
          <w:highlight w:val="none"/>
          <w:lang w:eastAsia="zh-CN"/>
        </w:rPr>
        <w:t xml:space="preserve">    </w:t>
      </w:r>
      <w:r>
        <w:rPr>
          <w:color w:val="auto"/>
          <w:highlight w:val="none"/>
          <w:lang w:eastAsia="zh-CN"/>
        </w:rPr>
        <w:t>1</w:t>
      </w:r>
      <w:r>
        <w:rPr>
          <w:rFonts w:hint="eastAsia"/>
          <w:color w:val="auto"/>
          <w:highlight w:val="none"/>
          <w:lang w:eastAsia="zh-CN"/>
        </w:rPr>
        <w:t xml:space="preserve">  首层的承重结构和楼板应采用钢筋混凝土结构或其他不燃材料的结构；</w:t>
      </w:r>
    </w:p>
    <w:p w14:paraId="68D69C1D">
      <w:pPr>
        <w:pStyle w:val="4"/>
        <w:rPr>
          <w:color w:val="auto"/>
          <w:highlight w:val="none"/>
          <w:lang w:eastAsia="zh-CN"/>
        </w:rPr>
      </w:pPr>
      <w:r>
        <w:rPr>
          <w:rFonts w:hint="eastAsia"/>
          <w:color w:val="auto"/>
          <w:highlight w:val="none"/>
          <w:lang w:eastAsia="zh-CN"/>
        </w:rPr>
        <w:t xml:space="preserve">    </w:t>
      </w:r>
      <w:r>
        <w:rPr>
          <w:color w:val="auto"/>
          <w:highlight w:val="none"/>
          <w:lang w:eastAsia="zh-CN"/>
        </w:rPr>
        <w:t>2</w:t>
      </w:r>
      <w:r>
        <w:rPr>
          <w:rFonts w:hint="eastAsia"/>
          <w:color w:val="auto"/>
          <w:highlight w:val="none"/>
          <w:lang w:eastAsia="zh-CN"/>
        </w:rPr>
        <w:t xml:space="preserve">  楼板的耐火极限不应低于 1.00 </w:t>
      </w:r>
      <w:r>
        <w:rPr>
          <w:color w:val="auto"/>
          <w:highlight w:val="none"/>
          <w:lang w:eastAsia="zh-CN"/>
        </w:rPr>
        <w:t>h</w:t>
      </w:r>
      <w:r>
        <w:rPr>
          <w:rFonts w:hint="eastAsia"/>
          <w:color w:val="auto"/>
          <w:highlight w:val="none"/>
          <w:lang w:eastAsia="zh-CN"/>
        </w:rPr>
        <w:t>；</w:t>
      </w:r>
    </w:p>
    <w:p w14:paraId="0C300318">
      <w:pPr>
        <w:pStyle w:val="4"/>
        <w:rPr>
          <w:color w:val="auto"/>
          <w:highlight w:val="none"/>
          <w:lang w:eastAsia="zh-CN"/>
        </w:rPr>
      </w:pPr>
      <w:r>
        <w:rPr>
          <w:rFonts w:hint="eastAsia"/>
          <w:color w:val="auto"/>
          <w:highlight w:val="none"/>
          <w:lang w:eastAsia="zh-CN"/>
        </w:rPr>
        <w:t xml:space="preserve">    </w:t>
      </w:r>
      <w:r>
        <w:rPr>
          <w:color w:val="auto"/>
          <w:highlight w:val="none"/>
          <w:lang w:eastAsia="zh-CN"/>
        </w:rPr>
        <w:t>3</w:t>
      </w:r>
      <w:r>
        <w:rPr>
          <w:rFonts w:hint="eastAsia"/>
          <w:color w:val="auto"/>
          <w:highlight w:val="none"/>
          <w:lang w:eastAsia="zh-CN"/>
        </w:rPr>
        <w:t xml:space="preserve">  建筑总层数不应大于 </w:t>
      </w:r>
      <w:r>
        <w:rPr>
          <w:color w:val="auto"/>
          <w:highlight w:val="none"/>
          <w:lang w:eastAsia="zh-CN"/>
        </w:rPr>
        <w:t>5</w:t>
      </w:r>
      <w:r>
        <w:rPr>
          <w:rFonts w:hint="eastAsia"/>
          <w:color w:val="auto"/>
          <w:highlight w:val="none"/>
          <w:lang w:eastAsia="zh-CN"/>
        </w:rPr>
        <w:t xml:space="preserve"> 层；或建筑高度不大于 </w:t>
      </w:r>
      <w:r>
        <w:rPr>
          <w:color w:val="auto"/>
          <w:highlight w:val="none"/>
          <w:lang w:eastAsia="zh-CN"/>
        </w:rPr>
        <w:t>16</w:t>
      </w:r>
      <w:r>
        <w:rPr>
          <w:rFonts w:hint="eastAsia"/>
          <w:color w:val="auto"/>
          <w:highlight w:val="none"/>
          <w:lang w:eastAsia="zh-CN"/>
        </w:rPr>
        <w:t xml:space="preserve"> </w:t>
      </w:r>
      <w:r>
        <w:rPr>
          <w:color w:val="auto"/>
          <w:highlight w:val="none"/>
          <w:lang w:eastAsia="zh-CN"/>
        </w:rPr>
        <w:t>m</w:t>
      </w:r>
      <w:r>
        <w:rPr>
          <w:rFonts w:hint="eastAsia"/>
          <w:color w:val="auto"/>
          <w:highlight w:val="none"/>
          <w:lang w:eastAsia="zh-CN"/>
        </w:rPr>
        <w:t>；</w:t>
      </w:r>
    </w:p>
    <w:p w14:paraId="28F35B2E">
      <w:pPr>
        <w:pStyle w:val="4"/>
        <w:ind w:firstLine="480" w:firstLineChars="200"/>
        <w:rPr>
          <w:color w:val="auto"/>
          <w:highlight w:val="none"/>
          <w:lang w:eastAsia="zh-CN"/>
        </w:rPr>
      </w:pPr>
      <w:r>
        <w:rPr>
          <w:color w:val="auto"/>
          <w:highlight w:val="none"/>
          <w:lang w:eastAsia="zh-CN"/>
        </w:rPr>
        <w:t>4</w:t>
      </w:r>
      <w:r>
        <w:rPr>
          <w:rFonts w:hint="eastAsia"/>
          <w:color w:val="auto"/>
          <w:highlight w:val="none"/>
          <w:lang w:eastAsia="zh-CN"/>
        </w:rPr>
        <w:t xml:space="preserve">  首层的开口部位与上层开口之间应设置高度不小于 </w:t>
      </w:r>
      <w:r>
        <w:rPr>
          <w:color w:val="auto"/>
          <w:highlight w:val="none"/>
          <w:lang w:eastAsia="zh-CN"/>
        </w:rPr>
        <w:t>1.2</w:t>
      </w:r>
      <w:r>
        <w:rPr>
          <w:rFonts w:hint="eastAsia"/>
          <w:color w:val="auto"/>
          <w:highlight w:val="none"/>
          <w:lang w:eastAsia="zh-CN"/>
        </w:rPr>
        <w:t xml:space="preserve"> </w:t>
      </w:r>
      <w:r>
        <w:rPr>
          <w:color w:val="auto"/>
          <w:highlight w:val="none"/>
          <w:lang w:eastAsia="zh-CN"/>
        </w:rPr>
        <w:t>m</w:t>
      </w:r>
      <w:r>
        <w:rPr>
          <w:rFonts w:hint="eastAsia"/>
          <w:color w:val="auto"/>
          <w:highlight w:val="none"/>
          <w:lang w:eastAsia="zh-CN"/>
        </w:rPr>
        <w:t xml:space="preserve">的实墙，或设置挑出宽度不小于 </w:t>
      </w:r>
      <w:r>
        <w:rPr>
          <w:color w:val="auto"/>
          <w:highlight w:val="none"/>
          <w:lang w:eastAsia="zh-CN"/>
        </w:rPr>
        <w:t>1.0</w:t>
      </w:r>
      <w:r>
        <w:rPr>
          <w:rFonts w:hint="eastAsia"/>
          <w:color w:val="auto"/>
          <w:highlight w:val="none"/>
          <w:lang w:eastAsia="zh-CN"/>
        </w:rPr>
        <w:t xml:space="preserve"> </w:t>
      </w:r>
      <w:r>
        <w:rPr>
          <w:color w:val="auto"/>
          <w:highlight w:val="none"/>
          <w:lang w:eastAsia="zh-CN"/>
        </w:rPr>
        <w:t>m</w:t>
      </w:r>
      <w:r>
        <w:rPr>
          <w:rFonts w:hint="eastAsia"/>
          <w:color w:val="auto"/>
          <w:highlight w:val="none"/>
          <w:lang w:eastAsia="zh-CN"/>
        </w:rPr>
        <w:t xml:space="preserve">、长度不小于沿开口宽度两侧各延伸 </w:t>
      </w:r>
      <w:r>
        <w:rPr>
          <w:color w:val="auto"/>
          <w:highlight w:val="none"/>
          <w:lang w:eastAsia="zh-CN"/>
        </w:rPr>
        <w:t>0.6</w:t>
      </w:r>
      <w:r>
        <w:rPr>
          <w:rFonts w:hint="eastAsia"/>
          <w:color w:val="auto"/>
          <w:highlight w:val="none"/>
          <w:lang w:eastAsia="zh-CN"/>
        </w:rPr>
        <w:t xml:space="preserve"> </w:t>
      </w:r>
      <w:r>
        <w:rPr>
          <w:color w:val="auto"/>
          <w:highlight w:val="none"/>
          <w:lang w:eastAsia="zh-CN"/>
        </w:rPr>
        <w:t>m</w:t>
      </w:r>
      <w:r>
        <w:rPr>
          <w:rFonts w:hint="eastAsia"/>
          <w:color w:val="auto"/>
          <w:highlight w:val="none"/>
          <w:lang w:eastAsia="zh-CN"/>
        </w:rPr>
        <w:t xml:space="preserve"> 的防火挑檐。</w:t>
      </w:r>
    </w:p>
    <w:p w14:paraId="120916D5">
      <w:pPr>
        <w:pStyle w:val="50"/>
        <w:bidi w:val="0"/>
        <w:rPr>
          <w:rFonts w:hint="eastAsia"/>
          <w:color w:val="auto"/>
          <w:highlight w:val="none"/>
          <w:lang w:eastAsia="zh-CN"/>
        </w:rPr>
      </w:pPr>
      <w:r>
        <w:rPr>
          <w:rFonts w:hint="eastAsia"/>
          <w:color w:val="auto"/>
          <w:highlight w:val="none"/>
          <w:lang w:eastAsia="zh-CN"/>
        </w:rPr>
        <w:t>【条文说明】10.1.2  本条规定了木结构组合建筑下部设置商业服务设施时应满足的要求。条文明确了商业服务设施只能设置在首层，且建筑的总层数不能大于5层，并要求首层商业服务设施的围护结构要求、与上部木结构部分的分隔以及防火挑檐的设置要求。</w:t>
      </w:r>
    </w:p>
    <w:p w14:paraId="6801528E">
      <w:pPr>
        <w:rPr>
          <w:color w:val="auto"/>
          <w:highlight w:val="none"/>
          <w:lang w:eastAsia="zh-CN"/>
        </w:rPr>
      </w:pPr>
    </w:p>
    <w:p w14:paraId="56B7D363">
      <w:pPr>
        <w:rPr>
          <w:color w:val="auto"/>
          <w:highlight w:val="none"/>
          <w:lang w:eastAsia="zh-CN"/>
        </w:rPr>
      </w:pPr>
      <w:r>
        <w:rPr>
          <w:rFonts w:hint="eastAsia"/>
          <w:b/>
          <w:bCs/>
          <w:color w:val="auto"/>
          <w:highlight w:val="none"/>
          <w:lang w:eastAsia="zh-CN"/>
        </w:rPr>
        <w:t>10</w:t>
      </w:r>
      <w:r>
        <w:rPr>
          <w:b/>
          <w:bCs/>
          <w:color w:val="auto"/>
          <w:highlight w:val="none"/>
          <w:lang w:eastAsia="zh-CN"/>
        </w:rPr>
        <w:t>.1.</w:t>
      </w:r>
      <w:r>
        <w:rPr>
          <w:rFonts w:hint="eastAsia"/>
          <w:b/>
          <w:bCs/>
          <w:color w:val="auto"/>
          <w:highlight w:val="none"/>
          <w:lang w:eastAsia="zh-CN"/>
        </w:rPr>
        <w:t>2</w:t>
      </w:r>
      <w:r>
        <w:rPr>
          <w:rFonts w:hint="eastAsia"/>
          <w:color w:val="auto"/>
          <w:highlight w:val="none"/>
          <w:lang w:eastAsia="zh-CN"/>
        </w:rPr>
        <w:t xml:space="preserve">  设置在木结构住宅建筑内的机动车库、发电机间、配电间，应采用耐火极限不低于 2.00</w:t>
      </w:r>
      <w:r>
        <w:rPr>
          <w:color w:val="auto"/>
          <w:highlight w:val="none"/>
          <w:lang w:eastAsia="zh-CN"/>
        </w:rPr>
        <w:t>h</w:t>
      </w:r>
      <w:r>
        <w:rPr>
          <w:rFonts w:hint="eastAsia"/>
          <w:color w:val="auto"/>
          <w:highlight w:val="none"/>
          <w:lang w:eastAsia="zh-CN"/>
        </w:rPr>
        <w:t xml:space="preserve"> 的防火隔墙和 1.00</w:t>
      </w:r>
      <w:r>
        <w:rPr>
          <w:color w:val="auto"/>
          <w:highlight w:val="none"/>
          <w:lang w:eastAsia="zh-CN"/>
        </w:rPr>
        <w:t>h</w:t>
      </w:r>
      <w:r>
        <w:rPr>
          <w:rFonts w:hint="eastAsia"/>
          <w:color w:val="auto"/>
          <w:highlight w:val="none"/>
          <w:lang w:eastAsia="zh-CN"/>
        </w:rPr>
        <w:t xml:space="preserve"> 的不燃性楼板与其他部位分隔，不宜开设与室内相通的门、窗、洞口，确需开设时，可开设一樘不直通卧室的单扇</w:t>
      </w:r>
      <w:r>
        <w:rPr>
          <w:rFonts w:hint="eastAsia"/>
          <w:color w:val="auto"/>
          <w:highlight w:val="none"/>
          <w:lang w:eastAsia="zh-CN"/>
        </w:rPr>
        <w:t>甲</w:t>
      </w:r>
      <w:r>
        <w:rPr>
          <w:rFonts w:hint="eastAsia"/>
          <w:color w:val="auto"/>
          <w:highlight w:val="none"/>
          <w:lang w:eastAsia="zh-CN"/>
        </w:rPr>
        <w:t xml:space="preserve">级防火门。机动车库的建筑面积不宜大于 </w:t>
      </w:r>
      <w:r>
        <w:rPr>
          <w:color w:val="auto"/>
          <w:highlight w:val="none"/>
          <w:lang w:eastAsia="zh-CN"/>
        </w:rPr>
        <w:t>60</w:t>
      </w:r>
      <w:r>
        <w:rPr>
          <w:rFonts w:hint="eastAsia"/>
          <w:color w:val="auto"/>
          <w:highlight w:val="none"/>
          <w:lang w:eastAsia="zh-CN"/>
        </w:rPr>
        <w:t>㎡。</w:t>
      </w:r>
    </w:p>
    <w:p w14:paraId="3598A92D">
      <w:pPr>
        <w:pStyle w:val="50"/>
        <w:bidi w:val="0"/>
        <w:rPr>
          <w:rFonts w:hint="eastAsia"/>
          <w:color w:val="auto"/>
          <w:highlight w:val="none"/>
          <w:lang w:eastAsia="zh-CN"/>
        </w:rPr>
      </w:pPr>
      <w:r>
        <w:rPr>
          <w:rFonts w:hint="eastAsia"/>
          <w:color w:val="auto"/>
          <w:highlight w:val="none"/>
          <w:lang w:eastAsia="zh-CN"/>
        </w:rPr>
        <w:t>【条文说明】10.1.2  本条规定了建筑内火灾危险性较大部位的防火分隔要求，对因使用需要等而开设的门、窗或洞口，要求采取相应的防火保护措施，以限制火灾在建筑内蔓延。</w:t>
      </w:r>
    </w:p>
    <w:p w14:paraId="289409C6">
      <w:pPr>
        <w:pStyle w:val="50"/>
        <w:bidi w:val="0"/>
        <w:rPr>
          <w:rFonts w:hint="eastAsia"/>
          <w:color w:val="auto"/>
          <w:highlight w:val="none"/>
          <w:lang w:eastAsia="zh-CN"/>
        </w:rPr>
      </w:pPr>
      <w:r>
        <w:rPr>
          <w:rFonts w:hint="eastAsia"/>
          <w:color w:val="auto"/>
          <w:highlight w:val="none"/>
          <w:lang w:eastAsia="zh-CN"/>
        </w:rPr>
        <w:t>条文中规定的车库，为小型住宅建筑中的自用车库。根据我国的实际情况，没有限制停放机动车的数量，而是通过限制建筑面积来控制附属车库的大小和可能带来的火灾危险。</w:t>
      </w:r>
    </w:p>
    <w:p w14:paraId="730F332B">
      <w:pPr>
        <w:rPr>
          <w:rFonts w:hint="eastAsia"/>
          <w:color w:val="auto"/>
          <w:highlight w:val="none"/>
          <w:lang w:eastAsia="zh-CN"/>
        </w:rPr>
      </w:pPr>
    </w:p>
    <w:p w14:paraId="6A1E1B42">
      <w:pPr>
        <w:rPr>
          <w:color w:val="auto"/>
          <w:highlight w:val="none"/>
          <w:lang w:eastAsia="zh-CN"/>
        </w:rPr>
      </w:pPr>
      <w:r>
        <w:rPr>
          <w:rFonts w:hint="eastAsia"/>
          <w:b/>
          <w:bCs/>
          <w:color w:val="auto"/>
          <w:highlight w:val="none"/>
          <w:lang w:eastAsia="zh-CN"/>
        </w:rPr>
        <w:t>10</w:t>
      </w:r>
      <w:r>
        <w:rPr>
          <w:b/>
          <w:bCs/>
          <w:color w:val="auto"/>
          <w:highlight w:val="none"/>
          <w:lang w:eastAsia="zh-CN"/>
        </w:rPr>
        <w:t>.1.3</w:t>
      </w:r>
      <w:r>
        <w:rPr>
          <w:rFonts w:hint="eastAsia"/>
          <w:color w:val="auto"/>
          <w:highlight w:val="none"/>
          <w:lang w:eastAsia="zh-CN"/>
        </w:rPr>
        <w:t xml:space="preserve">  设置在木结构住宅建筑内的非机动车库，应采用耐火极限不低于 2.00</w:t>
      </w:r>
      <w:r>
        <w:rPr>
          <w:color w:val="auto"/>
          <w:highlight w:val="none"/>
          <w:lang w:eastAsia="zh-CN"/>
        </w:rPr>
        <w:t>h</w:t>
      </w:r>
      <w:r>
        <w:rPr>
          <w:rFonts w:hint="eastAsia"/>
          <w:color w:val="auto"/>
          <w:highlight w:val="none"/>
          <w:lang w:eastAsia="zh-CN"/>
        </w:rPr>
        <w:t xml:space="preserve"> 的防火隔墙和 1.00</w:t>
      </w:r>
      <w:r>
        <w:rPr>
          <w:color w:val="auto"/>
          <w:highlight w:val="none"/>
          <w:lang w:eastAsia="zh-CN"/>
        </w:rPr>
        <w:t>h</w:t>
      </w:r>
      <w:r>
        <w:rPr>
          <w:rFonts w:hint="eastAsia"/>
          <w:color w:val="auto"/>
          <w:highlight w:val="none"/>
          <w:lang w:eastAsia="zh-CN"/>
        </w:rPr>
        <w:t xml:space="preserve"> 的不燃性楼板与其他部位分隔，当开设与室内相通的门时，可开设一樘不直通卧室的单扇</w:t>
      </w:r>
      <w:r>
        <w:rPr>
          <w:rFonts w:hint="eastAsia"/>
          <w:color w:val="auto"/>
          <w:highlight w:val="none"/>
          <w:lang w:eastAsia="zh-CN"/>
        </w:rPr>
        <w:t>乙</w:t>
      </w:r>
      <w:r>
        <w:rPr>
          <w:rFonts w:hint="eastAsia"/>
          <w:color w:val="auto"/>
          <w:highlight w:val="none"/>
          <w:lang w:eastAsia="zh-CN"/>
        </w:rPr>
        <w:t>级防火门。</w:t>
      </w:r>
    </w:p>
    <w:p w14:paraId="6FF0D2A1">
      <w:pPr>
        <w:pStyle w:val="50"/>
        <w:bidi w:val="0"/>
        <w:rPr>
          <w:rFonts w:hint="eastAsia"/>
          <w:color w:val="auto"/>
          <w:highlight w:val="none"/>
          <w:lang w:eastAsia="zh-CN"/>
        </w:rPr>
      </w:pPr>
      <w:bookmarkStart w:id="214" w:name="_Hlk179970820"/>
      <w:r>
        <w:rPr>
          <w:rFonts w:hint="eastAsia"/>
          <w:color w:val="auto"/>
          <w:highlight w:val="none"/>
          <w:lang w:eastAsia="zh-CN"/>
        </w:rPr>
        <w:t>【条文说明】10.1.3  本条规定了小型住宅建筑中的非机动车库的防火分隔要求，要求采取相应的防火保护措施，以限制火灾在建筑内蔓延。</w:t>
      </w:r>
    </w:p>
    <w:p w14:paraId="5C1C42DB">
      <w:pPr>
        <w:autoSpaceDE w:val="0"/>
        <w:autoSpaceDN w:val="0"/>
        <w:rPr>
          <w:rFonts w:hint="eastAsia"/>
          <w:color w:val="auto"/>
          <w:highlight w:val="none"/>
          <w:lang w:eastAsia="zh-CN"/>
        </w:rPr>
      </w:pPr>
    </w:p>
    <w:bookmarkEnd w:id="214"/>
    <w:p w14:paraId="158963B9">
      <w:pPr>
        <w:pStyle w:val="4"/>
        <w:rPr>
          <w:color w:val="auto"/>
          <w:highlight w:val="none"/>
          <w:lang w:eastAsia="zh-CN"/>
        </w:rPr>
      </w:pPr>
      <w:r>
        <w:rPr>
          <w:rFonts w:hint="eastAsia"/>
          <w:b/>
          <w:bCs/>
          <w:color w:val="auto"/>
          <w:highlight w:val="none"/>
          <w:lang w:eastAsia="zh-CN"/>
        </w:rPr>
        <w:t>10</w:t>
      </w:r>
      <w:r>
        <w:rPr>
          <w:b/>
          <w:bCs/>
          <w:color w:val="auto"/>
          <w:highlight w:val="none"/>
          <w:lang w:eastAsia="zh-CN"/>
        </w:rPr>
        <w:t>.1.4</w:t>
      </w:r>
      <w:r>
        <w:rPr>
          <w:rFonts w:hint="eastAsia"/>
          <w:b/>
          <w:bCs/>
          <w:color w:val="auto"/>
          <w:highlight w:val="none"/>
          <w:lang w:eastAsia="zh-CN"/>
        </w:rPr>
        <w:t xml:space="preserve">  </w:t>
      </w:r>
      <w:r>
        <w:rPr>
          <w:rFonts w:hint="eastAsia"/>
          <w:color w:val="auto"/>
          <w:highlight w:val="none"/>
          <w:lang w:eastAsia="zh-CN"/>
        </w:rPr>
        <w:t xml:space="preserve">木结构建筑的其他防火设计应执行《建筑设计防火规范》GB </w:t>
      </w:r>
      <w:r>
        <w:rPr>
          <w:color w:val="auto"/>
          <w:highlight w:val="none"/>
          <w:lang w:eastAsia="zh-CN"/>
        </w:rPr>
        <w:t>500</w:t>
      </w:r>
      <w:r>
        <w:rPr>
          <w:rFonts w:hint="eastAsia"/>
          <w:color w:val="auto"/>
          <w:highlight w:val="none"/>
          <w:lang w:eastAsia="zh-CN"/>
        </w:rPr>
        <w:t>16 有关四级耐火等级建筑的规定，</w:t>
      </w:r>
      <w:bookmarkStart w:id="215" w:name="_Hlk179879790"/>
      <w:r>
        <w:rPr>
          <w:rFonts w:hint="eastAsia"/>
          <w:color w:val="auto"/>
          <w:highlight w:val="none"/>
          <w:lang w:eastAsia="zh-CN"/>
        </w:rPr>
        <w:t xml:space="preserve">防火构造要求除应符合《建筑设计防火规范》GB </w:t>
      </w:r>
      <w:r>
        <w:rPr>
          <w:color w:val="auto"/>
          <w:highlight w:val="none"/>
          <w:lang w:eastAsia="zh-CN"/>
        </w:rPr>
        <w:t>500</w:t>
      </w:r>
      <w:r>
        <w:rPr>
          <w:rFonts w:hint="eastAsia"/>
          <w:color w:val="auto"/>
          <w:highlight w:val="none"/>
          <w:lang w:eastAsia="zh-CN"/>
        </w:rPr>
        <w:t>16 的规定外，</w:t>
      </w:r>
      <w:bookmarkEnd w:id="215"/>
      <w:r>
        <w:rPr>
          <w:rFonts w:hint="eastAsia"/>
          <w:color w:val="auto"/>
          <w:highlight w:val="none"/>
          <w:lang w:eastAsia="zh-CN"/>
        </w:rPr>
        <w:t>尚应符合现行国家标准《</w:t>
      </w:r>
      <w:r>
        <w:rPr>
          <w:rFonts w:hint="eastAsia"/>
          <w:color w:val="auto"/>
          <w:highlight w:val="none"/>
          <w:lang w:eastAsia="zh-CN"/>
        </w:rPr>
        <w:t>木结构设计标准</w:t>
      </w:r>
      <w:r>
        <w:rPr>
          <w:rFonts w:hint="eastAsia"/>
          <w:color w:val="auto"/>
          <w:highlight w:val="none"/>
          <w:lang w:eastAsia="zh-CN"/>
        </w:rPr>
        <w:t xml:space="preserve">》GB </w:t>
      </w:r>
      <w:r>
        <w:rPr>
          <w:color w:val="auto"/>
          <w:highlight w:val="none"/>
          <w:lang w:eastAsia="zh-CN"/>
        </w:rPr>
        <w:t>50005</w:t>
      </w:r>
      <w:r>
        <w:rPr>
          <w:rFonts w:hint="eastAsia"/>
          <w:color w:val="auto"/>
          <w:highlight w:val="none"/>
          <w:lang w:eastAsia="zh-CN"/>
        </w:rPr>
        <w:t xml:space="preserve"> 等标准的规定。</w:t>
      </w:r>
    </w:p>
    <w:p w14:paraId="5B7E1E9A">
      <w:pPr>
        <w:pStyle w:val="3"/>
        <w:spacing w:before="156" w:after="156"/>
        <w:rPr>
          <w:color w:val="auto"/>
          <w:highlight w:val="none"/>
          <w:lang w:eastAsia="zh-CN"/>
        </w:rPr>
      </w:pPr>
      <w:bookmarkStart w:id="216" w:name="_Toc17952"/>
      <w:bookmarkStart w:id="217" w:name="_Toc58592747"/>
      <w:bookmarkStart w:id="218" w:name="_Toc22441"/>
      <w:bookmarkStart w:id="219" w:name="_Toc14218"/>
      <w:bookmarkStart w:id="220" w:name="_Toc22575"/>
      <w:bookmarkStart w:id="221" w:name="_Toc3608"/>
      <w:r>
        <w:rPr>
          <w:rFonts w:hint="eastAsia"/>
          <w:color w:val="auto"/>
          <w:highlight w:val="none"/>
          <w:lang w:eastAsia="zh-CN"/>
        </w:rPr>
        <w:t>10</w:t>
      </w:r>
      <w:r>
        <w:rPr>
          <w:color w:val="auto"/>
          <w:highlight w:val="none"/>
          <w:lang w:eastAsia="zh-CN"/>
        </w:rPr>
        <w:t>.2</w:t>
      </w:r>
      <w:r>
        <w:rPr>
          <w:rFonts w:hint="eastAsia"/>
          <w:color w:val="auto"/>
          <w:highlight w:val="none"/>
          <w:lang w:eastAsia="zh-CN"/>
        </w:rPr>
        <w:t xml:space="preserve">  防火要求</w:t>
      </w:r>
      <w:bookmarkEnd w:id="216"/>
      <w:bookmarkEnd w:id="217"/>
      <w:bookmarkEnd w:id="218"/>
      <w:bookmarkEnd w:id="219"/>
      <w:bookmarkEnd w:id="220"/>
      <w:bookmarkEnd w:id="221"/>
      <w:r>
        <w:rPr>
          <w:rFonts w:hint="eastAsia"/>
          <w:color w:val="auto"/>
          <w:highlight w:val="none"/>
          <w:lang w:eastAsia="zh-CN"/>
        </w:rPr>
        <w:t xml:space="preserve">  </w:t>
      </w:r>
    </w:p>
    <w:p w14:paraId="1068F009">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.2.1</w:t>
      </w:r>
      <w:r>
        <w:rPr>
          <w:rFonts w:hint="eastAsia"/>
          <w:b/>
          <w:bCs/>
          <w:color w:val="auto"/>
          <w:highlight w:val="none"/>
          <w:lang w:eastAsia="zh-CN"/>
        </w:rPr>
        <w:t xml:space="preserve">  </w:t>
      </w:r>
      <w:r>
        <w:rPr>
          <w:rFonts w:hint="eastAsia"/>
          <w:color w:val="auto"/>
          <w:highlight w:val="none"/>
          <w:lang w:eastAsia="zh-CN"/>
        </w:rPr>
        <w:t>建筑构件的燃烧性能和耐火极限应符合表 10.</w:t>
      </w:r>
      <w:r>
        <w:rPr>
          <w:color w:val="auto"/>
          <w:highlight w:val="none"/>
          <w:lang w:eastAsia="zh-CN"/>
        </w:rPr>
        <w:t>2</w:t>
      </w:r>
      <w:r>
        <w:rPr>
          <w:rFonts w:hint="eastAsia"/>
          <w:color w:val="auto"/>
          <w:highlight w:val="none"/>
          <w:lang w:eastAsia="zh-CN"/>
        </w:rPr>
        <w:t>.</w:t>
      </w:r>
      <w:r>
        <w:rPr>
          <w:color w:val="auto"/>
          <w:highlight w:val="none"/>
          <w:lang w:eastAsia="zh-CN"/>
        </w:rPr>
        <w:t>1</w:t>
      </w:r>
      <w:r>
        <w:rPr>
          <w:rFonts w:hint="eastAsia"/>
          <w:color w:val="auto"/>
          <w:highlight w:val="none"/>
          <w:lang w:eastAsia="zh-CN"/>
        </w:rPr>
        <w:t>的规定。</w:t>
      </w:r>
    </w:p>
    <w:p w14:paraId="24CD46F0">
      <w:pPr>
        <w:pStyle w:val="4"/>
        <w:jc w:val="center"/>
        <w:rPr>
          <w:b/>
          <w:bCs/>
          <w:color w:val="auto"/>
          <w:sz w:val="18"/>
          <w:szCs w:val="18"/>
          <w:highlight w:val="none"/>
          <w:lang w:eastAsia="zh-CN"/>
        </w:rPr>
      </w:pPr>
      <w:r>
        <w:rPr>
          <w:rFonts w:hint="eastAsia"/>
          <w:b/>
          <w:bCs/>
          <w:color w:val="auto"/>
          <w:sz w:val="18"/>
          <w:szCs w:val="18"/>
          <w:highlight w:val="none"/>
          <w:lang w:eastAsia="zh-CN"/>
        </w:rPr>
        <w:t>表 10.2.1  木结构建筑构件的燃烧性能和耐火极限</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6"/>
        <w:gridCol w:w="2427"/>
      </w:tblGrid>
      <w:tr w14:paraId="2B9C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72272B78">
            <w:pPr>
              <w:pStyle w:val="4"/>
              <w:jc w:val="center"/>
              <w:rPr>
                <w:color w:val="auto"/>
                <w:sz w:val="15"/>
                <w:szCs w:val="15"/>
                <w:highlight w:val="none"/>
              </w:rPr>
            </w:pPr>
            <w:r>
              <w:rPr>
                <w:rFonts w:hint="eastAsia"/>
                <w:color w:val="auto"/>
                <w:sz w:val="15"/>
                <w:szCs w:val="15"/>
                <w:highlight w:val="none"/>
              </w:rPr>
              <w:t>构件名称</w:t>
            </w:r>
          </w:p>
        </w:tc>
        <w:tc>
          <w:tcPr>
            <w:tcW w:w="2427" w:type="dxa"/>
            <w:vAlign w:val="center"/>
          </w:tcPr>
          <w:p w14:paraId="63BB82F8">
            <w:pPr>
              <w:pStyle w:val="4"/>
              <w:jc w:val="center"/>
              <w:rPr>
                <w:color w:val="auto"/>
                <w:sz w:val="15"/>
                <w:szCs w:val="15"/>
                <w:highlight w:val="none"/>
                <w:lang w:eastAsia="zh-CN"/>
              </w:rPr>
            </w:pPr>
            <w:r>
              <w:rPr>
                <w:rFonts w:hint="eastAsia"/>
                <w:color w:val="auto"/>
                <w:sz w:val="15"/>
                <w:szCs w:val="15"/>
                <w:highlight w:val="none"/>
                <w:lang w:eastAsia="zh-CN"/>
              </w:rPr>
              <w:t>燃烧性能和耐火极限（h）</w:t>
            </w:r>
          </w:p>
        </w:tc>
      </w:tr>
      <w:tr w14:paraId="2EC6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242909B0">
            <w:pPr>
              <w:pStyle w:val="4"/>
              <w:jc w:val="center"/>
              <w:rPr>
                <w:color w:val="auto"/>
                <w:sz w:val="15"/>
                <w:szCs w:val="15"/>
                <w:highlight w:val="none"/>
              </w:rPr>
            </w:pPr>
            <w:r>
              <w:rPr>
                <w:rFonts w:hint="eastAsia"/>
                <w:color w:val="auto"/>
                <w:sz w:val="15"/>
                <w:szCs w:val="15"/>
                <w:highlight w:val="none"/>
              </w:rPr>
              <w:t>防火墙</w:t>
            </w:r>
          </w:p>
        </w:tc>
        <w:tc>
          <w:tcPr>
            <w:tcW w:w="2427" w:type="dxa"/>
            <w:vAlign w:val="center"/>
          </w:tcPr>
          <w:p w14:paraId="55656AFF">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w:t>
            </w:r>
            <w:r>
              <w:rPr>
                <w:rFonts w:hint="eastAsia"/>
                <w:color w:val="auto"/>
                <w:sz w:val="15"/>
                <w:szCs w:val="15"/>
                <w:highlight w:val="none"/>
              </w:rPr>
              <w:t>3.00</w:t>
            </w:r>
          </w:p>
        </w:tc>
      </w:tr>
      <w:tr w14:paraId="3CB4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11F9CEFD">
            <w:pPr>
              <w:pStyle w:val="4"/>
              <w:jc w:val="center"/>
              <w:rPr>
                <w:color w:val="auto"/>
                <w:sz w:val="15"/>
                <w:szCs w:val="15"/>
                <w:highlight w:val="none"/>
                <w:lang w:eastAsia="zh-CN"/>
              </w:rPr>
            </w:pPr>
            <w:r>
              <w:rPr>
                <w:rFonts w:hint="eastAsia"/>
                <w:color w:val="auto"/>
                <w:sz w:val="15"/>
                <w:szCs w:val="15"/>
                <w:highlight w:val="none"/>
                <w:lang w:eastAsia="zh-CN"/>
              </w:rPr>
              <w:t>承重墙、分户墙、楼梯间的墙、住宅建筑单元之间的墙</w:t>
            </w:r>
          </w:p>
        </w:tc>
        <w:tc>
          <w:tcPr>
            <w:tcW w:w="2427" w:type="dxa"/>
            <w:vAlign w:val="center"/>
          </w:tcPr>
          <w:p w14:paraId="378677F5">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1</w:t>
            </w:r>
            <w:r>
              <w:rPr>
                <w:rFonts w:hint="eastAsia"/>
                <w:color w:val="auto"/>
                <w:sz w:val="15"/>
                <w:szCs w:val="15"/>
                <w:highlight w:val="none"/>
              </w:rPr>
              <w:t>.00</w:t>
            </w:r>
          </w:p>
        </w:tc>
      </w:tr>
      <w:tr w14:paraId="07B8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7E3977EE">
            <w:pPr>
              <w:pStyle w:val="4"/>
              <w:jc w:val="center"/>
              <w:rPr>
                <w:color w:val="auto"/>
                <w:sz w:val="15"/>
                <w:szCs w:val="15"/>
                <w:highlight w:val="none"/>
              </w:rPr>
            </w:pPr>
            <w:r>
              <w:rPr>
                <w:rFonts w:hint="eastAsia"/>
                <w:color w:val="auto"/>
                <w:sz w:val="15"/>
                <w:szCs w:val="15"/>
                <w:highlight w:val="none"/>
              </w:rPr>
              <w:t>电梯井的墙</w:t>
            </w:r>
          </w:p>
        </w:tc>
        <w:tc>
          <w:tcPr>
            <w:tcW w:w="2427" w:type="dxa"/>
            <w:vAlign w:val="center"/>
          </w:tcPr>
          <w:p w14:paraId="7DBAF0E6">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1.0</w:t>
            </w:r>
            <w:r>
              <w:rPr>
                <w:rFonts w:hint="eastAsia"/>
                <w:color w:val="auto"/>
                <w:sz w:val="15"/>
                <w:szCs w:val="15"/>
                <w:highlight w:val="none"/>
              </w:rPr>
              <w:t>0</w:t>
            </w:r>
          </w:p>
        </w:tc>
      </w:tr>
      <w:tr w14:paraId="4662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523C4CE5">
            <w:pPr>
              <w:pStyle w:val="4"/>
              <w:jc w:val="center"/>
              <w:rPr>
                <w:color w:val="auto"/>
                <w:sz w:val="15"/>
                <w:szCs w:val="15"/>
                <w:highlight w:val="none"/>
                <w:lang w:eastAsia="zh-CN"/>
              </w:rPr>
            </w:pPr>
            <w:r>
              <w:rPr>
                <w:rFonts w:hint="eastAsia"/>
                <w:color w:val="auto"/>
                <w:sz w:val="15"/>
                <w:szCs w:val="15"/>
                <w:highlight w:val="none"/>
                <w:lang w:eastAsia="zh-CN"/>
              </w:rPr>
              <w:t>非承重外墙，疏散走道两侧的隔墙</w:t>
            </w:r>
          </w:p>
        </w:tc>
        <w:tc>
          <w:tcPr>
            <w:tcW w:w="2427" w:type="dxa"/>
            <w:vAlign w:val="center"/>
          </w:tcPr>
          <w:p w14:paraId="6E5ED018">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0.75</w:t>
            </w:r>
          </w:p>
        </w:tc>
      </w:tr>
      <w:tr w14:paraId="1315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3D6FC700">
            <w:pPr>
              <w:pStyle w:val="4"/>
              <w:jc w:val="center"/>
              <w:rPr>
                <w:color w:val="auto"/>
                <w:sz w:val="15"/>
                <w:szCs w:val="15"/>
                <w:highlight w:val="none"/>
              </w:rPr>
            </w:pPr>
            <w:r>
              <w:rPr>
                <w:rFonts w:hint="eastAsia"/>
                <w:color w:val="auto"/>
                <w:sz w:val="15"/>
                <w:szCs w:val="15"/>
                <w:highlight w:val="none"/>
              </w:rPr>
              <w:t>房间隔墙</w:t>
            </w:r>
          </w:p>
        </w:tc>
        <w:tc>
          <w:tcPr>
            <w:tcW w:w="2427" w:type="dxa"/>
            <w:vAlign w:val="center"/>
          </w:tcPr>
          <w:p w14:paraId="0432272A">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w:t>
            </w:r>
            <w:r>
              <w:rPr>
                <w:rFonts w:hint="eastAsia"/>
                <w:color w:val="auto"/>
                <w:sz w:val="15"/>
                <w:szCs w:val="15"/>
                <w:highlight w:val="none"/>
              </w:rPr>
              <w:t>0.50</w:t>
            </w:r>
          </w:p>
        </w:tc>
      </w:tr>
      <w:tr w14:paraId="35F0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3056074B">
            <w:pPr>
              <w:pStyle w:val="4"/>
              <w:jc w:val="center"/>
              <w:rPr>
                <w:color w:val="auto"/>
                <w:sz w:val="15"/>
                <w:szCs w:val="15"/>
                <w:highlight w:val="none"/>
              </w:rPr>
            </w:pPr>
            <w:r>
              <w:rPr>
                <w:rFonts w:hint="eastAsia"/>
                <w:color w:val="auto"/>
                <w:sz w:val="15"/>
                <w:szCs w:val="15"/>
                <w:highlight w:val="none"/>
              </w:rPr>
              <w:t>承重柱</w:t>
            </w:r>
          </w:p>
        </w:tc>
        <w:tc>
          <w:tcPr>
            <w:tcW w:w="2427" w:type="dxa"/>
            <w:vAlign w:val="center"/>
          </w:tcPr>
          <w:p w14:paraId="6F62A215">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1</w:t>
            </w:r>
            <w:r>
              <w:rPr>
                <w:rFonts w:hint="eastAsia"/>
                <w:color w:val="auto"/>
                <w:sz w:val="15"/>
                <w:szCs w:val="15"/>
                <w:highlight w:val="none"/>
              </w:rPr>
              <w:t>.00</w:t>
            </w:r>
          </w:p>
        </w:tc>
      </w:tr>
      <w:tr w14:paraId="795E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785A0E4B">
            <w:pPr>
              <w:pStyle w:val="4"/>
              <w:jc w:val="center"/>
              <w:rPr>
                <w:color w:val="auto"/>
                <w:sz w:val="15"/>
                <w:szCs w:val="15"/>
                <w:highlight w:val="none"/>
              </w:rPr>
            </w:pPr>
            <w:r>
              <w:rPr>
                <w:rFonts w:hint="eastAsia"/>
                <w:color w:val="auto"/>
                <w:sz w:val="15"/>
                <w:szCs w:val="15"/>
                <w:highlight w:val="none"/>
              </w:rPr>
              <w:t>梁</w:t>
            </w:r>
          </w:p>
        </w:tc>
        <w:tc>
          <w:tcPr>
            <w:tcW w:w="2427" w:type="dxa"/>
            <w:vAlign w:val="center"/>
          </w:tcPr>
          <w:p w14:paraId="31E355C6">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1</w:t>
            </w:r>
            <w:r>
              <w:rPr>
                <w:rFonts w:hint="eastAsia"/>
                <w:color w:val="auto"/>
                <w:sz w:val="15"/>
                <w:szCs w:val="15"/>
                <w:highlight w:val="none"/>
              </w:rPr>
              <w:t>.00</w:t>
            </w:r>
          </w:p>
        </w:tc>
      </w:tr>
      <w:tr w14:paraId="1577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32468B85">
            <w:pPr>
              <w:pStyle w:val="4"/>
              <w:jc w:val="center"/>
              <w:rPr>
                <w:color w:val="auto"/>
                <w:sz w:val="15"/>
                <w:szCs w:val="15"/>
                <w:highlight w:val="none"/>
              </w:rPr>
            </w:pPr>
            <w:r>
              <w:rPr>
                <w:rFonts w:hint="eastAsia"/>
                <w:color w:val="auto"/>
                <w:sz w:val="15"/>
                <w:szCs w:val="15"/>
                <w:highlight w:val="none"/>
              </w:rPr>
              <w:t>楼板</w:t>
            </w:r>
          </w:p>
        </w:tc>
        <w:tc>
          <w:tcPr>
            <w:tcW w:w="2427" w:type="dxa"/>
            <w:vAlign w:val="center"/>
          </w:tcPr>
          <w:p w14:paraId="57633F10">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0.75</w:t>
            </w:r>
          </w:p>
        </w:tc>
      </w:tr>
      <w:tr w14:paraId="5727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17734717">
            <w:pPr>
              <w:pStyle w:val="4"/>
              <w:jc w:val="center"/>
              <w:rPr>
                <w:color w:val="auto"/>
                <w:sz w:val="15"/>
                <w:szCs w:val="15"/>
                <w:highlight w:val="none"/>
              </w:rPr>
            </w:pPr>
            <w:r>
              <w:rPr>
                <w:rFonts w:hint="eastAsia"/>
                <w:color w:val="auto"/>
                <w:sz w:val="15"/>
                <w:szCs w:val="15"/>
                <w:highlight w:val="none"/>
              </w:rPr>
              <w:t>屋顶承重构件</w:t>
            </w:r>
          </w:p>
        </w:tc>
        <w:tc>
          <w:tcPr>
            <w:tcW w:w="2427" w:type="dxa"/>
            <w:vAlign w:val="center"/>
          </w:tcPr>
          <w:p w14:paraId="3C7B097C">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w:t>
            </w:r>
            <w:r>
              <w:rPr>
                <w:rFonts w:hint="eastAsia"/>
                <w:color w:val="auto"/>
                <w:sz w:val="15"/>
                <w:szCs w:val="15"/>
                <w:highlight w:val="none"/>
              </w:rPr>
              <w:t>0.50</w:t>
            </w:r>
          </w:p>
        </w:tc>
      </w:tr>
      <w:tr w14:paraId="796D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2691FB24">
            <w:pPr>
              <w:pStyle w:val="4"/>
              <w:jc w:val="center"/>
              <w:rPr>
                <w:color w:val="auto"/>
                <w:sz w:val="15"/>
                <w:szCs w:val="15"/>
                <w:highlight w:val="none"/>
              </w:rPr>
            </w:pPr>
            <w:r>
              <w:rPr>
                <w:rFonts w:hint="eastAsia"/>
                <w:color w:val="auto"/>
                <w:sz w:val="15"/>
                <w:szCs w:val="15"/>
                <w:highlight w:val="none"/>
              </w:rPr>
              <w:t>疏散楼梯</w:t>
            </w:r>
          </w:p>
        </w:tc>
        <w:tc>
          <w:tcPr>
            <w:tcW w:w="2427" w:type="dxa"/>
            <w:vAlign w:val="center"/>
          </w:tcPr>
          <w:p w14:paraId="495C6A78">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0.50</w:t>
            </w:r>
          </w:p>
        </w:tc>
      </w:tr>
      <w:tr w14:paraId="3EFF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vAlign w:val="center"/>
          </w:tcPr>
          <w:p w14:paraId="753B526A">
            <w:pPr>
              <w:pStyle w:val="4"/>
              <w:jc w:val="center"/>
              <w:rPr>
                <w:color w:val="auto"/>
                <w:sz w:val="15"/>
                <w:szCs w:val="15"/>
                <w:highlight w:val="none"/>
              </w:rPr>
            </w:pPr>
            <w:r>
              <w:rPr>
                <w:rFonts w:hint="eastAsia"/>
                <w:color w:val="auto"/>
                <w:sz w:val="15"/>
                <w:szCs w:val="15"/>
                <w:highlight w:val="none"/>
              </w:rPr>
              <w:t>吊顶</w:t>
            </w:r>
          </w:p>
        </w:tc>
        <w:tc>
          <w:tcPr>
            <w:tcW w:w="2427" w:type="dxa"/>
            <w:vAlign w:val="center"/>
          </w:tcPr>
          <w:p w14:paraId="7FD58FEF">
            <w:pPr>
              <w:pStyle w:val="4"/>
              <w:jc w:val="center"/>
              <w:rPr>
                <w:color w:val="auto"/>
                <w:sz w:val="15"/>
                <w:szCs w:val="15"/>
                <w:highlight w:val="none"/>
              </w:rPr>
            </w:pPr>
            <w:r>
              <w:rPr>
                <w:rFonts w:hint="eastAsia"/>
                <w:color w:val="auto"/>
                <w:sz w:val="15"/>
                <w:szCs w:val="15"/>
                <w:highlight w:val="none"/>
              </w:rPr>
              <w:t>难燃性</w:t>
            </w:r>
            <w:r>
              <w:rPr>
                <w:rFonts w:hint="eastAsia"/>
                <w:color w:val="auto"/>
                <w:sz w:val="15"/>
                <w:szCs w:val="15"/>
                <w:highlight w:val="none"/>
                <w:lang w:eastAsia="zh-CN"/>
              </w:rPr>
              <w:t xml:space="preserve"> </w:t>
            </w:r>
            <w:r>
              <w:rPr>
                <w:rFonts w:hint="eastAsia"/>
                <w:color w:val="auto"/>
                <w:sz w:val="15"/>
                <w:szCs w:val="15"/>
                <w:highlight w:val="none"/>
              </w:rPr>
              <w:t>0.</w:t>
            </w:r>
            <w:r>
              <w:rPr>
                <w:rFonts w:hint="eastAsia"/>
                <w:color w:val="auto"/>
                <w:sz w:val="15"/>
                <w:szCs w:val="15"/>
                <w:highlight w:val="none"/>
                <w:lang w:eastAsia="zh-CN"/>
              </w:rPr>
              <w:t>1</w:t>
            </w:r>
            <w:r>
              <w:rPr>
                <w:rFonts w:hint="eastAsia"/>
                <w:color w:val="auto"/>
                <w:sz w:val="15"/>
                <w:szCs w:val="15"/>
                <w:highlight w:val="none"/>
              </w:rPr>
              <w:t>5</w:t>
            </w:r>
          </w:p>
        </w:tc>
      </w:tr>
    </w:tbl>
    <w:p w14:paraId="09960FAA">
      <w:pPr>
        <w:pStyle w:val="4"/>
        <w:ind w:firstLine="480" w:firstLineChars="200"/>
        <w:rPr>
          <w:color w:val="auto"/>
          <w:highlight w:val="none"/>
          <w:lang w:eastAsia="zh-CN"/>
        </w:rPr>
      </w:pPr>
      <w:r>
        <w:rPr>
          <w:rFonts w:hint="eastAsia"/>
          <w:color w:val="auto"/>
          <w:highlight w:val="none"/>
          <w:lang w:eastAsia="zh-CN"/>
        </w:rPr>
        <w:t>注：1 除本规范另有规定外，当同一座木结构建筑存在不同高度的屋顶时，较低部分的屋顶承重构件和屋面不应采用可燃性构件，采用难燃性屋顶承重构件时，其耐火极限不应低于0.75h。</w:t>
      </w:r>
    </w:p>
    <w:p w14:paraId="5CE3A241">
      <w:pPr>
        <w:pStyle w:val="4"/>
        <w:rPr>
          <w:color w:val="auto"/>
          <w:highlight w:val="none"/>
          <w:lang w:eastAsia="zh-CN"/>
        </w:rPr>
      </w:pPr>
      <w:r>
        <w:rPr>
          <w:rFonts w:hint="eastAsia"/>
          <w:color w:val="auto"/>
          <w:highlight w:val="none"/>
          <w:lang w:eastAsia="zh-CN"/>
        </w:rPr>
        <w:t xml:space="preserve">        2 轻型木结构建筑的屋顶，除防水层、保温层及屋面板外，其他部分均应视为屋顶承重构件，且不应采用可燃性构件，耐火极限不应低于0.50h。</w:t>
      </w:r>
    </w:p>
    <w:p w14:paraId="442D445E">
      <w:pPr>
        <w:pStyle w:val="4"/>
        <w:rPr>
          <w:color w:val="auto"/>
          <w:highlight w:val="none"/>
          <w:lang w:eastAsia="zh-CN"/>
        </w:rPr>
      </w:pPr>
      <w:r>
        <w:rPr>
          <w:rFonts w:hint="eastAsia"/>
          <w:color w:val="auto"/>
          <w:highlight w:val="none"/>
          <w:lang w:eastAsia="zh-CN"/>
        </w:rPr>
        <w:t xml:space="preserve">        3 当建筑的层数不超过2层、防火墙间的建筑面积小于600m</w:t>
      </w:r>
      <w:r>
        <w:rPr>
          <w:rFonts w:hint="eastAsia"/>
          <w:color w:val="auto"/>
          <w:highlight w:val="none"/>
          <w:vertAlign w:val="superscript"/>
          <w:lang w:eastAsia="zh-CN"/>
        </w:rPr>
        <w:t>2</w:t>
      </w:r>
      <w:r>
        <w:rPr>
          <w:rFonts w:hint="eastAsia"/>
          <w:color w:val="auto"/>
          <w:highlight w:val="none"/>
          <w:lang w:eastAsia="zh-CN"/>
        </w:rPr>
        <w:t>且防火墙间的建筑长度小于60m时，建筑构件的燃烧性能和耐火极限可按本规范有关四级耐火等级建筑的要求确定。</w:t>
      </w:r>
    </w:p>
    <w:p w14:paraId="221AC70E">
      <w:pPr>
        <w:pStyle w:val="50"/>
        <w:bidi w:val="0"/>
        <w:rPr>
          <w:rFonts w:hint="eastAsia"/>
          <w:color w:val="auto"/>
          <w:highlight w:val="none"/>
          <w:lang w:eastAsia="zh-CN"/>
        </w:rPr>
      </w:pPr>
      <w:r>
        <w:rPr>
          <w:rFonts w:hint="eastAsia"/>
          <w:color w:val="auto"/>
          <w:highlight w:val="none"/>
          <w:lang w:eastAsia="zh-CN"/>
        </w:rPr>
        <w:t>【条文说明】10.2.1  本条规定了木结构建筑主要构件的燃烧性能和耐火极限。表10.2.1中电梯井的墙、非承重外墙、疏散走道两侧的隔墙、承重柱、梁、楼板、屋顶承重构件及吊顶的燃烧性能和耐火极限的定性与定量要求，主要根据我国对主要木结构构件的耐火试验数据以及相关标准对木结构建筑主要构件燃烧性能和耐火极限的规定确定的。本条中主要木结构构件的燃烧性能和耐火极限要求，充分考虑了与现行国家相关标准的协调，力求做到科学、合理、可行。</w:t>
      </w:r>
    </w:p>
    <w:p w14:paraId="141912C1">
      <w:pPr>
        <w:rPr>
          <w:rFonts w:hint="eastAsia"/>
          <w:color w:val="auto"/>
          <w:highlight w:val="none"/>
          <w:lang w:eastAsia="zh-CN"/>
        </w:rPr>
      </w:pPr>
    </w:p>
    <w:p w14:paraId="660E8C6E">
      <w:pPr>
        <w:rPr>
          <w:color w:val="auto"/>
          <w:highlight w:val="none"/>
          <w:lang w:eastAsia="zh-CN"/>
        </w:rPr>
      </w:pPr>
    </w:p>
    <w:p w14:paraId="7B9F8F08">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.2.2</w:t>
      </w:r>
      <w:r>
        <w:rPr>
          <w:rFonts w:hint="eastAsia"/>
          <w:b/>
          <w:bCs/>
          <w:color w:val="auto"/>
          <w:highlight w:val="none"/>
          <w:lang w:eastAsia="zh-CN"/>
        </w:rPr>
        <w:t xml:space="preserve">  </w:t>
      </w:r>
      <w:r>
        <w:rPr>
          <w:rFonts w:hint="eastAsia"/>
          <w:color w:val="auto"/>
          <w:highlight w:val="none"/>
          <w:lang w:eastAsia="zh-CN"/>
        </w:rPr>
        <w:t>采用木结构建筑或木结构组合建筑的民用建筑，木结构建筑中防火墙之间的允许建筑长度和每层最大允许建筑面积应符合表10.2.2的规定。</w:t>
      </w:r>
    </w:p>
    <w:p w14:paraId="3F89BECF">
      <w:pPr>
        <w:jc w:val="center"/>
        <w:outlineLvl w:val="2"/>
        <w:rPr>
          <w:rFonts w:hint="eastAsia" w:ascii="宋体" w:hAnsi="宋体"/>
          <w:b/>
          <w:bCs/>
          <w:color w:val="auto"/>
          <w:sz w:val="18"/>
          <w:szCs w:val="18"/>
          <w:highlight w:val="none"/>
          <w:lang w:eastAsia="zh-CN"/>
        </w:rPr>
      </w:pPr>
      <w:r>
        <w:rPr>
          <w:rFonts w:hint="eastAsia" w:ascii="宋体" w:hAnsi="宋体"/>
          <w:b/>
          <w:bCs/>
          <w:color w:val="auto"/>
          <w:sz w:val="18"/>
          <w:szCs w:val="18"/>
          <w:highlight w:val="none"/>
          <w:lang w:eastAsia="zh-CN"/>
        </w:rPr>
        <w:t>表 10.2.2  木结构建筑中防火墙之间的允许建筑长度和每层最大允许建筑面积</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083"/>
        <w:gridCol w:w="2874"/>
      </w:tblGrid>
      <w:tr w14:paraId="3902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69E8B6">
            <w:pPr>
              <w:jc w:val="center"/>
              <w:outlineLvl w:val="2"/>
              <w:rPr>
                <w:color w:val="auto"/>
                <w:sz w:val="15"/>
                <w:szCs w:val="15"/>
                <w:highlight w:val="none"/>
              </w:rPr>
            </w:pPr>
            <w:bookmarkStart w:id="222" w:name="_Hlk179900482"/>
            <w:r>
              <w:rPr>
                <w:rFonts w:hint="eastAsia"/>
                <w:color w:val="auto"/>
                <w:sz w:val="15"/>
                <w:szCs w:val="15"/>
                <w:highlight w:val="none"/>
              </w:rPr>
              <w:t>层数</w:t>
            </w:r>
          </w:p>
        </w:tc>
        <w:tc>
          <w:tcPr>
            <w:tcW w:w="0" w:type="auto"/>
            <w:vAlign w:val="center"/>
          </w:tcPr>
          <w:p w14:paraId="54115BF7">
            <w:pPr>
              <w:jc w:val="center"/>
              <w:outlineLvl w:val="2"/>
              <w:rPr>
                <w:color w:val="auto"/>
                <w:sz w:val="15"/>
                <w:szCs w:val="15"/>
                <w:highlight w:val="none"/>
                <w:lang w:eastAsia="zh-CN"/>
              </w:rPr>
            </w:pPr>
            <w:r>
              <w:rPr>
                <w:rFonts w:hint="eastAsia"/>
                <w:color w:val="auto"/>
                <w:sz w:val="15"/>
                <w:szCs w:val="15"/>
                <w:highlight w:val="none"/>
                <w:lang w:eastAsia="zh-CN"/>
              </w:rPr>
              <w:t>防火墙间的允许建筑长度(m)</w:t>
            </w:r>
          </w:p>
        </w:tc>
        <w:tc>
          <w:tcPr>
            <w:tcW w:w="2874" w:type="dxa"/>
            <w:vAlign w:val="center"/>
          </w:tcPr>
          <w:p w14:paraId="2A724338">
            <w:pPr>
              <w:jc w:val="center"/>
              <w:outlineLvl w:val="2"/>
              <w:rPr>
                <w:color w:val="auto"/>
                <w:sz w:val="15"/>
                <w:szCs w:val="15"/>
                <w:highlight w:val="none"/>
                <w:lang w:eastAsia="zh-CN"/>
              </w:rPr>
            </w:pPr>
            <w:r>
              <w:rPr>
                <w:rFonts w:hint="eastAsia"/>
                <w:color w:val="auto"/>
                <w:sz w:val="15"/>
                <w:szCs w:val="15"/>
                <w:highlight w:val="none"/>
                <w:lang w:eastAsia="zh-CN"/>
              </w:rPr>
              <w:t>防火墙间的每层最大允许建筑面积（㎡）</w:t>
            </w:r>
          </w:p>
        </w:tc>
      </w:tr>
      <w:tr w14:paraId="0FF7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07DEBC">
            <w:pPr>
              <w:jc w:val="center"/>
              <w:outlineLvl w:val="2"/>
              <w:rPr>
                <w:color w:val="auto"/>
                <w:sz w:val="15"/>
                <w:szCs w:val="15"/>
                <w:highlight w:val="none"/>
              </w:rPr>
            </w:pPr>
            <w:r>
              <w:rPr>
                <w:rFonts w:hint="eastAsia"/>
                <w:color w:val="auto"/>
                <w:sz w:val="15"/>
                <w:szCs w:val="15"/>
                <w:highlight w:val="none"/>
              </w:rPr>
              <w:t>1</w:t>
            </w:r>
          </w:p>
        </w:tc>
        <w:tc>
          <w:tcPr>
            <w:tcW w:w="0" w:type="auto"/>
            <w:vAlign w:val="center"/>
          </w:tcPr>
          <w:p w14:paraId="2EF88AF2">
            <w:pPr>
              <w:jc w:val="center"/>
              <w:outlineLvl w:val="2"/>
              <w:rPr>
                <w:color w:val="auto"/>
                <w:sz w:val="15"/>
                <w:szCs w:val="15"/>
                <w:highlight w:val="none"/>
              </w:rPr>
            </w:pPr>
            <w:r>
              <w:rPr>
                <w:rFonts w:hint="eastAsia"/>
                <w:color w:val="auto"/>
                <w:sz w:val="15"/>
                <w:szCs w:val="15"/>
                <w:highlight w:val="none"/>
                <w:lang w:eastAsia="zh-CN"/>
              </w:rPr>
              <w:t>100</w:t>
            </w:r>
          </w:p>
        </w:tc>
        <w:tc>
          <w:tcPr>
            <w:tcW w:w="2874" w:type="dxa"/>
            <w:vAlign w:val="center"/>
          </w:tcPr>
          <w:p w14:paraId="4421A9C6">
            <w:pPr>
              <w:jc w:val="center"/>
              <w:outlineLvl w:val="2"/>
              <w:rPr>
                <w:color w:val="auto"/>
                <w:sz w:val="15"/>
                <w:szCs w:val="15"/>
                <w:highlight w:val="none"/>
              </w:rPr>
            </w:pPr>
            <w:r>
              <w:rPr>
                <w:rFonts w:hint="eastAsia"/>
                <w:color w:val="auto"/>
                <w:sz w:val="15"/>
                <w:szCs w:val="15"/>
                <w:highlight w:val="none"/>
              </w:rPr>
              <w:t>1800</w:t>
            </w:r>
          </w:p>
        </w:tc>
      </w:tr>
      <w:tr w14:paraId="6C26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6D4DCB">
            <w:pPr>
              <w:jc w:val="center"/>
              <w:outlineLvl w:val="2"/>
              <w:rPr>
                <w:color w:val="auto"/>
                <w:sz w:val="15"/>
                <w:szCs w:val="15"/>
                <w:highlight w:val="none"/>
              </w:rPr>
            </w:pPr>
            <w:r>
              <w:rPr>
                <w:rFonts w:hint="eastAsia"/>
                <w:color w:val="auto"/>
                <w:sz w:val="15"/>
                <w:szCs w:val="15"/>
                <w:highlight w:val="none"/>
              </w:rPr>
              <w:t>2</w:t>
            </w:r>
          </w:p>
        </w:tc>
        <w:tc>
          <w:tcPr>
            <w:tcW w:w="0" w:type="auto"/>
            <w:vAlign w:val="center"/>
          </w:tcPr>
          <w:p w14:paraId="574E2675">
            <w:pPr>
              <w:jc w:val="center"/>
              <w:outlineLvl w:val="2"/>
              <w:rPr>
                <w:color w:val="auto"/>
                <w:sz w:val="15"/>
                <w:szCs w:val="15"/>
                <w:highlight w:val="none"/>
              </w:rPr>
            </w:pPr>
            <w:r>
              <w:rPr>
                <w:rFonts w:hint="eastAsia"/>
                <w:color w:val="auto"/>
                <w:sz w:val="15"/>
                <w:szCs w:val="15"/>
                <w:highlight w:val="none"/>
                <w:lang w:eastAsia="zh-CN"/>
              </w:rPr>
              <w:t>80</w:t>
            </w:r>
          </w:p>
        </w:tc>
        <w:tc>
          <w:tcPr>
            <w:tcW w:w="2874" w:type="dxa"/>
            <w:vAlign w:val="center"/>
          </w:tcPr>
          <w:p w14:paraId="38709A88">
            <w:pPr>
              <w:jc w:val="center"/>
              <w:outlineLvl w:val="2"/>
              <w:rPr>
                <w:color w:val="auto"/>
                <w:sz w:val="15"/>
                <w:szCs w:val="15"/>
                <w:highlight w:val="none"/>
              </w:rPr>
            </w:pPr>
            <w:r>
              <w:rPr>
                <w:rFonts w:hint="eastAsia"/>
                <w:color w:val="auto"/>
                <w:sz w:val="15"/>
                <w:szCs w:val="15"/>
                <w:highlight w:val="none"/>
              </w:rPr>
              <w:t>900</w:t>
            </w:r>
          </w:p>
        </w:tc>
      </w:tr>
      <w:tr w14:paraId="39D7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D13DDB">
            <w:pPr>
              <w:jc w:val="center"/>
              <w:outlineLvl w:val="2"/>
              <w:rPr>
                <w:color w:val="auto"/>
                <w:sz w:val="15"/>
                <w:szCs w:val="15"/>
                <w:highlight w:val="none"/>
              </w:rPr>
            </w:pPr>
            <w:r>
              <w:rPr>
                <w:rFonts w:hint="eastAsia"/>
                <w:color w:val="auto"/>
                <w:sz w:val="15"/>
                <w:szCs w:val="15"/>
                <w:highlight w:val="none"/>
              </w:rPr>
              <w:t>3</w:t>
            </w:r>
          </w:p>
        </w:tc>
        <w:tc>
          <w:tcPr>
            <w:tcW w:w="0" w:type="auto"/>
            <w:vAlign w:val="center"/>
          </w:tcPr>
          <w:p w14:paraId="233EC351">
            <w:pPr>
              <w:jc w:val="center"/>
              <w:outlineLvl w:val="2"/>
              <w:rPr>
                <w:color w:val="auto"/>
                <w:sz w:val="15"/>
                <w:szCs w:val="15"/>
                <w:highlight w:val="none"/>
              </w:rPr>
            </w:pPr>
            <w:r>
              <w:rPr>
                <w:rFonts w:hint="eastAsia"/>
                <w:color w:val="auto"/>
                <w:sz w:val="15"/>
                <w:szCs w:val="15"/>
                <w:highlight w:val="none"/>
                <w:lang w:eastAsia="zh-CN"/>
              </w:rPr>
              <w:t>60</w:t>
            </w:r>
          </w:p>
        </w:tc>
        <w:tc>
          <w:tcPr>
            <w:tcW w:w="2874" w:type="dxa"/>
            <w:vAlign w:val="center"/>
          </w:tcPr>
          <w:p w14:paraId="3D61976C">
            <w:pPr>
              <w:jc w:val="center"/>
              <w:outlineLvl w:val="2"/>
              <w:rPr>
                <w:color w:val="auto"/>
                <w:sz w:val="15"/>
                <w:szCs w:val="15"/>
                <w:highlight w:val="none"/>
              </w:rPr>
            </w:pPr>
            <w:r>
              <w:rPr>
                <w:rFonts w:hint="eastAsia"/>
                <w:color w:val="auto"/>
                <w:sz w:val="15"/>
                <w:szCs w:val="15"/>
                <w:highlight w:val="none"/>
              </w:rPr>
              <w:t>600</w:t>
            </w:r>
          </w:p>
        </w:tc>
      </w:tr>
      <w:bookmarkEnd w:id="222"/>
    </w:tbl>
    <w:p w14:paraId="170BECD7">
      <w:pPr>
        <w:ind w:firstLine="720" w:firstLineChars="300"/>
        <w:rPr>
          <w:color w:val="auto"/>
          <w:highlight w:val="none"/>
          <w:lang w:eastAsia="zh-CN"/>
        </w:rPr>
      </w:pPr>
      <w:r>
        <w:rPr>
          <w:rFonts w:hint="eastAsia"/>
          <w:color w:val="auto"/>
          <w:highlight w:val="none"/>
          <w:lang w:eastAsia="zh-CN"/>
        </w:rPr>
        <w:t>注：当设置自动喷水灭火系统时，防火墙之间的允许建筑长度和每层最大允许建筑面积可按本表的规定增加 1.0 倍，对于丁、戊类地上厂房，防火墙之间的每层最大允许建筑面积不限。</w:t>
      </w:r>
    </w:p>
    <w:p w14:paraId="0F265BEA">
      <w:pPr>
        <w:pStyle w:val="50"/>
        <w:bidi w:val="0"/>
        <w:rPr>
          <w:rFonts w:hint="eastAsia"/>
          <w:color w:val="auto"/>
          <w:highlight w:val="none"/>
          <w:lang w:eastAsia="zh-CN"/>
        </w:rPr>
      </w:pPr>
      <w:r>
        <w:rPr>
          <w:rFonts w:hint="eastAsia"/>
          <w:color w:val="auto"/>
          <w:highlight w:val="none"/>
          <w:lang w:eastAsia="zh-CN"/>
        </w:rPr>
        <w:t>【条文说明】10.2.2  本条从木结构建筑防火墙之间的允许建筑长度和防火墙之间的每层允许建筑面积两方面对木结构建筑的规模进行控制。防火墙之间的每层允许建筑面积指位于防火墙之间区域的建筑面积。</w:t>
      </w:r>
    </w:p>
    <w:p w14:paraId="144E912B">
      <w:pPr>
        <w:rPr>
          <w:color w:val="auto"/>
          <w:highlight w:val="none"/>
          <w:lang w:eastAsia="zh-CN"/>
        </w:rPr>
      </w:pPr>
    </w:p>
    <w:p w14:paraId="4DA0DF19">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.2.3</w:t>
      </w:r>
      <w:r>
        <w:rPr>
          <w:rFonts w:hint="eastAsia"/>
          <w:b/>
          <w:bCs/>
          <w:color w:val="auto"/>
          <w:highlight w:val="none"/>
          <w:lang w:eastAsia="zh-CN"/>
        </w:rPr>
        <w:t xml:space="preserve">  </w:t>
      </w:r>
      <w:r>
        <w:rPr>
          <w:rFonts w:hint="eastAsia"/>
          <w:color w:val="auto"/>
          <w:highlight w:val="none"/>
          <w:lang w:eastAsia="zh-CN"/>
        </w:rPr>
        <w:t>木结构建筑之间及其与其他民用建筑之间的防火间距不应小于表 10.</w:t>
      </w:r>
      <w:r>
        <w:rPr>
          <w:color w:val="auto"/>
          <w:highlight w:val="none"/>
          <w:lang w:eastAsia="zh-CN"/>
        </w:rPr>
        <w:t>2</w:t>
      </w:r>
      <w:r>
        <w:rPr>
          <w:rFonts w:hint="eastAsia"/>
          <w:color w:val="auto"/>
          <w:highlight w:val="none"/>
          <w:lang w:eastAsia="zh-CN"/>
        </w:rPr>
        <w:t>.</w:t>
      </w:r>
      <w:r>
        <w:rPr>
          <w:color w:val="auto"/>
          <w:highlight w:val="none"/>
          <w:lang w:eastAsia="zh-CN"/>
        </w:rPr>
        <w:t>3</w:t>
      </w:r>
      <w:r>
        <w:rPr>
          <w:rFonts w:hint="eastAsia"/>
          <w:color w:val="auto"/>
          <w:highlight w:val="none"/>
          <w:lang w:eastAsia="zh-CN"/>
        </w:rPr>
        <w:t xml:space="preserve"> 的规定，民用木结构建筑与厂房（仓库）等建筑的防火间距、木结构厂房（仓库）之间及其与其他民用建筑的防火间距，应符合《建筑设计防火规范》GB 50016第3、4章有关四级耐火等级建筑的规定。</w:t>
      </w:r>
    </w:p>
    <w:p w14:paraId="2F9B99AD">
      <w:pPr>
        <w:pStyle w:val="4"/>
        <w:jc w:val="center"/>
        <w:rPr>
          <w:color w:val="auto"/>
          <w:sz w:val="18"/>
          <w:szCs w:val="18"/>
          <w:highlight w:val="none"/>
          <w:lang w:eastAsia="zh-CN"/>
        </w:rPr>
      </w:pPr>
      <w:r>
        <w:rPr>
          <w:rFonts w:hint="eastAsia"/>
          <w:color w:val="auto"/>
          <w:sz w:val="18"/>
          <w:szCs w:val="18"/>
          <w:highlight w:val="none"/>
          <w:lang w:eastAsia="zh-CN"/>
        </w:rPr>
        <w:t>表 10.2.3  木结构建筑之间及其与其他民用建筑之间的防火距离（m）</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887"/>
        <w:gridCol w:w="657"/>
        <w:gridCol w:w="912"/>
        <w:gridCol w:w="857"/>
      </w:tblGrid>
      <w:tr w14:paraId="66C4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Merge w:val="restart"/>
            <w:vAlign w:val="center"/>
          </w:tcPr>
          <w:p w14:paraId="7F634248">
            <w:pPr>
              <w:pStyle w:val="4"/>
              <w:jc w:val="center"/>
              <w:rPr>
                <w:color w:val="auto"/>
                <w:sz w:val="15"/>
                <w:szCs w:val="15"/>
                <w:highlight w:val="none"/>
              </w:rPr>
            </w:pPr>
            <w:r>
              <w:rPr>
                <w:rFonts w:hint="eastAsia"/>
                <w:color w:val="auto"/>
                <w:sz w:val="15"/>
                <w:szCs w:val="15"/>
                <w:highlight w:val="none"/>
              </w:rPr>
              <w:t>建筑耐火等级或类别</w:t>
            </w:r>
          </w:p>
        </w:tc>
        <w:tc>
          <w:tcPr>
            <w:tcW w:w="3313" w:type="dxa"/>
            <w:gridSpan w:val="4"/>
            <w:vAlign w:val="center"/>
          </w:tcPr>
          <w:p w14:paraId="069A4135">
            <w:pPr>
              <w:pStyle w:val="4"/>
              <w:jc w:val="center"/>
              <w:rPr>
                <w:color w:val="auto"/>
                <w:sz w:val="15"/>
                <w:szCs w:val="15"/>
                <w:highlight w:val="none"/>
              </w:rPr>
            </w:pPr>
            <w:r>
              <w:rPr>
                <w:rFonts w:hint="eastAsia"/>
                <w:color w:val="auto"/>
                <w:sz w:val="15"/>
                <w:szCs w:val="15"/>
                <w:highlight w:val="none"/>
              </w:rPr>
              <w:t>其他民用建筑</w:t>
            </w:r>
          </w:p>
        </w:tc>
      </w:tr>
      <w:tr w14:paraId="5C49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Merge w:val="continue"/>
            <w:vAlign w:val="center"/>
          </w:tcPr>
          <w:p w14:paraId="0F9F3131">
            <w:pPr>
              <w:pStyle w:val="4"/>
              <w:jc w:val="center"/>
              <w:rPr>
                <w:color w:val="auto"/>
                <w:sz w:val="15"/>
                <w:szCs w:val="15"/>
                <w:highlight w:val="none"/>
              </w:rPr>
            </w:pPr>
          </w:p>
        </w:tc>
        <w:tc>
          <w:tcPr>
            <w:tcW w:w="887" w:type="dxa"/>
            <w:vAlign w:val="center"/>
          </w:tcPr>
          <w:p w14:paraId="439C5F71">
            <w:pPr>
              <w:pStyle w:val="4"/>
              <w:jc w:val="center"/>
              <w:rPr>
                <w:color w:val="auto"/>
                <w:sz w:val="15"/>
                <w:szCs w:val="15"/>
                <w:highlight w:val="none"/>
              </w:rPr>
            </w:pPr>
            <w:r>
              <w:rPr>
                <w:rFonts w:hint="eastAsia"/>
                <w:color w:val="auto"/>
                <w:sz w:val="15"/>
                <w:szCs w:val="15"/>
                <w:highlight w:val="none"/>
              </w:rPr>
              <w:t>一、二级</w:t>
            </w:r>
          </w:p>
        </w:tc>
        <w:tc>
          <w:tcPr>
            <w:tcW w:w="657" w:type="dxa"/>
            <w:vAlign w:val="center"/>
          </w:tcPr>
          <w:p w14:paraId="610648D1">
            <w:pPr>
              <w:pStyle w:val="4"/>
              <w:jc w:val="center"/>
              <w:rPr>
                <w:color w:val="auto"/>
                <w:sz w:val="15"/>
                <w:szCs w:val="15"/>
                <w:highlight w:val="none"/>
              </w:rPr>
            </w:pPr>
            <w:r>
              <w:rPr>
                <w:rFonts w:hint="eastAsia"/>
                <w:color w:val="auto"/>
                <w:sz w:val="15"/>
                <w:szCs w:val="15"/>
                <w:highlight w:val="none"/>
              </w:rPr>
              <w:t>三级</w:t>
            </w:r>
          </w:p>
        </w:tc>
        <w:tc>
          <w:tcPr>
            <w:tcW w:w="912" w:type="dxa"/>
            <w:vAlign w:val="center"/>
          </w:tcPr>
          <w:p w14:paraId="492460CD">
            <w:pPr>
              <w:pStyle w:val="4"/>
              <w:jc w:val="center"/>
              <w:rPr>
                <w:color w:val="auto"/>
                <w:sz w:val="15"/>
                <w:szCs w:val="15"/>
                <w:highlight w:val="none"/>
              </w:rPr>
            </w:pPr>
            <w:r>
              <w:rPr>
                <w:rFonts w:hint="eastAsia"/>
                <w:color w:val="auto"/>
                <w:sz w:val="15"/>
                <w:szCs w:val="15"/>
                <w:highlight w:val="none"/>
              </w:rPr>
              <w:t>木结构建筑</w:t>
            </w:r>
          </w:p>
        </w:tc>
        <w:tc>
          <w:tcPr>
            <w:tcW w:w="857" w:type="dxa"/>
            <w:vAlign w:val="center"/>
          </w:tcPr>
          <w:p w14:paraId="13A28160">
            <w:pPr>
              <w:pStyle w:val="4"/>
              <w:jc w:val="center"/>
              <w:rPr>
                <w:color w:val="auto"/>
                <w:sz w:val="15"/>
                <w:szCs w:val="15"/>
                <w:highlight w:val="none"/>
              </w:rPr>
            </w:pPr>
            <w:r>
              <w:rPr>
                <w:rFonts w:hint="eastAsia"/>
                <w:color w:val="auto"/>
                <w:sz w:val="15"/>
                <w:szCs w:val="15"/>
                <w:highlight w:val="none"/>
              </w:rPr>
              <w:t>四级</w:t>
            </w:r>
          </w:p>
        </w:tc>
      </w:tr>
      <w:tr w14:paraId="6668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Align w:val="center"/>
          </w:tcPr>
          <w:p w14:paraId="1DBE81B6">
            <w:pPr>
              <w:pStyle w:val="4"/>
              <w:jc w:val="center"/>
              <w:rPr>
                <w:color w:val="auto"/>
                <w:sz w:val="15"/>
                <w:szCs w:val="15"/>
                <w:highlight w:val="none"/>
              </w:rPr>
            </w:pPr>
            <w:r>
              <w:rPr>
                <w:rFonts w:hint="eastAsia"/>
                <w:color w:val="auto"/>
                <w:sz w:val="15"/>
                <w:szCs w:val="15"/>
                <w:highlight w:val="none"/>
              </w:rPr>
              <w:t>木结构建筑</w:t>
            </w:r>
          </w:p>
        </w:tc>
        <w:tc>
          <w:tcPr>
            <w:tcW w:w="887" w:type="dxa"/>
            <w:vAlign w:val="center"/>
          </w:tcPr>
          <w:p w14:paraId="2A3AEB2E">
            <w:pPr>
              <w:pStyle w:val="4"/>
              <w:jc w:val="center"/>
              <w:rPr>
                <w:color w:val="auto"/>
                <w:sz w:val="15"/>
                <w:szCs w:val="15"/>
                <w:highlight w:val="none"/>
              </w:rPr>
            </w:pPr>
            <w:r>
              <w:rPr>
                <w:rFonts w:hint="eastAsia"/>
                <w:color w:val="auto"/>
                <w:sz w:val="15"/>
                <w:szCs w:val="15"/>
                <w:highlight w:val="none"/>
                <w:lang w:eastAsia="zh-CN"/>
              </w:rPr>
              <w:t>8</w:t>
            </w:r>
          </w:p>
        </w:tc>
        <w:tc>
          <w:tcPr>
            <w:tcW w:w="657" w:type="dxa"/>
            <w:vAlign w:val="center"/>
          </w:tcPr>
          <w:p w14:paraId="315D1143">
            <w:pPr>
              <w:pStyle w:val="4"/>
              <w:jc w:val="center"/>
              <w:rPr>
                <w:color w:val="auto"/>
                <w:sz w:val="15"/>
                <w:szCs w:val="15"/>
                <w:highlight w:val="none"/>
              </w:rPr>
            </w:pPr>
            <w:r>
              <w:rPr>
                <w:rFonts w:hint="eastAsia"/>
                <w:color w:val="auto"/>
                <w:sz w:val="15"/>
                <w:szCs w:val="15"/>
                <w:highlight w:val="none"/>
                <w:lang w:eastAsia="zh-CN"/>
              </w:rPr>
              <w:t>9</w:t>
            </w:r>
          </w:p>
        </w:tc>
        <w:tc>
          <w:tcPr>
            <w:tcW w:w="912" w:type="dxa"/>
            <w:vAlign w:val="center"/>
          </w:tcPr>
          <w:p w14:paraId="5A6C111A">
            <w:pPr>
              <w:pStyle w:val="4"/>
              <w:jc w:val="center"/>
              <w:rPr>
                <w:color w:val="auto"/>
                <w:sz w:val="15"/>
                <w:szCs w:val="15"/>
                <w:highlight w:val="none"/>
              </w:rPr>
            </w:pPr>
            <w:r>
              <w:rPr>
                <w:rFonts w:hint="eastAsia"/>
                <w:color w:val="auto"/>
                <w:sz w:val="15"/>
                <w:szCs w:val="15"/>
                <w:highlight w:val="none"/>
              </w:rPr>
              <w:t>1</w:t>
            </w:r>
            <w:r>
              <w:rPr>
                <w:rFonts w:hint="eastAsia"/>
                <w:color w:val="auto"/>
                <w:sz w:val="15"/>
                <w:szCs w:val="15"/>
                <w:highlight w:val="none"/>
                <w:lang w:eastAsia="zh-CN"/>
              </w:rPr>
              <w:t>0</w:t>
            </w:r>
          </w:p>
        </w:tc>
        <w:tc>
          <w:tcPr>
            <w:tcW w:w="857" w:type="dxa"/>
            <w:vAlign w:val="center"/>
          </w:tcPr>
          <w:p w14:paraId="7ED90382">
            <w:pPr>
              <w:pStyle w:val="4"/>
              <w:jc w:val="center"/>
              <w:rPr>
                <w:color w:val="auto"/>
                <w:sz w:val="15"/>
                <w:szCs w:val="15"/>
                <w:highlight w:val="none"/>
              </w:rPr>
            </w:pPr>
            <w:r>
              <w:rPr>
                <w:rFonts w:hint="eastAsia"/>
                <w:color w:val="auto"/>
                <w:sz w:val="15"/>
                <w:szCs w:val="15"/>
                <w:highlight w:val="none"/>
              </w:rPr>
              <w:t>1</w:t>
            </w:r>
            <w:r>
              <w:rPr>
                <w:rFonts w:hint="eastAsia"/>
                <w:color w:val="auto"/>
                <w:sz w:val="15"/>
                <w:szCs w:val="15"/>
                <w:highlight w:val="none"/>
                <w:lang w:eastAsia="zh-CN"/>
              </w:rPr>
              <w:t>1</w:t>
            </w:r>
          </w:p>
        </w:tc>
      </w:tr>
    </w:tbl>
    <w:p w14:paraId="0B118BB4">
      <w:pPr>
        <w:pStyle w:val="4"/>
        <w:ind w:firstLine="480" w:firstLineChars="200"/>
        <w:rPr>
          <w:color w:val="auto"/>
          <w:highlight w:val="none"/>
          <w:lang w:eastAsia="zh-CN"/>
        </w:rPr>
      </w:pPr>
      <w:r>
        <w:rPr>
          <w:rFonts w:hint="eastAsia"/>
          <w:color w:val="auto"/>
          <w:highlight w:val="none"/>
          <w:lang w:eastAsia="zh-CN"/>
        </w:rPr>
        <w:t>注：1 两座木结构建筑之间或木结构建筑与其他民用建筑之间，外墙均无任何门、窗、洞口时，防火间距可为4m；外墙上的门、窗、洞口不正对且开口面积之和不大于外墙面积的10％时，防火间距可按本表的规定减少25％。</w:t>
      </w:r>
    </w:p>
    <w:p w14:paraId="13F4DAFB">
      <w:pPr>
        <w:pStyle w:val="4"/>
        <w:rPr>
          <w:color w:val="auto"/>
          <w:highlight w:val="none"/>
          <w:lang w:eastAsia="zh-CN"/>
        </w:rPr>
      </w:pPr>
      <w:r>
        <w:rPr>
          <w:rFonts w:hint="eastAsia"/>
          <w:color w:val="auto"/>
          <w:highlight w:val="none"/>
          <w:lang w:eastAsia="zh-CN"/>
        </w:rPr>
        <w:t xml:space="preserve">        2 当相邻建筑外墙有一面为防火墙，或建筑物之间设置防火墙且墙体截断不燃性屋面或高出难燃性、可燃性屋面不低于0.5m时，防火间距不限。</w:t>
      </w:r>
    </w:p>
    <w:p w14:paraId="0EE60126">
      <w:pPr>
        <w:pStyle w:val="50"/>
        <w:bidi w:val="0"/>
        <w:rPr>
          <w:rFonts w:hint="eastAsia"/>
          <w:color w:val="auto"/>
          <w:highlight w:val="none"/>
          <w:lang w:eastAsia="zh-CN"/>
        </w:rPr>
      </w:pPr>
      <w:r>
        <w:rPr>
          <w:rFonts w:hint="eastAsia"/>
          <w:color w:val="auto"/>
          <w:highlight w:val="none"/>
          <w:lang w:eastAsia="zh-CN"/>
        </w:rPr>
        <w:t>【条文说明】10.2.3  木结构建筑之间及木结构建筑与其他结构类型建筑的防火间距，是在分析了国内外相关建筑规范基础上，根据木结构和其他结构类型建筑的耐火性能确定的。</w:t>
      </w:r>
    </w:p>
    <w:p w14:paraId="6E5ADAAC">
      <w:pPr>
        <w:rPr>
          <w:color w:val="auto"/>
          <w:highlight w:val="none"/>
          <w:lang w:eastAsia="zh-CN"/>
        </w:rPr>
      </w:pPr>
    </w:p>
    <w:p w14:paraId="2420A824">
      <w:pPr>
        <w:rPr>
          <w:color w:val="auto"/>
          <w:highlight w:val="none"/>
          <w:lang w:eastAsia="zh-CN"/>
        </w:rPr>
      </w:pPr>
      <w:r>
        <w:rPr>
          <w:rFonts w:hint="eastAsia"/>
          <w:b/>
          <w:bCs/>
          <w:color w:val="auto"/>
          <w:highlight w:val="none"/>
          <w:lang w:eastAsia="zh-CN"/>
        </w:rPr>
        <w:t>10</w:t>
      </w:r>
      <w:r>
        <w:rPr>
          <w:b/>
          <w:bCs/>
          <w:color w:val="auto"/>
          <w:highlight w:val="none"/>
          <w:lang w:eastAsia="zh-CN"/>
        </w:rPr>
        <w:t>.2.</w:t>
      </w:r>
      <w:r>
        <w:rPr>
          <w:rFonts w:hint="eastAsia"/>
          <w:b/>
          <w:bCs/>
          <w:color w:val="auto"/>
          <w:highlight w:val="none"/>
          <w:lang w:eastAsia="zh-CN"/>
        </w:rPr>
        <w:t xml:space="preserve">4  </w:t>
      </w:r>
      <w:r>
        <w:rPr>
          <w:rFonts w:hint="eastAsia"/>
          <w:color w:val="auto"/>
          <w:highlight w:val="none"/>
          <w:lang w:eastAsia="zh-CN"/>
        </w:rPr>
        <w:t xml:space="preserve">木结构建筑的安全疏散设计和房间疏散门的设置，应符合现行国家标准《建筑防火通用规范》GB </w:t>
      </w:r>
      <w:r>
        <w:rPr>
          <w:color w:val="auto"/>
          <w:highlight w:val="none"/>
          <w:lang w:eastAsia="zh-CN"/>
        </w:rPr>
        <w:t>5</w:t>
      </w:r>
      <w:r>
        <w:rPr>
          <w:rFonts w:hint="eastAsia"/>
          <w:color w:val="auto"/>
          <w:highlight w:val="none"/>
          <w:lang w:eastAsia="zh-CN"/>
        </w:rPr>
        <w:t>5</w:t>
      </w:r>
      <w:r>
        <w:rPr>
          <w:color w:val="auto"/>
          <w:highlight w:val="none"/>
          <w:lang w:eastAsia="zh-CN"/>
        </w:rPr>
        <w:t>0</w:t>
      </w:r>
      <w:r>
        <w:rPr>
          <w:rFonts w:hint="eastAsia"/>
          <w:color w:val="auto"/>
          <w:highlight w:val="none"/>
          <w:lang w:eastAsia="zh-CN"/>
        </w:rPr>
        <w:t>37、《建筑设计防火规范》GB 50016的相关规定。</w:t>
      </w:r>
    </w:p>
    <w:p w14:paraId="28C6CC19">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w:t>
      </w:r>
      <w:r>
        <w:rPr>
          <w:rFonts w:hint="eastAsia"/>
          <w:b/>
          <w:bCs/>
          <w:color w:val="auto"/>
          <w:highlight w:val="none"/>
          <w:lang w:eastAsia="zh-CN"/>
        </w:rPr>
        <w:t xml:space="preserve">5  </w:t>
      </w:r>
      <w:r>
        <w:rPr>
          <w:rFonts w:hint="eastAsia"/>
          <w:color w:val="auto"/>
          <w:highlight w:val="none"/>
          <w:lang w:eastAsia="zh-CN"/>
        </w:rPr>
        <w:t>在疏散通道、疏散走道、疏散出口处，不应有任何影响人员疏散的物体，并应在疏散通道、疏散走道、疏散出口的明显位置设置明显的指示标志。疏散通道、疏散走道、疏散出口的净高度均不应小2.1m。</w:t>
      </w:r>
    </w:p>
    <w:p w14:paraId="0DCA8C85">
      <w:pPr>
        <w:pStyle w:val="50"/>
        <w:bidi w:val="0"/>
        <w:rPr>
          <w:color w:val="auto"/>
          <w:highlight w:val="none"/>
          <w:lang w:eastAsia="zh-CN"/>
        </w:rPr>
      </w:pPr>
      <w:r>
        <w:rPr>
          <w:rFonts w:hint="eastAsia"/>
          <w:color w:val="auto"/>
          <w:highlight w:val="none"/>
          <w:lang w:eastAsia="zh-CN"/>
        </w:rPr>
        <w:t>【条文说明】10.2.5  本条规定了建筑内疏散出口、疏散楼梯、疏散走道的最小净高度等的基本要求，以满足人员安全疏散和消防救援的需要。本规范规定的疏散出口门为设置在建筑内各房间直接通向疏散走道的门或安全出口的门，包括疏散楼梯间、电梯间或防烟楼梯间的前室或合用前室的门等。</w:t>
      </w:r>
    </w:p>
    <w:p w14:paraId="701CD595">
      <w:pPr>
        <w:pStyle w:val="50"/>
        <w:bidi w:val="0"/>
        <w:rPr>
          <w:rFonts w:hint="eastAsia"/>
          <w:color w:val="auto"/>
          <w:highlight w:val="none"/>
          <w:lang w:eastAsia="zh-CN"/>
        </w:rPr>
      </w:pPr>
      <w:r>
        <w:rPr>
          <w:rFonts w:hint="eastAsia"/>
          <w:color w:val="auto"/>
          <w:highlight w:val="none"/>
          <w:lang w:eastAsia="zh-CN"/>
        </w:rPr>
        <w:t>合理设置疏散指示标志有利于人员快速、安全地疏散。建筑内所设置的疏散指示标志要便于人们辨认，并符合人行走时的行为习惯，能起到引导作用，但要避免被建筑构配件和火灾烟气遮挡。</w:t>
      </w:r>
    </w:p>
    <w:p w14:paraId="17491F7F">
      <w:pPr>
        <w:rPr>
          <w:color w:val="auto"/>
          <w:highlight w:val="none"/>
          <w:lang w:eastAsia="zh-CN"/>
        </w:rPr>
      </w:pPr>
    </w:p>
    <w:p w14:paraId="1D3AB230">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w:t>
      </w:r>
      <w:r>
        <w:rPr>
          <w:rFonts w:hint="eastAsia"/>
          <w:b/>
          <w:bCs/>
          <w:color w:val="auto"/>
          <w:highlight w:val="none"/>
          <w:lang w:eastAsia="zh-CN"/>
        </w:rPr>
        <w:t xml:space="preserve">6  </w:t>
      </w:r>
      <w:r>
        <w:rPr>
          <w:rFonts w:hint="eastAsia"/>
          <w:color w:val="auto"/>
          <w:highlight w:val="none"/>
          <w:lang w:eastAsia="zh-CN"/>
        </w:rPr>
        <w:t>总建筑面积大于1500 m</w:t>
      </w:r>
      <w:r>
        <w:rPr>
          <w:rFonts w:hint="eastAsia"/>
          <w:color w:val="auto"/>
          <w:highlight w:val="none"/>
          <w:vertAlign w:val="superscript"/>
          <w:lang w:eastAsia="zh-CN"/>
        </w:rPr>
        <w:t xml:space="preserve">2 </w:t>
      </w:r>
      <w:r>
        <w:rPr>
          <w:rFonts w:hint="eastAsia"/>
          <w:color w:val="auto"/>
          <w:highlight w:val="none"/>
          <w:lang w:eastAsia="zh-CN"/>
        </w:rPr>
        <w:t>的木结构公共建筑应设置火灾自动报警系统，木结构住宅建筑内应设置火灾探测与报警装置。</w:t>
      </w:r>
    </w:p>
    <w:p w14:paraId="0D783908">
      <w:pPr>
        <w:pStyle w:val="50"/>
        <w:bidi w:val="0"/>
        <w:rPr>
          <w:rFonts w:hint="eastAsia"/>
          <w:color w:val="auto"/>
          <w:highlight w:val="none"/>
          <w:lang w:eastAsia="zh-CN"/>
        </w:rPr>
      </w:pPr>
      <w:r>
        <w:rPr>
          <w:rFonts w:hint="eastAsia"/>
          <w:color w:val="auto"/>
          <w:highlight w:val="none"/>
          <w:lang w:eastAsia="zh-CN"/>
        </w:rPr>
        <w:t>【条文说明】10.2.6  木结构建筑内可燃材料较多，且空间一般较小，火灾发展相对较快。为能及早报警，通知人员尽早疏散和采取灭火行动，特别是有人住宿的场所和用于儿童或老年人活动的场所，要求一定规模的此类建筑设置火灾自动报警系统。木结构住宅建筑的火灾自动报警系统，一般采用家用火灾报警装置。</w:t>
      </w:r>
    </w:p>
    <w:p w14:paraId="792F5F91">
      <w:pPr>
        <w:rPr>
          <w:color w:val="auto"/>
          <w:highlight w:val="none"/>
          <w:lang w:eastAsia="zh-CN"/>
        </w:rPr>
      </w:pPr>
    </w:p>
    <w:p w14:paraId="6FD2950E">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w:t>
      </w:r>
      <w:r>
        <w:rPr>
          <w:rFonts w:hint="eastAsia"/>
          <w:b/>
          <w:bCs/>
          <w:color w:val="auto"/>
          <w:highlight w:val="none"/>
          <w:lang w:eastAsia="zh-CN"/>
        </w:rPr>
        <w:t xml:space="preserve">7  </w:t>
      </w:r>
      <w:r>
        <w:rPr>
          <w:rFonts w:hint="eastAsia"/>
          <w:color w:val="auto"/>
          <w:highlight w:val="none"/>
          <w:lang w:eastAsia="zh-CN"/>
        </w:rPr>
        <w:t>木结构建筑应设置室内、室外消火栓系统。木结构建筑首层商业服务设施的消防设施的设置应符合现行国家标准</w:t>
      </w:r>
      <w:r>
        <w:rPr>
          <w:rFonts w:hint="eastAsia"/>
          <w:color w:val="auto"/>
          <w:highlight w:val="none"/>
          <w:lang w:eastAsia="zh-CN"/>
        </w:rPr>
        <w:t xml:space="preserve">《建筑防火通用规范》GB </w:t>
      </w:r>
      <w:r>
        <w:rPr>
          <w:color w:val="auto"/>
          <w:highlight w:val="none"/>
          <w:lang w:eastAsia="zh-CN"/>
        </w:rPr>
        <w:t>5</w:t>
      </w:r>
      <w:r>
        <w:rPr>
          <w:rFonts w:hint="eastAsia"/>
          <w:color w:val="auto"/>
          <w:highlight w:val="none"/>
          <w:lang w:eastAsia="zh-CN"/>
        </w:rPr>
        <w:t>5</w:t>
      </w:r>
      <w:r>
        <w:rPr>
          <w:color w:val="auto"/>
          <w:highlight w:val="none"/>
          <w:lang w:eastAsia="zh-CN"/>
        </w:rPr>
        <w:t>0</w:t>
      </w:r>
      <w:r>
        <w:rPr>
          <w:rFonts w:hint="eastAsia"/>
          <w:color w:val="auto"/>
          <w:highlight w:val="none"/>
          <w:lang w:eastAsia="zh-CN"/>
        </w:rPr>
        <w:t>37、</w:t>
      </w:r>
      <w:r>
        <w:rPr>
          <w:rFonts w:hint="eastAsia"/>
          <w:color w:val="auto"/>
          <w:highlight w:val="none"/>
          <w:lang w:eastAsia="zh-CN"/>
        </w:rPr>
        <w:t xml:space="preserve">《建筑设计防火规范》GB </w:t>
      </w:r>
      <w:r>
        <w:rPr>
          <w:color w:val="auto"/>
          <w:highlight w:val="none"/>
          <w:lang w:eastAsia="zh-CN"/>
        </w:rPr>
        <w:t>50016</w:t>
      </w:r>
      <w:r>
        <w:rPr>
          <w:rFonts w:hint="eastAsia"/>
          <w:color w:val="auto"/>
          <w:highlight w:val="none"/>
          <w:lang w:eastAsia="zh-CN"/>
        </w:rPr>
        <w:t>的规定。</w:t>
      </w:r>
    </w:p>
    <w:p w14:paraId="7CAD2E12">
      <w:pPr>
        <w:pStyle w:val="4"/>
        <w:rPr>
          <w:color w:val="auto"/>
          <w:highlight w:val="none"/>
          <w:lang w:eastAsia="zh-CN"/>
        </w:rPr>
      </w:pPr>
      <w:r>
        <w:rPr>
          <w:rFonts w:hint="eastAsia"/>
          <w:b/>
          <w:bCs/>
          <w:color w:val="auto"/>
          <w:highlight w:val="none"/>
          <w:lang w:eastAsia="zh-CN"/>
        </w:rPr>
        <w:t>10</w:t>
      </w:r>
      <w:r>
        <w:rPr>
          <w:b/>
          <w:bCs/>
          <w:color w:val="auto"/>
          <w:highlight w:val="none"/>
          <w:lang w:eastAsia="zh-CN"/>
        </w:rPr>
        <w:t>.2.</w:t>
      </w:r>
      <w:r>
        <w:rPr>
          <w:rFonts w:hint="eastAsia"/>
          <w:b/>
          <w:bCs/>
          <w:color w:val="auto"/>
          <w:highlight w:val="none"/>
          <w:lang w:eastAsia="zh-CN"/>
        </w:rPr>
        <w:t xml:space="preserve">8  </w:t>
      </w:r>
      <w:r>
        <w:rPr>
          <w:rFonts w:hint="eastAsia"/>
          <w:color w:val="auto"/>
          <w:highlight w:val="none"/>
          <w:lang w:eastAsia="zh-CN"/>
        </w:rPr>
        <w:t>木结构建筑室外疏散楼梯平台处应设置灭火器。</w:t>
      </w:r>
    </w:p>
    <w:p w14:paraId="1ACD6FA3">
      <w:pPr>
        <w:pStyle w:val="3"/>
        <w:spacing w:before="156" w:after="156"/>
        <w:rPr>
          <w:color w:val="auto"/>
          <w:highlight w:val="none"/>
          <w:lang w:eastAsia="zh-CN"/>
        </w:rPr>
      </w:pPr>
      <w:bookmarkStart w:id="223" w:name="_Toc13947"/>
      <w:bookmarkStart w:id="224" w:name="_Toc58592748"/>
      <w:bookmarkStart w:id="225" w:name="_Toc26424"/>
      <w:bookmarkStart w:id="226" w:name="_Toc693"/>
      <w:bookmarkStart w:id="227" w:name="_Toc32464"/>
      <w:bookmarkStart w:id="228" w:name="_Toc2177"/>
      <w:r>
        <w:rPr>
          <w:rFonts w:hint="eastAsia"/>
          <w:color w:val="auto"/>
          <w:highlight w:val="none"/>
          <w:lang w:eastAsia="zh-CN"/>
        </w:rPr>
        <w:t>10</w:t>
      </w:r>
      <w:r>
        <w:rPr>
          <w:color w:val="auto"/>
          <w:highlight w:val="none"/>
          <w:lang w:eastAsia="zh-CN"/>
        </w:rPr>
        <w:t>.3</w:t>
      </w:r>
      <w:r>
        <w:rPr>
          <w:rFonts w:hint="eastAsia"/>
          <w:color w:val="auto"/>
          <w:highlight w:val="none"/>
          <w:lang w:eastAsia="zh-CN"/>
        </w:rPr>
        <w:t xml:space="preserve">  防火构造</w:t>
      </w:r>
      <w:bookmarkEnd w:id="223"/>
      <w:bookmarkEnd w:id="224"/>
      <w:bookmarkEnd w:id="225"/>
      <w:bookmarkEnd w:id="226"/>
      <w:bookmarkEnd w:id="227"/>
      <w:bookmarkEnd w:id="228"/>
    </w:p>
    <w:p w14:paraId="564086DF">
      <w:pPr>
        <w:pStyle w:val="4"/>
        <w:rPr>
          <w:color w:val="auto"/>
          <w:highlight w:val="none"/>
          <w:lang w:eastAsia="zh-CN"/>
        </w:rPr>
      </w:pPr>
      <w:r>
        <w:rPr>
          <w:rFonts w:hint="eastAsia"/>
          <w:b/>
          <w:bCs/>
          <w:color w:val="auto"/>
          <w:highlight w:val="none"/>
          <w:lang w:eastAsia="zh-CN"/>
        </w:rPr>
        <w:t>10</w:t>
      </w:r>
      <w:r>
        <w:rPr>
          <w:b/>
          <w:bCs/>
          <w:color w:val="auto"/>
          <w:highlight w:val="none"/>
          <w:lang w:eastAsia="zh-CN"/>
        </w:rPr>
        <w:t>.3.1</w:t>
      </w:r>
      <w:r>
        <w:rPr>
          <w:rFonts w:hint="eastAsia"/>
          <w:color w:val="auto"/>
          <w:highlight w:val="none"/>
          <w:lang w:eastAsia="zh-CN"/>
        </w:rPr>
        <w:t xml:space="preserve">  管道、电气线路敷设在墙体内或穿过楼板、墙体时，应采取防火保护措施，与墙体、楼板之间的缝隙和孔口应采用防火封堵材料填塞密实。</w:t>
      </w:r>
    </w:p>
    <w:p w14:paraId="3051F3DC">
      <w:pPr>
        <w:pStyle w:val="50"/>
        <w:bidi w:val="0"/>
        <w:rPr>
          <w:rFonts w:hint="eastAsia"/>
          <w:color w:val="auto"/>
          <w:highlight w:val="none"/>
          <w:lang w:eastAsia="zh-CN"/>
        </w:rPr>
      </w:pPr>
      <w:r>
        <w:rPr>
          <w:rFonts w:hint="eastAsia"/>
          <w:color w:val="auto"/>
          <w:highlight w:val="none"/>
          <w:lang w:eastAsia="zh-CN"/>
        </w:rPr>
        <w:t>【条文说明】10.3.1  木结构墙体、楼板内的龙骨为木质，属于可燃材料。电线电缆穿过时，存在较大火灾隐患。因此，要求相关电线电缆和管道采取相应的防火保护措施，以降低其引发火灾的危险性。同时，对管线穿透处进行防火封堵是为了防止火焰和烟气从一个空间通过管道孔洞或管线蔓延到其他空间。</w:t>
      </w:r>
    </w:p>
    <w:p w14:paraId="4B6777CB">
      <w:pPr>
        <w:rPr>
          <w:color w:val="auto"/>
          <w:highlight w:val="none"/>
          <w:lang w:eastAsia="zh-CN"/>
        </w:rPr>
      </w:pPr>
    </w:p>
    <w:p w14:paraId="5304F9F7">
      <w:pPr>
        <w:pStyle w:val="4"/>
        <w:rPr>
          <w:color w:val="auto"/>
          <w:highlight w:val="none"/>
          <w:lang w:eastAsia="zh-CN"/>
        </w:rPr>
      </w:pPr>
      <w:r>
        <w:rPr>
          <w:rFonts w:hint="eastAsia"/>
          <w:b/>
          <w:bCs/>
          <w:color w:val="auto"/>
          <w:highlight w:val="none"/>
          <w:lang w:eastAsia="zh-CN"/>
        </w:rPr>
        <w:t>10</w:t>
      </w:r>
      <w:r>
        <w:rPr>
          <w:b/>
          <w:bCs/>
          <w:color w:val="auto"/>
          <w:highlight w:val="none"/>
          <w:lang w:eastAsia="zh-CN"/>
        </w:rPr>
        <w:t>.3.2</w:t>
      </w:r>
      <w:r>
        <w:rPr>
          <w:rFonts w:hint="eastAsia"/>
          <w:b/>
          <w:bCs/>
          <w:color w:val="auto"/>
          <w:highlight w:val="none"/>
          <w:lang w:eastAsia="zh-CN"/>
        </w:rPr>
        <w:t xml:space="preserve">  </w:t>
      </w:r>
      <w:r>
        <w:rPr>
          <w:rFonts w:hint="eastAsia"/>
          <w:color w:val="auto"/>
          <w:highlight w:val="none"/>
          <w:lang w:eastAsia="zh-CN"/>
        </w:rPr>
        <w:t xml:space="preserve">设置在木结构建筑内的锅炉房、发电机房、变配电室、厨房及其他可能使用明火或高温的部位，应采用耐火极限不低于 </w:t>
      </w:r>
      <w:r>
        <w:rPr>
          <w:color w:val="auto"/>
          <w:highlight w:val="none"/>
          <w:lang w:eastAsia="zh-CN"/>
        </w:rPr>
        <w:t>2</w:t>
      </w:r>
      <w:r>
        <w:rPr>
          <w:rFonts w:hint="eastAsia"/>
          <w:color w:val="auto"/>
          <w:highlight w:val="none"/>
          <w:lang w:eastAsia="zh-CN"/>
        </w:rPr>
        <w:t>.</w:t>
      </w:r>
      <w:r>
        <w:rPr>
          <w:color w:val="auto"/>
          <w:highlight w:val="none"/>
          <w:lang w:eastAsia="zh-CN"/>
        </w:rPr>
        <w:t>00h</w:t>
      </w:r>
      <w:r>
        <w:rPr>
          <w:rFonts w:hint="eastAsia"/>
          <w:color w:val="auto"/>
          <w:highlight w:val="none"/>
          <w:lang w:eastAsia="zh-CN"/>
        </w:rPr>
        <w:t xml:space="preserve"> 的防火隔墙和 1.</w:t>
      </w:r>
      <w:r>
        <w:rPr>
          <w:rFonts w:hint="eastAsia"/>
          <w:color w:val="auto"/>
          <w:highlight w:val="none"/>
          <w:lang w:val="en-US" w:eastAsia="zh-CN"/>
        </w:rPr>
        <w:t>5</w:t>
      </w:r>
      <w:r>
        <w:rPr>
          <w:rFonts w:hint="eastAsia"/>
          <w:color w:val="auto"/>
          <w:highlight w:val="none"/>
          <w:lang w:eastAsia="zh-CN"/>
        </w:rPr>
        <w:t>0h 的不燃性楼板与其他部位分隔。木结构建筑内的排油烟管道应采用防火隔热措施。</w:t>
      </w:r>
    </w:p>
    <w:p w14:paraId="058DF3EC">
      <w:pPr>
        <w:pStyle w:val="50"/>
        <w:bidi w:val="0"/>
        <w:rPr>
          <w:rFonts w:hint="eastAsia"/>
          <w:color w:val="auto"/>
          <w:highlight w:val="none"/>
          <w:lang w:eastAsia="zh-CN"/>
        </w:rPr>
      </w:pPr>
      <w:r>
        <w:rPr>
          <w:rFonts w:hint="eastAsia"/>
          <w:color w:val="auto"/>
          <w:highlight w:val="none"/>
          <w:lang w:eastAsia="zh-CN"/>
        </w:rPr>
        <w:t>【条文说明】10.3.2  规定了建筑内火灾危险性较大部位的防火分隔要求，对因使用需要等要求开设的门窗洞口，应考虑采取相应的防火保护措施，以限制火灾在建筑内的蔓延。</w:t>
      </w:r>
    </w:p>
    <w:p w14:paraId="49BC80F8">
      <w:pPr>
        <w:rPr>
          <w:color w:val="auto"/>
          <w:highlight w:val="none"/>
          <w:lang w:eastAsia="zh-CN"/>
        </w:rPr>
      </w:pPr>
    </w:p>
    <w:p w14:paraId="31D34C13">
      <w:pPr>
        <w:pStyle w:val="4"/>
        <w:rPr>
          <w:color w:val="auto"/>
          <w:highlight w:val="none"/>
          <w:lang w:eastAsia="zh-CN"/>
        </w:rPr>
      </w:pPr>
      <w:r>
        <w:rPr>
          <w:rFonts w:hint="eastAsia"/>
          <w:b/>
          <w:bCs/>
          <w:color w:val="auto"/>
          <w:highlight w:val="none"/>
          <w:lang w:eastAsia="zh-CN"/>
        </w:rPr>
        <w:t>10</w:t>
      </w:r>
      <w:r>
        <w:rPr>
          <w:b/>
          <w:bCs/>
          <w:color w:val="auto"/>
          <w:highlight w:val="none"/>
          <w:lang w:eastAsia="zh-CN"/>
        </w:rPr>
        <w:t>.3.3</w:t>
      </w:r>
      <w:r>
        <w:rPr>
          <w:rFonts w:hint="eastAsia"/>
          <w:b/>
          <w:bCs/>
          <w:color w:val="auto"/>
          <w:highlight w:val="none"/>
          <w:lang w:eastAsia="zh-CN"/>
        </w:rPr>
        <w:t xml:space="preserve">  </w:t>
      </w:r>
      <w:r>
        <w:rPr>
          <w:rFonts w:hint="eastAsia"/>
          <w:color w:val="auto"/>
          <w:highlight w:val="none"/>
          <w:lang w:eastAsia="zh-CN"/>
        </w:rPr>
        <w:t>木结构墙体、楼板及封闭吊顶或屋顶下的密闭空间内应采取防火分隔措施，且水平分隔的长度或宽度均不应大于</w:t>
      </w:r>
      <w:r>
        <w:rPr>
          <w:color w:val="auto"/>
          <w:highlight w:val="none"/>
          <w:lang w:eastAsia="zh-CN"/>
        </w:rPr>
        <w:t>20m</w:t>
      </w:r>
      <w:r>
        <w:rPr>
          <w:rFonts w:hint="eastAsia"/>
          <w:color w:val="auto"/>
          <w:highlight w:val="none"/>
          <w:lang w:eastAsia="zh-CN"/>
        </w:rPr>
        <w:t>，建筑面积不应大于</w:t>
      </w:r>
      <w:r>
        <w:rPr>
          <w:color w:val="auto"/>
          <w:highlight w:val="none"/>
          <w:lang w:eastAsia="zh-CN"/>
        </w:rPr>
        <w:t>300</w:t>
      </w:r>
      <w:r>
        <w:rPr>
          <w:rFonts w:hint="eastAsia"/>
          <w:color w:val="auto"/>
          <w:highlight w:val="none"/>
          <w:lang w:eastAsia="zh-CN"/>
        </w:rPr>
        <w:t>㎡ ；墙体竖向分隔的高度不应大于</w:t>
      </w:r>
      <w:r>
        <w:rPr>
          <w:color w:val="auto"/>
          <w:highlight w:val="none"/>
          <w:lang w:eastAsia="zh-CN"/>
        </w:rPr>
        <w:t>3m</w:t>
      </w:r>
      <w:r>
        <w:rPr>
          <w:rFonts w:hint="eastAsia"/>
          <w:color w:val="auto"/>
          <w:highlight w:val="none"/>
          <w:lang w:eastAsia="zh-CN"/>
        </w:rPr>
        <w:t>。木结构建筑的每层楼梯梁处应采取防火分隔措施。</w:t>
      </w:r>
    </w:p>
    <w:p w14:paraId="121A41BD">
      <w:pPr>
        <w:pStyle w:val="50"/>
        <w:bidi w:val="0"/>
        <w:rPr>
          <w:color w:val="auto"/>
          <w:highlight w:val="none"/>
          <w:lang w:eastAsia="zh-CN"/>
        </w:rPr>
      </w:pPr>
      <w:r>
        <w:rPr>
          <w:rFonts w:hint="eastAsia"/>
          <w:color w:val="auto"/>
          <w:highlight w:val="none"/>
          <w:lang w:eastAsia="zh-CN"/>
        </w:rPr>
        <w:t>【条文说明】10.3.3  轻型木结构建筑中的框架构件与面板之间存在许多空腔。如果墙体、楼板及封闭吊顶或屋顶下的密闭空间内没有采取防火分隔措施，一旦构件内某处着火，火焰、高温气体以及烟气会迅速蔓延传播。因此，要在这些密闭空间内的空腔之间增设防火分隔构造。</w:t>
      </w:r>
    </w:p>
    <w:p w14:paraId="1458B921">
      <w:pPr>
        <w:pStyle w:val="50"/>
        <w:bidi w:val="0"/>
        <w:rPr>
          <w:color w:val="auto"/>
          <w:highlight w:val="none"/>
          <w:lang w:eastAsia="zh-CN"/>
        </w:rPr>
      </w:pPr>
      <w:r>
        <w:rPr>
          <w:rFonts w:hint="eastAsia"/>
          <w:color w:val="auto"/>
          <w:highlight w:val="none"/>
          <w:lang w:eastAsia="zh-CN"/>
        </w:rPr>
        <w:t>轻型木结构建筑中的水平防火分隔，主要用于限制火焰、高温气体以及烟气在水平构件中的蔓延。水平防火构造的设置，一般根据空间的长度、宽度及面积来确定。这些空间需要按照这样的防火分隔要求划分为更小的空间，即每一空间的面积不大于300㎡，每一空间的长度或宽度不大于20m。当顶棚材料安装在龙骨上时，要注意在双向龙骨形成的空间内增加水平防火分隔构件。采用实木锯材或工字搁栅的楼板和屋顶盖，搁栅之间的支撑通常可用作水平防火分隔构件，一般不需要增加额外的水平防火分隔构件，但当空间的长度或宽度大于20m时，需要在沿搁栅平行方向增加防火分隔构件。墙体的竖向防火分隔主要用于阻挡火焰、高温气体及烟气通过构件上的开孔蔓延，或通过墙体中的竖向通道在不同构件之间蔓延。在多数轻型木结构墙体中，墙体的顶梁板和底梁板为主要的防火分隔构件。</w:t>
      </w:r>
    </w:p>
    <w:p w14:paraId="2AC2F16E">
      <w:pPr>
        <w:pStyle w:val="50"/>
        <w:bidi w:val="0"/>
        <w:rPr>
          <w:color w:val="auto"/>
          <w:highlight w:val="none"/>
          <w:lang w:eastAsia="zh-CN"/>
        </w:rPr>
      </w:pPr>
      <w:r>
        <w:rPr>
          <w:rFonts w:hint="eastAsia"/>
          <w:color w:val="auto"/>
          <w:highlight w:val="none"/>
          <w:lang w:eastAsia="zh-CN"/>
        </w:rPr>
        <w:t>对于弧形转角吊顶，下沉式吊顶或局部下沉式吊顶，在构件的竖向空间与横向空间的交汇处，要采取防火分隔构造措施，但是在其他大多数情况下，墙体的顶梁板、楼板中的端部桁架及端部支撑可视作防火分隔构件。</w:t>
      </w:r>
    </w:p>
    <w:p w14:paraId="13B4E144">
      <w:pPr>
        <w:pStyle w:val="50"/>
        <w:bidi w:val="0"/>
        <w:rPr>
          <w:color w:val="auto"/>
          <w:highlight w:val="none"/>
          <w:lang w:eastAsia="zh-CN"/>
        </w:rPr>
      </w:pPr>
      <w:r>
        <w:rPr>
          <w:rFonts w:hint="eastAsia"/>
          <w:color w:val="auto"/>
          <w:highlight w:val="none"/>
          <w:lang w:eastAsia="zh-CN"/>
        </w:rPr>
        <w:t>当水平密闭空间与竖向密闭空间连在一起时，在两者交汇处要采取防火分隔措施。</w:t>
      </w:r>
    </w:p>
    <w:p w14:paraId="3D9B7E13">
      <w:pPr>
        <w:pStyle w:val="50"/>
        <w:bidi w:val="0"/>
        <w:rPr>
          <w:rFonts w:hint="eastAsia"/>
          <w:color w:val="auto"/>
          <w:highlight w:val="none"/>
          <w:lang w:eastAsia="zh-CN"/>
        </w:rPr>
      </w:pPr>
      <w:r>
        <w:rPr>
          <w:rFonts w:hint="eastAsia"/>
          <w:color w:val="auto"/>
          <w:highlight w:val="none"/>
          <w:lang w:eastAsia="zh-CN"/>
        </w:rPr>
        <w:t>此外，轻型木结构建筑的楼梯梁与楼板交接的最后一级踏步处也要设置防火分隔挡板，以防止火焰和高温气体通过楼梯梁的空隙向外蔓延。</w:t>
      </w:r>
    </w:p>
    <w:p w14:paraId="572966B4">
      <w:pPr>
        <w:rPr>
          <w:color w:val="auto"/>
          <w:highlight w:val="none"/>
          <w:lang w:eastAsia="zh-CN"/>
        </w:rPr>
      </w:pPr>
    </w:p>
    <w:p w14:paraId="11406573">
      <w:pPr>
        <w:pStyle w:val="4"/>
        <w:ind w:left="211" w:hanging="241" w:hangingChars="100"/>
        <w:rPr>
          <w:color w:val="auto"/>
          <w:highlight w:val="none"/>
          <w:lang w:eastAsia="zh-CN"/>
        </w:rPr>
      </w:pPr>
      <w:r>
        <w:rPr>
          <w:rFonts w:hint="eastAsia"/>
          <w:b/>
          <w:bCs/>
          <w:color w:val="auto"/>
          <w:highlight w:val="none"/>
          <w:lang w:eastAsia="zh-CN"/>
        </w:rPr>
        <w:t>10</w:t>
      </w:r>
      <w:r>
        <w:rPr>
          <w:b/>
          <w:bCs/>
          <w:color w:val="auto"/>
          <w:highlight w:val="none"/>
          <w:lang w:eastAsia="zh-CN"/>
        </w:rPr>
        <w:t>.3.4</w:t>
      </w:r>
      <w:r>
        <w:rPr>
          <w:rFonts w:hint="eastAsia"/>
          <w:b/>
          <w:bCs/>
          <w:color w:val="auto"/>
          <w:highlight w:val="none"/>
          <w:lang w:eastAsia="zh-CN"/>
        </w:rPr>
        <w:t xml:space="preserve">  </w:t>
      </w:r>
      <w:r>
        <w:rPr>
          <w:rFonts w:hint="eastAsia"/>
          <w:color w:val="auto"/>
          <w:highlight w:val="none"/>
          <w:lang w:eastAsia="zh-CN"/>
        </w:rPr>
        <w:t>木结构建筑外墙内外保温材料的燃烧性能不应低于</w:t>
      </w:r>
      <w:r>
        <w:rPr>
          <w:color w:val="auto"/>
          <w:highlight w:val="none"/>
          <w:lang w:eastAsia="zh-CN"/>
        </w:rPr>
        <w:t>B1</w:t>
      </w:r>
      <w:r>
        <w:rPr>
          <w:rFonts w:hint="eastAsia"/>
          <w:color w:val="auto"/>
          <w:highlight w:val="none"/>
          <w:lang w:eastAsia="zh-CN"/>
        </w:rPr>
        <w:t>级，建筑外保温的其他防火要求应符合现行国家标准</w:t>
      </w:r>
      <w:r>
        <w:rPr>
          <w:rFonts w:hint="eastAsia"/>
          <w:color w:val="auto"/>
          <w:highlight w:val="none"/>
          <w:lang w:eastAsia="zh-CN"/>
        </w:rPr>
        <w:t xml:space="preserve">《建筑防火通用规范》GB </w:t>
      </w:r>
      <w:r>
        <w:rPr>
          <w:color w:val="auto"/>
          <w:highlight w:val="none"/>
          <w:lang w:eastAsia="zh-CN"/>
        </w:rPr>
        <w:t>5</w:t>
      </w:r>
      <w:r>
        <w:rPr>
          <w:rFonts w:hint="eastAsia"/>
          <w:color w:val="auto"/>
          <w:highlight w:val="none"/>
          <w:lang w:eastAsia="zh-CN"/>
        </w:rPr>
        <w:t>5</w:t>
      </w:r>
      <w:r>
        <w:rPr>
          <w:color w:val="auto"/>
          <w:highlight w:val="none"/>
          <w:lang w:eastAsia="zh-CN"/>
        </w:rPr>
        <w:t>0</w:t>
      </w:r>
      <w:r>
        <w:rPr>
          <w:rFonts w:hint="eastAsia"/>
          <w:color w:val="auto"/>
          <w:highlight w:val="none"/>
          <w:lang w:eastAsia="zh-CN"/>
        </w:rPr>
        <w:t>37</w:t>
      </w:r>
      <w:r>
        <w:rPr>
          <w:rFonts w:hint="eastAsia"/>
          <w:color w:val="auto"/>
          <w:highlight w:val="none"/>
          <w:lang w:eastAsia="zh-CN"/>
        </w:rPr>
        <w:t xml:space="preserve">、《建筑设计防火规范》GB </w:t>
      </w:r>
      <w:r>
        <w:rPr>
          <w:color w:val="auto"/>
          <w:highlight w:val="none"/>
          <w:lang w:eastAsia="zh-CN"/>
        </w:rPr>
        <w:t>5001</w:t>
      </w:r>
      <w:r>
        <w:rPr>
          <w:rFonts w:hint="eastAsia"/>
          <w:color w:val="auto"/>
          <w:highlight w:val="none"/>
          <w:lang w:eastAsia="zh-CN"/>
        </w:rPr>
        <w:t xml:space="preserve"> </w:t>
      </w:r>
      <w:r>
        <w:rPr>
          <w:color w:val="auto"/>
          <w:highlight w:val="none"/>
          <w:lang w:eastAsia="zh-CN"/>
        </w:rPr>
        <w:t>6</w:t>
      </w:r>
      <w:r>
        <w:rPr>
          <w:rFonts w:hint="eastAsia"/>
          <w:color w:val="auto"/>
          <w:highlight w:val="none"/>
          <w:lang w:eastAsia="zh-CN"/>
        </w:rPr>
        <w:t>的规定。</w:t>
      </w:r>
    </w:p>
    <w:p w14:paraId="5A84AD45">
      <w:pPr>
        <w:pStyle w:val="50"/>
        <w:bidi w:val="0"/>
        <w:rPr>
          <w:rFonts w:hint="eastAsia"/>
          <w:color w:val="auto"/>
          <w:highlight w:val="none"/>
          <w:lang w:eastAsia="zh-CN"/>
        </w:rPr>
      </w:pPr>
      <w:bookmarkStart w:id="229" w:name="_Hlk178443940"/>
      <w:r>
        <w:rPr>
          <w:rFonts w:hint="eastAsia"/>
          <w:color w:val="auto"/>
          <w:highlight w:val="none"/>
          <w:lang w:eastAsia="zh-CN"/>
        </w:rPr>
        <w:t>【条文说明】10.3.4  本条要求木结构建筑外墙内、外保温材料的燃烧性能不应低于B1级，建筑外保温的其他防火要求应符合现行国家标准《建筑设计防火规范》GB 50016 的规定。</w:t>
      </w:r>
    </w:p>
    <w:p w14:paraId="23ED3B3C">
      <w:pPr>
        <w:rPr>
          <w:color w:val="auto"/>
          <w:highlight w:val="none"/>
          <w:lang w:eastAsia="zh-CN"/>
        </w:rPr>
      </w:pPr>
    </w:p>
    <w:bookmarkEnd w:id="229"/>
    <w:p w14:paraId="2EF8263B">
      <w:pPr>
        <w:pStyle w:val="4"/>
        <w:rPr>
          <w:color w:val="auto"/>
          <w:highlight w:val="none"/>
          <w:lang w:eastAsia="zh-CN"/>
        </w:rPr>
      </w:pPr>
      <w:r>
        <w:rPr>
          <w:rFonts w:hint="eastAsia"/>
          <w:b/>
          <w:bCs/>
          <w:color w:val="auto"/>
          <w:highlight w:val="none"/>
          <w:lang w:eastAsia="zh-CN"/>
        </w:rPr>
        <w:t>10</w:t>
      </w:r>
      <w:r>
        <w:rPr>
          <w:b/>
          <w:bCs/>
          <w:color w:val="auto"/>
          <w:highlight w:val="none"/>
          <w:lang w:eastAsia="zh-CN"/>
        </w:rPr>
        <w:t>.3.5</w:t>
      </w:r>
      <w:r>
        <w:rPr>
          <w:rFonts w:hint="eastAsia"/>
          <w:b/>
          <w:bCs/>
          <w:color w:val="auto"/>
          <w:highlight w:val="none"/>
          <w:lang w:eastAsia="zh-CN"/>
        </w:rPr>
        <w:t xml:space="preserve">  </w:t>
      </w:r>
      <w:r>
        <w:rPr>
          <w:rFonts w:hint="eastAsia"/>
          <w:color w:val="auto"/>
          <w:highlight w:val="none"/>
          <w:lang w:eastAsia="zh-CN"/>
        </w:rPr>
        <w:t>木结构建筑外饰面材料的燃烧性能不应低于</w:t>
      </w:r>
      <w:r>
        <w:rPr>
          <w:color w:val="auto"/>
          <w:highlight w:val="none"/>
          <w:lang w:eastAsia="zh-CN"/>
        </w:rPr>
        <w:t>B1</w:t>
      </w:r>
      <w:r>
        <w:rPr>
          <w:rFonts w:hint="eastAsia"/>
          <w:color w:val="auto"/>
          <w:highlight w:val="none"/>
          <w:lang w:eastAsia="zh-CN"/>
        </w:rPr>
        <w:t>级。建筑其他装修装饰材料的燃烧性能宜符合下列规定：</w:t>
      </w:r>
    </w:p>
    <w:p w14:paraId="00DF6A12">
      <w:pPr>
        <w:pStyle w:val="4"/>
        <w:ind w:firstLine="480" w:firstLineChars="200"/>
        <w:rPr>
          <w:color w:val="auto"/>
          <w:highlight w:val="none"/>
          <w:lang w:eastAsia="zh-CN"/>
        </w:rPr>
      </w:pPr>
      <w:r>
        <w:rPr>
          <w:color w:val="auto"/>
          <w:highlight w:val="none"/>
          <w:lang w:eastAsia="zh-CN"/>
        </w:rPr>
        <w:t>1</w:t>
      </w:r>
      <w:r>
        <w:rPr>
          <w:rFonts w:hint="eastAsia"/>
          <w:color w:val="auto"/>
          <w:highlight w:val="none"/>
          <w:lang w:eastAsia="zh-CN"/>
        </w:rPr>
        <w:t xml:space="preserve">  设置中央空调系统的办公建筑，其顶棚装修材料的燃烧性能应为</w:t>
      </w:r>
      <w:r>
        <w:rPr>
          <w:color w:val="auto"/>
          <w:highlight w:val="none"/>
          <w:lang w:eastAsia="zh-CN"/>
        </w:rPr>
        <w:t>A</w:t>
      </w:r>
      <w:r>
        <w:rPr>
          <w:rFonts w:hint="eastAsia"/>
          <w:color w:val="auto"/>
          <w:highlight w:val="none"/>
          <w:lang w:eastAsia="zh-CN"/>
        </w:rPr>
        <w:t>级；其余办公建筑可为</w:t>
      </w:r>
      <w:r>
        <w:rPr>
          <w:color w:val="auto"/>
          <w:highlight w:val="none"/>
          <w:lang w:eastAsia="zh-CN"/>
        </w:rPr>
        <w:t>B1</w:t>
      </w:r>
      <w:r>
        <w:rPr>
          <w:rFonts w:hint="eastAsia"/>
          <w:color w:val="auto"/>
          <w:highlight w:val="none"/>
          <w:lang w:eastAsia="zh-CN"/>
        </w:rPr>
        <w:t>级；</w:t>
      </w:r>
    </w:p>
    <w:p w14:paraId="15F4F6B4">
      <w:pPr>
        <w:pStyle w:val="4"/>
        <w:ind w:firstLine="480" w:firstLineChars="200"/>
        <w:rPr>
          <w:color w:val="auto"/>
          <w:highlight w:val="none"/>
          <w:lang w:eastAsia="zh-CN"/>
        </w:rPr>
      </w:pPr>
      <w:r>
        <w:rPr>
          <w:color w:val="auto"/>
          <w:highlight w:val="none"/>
          <w:lang w:eastAsia="zh-CN"/>
        </w:rPr>
        <w:t>2</w:t>
      </w:r>
      <w:r>
        <w:rPr>
          <w:rFonts w:hint="eastAsia"/>
          <w:color w:val="auto"/>
          <w:highlight w:val="none"/>
          <w:lang w:eastAsia="zh-CN"/>
        </w:rPr>
        <w:t xml:space="preserve">  办公建筑的墙面、地面装修材料的燃烧性能宜为</w:t>
      </w:r>
      <w:r>
        <w:rPr>
          <w:color w:val="auto"/>
          <w:highlight w:val="none"/>
          <w:lang w:eastAsia="zh-CN"/>
        </w:rPr>
        <w:t>B1</w:t>
      </w:r>
      <w:r>
        <w:rPr>
          <w:rFonts w:hint="eastAsia"/>
          <w:color w:val="auto"/>
          <w:highlight w:val="none"/>
          <w:lang w:eastAsia="zh-CN"/>
        </w:rPr>
        <w:t>级。</w:t>
      </w:r>
    </w:p>
    <w:p w14:paraId="71A919C7">
      <w:pPr>
        <w:pStyle w:val="50"/>
        <w:bidi w:val="0"/>
        <w:rPr>
          <w:rFonts w:hint="eastAsia"/>
          <w:color w:val="auto"/>
          <w:highlight w:val="none"/>
          <w:lang w:eastAsia="zh-CN"/>
        </w:rPr>
      </w:pPr>
      <w:r>
        <w:rPr>
          <w:rFonts w:hint="eastAsia"/>
          <w:color w:val="auto"/>
          <w:highlight w:val="none"/>
          <w:lang w:eastAsia="zh-CN"/>
        </w:rPr>
        <w:t>【条文说明】10.3.5  近年来，建筑外墙可燃性装饰材料引发的火灾时常发生，火灾沿外立面蔓延至多个楼层，造成严重的火灾危害。木结构建筑构件虽然具有良好的耐火性能，但构件本身存在参与燃烧的潜在危险。为确保火灾不会沿建筑外立面发生快速的竖向蔓延，以致烧穿外墙或通过外墙开口蔓延至室内，本条对木结构住宅和办公建筑外饰面材料的燃烧性能做了一定限制。办公建筑如果设置中央空调系统，其顶棚内敷设多种管线，增加了其火灾危险性，因此要求其顶棚装修材料的燃烧性能应为A级。</w:t>
      </w:r>
    </w:p>
    <w:p w14:paraId="4694C4DC">
      <w:pPr>
        <w:rPr>
          <w:color w:val="auto"/>
          <w:highlight w:val="none"/>
          <w:lang w:eastAsia="zh-CN"/>
        </w:rPr>
      </w:pPr>
    </w:p>
    <w:p w14:paraId="7F4ECA15">
      <w:pPr>
        <w:pStyle w:val="4"/>
        <w:rPr>
          <w:color w:val="auto"/>
          <w:highlight w:val="none"/>
          <w:lang w:eastAsia="zh-CN"/>
        </w:rPr>
      </w:pPr>
      <w:r>
        <w:rPr>
          <w:rFonts w:hint="eastAsia"/>
          <w:b/>
          <w:bCs/>
          <w:color w:val="auto"/>
          <w:highlight w:val="none"/>
          <w:lang w:eastAsia="zh-CN"/>
        </w:rPr>
        <w:t>10</w:t>
      </w:r>
      <w:r>
        <w:rPr>
          <w:b/>
          <w:bCs/>
          <w:color w:val="auto"/>
          <w:highlight w:val="none"/>
          <w:lang w:eastAsia="zh-CN"/>
        </w:rPr>
        <w:t>.3.6</w:t>
      </w:r>
      <w:r>
        <w:rPr>
          <w:rFonts w:hint="eastAsia"/>
          <w:b/>
          <w:bCs/>
          <w:color w:val="auto"/>
          <w:highlight w:val="none"/>
          <w:lang w:eastAsia="zh-CN"/>
        </w:rPr>
        <w:t xml:space="preserve">  </w:t>
      </w:r>
      <w:r>
        <w:rPr>
          <w:rFonts w:hint="eastAsia"/>
          <w:color w:val="auto"/>
          <w:highlight w:val="none"/>
          <w:lang w:eastAsia="zh-CN"/>
        </w:rPr>
        <w:t xml:space="preserve">除开孔周围防火分隔措施外，防火分隔宜采用以下材料：  </w:t>
      </w:r>
    </w:p>
    <w:p w14:paraId="0CAB87AF">
      <w:pPr>
        <w:pStyle w:val="4"/>
        <w:ind w:firstLine="480" w:firstLineChars="200"/>
        <w:rPr>
          <w:color w:val="auto"/>
          <w:highlight w:val="none"/>
          <w:lang w:eastAsia="zh-CN"/>
        </w:rPr>
      </w:pPr>
      <w:r>
        <w:rPr>
          <w:color w:val="auto"/>
          <w:highlight w:val="none"/>
          <w:lang w:eastAsia="zh-CN"/>
        </w:rPr>
        <w:t>1</w:t>
      </w:r>
      <w:r>
        <w:rPr>
          <w:rFonts w:hint="eastAsia"/>
          <w:color w:val="auto"/>
          <w:highlight w:val="none"/>
          <w:lang w:eastAsia="zh-CN"/>
        </w:rPr>
        <w:t xml:space="preserve">  截面为</w:t>
      </w:r>
      <w:r>
        <w:rPr>
          <w:color w:val="auto"/>
          <w:highlight w:val="none"/>
          <w:lang w:eastAsia="zh-CN"/>
        </w:rPr>
        <w:t>40mm</w:t>
      </w:r>
      <w:r>
        <w:rPr>
          <w:rFonts w:hint="eastAsia"/>
          <w:color w:val="auto"/>
          <w:highlight w:val="none"/>
          <w:lang w:eastAsia="zh-CN"/>
        </w:rPr>
        <w:t xml:space="preserve"> 宽的规格材或由两层截面</w:t>
      </w:r>
      <w:r>
        <w:rPr>
          <w:color w:val="auto"/>
          <w:highlight w:val="none"/>
          <w:lang w:eastAsia="zh-CN"/>
        </w:rPr>
        <w:t>20mm</w:t>
      </w:r>
      <w:r>
        <w:rPr>
          <w:rFonts w:hint="eastAsia"/>
          <w:color w:val="auto"/>
          <w:highlight w:val="none"/>
          <w:lang w:eastAsia="zh-CN"/>
        </w:rPr>
        <w:t xml:space="preserve"> 宽的规格材拼接而成；</w:t>
      </w:r>
    </w:p>
    <w:p w14:paraId="2B810863">
      <w:pPr>
        <w:pStyle w:val="4"/>
        <w:ind w:firstLine="480" w:firstLineChars="200"/>
        <w:rPr>
          <w:color w:val="auto"/>
          <w:highlight w:val="none"/>
          <w:lang w:eastAsia="zh-CN"/>
        </w:rPr>
      </w:pPr>
      <w:r>
        <w:rPr>
          <w:color w:val="auto"/>
          <w:highlight w:val="none"/>
          <w:lang w:eastAsia="zh-CN"/>
        </w:rPr>
        <w:t>2</w:t>
      </w:r>
      <w:r>
        <w:rPr>
          <w:rFonts w:hint="eastAsia"/>
          <w:color w:val="auto"/>
          <w:highlight w:val="none"/>
          <w:lang w:eastAsia="zh-CN"/>
        </w:rPr>
        <w:t xml:space="preserve">  </w:t>
      </w:r>
      <w:r>
        <w:rPr>
          <w:color w:val="auto"/>
          <w:highlight w:val="none"/>
          <w:lang w:eastAsia="zh-CN"/>
        </w:rPr>
        <w:t>12mm</w:t>
      </w:r>
      <w:r>
        <w:rPr>
          <w:rFonts w:hint="eastAsia"/>
          <w:color w:val="auto"/>
          <w:highlight w:val="none"/>
          <w:lang w:eastAsia="zh-CN"/>
        </w:rPr>
        <w:t xml:space="preserve">纸面防火石膏板；  </w:t>
      </w:r>
    </w:p>
    <w:p w14:paraId="102B8034">
      <w:pPr>
        <w:pStyle w:val="4"/>
        <w:ind w:firstLine="480" w:firstLineChars="200"/>
        <w:rPr>
          <w:color w:val="auto"/>
          <w:highlight w:val="none"/>
          <w:lang w:eastAsia="zh-CN"/>
        </w:rPr>
      </w:pPr>
      <w:r>
        <w:rPr>
          <w:color w:val="auto"/>
          <w:highlight w:val="none"/>
          <w:lang w:eastAsia="zh-CN"/>
        </w:rPr>
        <w:t>3</w:t>
      </w:r>
      <w:r>
        <w:rPr>
          <w:rFonts w:hint="eastAsia"/>
          <w:color w:val="auto"/>
          <w:highlight w:val="none"/>
          <w:lang w:eastAsia="zh-CN"/>
        </w:rPr>
        <w:t xml:space="preserve">  </w:t>
      </w:r>
      <w:r>
        <w:rPr>
          <w:color w:val="auto"/>
          <w:highlight w:val="none"/>
          <w:lang w:eastAsia="zh-CN"/>
        </w:rPr>
        <w:t>12.5mm</w:t>
      </w:r>
      <w:r>
        <w:rPr>
          <w:rFonts w:hint="eastAsia"/>
          <w:color w:val="auto"/>
          <w:highlight w:val="none"/>
          <w:lang w:eastAsia="zh-CN"/>
        </w:rPr>
        <w:t>厚结构胶合板或定向刨花板；</w:t>
      </w:r>
    </w:p>
    <w:p w14:paraId="6FE2143E">
      <w:pPr>
        <w:pStyle w:val="4"/>
        <w:ind w:firstLine="480" w:firstLineChars="200"/>
        <w:rPr>
          <w:color w:val="auto"/>
          <w:highlight w:val="none"/>
          <w:lang w:eastAsia="zh-CN"/>
        </w:rPr>
      </w:pPr>
      <w:r>
        <w:rPr>
          <w:color w:val="auto"/>
          <w:highlight w:val="none"/>
          <w:lang w:eastAsia="zh-CN"/>
        </w:rPr>
        <w:t>4</w:t>
      </w:r>
      <w:r>
        <w:rPr>
          <w:rFonts w:hint="eastAsia"/>
          <w:color w:val="auto"/>
          <w:highlight w:val="none"/>
          <w:lang w:eastAsia="zh-CN"/>
        </w:rPr>
        <w:t xml:space="preserve">  </w:t>
      </w:r>
      <w:r>
        <w:rPr>
          <w:color w:val="auto"/>
          <w:highlight w:val="none"/>
          <w:lang w:eastAsia="zh-CN"/>
        </w:rPr>
        <w:t>0.60mm</w:t>
      </w:r>
      <w:r>
        <w:rPr>
          <w:rFonts w:hint="eastAsia"/>
          <w:color w:val="auto"/>
          <w:highlight w:val="none"/>
          <w:lang w:eastAsia="zh-CN"/>
        </w:rPr>
        <w:t>厚钢板；</w:t>
      </w:r>
    </w:p>
    <w:p w14:paraId="4F2F880E">
      <w:pPr>
        <w:pStyle w:val="4"/>
        <w:ind w:firstLine="480" w:firstLineChars="200"/>
        <w:rPr>
          <w:color w:val="auto"/>
          <w:highlight w:val="none"/>
          <w:lang w:eastAsia="zh-CN"/>
        </w:rPr>
      </w:pPr>
      <w:r>
        <w:rPr>
          <w:color w:val="auto"/>
          <w:highlight w:val="none"/>
          <w:lang w:eastAsia="zh-CN"/>
        </w:rPr>
        <w:t>5</w:t>
      </w:r>
      <w:r>
        <w:rPr>
          <w:rFonts w:hint="eastAsia"/>
          <w:color w:val="auto"/>
          <w:highlight w:val="none"/>
          <w:lang w:eastAsia="zh-CN"/>
        </w:rPr>
        <w:t xml:space="preserve">  </w:t>
      </w:r>
      <w:r>
        <w:rPr>
          <w:color w:val="auto"/>
          <w:highlight w:val="none"/>
          <w:lang w:eastAsia="zh-CN"/>
        </w:rPr>
        <w:t>6mm</w:t>
      </w:r>
      <w:r>
        <w:rPr>
          <w:rFonts w:hint="eastAsia"/>
          <w:color w:val="auto"/>
          <w:highlight w:val="none"/>
          <w:lang w:eastAsia="zh-CN"/>
        </w:rPr>
        <w:t>厚无机增强水泥板。</w:t>
      </w:r>
    </w:p>
    <w:p w14:paraId="66DBDE62">
      <w:pPr>
        <w:pStyle w:val="50"/>
        <w:bidi w:val="0"/>
        <w:rPr>
          <w:color w:val="auto"/>
          <w:highlight w:val="none"/>
        </w:rPr>
      </w:pPr>
      <w:r>
        <w:rPr>
          <w:rFonts w:hint="eastAsia"/>
          <w:color w:val="auto"/>
          <w:highlight w:val="none"/>
          <w:lang w:eastAsia="zh-CN"/>
        </w:rPr>
        <w:t>【条文说明】10.3.6  参照了加拿大在木结构建筑中常用的材料。</w:t>
      </w:r>
    </w:p>
    <w:p w14:paraId="2D6B755E">
      <w:pPr>
        <w:rPr>
          <w:color w:val="auto"/>
          <w:highlight w:val="none"/>
          <w:lang w:eastAsia="zh-CN"/>
        </w:rPr>
      </w:pPr>
    </w:p>
    <w:p w14:paraId="45882ADB">
      <w:pPr>
        <w:pStyle w:val="4"/>
        <w:rPr>
          <w:color w:val="auto"/>
          <w:szCs w:val="21"/>
          <w:highlight w:val="none"/>
          <w:lang w:eastAsia="zh-CN"/>
        </w:rPr>
      </w:pPr>
      <w:r>
        <w:rPr>
          <w:rFonts w:hint="eastAsia"/>
          <w:b/>
          <w:bCs/>
          <w:color w:val="auto"/>
          <w:highlight w:val="none"/>
          <w:lang w:eastAsia="zh-CN"/>
        </w:rPr>
        <w:t>10</w:t>
      </w:r>
      <w:r>
        <w:rPr>
          <w:b/>
          <w:bCs/>
          <w:color w:val="auto"/>
          <w:highlight w:val="none"/>
          <w:lang w:eastAsia="zh-CN"/>
        </w:rPr>
        <w:t>.3.</w:t>
      </w:r>
      <w:r>
        <w:rPr>
          <w:rFonts w:hint="eastAsia"/>
          <w:b/>
          <w:bCs/>
          <w:color w:val="auto"/>
          <w:highlight w:val="none"/>
          <w:lang w:eastAsia="zh-CN"/>
        </w:rPr>
        <w:t xml:space="preserve">7  </w:t>
      </w:r>
      <w:r>
        <w:rPr>
          <w:rFonts w:hint="eastAsia"/>
          <w:color w:val="auto"/>
          <w:highlight w:val="none"/>
          <w:lang w:eastAsia="zh-CN"/>
        </w:rPr>
        <w:t>电梯井应独立设置，电梯井内不应敷设或穿过可燃气体或甲、乙、丙类液体管道及与电梯运行无关的电线或电缆等。电梯层门的耐火完整性不应低 2.00h 。</w:t>
      </w:r>
    </w:p>
    <w:p w14:paraId="13E0EF0D">
      <w:pPr>
        <w:pStyle w:val="4"/>
        <w:rPr>
          <w:color w:val="auto"/>
          <w:highlight w:val="none"/>
          <w:lang w:eastAsia="zh-CN"/>
        </w:rPr>
      </w:pPr>
      <w:r>
        <w:rPr>
          <w:rFonts w:hint="eastAsia"/>
          <w:b/>
          <w:bCs/>
          <w:color w:val="auto"/>
          <w:highlight w:val="none"/>
          <w:lang w:eastAsia="zh-CN"/>
        </w:rPr>
        <w:t>10</w:t>
      </w:r>
      <w:r>
        <w:rPr>
          <w:b/>
          <w:bCs/>
          <w:color w:val="auto"/>
          <w:highlight w:val="none"/>
          <w:lang w:eastAsia="zh-CN"/>
        </w:rPr>
        <w:t>.3.</w:t>
      </w:r>
      <w:r>
        <w:rPr>
          <w:rFonts w:hint="eastAsia"/>
          <w:b/>
          <w:bCs/>
          <w:color w:val="auto"/>
          <w:highlight w:val="none"/>
          <w:lang w:eastAsia="zh-CN"/>
        </w:rPr>
        <w:t xml:space="preserve">8  </w:t>
      </w:r>
      <w:r>
        <w:rPr>
          <w:rFonts w:hint="eastAsia"/>
          <w:color w:val="auto"/>
          <w:highlight w:val="none"/>
          <w:lang w:eastAsia="zh-CN"/>
        </w:rPr>
        <w:t>电气竖井、管道井、排烟或通风道、垃圾井等竖井应分别独立设置，井壁的耐火极限均不应低于 1.00h 。</w:t>
      </w:r>
    </w:p>
    <w:p w14:paraId="17DA598F">
      <w:pPr>
        <w:pStyle w:val="50"/>
        <w:bidi w:val="0"/>
        <w:rPr>
          <w:rFonts w:hint="eastAsia"/>
          <w:color w:val="auto"/>
          <w:highlight w:val="none"/>
          <w:lang w:eastAsia="zh-CN"/>
        </w:rPr>
      </w:pPr>
      <w:r>
        <w:rPr>
          <w:rFonts w:hint="eastAsia"/>
          <w:color w:val="auto"/>
          <w:highlight w:val="none"/>
          <w:lang w:eastAsia="zh-CN"/>
        </w:rPr>
        <w:t>【条文说明】10.3.7、10.3.8  这两条规定了建筑内各类竖井的基本防火要求，以保证建筑竖向防火分区的有效性，防止火势通过竖井蔓延。建筑中的管道井、电缆井、电梯井等竖向井道是烟火竖向蔓延的通道，有的自身还存在一定的火灾危险性，建造时要将不同类别的竖向井道独立设置，并使竖井的井壁具备一定耐火极限。建筑内的每个电梯井均应各自独立设置，不允许敷设、穿越可燃气体和可燃液体管道，并且电梯层门应具备足够的耐火完整性能。为有效阻止火势在竖井内的蔓延，防止产生烟囱效应而加剧火势并导致快速蔓延至多个楼层，除不允许在层间隔断的竖井外，需在竖井的每层楼板处用相当于楼板耐火极限的不燃材料和防火封堵组件等分隔和封堵。防火封堵组件应能与相应构件或结构协同工作，具有与封堵部位构件或结构相当的耐受火焰、高温烟气和其他热作用的性能。不同管线在竖井内的敷设和防火要求，还需符合国家现行相关标准的规定。</w:t>
      </w:r>
    </w:p>
    <w:p w14:paraId="21D71970">
      <w:pPr>
        <w:rPr>
          <w:color w:val="auto"/>
          <w:highlight w:val="none"/>
          <w:lang w:eastAsia="zh-CN"/>
        </w:rPr>
      </w:pPr>
    </w:p>
    <w:p w14:paraId="2EAA730E">
      <w:pPr>
        <w:rPr>
          <w:color w:val="auto"/>
          <w:highlight w:val="none"/>
          <w:lang w:eastAsia="zh-CN"/>
        </w:rPr>
      </w:pPr>
      <w:r>
        <w:rPr>
          <w:rFonts w:hint="eastAsia"/>
          <w:b/>
          <w:bCs/>
          <w:color w:val="auto"/>
          <w:highlight w:val="none"/>
          <w:lang w:eastAsia="zh-CN"/>
        </w:rPr>
        <w:t>10</w:t>
      </w:r>
      <w:r>
        <w:rPr>
          <w:b/>
          <w:bCs/>
          <w:color w:val="auto"/>
          <w:highlight w:val="none"/>
          <w:lang w:eastAsia="zh-CN"/>
        </w:rPr>
        <w:t>.3.</w:t>
      </w:r>
      <w:r>
        <w:rPr>
          <w:rFonts w:hint="eastAsia"/>
          <w:b/>
          <w:bCs/>
          <w:color w:val="auto"/>
          <w:highlight w:val="none"/>
          <w:lang w:eastAsia="zh-CN"/>
        </w:rPr>
        <w:t xml:space="preserve">9  </w:t>
      </w:r>
      <w:r>
        <w:rPr>
          <w:rFonts w:hint="eastAsia"/>
          <w:color w:val="auto"/>
          <w:highlight w:val="none"/>
          <w:lang w:eastAsia="zh-CN"/>
        </w:rPr>
        <w:t>木结构建筑不应在窗口、阳台、外廊等位置设置防盗网。确需设置的，应在防盗网上开设逃生救援窗口，有条件的设置绳梯、救生绳。</w:t>
      </w:r>
    </w:p>
    <w:p w14:paraId="6D0C6460">
      <w:pPr>
        <w:pStyle w:val="50"/>
        <w:bidi w:val="0"/>
        <w:rPr>
          <w:rFonts w:hint="eastAsia"/>
          <w:color w:val="auto"/>
          <w:highlight w:val="none"/>
          <w:lang w:eastAsia="zh-CN"/>
        </w:rPr>
      </w:pPr>
      <w:r>
        <w:rPr>
          <w:rFonts w:hint="eastAsia"/>
          <w:color w:val="auto"/>
          <w:highlight w:val="none"/>
          <w:lang w:eastAsia="zh-CN"/>
        </w:rPr>
        <w:t>【条文说明】10.3.9  鉴于木结构建筑的火灾危险性，本条规定了木结构建筑的特殊部位，如：窗口、阳台、外廊等位置的逃生要求。</w:t>
      </w:r>
    </w:p>
    <w:p w14:paraId="017C8E0E">
      <w:pPr>
        <w:rPr>
          <w:color w:val="auto"/>
          <w:highlight w:val="none"/>
          <w:lang w:eastAsia="zh-CN"/>
        </w:rPr>
      </w:pPr>
    </w:p>
    <w:p w14:paraId="0F739A9C">
      <w:pPr>
        <w:rPr>
          <w:rFonts w:hint="eastAsia"/>
          <w:color w:val="auto"/>
          <w:highlight w:val="none"/>
          <w:lang w:eastAsia="zh-CN"/>
        </w:rPr>
      </w:pPr>
      <w:r>
        <w:rPr>
          <w:rFonts w:hint="eastAsia"/>
          <w:b/>
          <w:bCs/>
          <w:color w:val="auto"/>
          <w:highlight w:val="none"/>
          <w:lang w:eastAsia="zh-CN"/>
        </w:rPr>
        <w:t>10</w:t>
      </w:r>
      <w:r>
        <w:rPr>
          <w:b/>
          <w:bCs/>
          <w:color w:val="auto"/>
          <w:highlight w:val="none"/>
          <w:lang w:eastAsia="zh-CN"/>
        </w:rPr>
        <w:t>.3.</w:t>
      </w:r>
      <w:r>
        <w:rPr>
          <w:rFonts w:hint="eastAsia"/>
          <w:b/>
          <w:bCs/>
          <w:color w:val="auto"/>
          <w:highlight w:val="none"/>
          <w:lang w:eastAsia="zh-CN"/>
        </w:rPr>
        <w:t xml:space="preserve">10  </w:t>
      </w:r>
      <w:r>
        <w:rPr>
          <w:rFonts w:hint="eastAsia"/>
          <w:color w:val="auto"/>
          <w:highlight w:val="none"/>
          <w:lang w:eastAsia="zh-CN"/>
        </w:rPr>
        <w:t>木结构建筑民宿、农家乐的厨房、家庭作坊的酿酒、炒茶部位宜独立设置；不能独立设置的，应设在建筑首层靠外墙部位的独立房间，并采取耐火极限不低于 2.00h 的防火隔墙和 1.00h 的不燃性楼板等分隔措施与居住部位进行防火分隔，防火隔墙上的门应设为乙级防火门。</w:t>
      </w:r>
    </w:p>
    <w:p w14:paraId="212D7424">
      <w:pPr>
        <w:rPr>
          <w:rFonts w:hint="eastAsia"/>
          <w:color w:val="auto"/>
          <w:highlight w:val="none"/>
          <w:lang w:eastAsia="zh-CN"/>
        </w:rPr>
      </w:pPr>
    </w:p>
    <w:p w14:paraId="60FEFD28">
      <w:pPr>
        <w:pStyle w:val="50"/>
        <w:bidi w:val="0"/>
        <w:rPr>
          <w:color w:val="auto"/>
          <w:highlight w:val="none"/>
          <w:lang w:eastAsia="zh-CN"/>
        </w:rPr>
      </w:pPr>
      <w:r>
        <w:rPr>
          <w:rFonts w:hint="eastAsia"/>
          <w:color w:val="auto"/>
          <w:highlight w:val="none"/>
          <w:lang w:eastAsia="zh-CN"/>
        </w:rPr>
        <w:t>【条文说明】10.3.10  由于近年来木结构建筑民宿、农家乐的兴起，本条针对其厨房、家庭作坊的酿酒、炒茶部位等容易着火部位规定了防火设计要求。</w:t>
      </w:r>
    </w:p>
    <w:p w14:paraId="3142C0FF">
      <w:pPr>
        <w:pStyle w:val="3"/>
        <w:spacing w:before="156" w:after="156"/>
        <w:rPr>
          <w:color w:val="auto"/>
          <w:highlight w:val="none"/>
          <w:lang w:eastAsia="zh-CN"/>
        </w:rPr>
      </w:pPr>
      <w:bookmarkStart w:id="230" w:name="_Toc6152"/>
      <w:bookmarkStart w:id="231" w:name="_Toc28607"/>
      <w:bookmarkStart w:id="232" w:name="_Toc11415"/>
      <w:bookmarkStart w:id="233" w:name="_Toc9606"/>
      <w:bookmarkStart w:id="234" w:name="_Toc58592749"/>
      <w:bookmarkStart w:id="235" w:name="_Toc18007"/>
      <w:r>
        <w:rPr>
          <w:rFonts w:hint="eastAsia"/>
          <w:color w:val="auto"/>
          <w:highlight w:val="none"/>
          <w:lang w:eastAsia="zh-CN"/>
        </w:rPr>
        <w:t>10</w:t>
      </w:r>
      <w:r>
        <w:rPr>
          <w:color w:val="auto"/>
          <w:highlight w:val="none"/>
          <w:lang w:eastAsia="zh-CN"/>
        </w:rPr>
        <w:t>.4</w:t>
      </w:r>
      <w:r>
        <w:rPr>
          <w:rFonts w:hint="eastAsia"/>
          <w:color w:val="auto"/>
          <w:highlight w:val="none"/>
          <w:lang w:eastAsia="zh-CN"/>
        </w:rPr>
        <w:t xml:space="preserve">  施工现场防火措施</w:t>
      </w:r>
      <w:bookmarkEnd w:id="230"/>
      <w:bookmarkEnd w:id="231"/>
      <w:bookmarkEnd w:id="232"/>
      <w:bookmarkEnd w:id="233"/>
      <w:bookmarkEnd w:id="234"/>
      <w:bookmarkEnd w:id="235"/>
    </w:p>
    <w:p w14:paraId="68F2CBD4">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.4.1</w:t>
      </w:r>
      <w:r>
        <w:rPr>
          <w:rFonts w:hint="eastAsia"/>
          <w:b/>
          <w:bCs/>
          <w:color w:val="auto"/>
          <w:highlight w:val="none"/>
          <w:lang w:eastAsia="zh-CN"/>
        </w:rPr>
        <w:t xml:space="preserve">  </w:t>
      </w:r>
      <w:r>
        <w:rPr>
          <w:rFonts w:hint="eastAsia"/>
          <w:color w:val="auto"/>
          <w:highlight w:val="none"/>
          <w:lang w:eastAsia="zh-CN"/>
        </w:rPr>
        <w:t>防火工程应按设计文件规定的木构件燃烧性能、耐火极限指标和防火构造要求施工，且应符合现行国家标准</w:t>
      </w:r>
      <w:r>
        <w:rPr>
          <w:rFonts w:hint="eastAsia"/>
          <w:color w:val="auto"/>
          <w:highlight w:val="none"/>
          <w:lang w:eastAsia="zh-CN"/>
        </w:rPr>
        <w:t xml:space="preserve">《建筑防火通用规范》GB </w:t>
      </w:r>
      <w:r>
        <w:rPr>
          <w:color w:val="auto"/>
          <w:highlight w:val="none"/>
          <w:lang w:eastAsia="zh-CN"/>
        </w:rPr>
        <w:t>5</w:t>
      </w:r>
      <w:r>
        <w:rPr>
          <w:rFonts w:hint="eastAsia"/>
          <w:color w:val="auto"/>
          <w:highlight w:val="none"/>
          <w:lang w:eastAsia="zh-CN"/>
        </w:rPr>
        <w:t>5</w:t>
      </w:r>
      <w:r>
        <w:rPr>
          <w:color w:val="auto"/>
          <w:highlight w:val="none"/>
          <w:lang w:eastAsia="zh-CN"/>
        </w:rPr>
        <w:t>0</w:t>
      </w:r>
      <w:r>
        <w:rPr>
          <w:rFonts w:hint="eastAsia"/>
          <w:color w:val="auto"/>
          <w:highlight w:val="none"/>
          <w:lang w:eastAsia="zh-CN"/>
        </w:rPr>
        <w:t>37</w:t>
      </w:r>
      <w:r>
        <w:rPr>
          <w:rFonts w:hint="eastAsia"/>
          <w:color w:val="auto"/>
          <w:highlight w:val="none"/>
          <w:lang w:eastAsia="zh-CN"/>
        </w:rPr>
        <w:t xml:space="preserve">、《建筑设计防火规范》GB </w:t>
      </w:r>
      <w:r>
        <w:rPr>
          <w:color w:val="auto"/>
          <w:highlight w:val="none"/>
          <w:lang w:eastAsia="zh-CN"/>
        </w:rPr>
        <w:t>50016</w:t>
      </w:r>
      <w:r>
        <w:rPr>
          <w:rFonts w:hint="eastAsia"/>
          <w:color w:val="auto"/>
          <w:highlight w:val="none"/>
          <w:lang w:eastAsia="zh-CN"/>
        </w:rPr>
        <w:t xml:space="preserve"> 和《木结构设计标准》GB </w:t>
      </w:r>
      <w:r>
        <w:rPr>
          <w:color w:val="auto"/>
          <w:highlight w:val="none"/>
          <w:lang w:eastAsia="zh-CN"/>
        </w:rPr>
        <w:t>50005</w:t>
      </w:r>
      <w:r>
        <w:rPr>
          <w:rFonts w:hint="eastAsia"/>
          <w:color w:val="auto"/>
          <w:highlight w:val="none"/>
          <w:lang w:eastAsia="zh-CN"/>
        </w:rPr>
        <w:t xml:space="preserve"> 的有关规定。防火处理所用的防火材料或阻燃剂不应危及人畜安金，并不应污染环境。</w:t>
      </w:r>
    </w:p>
    <w:p w14:paraId="385CA971">
      <w:pPr>
        <w:pStyle w:val="50"/>
        <w:bidi w:val="0"/>
        <w:rPr>
          <w:rFonts w:hint="eastAsia"/>
          <w:color w:val="auto"/>
          <w:highlight w:val="none"/>
          <w:lang w:eastAsia="zh-CN"/>
        </w:rPr>
      </w:pPr>
      <w:bookmarkStart w:id="236" w:name="_Hlk178448157"/>
      <w:r>
        <w:rPr>
          <w:rFonts w:hint="eastAsia"/>
          <w:color w:val="auto"/>
          <w:highlight w:val="none"/>
          <w:lang w:eastAsia="zh-CN"/>
        </w:rPr>
        <w:t>【条文说明】10.4.1  本条强调了木构件的防火要求、环保要求应符合国家标准的有关规定。</w:t>
      </w:r>
    </w:p>
    <w:p w14:paraId="7E807754">
      <w:pPr>
        <w:rPr>
          <w:color w:val="auto"/>
          <w:highlight w:val="none"/>
          <w:lang w:eastAsia="zh-CN"/>
        </w:rPr>
      </w:pPr>
    </w:p>
    <w:bookmarkEnd w:id="236"/>
    <w:p w14:paraId="21BD6F6C">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.4.2</w:t>
      </w:r>
      <w:r>
        <w:rPr>
          <w:rFonts w:hint="eastAsia"/>
          <w:b/>
          <w:bCs/>
          <w:color w:val="auto"/>
          <w:highlight w:val="none"/>
          <w:lang w:eastAsia="zh-CN"/>
        </w:rPr>
        <w:t xml:space="preserve">  </w:t>
      </w:r>
      <w:r>
        <w:rPr>
          <w:rFonts w:hint="eastAsia"/>
          <w:color w:val="auto"/>
          <w:highlight w:val="none"/>
          <w:lang w:eastAsia="zh-CN"/>
        </w:rPr>
        <w:t>阻燃剂应按说明书验收，包装、运输应符合药剂说明书规定，应储存在封闭的仓库内。并应与其他材料隔离。</w:t>
      </w:r>
    </w:p>
    <w:p w14:paraId="7B6859BF">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.4.3</w:t>
      </w:r>
      <w:r>
        <w:rPr>
          <w:rFonts w:hint="eastAsia"/>
          <w:b/>
          <w:bCs/>
          <w:color w:val="auto"/>
          <w:highlight w:val="none"/>
          <w:lang w:eastAsia="zh-CN"/>
        </w:rPr>
        <w:t xml:space="preserve">  </w:t>
      </w:r>
      <w:r>
        <w:rPr>
          <w:rFonts w:hint="eastAsia"/>
          <w:color w:val="auto"/>
          <w:highlight w:val="none"/>
          <w:lang w:eastAsia="zh-CN"/>
        </w:rPr>
        <w:t>涂层施工，可在工程安装完成后进行。防火涂层应符合设计文件的规定。木材含水率应大于</w:t>
      </w:r>
      <w:r>
        <w:rPr>
          <w:color w:val="auto"/>
          <w:highlight w:val="none"/>
          <w:lang w:eastAsia="zh-CN"/>
        </w:rPr>
        <w:t>15%</w:t>
      </w:r>
      <w:r>
        <w:rPr>
          <w:rFonts w:hint="eastAsia"/>
          <w:color w:val="auto"/>
          <w:highlight w:val="none"/>
          <w:lang w:eastAsia="zh-CN"/>
        </w:rPr>
        <w:t xml:space="preserve"> ，构件表面应清洁。应无油性物质污染，木构件表面喷除层应均匀，不应有遗漏。其干厚度应符合设计文件的规定。</w:t>
      </w:r>
    </w:p>
    <w:p w14:paraId="7D650C41">
      <w:pPr>
        <w:pStyle w:val="50"/>
        <w:bidi w:val="0"/>
        <w:rPr>
          <w:rFonts w:hint="eastAsia"/>
          <w:color w:val="auto"/>
          <w:highlight w:val="none"/>
          <w:lang w:eastAsia="zh-CN"/>
        </w:rPr>
      </w:pPr>
      <w:r>
        <w:rPr>
          <w:rFonts w:hint="eastAsia"/>
          <w:color w:val="auto"/>
          <w:highlight w:val="none"/>
          <w:lang w:eastAsia="zh-CN"/>
        </w:rPr>
        <w:t>【条文说明】10.4.3  本条规定了防火涂层的使用要求。</w:t>
      </w:r>
    </w:p>
    <w:p w14:paraId="7C78EA34">
      <w:pPr>
        <w:rPr>
          <w:color w:val="auto"/>
          <w:highlight w:val="none"/>
          <w:lang w:eastAsia="zh-CN"/>
        </w:rPr>
      </w:pPr>
    </w:p>
    <w:p w14:paraId="289409A2">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.4.4</w:t>
      </w:r>
      <w:r>
        <w:rPr>
          <w:rFonts w:hint="eastAsia"/>
          <w:b/>
          <w:bCs/>
          <w:color w:val="auto"/>
          <w:highlight w:val="none"/>
          <w:lang w:eastAsia="zh-CN"/>
        </w:rPr>
        <w:t xml:space="preserve">  </w:t>
      </w:r>
      <w:r>
        <w:rPr>
          <w:rFonts w:hint="eastAsia"/>
          <w:color w:val="auto"/>
          <w:highlight w:val="none"/>
          <w:lang w:eastAsia="zh-CN"/>
        </w:rPr>
        <w:t>施工现场应设置灭火器、临时消防给水系统和应急照明等临时消防设施，并应符合现行国家标准《建设工程施工现场消防安全技术规范》</w:t>
      </w:r>
      <w:r>
        <w:rPr>
          <w:color w:val="auto"/>
          <w:highlight w:val="none"/>
          <w:lang w:eastAsia="zh-CN"/>
        </w:rPr>
        <w:t>GB</w:t>
      </w:r>
      <w:r>
        <w:rPr>
          <w:rFonts w:hint="eastAsia"/>
          <w:color w:val="auto"/>
          <w:highlight w:val="none"/>
          <w:lang w:eastAsia="zh-CN"/>
        </w:rPr>
        <w:t xml:space="preserve"> </w:t>
      </w:r>
      <w:r>
        <w:rPr>
          <w:color w:val="auto"/>
          <w:highlight w:val="none"/>
          <w:lang w:eastAsia="zh-CN"/>
        </w:rPr>
        <w:t>50720</w:t>
      </w:r>
      <w:r>
        <w:rPr>
          <w:rFonts w:hint="eastAsia"/>
          <w:color w:val="auto"/>
          <w:highlight w:val="none"/>
          <w:lang w:eastAsia="zh-CN"/>
        </w:rPr>
        <w:t>的规定。灭火器的设置应符合现行国家标准《建筑灭火器配置设计规范》</w:t>
      </w:r>
      <w:r>
        <w:rPr>
          <w:color w:val="auto"/>
          <w:highlight w:val="none"/>
          <w:lang w:eastAsia="zh-CN"/>
        </w:rPr>
        <w:t>GB</w:t>
      </w:r>
      <w:r>
        <w:rPr>
          <w:rFonts w:hint="eastAsia"/>
          <w:color w:val="auto"/>
          <w:highlight w:val="none"/>
          <w:lang w:eastAsia="zh-CN"/>
        </w:rPr>
        <w:t xml:space="preserve"> </w:t>
      </w:r>
      <w:r>
        <w:rPr>
          <w:color w:val="auto"/>
          <w:highlight w:val="none"/>
          <w:lang w:eastAsia="zh-CN"/>
        </w:rPr>
        <w:t>50140</w:t>
      </w:r>
      <w:r>
        <w:rPr>
          <w:rFonts w:hint="eastAsia"/>
          <w:color w:val="auto"/>
          <w:highlight w:val="none"/>
          <w:lang w:eastAsia="zh-CN"/>
        </w:rPr>
        <w:t>的规定。</w:t>
      </w:r>
    </w:p>
    <w:p w14:paraId="55B4A675">
      <w:pPr>
        <w:pStyle w:val="50"/>
        <w:bidi w:val="0"/>
        <w:rPr>
          <w:rFonts w:hint="eastAsia"/>
          <w:color w:val="auto"/>
          <w:highlight w:val="none"/>
          <w:lang w:eastAsia="zh-CN"/>
        </w:rPr>
      </w:pPr>
      <w:r>
        <w:rPr>
          <w:rFonts w:hint="eastAsia"/>
          <w:color w:val="auto"/>
          <w:highlight w:val="none"/>
          <w:lang w:eastAsia="zh-CN"/>
        </w:rPr>
        <w:t>【条文说明】10.4.4  灭火器、临时消防给水系统和应急照明是施工现场常用、有效的临时消防器材和设施。</w:t>
      </w:r>
    </w:p>
    <w:p w14:paraId="10050519">
      <w:pPr>
        <w:rPr>
          <w:color w:val="auto"/>
          <w:highlight w:val="none"/>
          <w:lang w:eastAsia="zh-CN"/>
        </w:rPr>
      </w:pPr>
    </w:p>
    <w:p w14:paraId="0E62C2C7">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.4.5</w:t>
      </w:r>
      <w:r>
        <w:rPr>
          <w:rFonts w:hint="eastAsia"/>
          <w:b/>
          <w:bCs/>
          <w:color w:val="auto"/>
          <w:highlight w:val="none"/>
          <w:lang w:eastAsia="zh-CN"/>
        </w:rPr>
        <w:t xml:space="preserve">  </w:t>
      </w:r>
      <w:r>
        <w:rPr>
          <w:rFonts w:hint="eastAsia"/>
          <w:color w:val="auto"/>
          <w:highlight w:val="none"/>
          <w:lang w:eastAsia="zh-CN"/>
        </w:rPr>
        <w:t>临时消防设施应与在建工程的施工同步设置，并应与在建工程主体结构施工进度相同。</w:t>
      </w:r>
    </w:p>
    <w:p w14:paraId="3ED3BB12">
      <w:pPr>
        <w:pStyle w:val="50"/>
        <w:bidi w:val="0"/>
        <w:rPr>
          <w:rFonts w:hint="eastAsia"/>
          <w:color w:val="auto"/>
          <w:highlight w:val="none"/>
          <w:lang w:eastAsia="zh-CN"/>
        </w:rPr>
      </w:pPr>
      <w:r>
        <w:rPr>
          <w:rFonts w:hint="eastAsia"/>
          <w:color w:val="auto"/>
          <w:highlight w:val="none"/>
          <w:lang w:eastAsia="zh-CN"/>
        </w:rPr>
        <w:t>【条文说明】10.4.5  施工现场的临时消防设施指设置在建设工程施工现场，用于扑救施工现场初起火灾的器材、设施和设备。常见的有手提式或推车式灭火器、临时消防给水系统、消火栓、消防应急照明、疏散指示标识、灭火毯等。</w:t>
      </w:r>
    </w:p>
    <w:p w14:paraId="5AF3C907">
      <w:pPr>
        <w:rPr>
          <w:color w:val="auto"/>
          <w:highlight w:val="none"/>
          <w:lang w:eastAsia="zh-CN"/>
        </w:rPr>
      </w:pPr>
    </w:p>
    <w:p w14:paraId="5BBC7F46">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.4.6</w:t>
      </w:r>
      <w:r>
        <w:rPr>
          <w:rFonts w:hint="eastAsia"/>
          <w:b/>
          <w:bCs/>
          <w:color w:val="auto"/>
          <w:highlight w:val="none"/>
          <w:lang w:eastAsia="zh-CN"/>
        </w:rPr>
        <w:t xml:space="preserve">  </w:t>
      </w:r>
      <w:r>
        <w:rPr>
          <w:rFonts w:hint="eastAsia"/>
          <w:color w:val="auto"/>
          <w:highlight w:val="none"/>
          <w:lang w:eastAsia="zh-CN"/>
        </w:rPr>
        <w:t>施工现场或其附近应设置消防水源和加压设施，并应满足施工现场临时消防用水的水压和水量要求。</w:t>
      </w:r>
    </w:p>
    <w:p w14:paraId="5C948B59">
      <w:pPr>
        <w:pStyle w:val="50"/>
        <w:bidi w:val="0"/>
        <w:rPr>
          <w:rFonts w:hint="eastAsia"/>
          <w:color w:val="auto"/>
          <w:highlight w:val="none"/>
          <w:lang w:eastAsia="zh-CN"/>
        </w:rPr>
      </w:pPr>
      <w:r>
        <w:rPr>
          <w:rFonts w:hint="eastAsia"/>
          <w:color w:val="auto"/>
          <w:highlight w:val="none"/>
          <w:lang w:eastAsia="zh-CN"/>
        </w:rPr>
        <w:t>【条文说明】10.4.6  消防水源是临时消防给水系统的主要组成之一，确保消防给水系统发挥作用的基本保证。</w:t>
      </w:r>
    </w:p>
    <w:p w14:paraId="3DA85A52">
      <w:pPr>
        <w:rPr>
          <w:color w:val="auto"/>
          <w:highlight w:val="none"/>
          <w:lang w:eastAsia="zh-CN"/>
        </w:rPr>
      </w:pPr>
    </w:p>
    <w:p w14:paraId="6824CF13">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.4.7</w:t>
      </w:r>
      <w:r>
        <w:rPr>
          <w:rFonts w:hint="eastAsia"/>
          <w:b/>
          <w:bCs/>
          <w:color w:val="auto"/>
          <w:highlight w:val="none"/>
          <w:lang w:eastAsia="zh-CN"/>
        </w:rPr>
        <w:t xml:space="preserve">  </w:t>
      </w:r>
      <w:r>
        <w:rPr>
          <w:rFonts w:hint="eastAsia"/>
          <w:color w:val="auto"/>
          <w:highlight w:val="none"/>
          <w:lang w:eastAsia="zh-CN"/>
        </w:rPr>
        <w:t>建筑高度大于</w:t>
      </w:r>
      <w:r>
        <w:rPr>
          <w:color w:val="auto"/>
          <w:highlight w:val="none"/>
          <w:lang w:eastAsia="zh-CN"/>
        </w:rPr>
        <w:t>15m</w:t>
      </w:r>
      <w:r>
        <w:rPr>
          <w:rFonts w:hint="eastAsia"/>
          <w:color w:val="auto"/>
          <w:highlight w:val="none"/>
          <w:lang w:eastAsia="zh-CN"/>
        </w:rPr>
        <w:t>的木结构工程，应设置临时室内消防给水系统。</w:t>
      </w:r>
    </w:p>
    <w:p w14:paraId="672900F0">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.4.8</w:t>
      </w:r>
      <w:r>
        <w:rPr>
          <w:rFonts w:hint="eastAsia"/>
          <w:b/>
          <w:bCs/>
          <w:color w:val="auto"/>
          <w:highlight w:val="none"/>
          <w:lang w:eastAsia="zh-CN"/>
        </w:rPr>
        <w:t xml:space="preserve">  </w:t>
      </w:r>
      <w:r>
        <w:rPr>
          <w:rFonts w:hint="eastAsia"/>
          <w:color w:val="auto"/>
          <w:highlight w:val="none"/>
          <w:lang w:eastAsia="zh-CN"/>
        </w:rPr>
        <w:t>木构件应放置在通风良好的堆场或仓库内，并应符合下列规定：</w:t>
      </w:r>
    </w:p>
    <w:p w14:paraId="2B15ECC0">
      <w:pPr>
        <w:pStyle w:val="4"/>
        <w:ind w:firstLine="480" w:firstLineChars="200"/>
        <w:rPr>
          <w:color w:val="auto"/>
          <w:highlight w:val="none"/>
          <w:lang w:eastAsia="zh-CN"/>
        </w:rPr>
      </w:pPr>
      <w:r>
        <w:rPr>
          <w:color w:val="auto"/>
          <w:highlight w:val="none"/>
          <w:lang w:eastAsia="zh-CN"/>
        </w:rPr>
        <w:t>1</w:t>
      </w:r>
      <w:r>
        <w:rPr>
          <w:rFonts w:hint="eastAsia"/>
          <w:color w:val="auto"/>
          <w:highlight w:val="none"/>
          <w:lang w:eastAsia="zh-CN"/>
        </w:rPr>
        <w:t xml:space="preserve">  堆放场地应平整、坚实，并应配备临时灭火器材和临时消防应急照明等消防设施，灭火器的数量不应少于</w:t>
      </w:r>
      <w:r>
        <w:rPr>
          <w:color w:val="auto"/>
          <w:highlight w:val="none"/>
          <w:lang w:eastAsia="zh-CN"/>
        </w:rPr>
        <w:t>2</w:t>
      </w:r>
      <w:r>
        <w:rPr>
          <w:rFonts w:hint="eastAsia"/>
          <w:color w:val="auto"/>
          <w:highlight w:val="none"/>
          <w:lang w:eastAsia="zh-CN"/>
        </w:rPr>
        <w:t>具；</w:t>
      </w:r>
    </w:p>
    <w:p w14:paraId="03285B5E">
      <w:pPr>
        <w:pStyle w:val="4"/>
        <w:ind w:firstLine="480" w:firstLineChars="200"/>
        <w:rPr>
          <w:color w:val="auto"/>
          <w:highlight w:val="none"/>
          <w:lang w:eastAsia="zh-CN"/>
        </w:rPr>
      </w:pPr>
      <w:r>
        <w:rPr>
          <w:color w:val="auto"/>
          <w:highlight w:val="none"/>
          <w:lang w:eastAsia="zh-CN"/>
        </w:rPr>
        <w:t>2</w:t>
      </w:r>
      <w:r>
        <w:rPr>
          <w:rFonts w:hint="eastAsia"/>
          <w:color w:val="auto"/>
          <w:highlight w:val="none"/>
          <w:lang w:eastAsia="zh-CN"/>
        </w:rPr>
        <w:t xml:space="preserve">  堆场或仓库内不应明火作业；</w:t>
      </w:r>
    </w:p>
    <w:p w14:paraId="3E45E1EA">
      <w:pPr>
        <w:pStyle w:val="4"/>
        <w:ind w:firstLine="480" w:firstLineChars="200"/>
        <w:rPr>
          <w:color w:val="auto"/>
          <w:highlight w:val="none"/>
          <w:lang w:eastAsia="zh-CN"/>
        </w:rPr>
      </w:pPr>
      <w:r>
        <w:rPr>
          <w:color w:val="auto"/>
          <w:highlight w:val="none"/>
          <w:lang w:eastAsia="zh-CN"/>
        </w:rPr>
        <w:t>3</w:t>
      </w:r>
      <w:r>
        <w:rPr>
          <w:rFonts w:hint="eastAsia"/>
          <w:color w:val="auto"/>
          <w:highlight w:val="none"/>
          <w:lang w:eastAsia="zh-CN"/>
        </w:rPr>
        <w:t xml:space="preserve">  堆场或仓库内不应使用高热灯具，使用普通灯具与木构件距离不宜小于</w:t>
      </w:r>
      <w:r>
        <w:rPr>
          <w:color w:val="auto"/>
          <w:highlight w:val="none"/>
          <w:lang w:eastAsia="zh-CN"/>
        </w:rPr>
        <w:t>300m</w:t>
      </w:r>
      <w:r>
        <w:rPr>
          <w:rFonts w:hint="eastAsia"/>
          <w:color w:val="auto"/>
          <w:highlight w:val="none"/>
          <w:lang w:eastAsia="zh-CN"/>
        </w:rPr>
        <w:t>m ；</w:t>
      </w:r>
    </w:p>
    <w:p w14:paraId="19F8B3C4">
      <w:pPr>
        <w:pStyle w:val="4"/>
        <w:ind w:firstLine="480" w:firstLineChars="200"/>
        <w:rPr>
          <w:color w:val="auto"/>
          <w:highlight w:val="none"/>
          <w:lang w:eastAsia="zh-CN"/>
        </w:rPr>
      </w:pPr>
      <w:r>
        <w:rPr>
          <w:color w:val="auto"/>
          <w:highlight w:val="none"/>
          <w:lang w:eastAsia="zh-CN"/>
        </w:rPr>
        <w:t>4</w:t>
      </w:r>
      <w:r>
        <w:rPr>
          <w:rFonts w:hint="eastAsia"/>
          <w:color w:val="auto"/>
          <w:highlight w:val="none"/>
          <w:lang w:eastAsia="zh-CN"/>
        </w:rPr>
        <w:t xml:space="preserve">  堆场或仓库内应设置疏散通道，疏散通道的净宽度不应小于</w:t>
      </w:r>
      <w:r>
        <w:rPr>
          <w:color w:val="auto"/>
          <w:highlight w:val="none"/>
          <w:lang w:eastAsia="zh-CN"/>
        </w:rPr>
        <w:t>1.</w:t>
      </w:r>
      <w:r>
        <w:rPr>
          <w:rFonts w:hint="eastAsia"/>
          <w:color w:val="auto"/>
          <w:highlight w:val="none"/>
          <w:lang w:eastAsia="zh-CN"/>
        </w:rPr>
        <w:t>0</w:t>
      </w:r>
      <w:r>
        <w:rPr>
          <w:color w:val="auto"/>
          <w:highlight w:val="none"/>
          <w:lang w:eastAsia="zh-CN"/>
        </w:rPr>
        <w:t>m</w:t>
      </w:r>
      <w:r>
        <w:rPr>
          <w:rFonts w:hint="eastAsia"/>
          <w:color w:val="auto"/>
          <w:highlight w:val="none"/>
          <w:lang w:eastAsia="zh-CN"/>
        </w:rPr>
        <w:t>；双面堆放时，疏散走道的净宽度不应小于</w:t>
      </w:r>
      <w:r>
        <w:rPr>
          <w:color w:val="auto"/>
          <w:highlight w:val="none"/>
          <w:lang w:eastAsia="zh-CN"/>
        </w:rPr>
        <w:t>1.5m</w:t>
      </w:r>
      <w:r>
        <w:rPr>
          <w:rFonts w:hint="eastAsia"/>
          <w:color w:val="auto"/>
          <w:highlight w:val="none"/>
          <w:lang w:eastAsia="zh-CN"/>
        </w:rPr>
        <w:t xml:space="preserve"> 。</w:t>
      </w:r>
    </w:p>
    <w:p w14:paraId="4710C82A">
      <w:pPr>
        <w:pStyle w:val="50"/>
        <w:bidi w:val="0"/>
        <w:rPr>
          <w:rFonts w:hint="eastAsia"/>
          <w:color w:val="auto"/>
          <w:highlight w:val="none"/>
          <w:lang w:eastAsia="zh-CN"/>
        </w:rPr>
      </w:pPr>
      <w:r>
        <w:rPr>
          <w:rFonts w:hint="eastAsia"/>
          <w:color w:val="auto"/>
          <w:highlight w:val="none"/>
          <w:lang w:eastAsia="zh-CN"/>
        </w:rPr>
        <w:t>【条文说明】10.4.8  木材受到高热灯具近距离照射时，有发生火灾的风险，应予以重视。</w:t>
      </w:r>
    </w:p>
    <w:p w14:paraId="29184F84">
      <w:pPr>
        <w:rPr>
          <w:color w:val="auto"/>
          <w:highlight w:val="none"/>
          <w:lang w:eastAsia="zh-CN"/>
        </w:rPr>
      </w:pPr>
    </w:p>
    <w:p w14:paraId="69DBD796">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.4.9</w:t>
      </w:r>
      <w:r>
        <w:rPr>
          <w:rFonts w:hint="eastAsia"/>
          <w:b/>
          <w:bCs/>
          <w:color w:val="auto"/>
          <w:highlight w:val="none"/>
          <w:lang w:eastAsia="zh-CN"/>
        </w:rPr>
        <w:t xml:space="preserve">  </w:t>
      </w:r>
      <w:r>
        <w:rPr>
          <w:rFonts w:hint="eastAsia"/>
          <w:color w:val="auto"/>
          <w:highlight w:val="none"/>
          <w:lang w:eastAsia="zh-CN"/>
        </w:rPr>
        <w:t>施工阶段木结构工程的每个楼层均应至少设置一个安全出口。临时疏散通道的设置应符合现行国家标准《建设工程施工现场消防安全技术规范》</w:t>
      </w:r>
      <w:r>
        <w:rPr>
          <w:color w:val="auto"/>
          <w:highlight w:val="none"/>
          <w:lang w:eastAsia="zh-CN"/>
        </w:rPr>
        <w:t>GB</w:t>
      </w:r>
      <w:r>
        <w:rPr>
          <w:rFonts w:hint="eastAsia"/>
          <w:color w:val="auto"/>
          <w:highlight w:val="none"/>
          <w:lang w:eastAsia="zh-CN"/>
        </w:rPr>
        <w:t xml:space="preserve"> </w:t>
      </w:r>
      <w:r>
        <w:rPr>
          <w:color w:val="auto"/>
          <w:highlight w:val="none"/>
          <w:lang w:eastAsia="zh-CN"/>
        </w:rPr>
        <w:t>50720</w:t>
      </w:r>
      <w:r>
        <w:rPr>
          <w:rFonts w:hint="eastAsia"/>
          <w:color w:val="auto"/>
          <w:highlight w:val="none"/>
          <w:lang w:eastAsia="zh-CN"/>
        </w:rPr>
        <w:t xml:space="preserve"> 的规定。</w:t>
      </w:r>
    </w:p>
    <w:p w14:paraId="0AFCF333">
      <w:pPr>
        <w:pStyle w:val="50"/>
        <w:bidi w:val="0"/>
        <w:rPr>
          <w:rFonts w:hint="eastAsia"/>
          <w:color w:val="auto"/>
          <w:highlight w:val="none"/>
          <w:lang w:eastAsia="zh-CN"/>
        </w:rPr>
      </w:pPr>
      <w:r>
        <w:rPr>
          <w:rFonts w:hint="eastAsia"/>
          <w:color w:val="auto"/>
          <w:highlight w:val="none"/>
          <w:lang w:eastAsia="zh-CN"/>
        </w:rPr>
        <w:t>【条文说明】10.4.9  由于施工现场环境复杂、不安全因素多、疏散条件差，凡是能用于或满足人员安全撤离危险区域，并到达安全地点或安全地带的路径、设施，均可视为临时疏散通道。</w:t>
      </w:r>
    </w:p>
    <w:p w14:paraId="15AB3426">
      <w:pPr>
        <w:rPr>
          <w:color w:val="auto"/>
          <w:highlight w:val="none"/>
          <w:lang w:eastAsia="zh-CN"/>
        </w:rPr>
      </w:pPr>
    </w:p>
    <w:p w14:paraId="250AA17A">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.4.10</w:t>
      </w:r>
      <w:r>
        <w:rPr>
          <w:rFonts w:hint="eastAsia"/>
          <w:b/>
          <w:bCs/>
          <w:color w:val="auto"/>
          <w:highlight w:val="none"/>
          <w:lang w:eastAsia="zh-CN"/>
        </w:rPr>
        <w:t xml:space="preserve">  </w:t>
      </w:r>
      <w:r>
        <w:rPr>
          <w:rFonts w:hint="eastAsia"/>
          <w:color w:val="auto"/>
          <w:highlight w:val="none"/>
          <w:lang w:eastAsia="zh-CN"/>
        </w:rPr>
        <w:t xml:space="preserve">施工现场动火作业应实行动火许可证制度，动火现场应配置专人监护。动火作业后 </w:t>
      </w:r>
      <w:r>
        <w:rPr>
          <w:color w:val="auto"/>
          <w:highlight w:val="none"/>
          <w:lang w:eastAsia="zh-CN"/>
        </w:rPr>
        <w:t>l</w:t>
      </w:r>
      <w:r>
        <w:rPr>
          <w:rFonts w:hint="eastAsia"/>
          <w:color w:val="auto"/>
          <w:highlight w:val="none"/>
          <w:lang w:eastAsia="zh-CN"/>
        </w:rPr>
        <w:t xml:space="preserve"> </w:t>
      </w:r>
      <w:r>
        <w:rPr>
          <w:color w:val="auto"/>
          <w:highlight w:val="none"/>
          <w:lang w:eastAsia="zh-CN"/>
        </w:rPr>
        <w:t>h</w:t>
      </w:r>
      <w:r>
        <w:rPr>
          <w:rFonts w:hint="eastAsia"/>
          <w:color w:val="auto"/>
          <w:highlight w:val="none"/>
          <w:lang w:eastAsia="zh-CN"/>
        </w:rPr>
        <w:t xml:space="preserve"> 内，应对现场进行监护；动火作业</w:t>
      </w:r>
      <w:r>
        <w:rPr>
          <w:color w:val="auto"/>
          <w:highlight w:val="none"/>
          <w:lang w:eastAsia="zh-CN"/>
        </w:rPr>
        <w:t>4h</w:t>
      </w:r>
      <w:r>
        <w:rPr>
          <w:rFonts w:hint="eastAsia"/>
          <w:color w:val="auto"/>
          <w:highlight w:val="none"/>
          <w:lang w:eastAsia="zh-CN"/>
        </w:rPr>
        <w:t>后，应再检查一次现场，并应在确认无火灾危险后离开。</w:t>
      </w:r>
    </w:p>
    <w:p w14:paraId="2061C80E">
      <w:pPr>
        <w:pStyle w:val="50"/>
        <w:bidi w:val="0"/>
        <w:rPr>
          <w:rFonts w:hint="eastAsia"/>
          <w:color w:val="auto"/>
          <w:highlight w:val="none"/>
          <w:lang w:eastAsia="zh-CN"/>
        </w:rPr>
      </w:pPr>
      <w:r>
        <w:rPr>
          <w:rFonts w:hint="eastAsia"/>
          <w:color w:val="auto"/>
          <w:highlight w:val="none"/>
          <w:lang w:eastAsia="zh-CN"/>
        </w:rPr>
        <w:t>【条文说明】10.4.10  由于木材是可燃材料，须加强动火后的现场安全管理和检查。</w:t>
      </w:r>
    </w:p>
    <w:p w14:paraId="0C56B575">
      <w:pPr>
        <w:rPr>
          <w:color w:val="auto"/>
          <w:highlight w:val="none"/>
          <w:lang w:eastAsia="zh-CN"/>
        </w:rPr>
      </w:pPr>
    </w:p>
    <w:p w14:paraId="775548B0">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.4.11</w:t>
      </w:r>
      <w:r>
        <w:rPr>
          <w:rFonts w:hint="eastAsia"/>
          <w:b/>
          <w:bCs/>
          <w:color w:val="auto"/>
          <w:highlight w:val="none"/>
          <w:lang w:eastAsia="zh-CN"/>
        </w:rPr>
        <w:t xml:space="preserve">  </w:t>
      </w:r>
      <w:r>
        <w:rPr>
          <w:rFonts w:hint="eastAsia"/>
          <w:color w:val="auto"/>
          <w:highlight w:val="none"/>
          <w:lang w:eastAsia="zh-CN"/>
        </w:rPr>
        <w:t>焊接、切割、烘烤或加热等动火作业前，应对作业现场及其附近无法移走的可燃物采用不燃材料进行覆盖或隔离。</w:t>
      </w:r>
    </w:p>
    <w:p w14:paraId="1DD284D8">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.4.12</w:t>
      </w:r>
      <w:r>
        <w:rPr>
          <w:rFonts w:hint="eastAsia"/>
          <w:b/>
          <w:bCs/>
          <w:color w:val="auto"/>
          <w:highlight w:val="none"/>
          <w:lang w:eastAsia="zh-CN"/>
        </w:rPr>
        <w:t xml:space="preserve">  </w:t>
      </w:r>
      <w:r>
        <w:rPr>
          <w:rFonts w:hint="eastAsia"/>
          <w:color w:val="auto"/>
          <w:highlight w:val="none"/>
          <w:lang w:eastAsia="zh-CN"/>
        </w:rPr>
        <w:t>构件加工和施工产生的可燃、易燃建筑垃圾或余料，应及时清运。</w:t>
      </w:r>
    </w:p>
    <w:p w14:paraId="0168B1D3">
      <w:pPr>
        <w:pStyle w:val="50"/>
        <w:bidi w:val="0"/>
        <w:rPr>
          <w:rFonts w:hint="eastAsia"/>
          <w:color w:val="auto"/>
          <w:highlight w:val="none"/>
          <w:lang w:eastAsia="zh-CN"/>
        </w:rPr>
      </w:pPr>
      <w:r>
        <w:rPr>
          <w:rFonts w:hint="eastAsia"/>
          <w:color w:val="auto"/>
          <w:highlight w:val="none"/>
          <w:lang w:eastAsia="zh-CN"/>
        </w:rPr>
        <w:t>【条文说明】10.4.11、10.4.12  消除火源，隔离可燃物是防火工作的基本措施。木结构施工现场存在油漆稀料、可燃装修材料等易燃、可燃材料，因此，要加强动火使用前后的现场安全管理和检查，对进场的易燃可燃物进行覆盖，对产生的易燃可燃垃圾及余料予以及时清理。</w:t>
      </w:r>
    </w:p>
    <w:p w14:paraId="08F91E8C">
      <w:pPr>
        <w:rPr>
          <w:color w:val="auto"/>
          <w:highlight w:val="none"/>
          <w:lang w:eastAsia="zh-CN"/>
        </w:rPr>
      </w:pPr>
    </w:p>
    <w:p w14:paraId="287AA546">
      <w:pPr>
        <w:pStyle w:val="4"/>
        <w:rPr>
          <w:color w:val="auto"/>
          <w:highlight w:val="none"/>
          <w:lang w:eastAsia="zh-CN"/>
        </w:rPr>
      </w:pPr>
      <w:r>
        <w:rPr>
          <w:rFonts w:hint="eastAsia"/>
          <w:b/>
          <w:bCs/>
          <w:color w:val="auto"/>
          <w:highlight w:val="none"/>
          <w:lang w:eastAsia="zh-CN"/>
        </w:rPr>
        <w:t>10</w:t>
      </w:r>
      <w:r>
        <w:rPr>
          <w:b/>
          <w:bCs/>
          <w:color w:val="auto"/>
          <w:highlight w:val="none"/>
          <w:lang w:eastAsia="zh-CN"/>
        </w:rPr>
        <w:t>.4.1</w:t>
      </w:r>
      <w:r>
        <w:rPr>
          <w:rFonts w:hint="eastAsia"/>
          <w:b/>
          <w:bCs/>
          <w:color w:val="auto"/>
          <w:highlight w:val="none"/>
          <w:lang w:eastAsia="zh-CN"/>
        </w:rPr>
        <w:t xml:space="preserve">3  </w:t>
      </w:r>
      <w:r>
        <w:rPr>
          <w:rFonts w:hint="eastAsia"/>
          <w:color w:val="auto"/>
          <w:highlight w:val="none"/>
          <w:lang w:eastAsia="zh-CN"/>
        </w:rPr>
        <w:t>施工现场临时供配电线路选型、敷设，照明器具设置，施工所需易燃和可燃物质使用、存放，用火、用电和用气均应符合消防安全要求。</w:t>
      </w:r>
    </w:p>
    <w:p w14:paraId="04233C10">
      <w:pPr>
        <w:pStyle w:val="50"/>
        <w:bidi w:val="0"/>
        <w:rPr>
          <w:color w:val="auto"/>
          <w:highlight w:val="none"/>
          <w:lang w:eastAsia="zh-CN"/>
        </w:rPr>
      </w:pPr>
      <w:r>
        <w:rPr>
          <w:rFonts w:hint="eastAsia"/>
          <w:color w:val="auto"/>
          <w:highlight w:val="none"/>
          <w:lang w:eastAsia="zh-CN"/>
        </w:rPr>
        <w:t>【条文说明】10.4.13  本条是对建筑施工现场防火的原则要求，明确了各类施工现场用临时电气线路和照明器具的选型、敷设和安装，以及易燃、可燃材料和物质的使用与存放要符合消防安全要求。具体的防火要求应根据国家相关防火管理规定，结合建筑施工现场的实际情况和条件细化。</w:t>
      </w:r>
    </w:p>
    <w:p w14:paraId="56C3D152">
      <w:pPr>
        <w:rPr>
          <w:color w:val="auto"/>
          <w:highlight w:val="none"/>
          <w:lang w:eastAsia="zh-CN"/>
        </w:rPr>
      </w:pPr>
    </w:p>
    <w:p w14:paraId="64E34696">
      <w:pPr>
        <w:rPr>
          <w:color w:val="auto"/>
          <w:highlight w:val="none"/>
          <w:lang w:eastAsia="zh-CN"/>
        </w:rPr>
      </w:pPr>
    </w:p>
    <w:p w14:paraId="41A758F9">
      <w:pPr>
        <w:pStyle w:val="2"/>
        <w:spacing w:before="312"/>
        <w:rPr>
          <w:rFonts w:hint="eastAsia"/>
          <w:color w:val="auto"/>
          <w:highlight w:val="none"/>
          <w:lang w:eastAsia="zh-CN"/>
        </w:rPr>
      </w:pPr>
      <w:bookmarkStart w:id="237" w:name="_Toc31339"/>
      <w:bookmarkStart w:id="238" w:name="_Toc25214"/>
      <w:bookmarkStart w:id="239" w:name="_Toc19214"/>
      <w:r>
        <w:rPr>
          <w:rFonts w:hint="eastAsia"/>
          <w:color w:val="auto"/>
          <w:highlight w:val="none"/>
          <w:lang w:eastAsia="zh-CN"/>
        </w:rPr>
        <w:t>11  防护设计</w:t>
      </w:r>
      <w:bookmarkEnd w:id="180"/>
      <w:bookmarkEnd w:id="237"/>
      <w:bookmarkEnd w:id="238"/>
      <w:bookmarkEnd w:id="239"/>
    </w:p>
    <w:p w14:paraId="75FFBAA4">
      <w:pPr>
        <w:pStyle w:val="3"/>
        <w:spacing w:before="156" w:after="156"/>
        <w:rPr>
          <w:rFonts w:hint="eastAsia"/>
          <w:color w:val="auto"/>
          <w:highlight w:val="none"/>
        </w:rPr>
      </w:pPr>
      <w:bookmarkStart w:id="240" w:name="_Toc7582"/>
      <w:bookmarkStart w:id="241" w:name="_Toc15672"/>
      <w:bookmarkStart w:id="242" w:name="_Toc9641"/>
      <w:bookmarkStart w:id="243" w:name="_Toc58592751"/>
      <w:bookmarkStart w:id="244" w:name="_Toc21806"/>
      <w:bookmarkStart w:id="245" w:name="_Toc29170"/>
      <w:r>
        <w:rPr>
          <w:rFonts w:hint="eastAsia"/>
          <w:color w:val="auto"/>
          <w:highlight w:val="none"/>
          <w:lang w:eastAsia="zh-CN"/>
        </w:rPr>
        <w:t>11.</w:t>
      </w:r>
      <w:r>
        <w:rPr>
          <w:rFonts w:hint="eastAsia"/>
          <w:color w:val="auto"/>
          <w:highlight w:val="none"/>
        </w:rPr>
        <w:t>1</w:t>
      </w:r>
      <w:r>
        <w:rPr>
          <w:rFonts w:hint="eastAsia"/>
          <w:color w:val="auto"/>
          <w:highlight w:val="none"/>
          <w:lang w:eastAsia="zh-CN"/>
        </w:rPr>
        <w:t xml:space="preserve">  </w:t>
      </w:r>
      <w:r>
        <w:rPr>
          <w:rFonts w:hint="eastAsia"/>
          <w:color w:val="auto"/>
          <w:highlight w:val="none"/>
        </w:rPr>
        <w:t>一般规定</w:t>
      </w:r>
      <w:bookmarkEnd w:id="240"/>
      <w:bookmarkEnd w:id="241"/>
      <w:bookmarkEnd w:id="242"/>
      <w:bookmarkEnd w:id="243"/>
      <w:bookmarkEnd w:id="244"/>
      <w:bookmarkEnd w:id="245"/>
    </w:p>
    <w:p w14:paraId="5B7A22E2">
      <w:pPr>
        <w:pStyle w:val="4"/>
        <w:bidi w:val="0"/>
        <w:rPr>
          <w:rFonts w:hint="eastAsia"/>
          <w:color w:val="auto"/>
          <w:highlight w:val="none"/>
        </w:rPr>
      </w:pPr>
      <w:r>
        <w:rPr>
          <w:rFonts w:hint="eastAsia"/>
          <w:b/>
          <w:bCs/>
          <w:color w:val="auto"/>
          <w:highlight w:val="none"/>
          <w:lang w:val="en-US" w:eastAsia="zh-CN"/>
        </w:rPr>
        <w:t>11</w:t>
      </w:r>
      <w:r>
        <w:rPr>
          <w:b/>
          <w:bCs/>
          <w:color w:val="auto"/>
          <w:highlight w:val="none"/>
        </w:rPr>
        <w:t xml:space="preserve">.1.1  </w:t>
      </w:r>
      <w:r>
        <w:rPr>
          <w:rFonts w:hint="eastAsia"/>
          <w:color w:val="auto"/>
          <w:highlight w:val="none"/>
        </w:rPr>
        <w:t>木结构建筑防水、防潮和防生物危害设计应符合现行国家标准《木结构设计标准》</w:t>
      </w:r>
      <w:r>
        <w:rPr>
          <w:color w:val="auto"/>
          <w:highlight w:val="none"/>
        </w:rPr>
        <w:t>GB 50005</w:t>
      </w:r>
      <w:r>
        <w:rPr>
          <w:rFonts w:hint="eastAsia"/>
          <w:color w:val="auto"/>
          <w:highlight w:val="none"/>
        </w:rPr>
        <w:t>的相关规定。</w:t>
      </w:r>
    </w:p>
    <w:p w14:paraId="77E374A5">
      <w:pPr>
        <w:pStyle w:val="4"/>
        <w:bidi w:val="0"/>
        <w:rPr>
          <w:color w:val="auto"/>
          <w:highlight w:val="none"/>
        </w:rPr>
      </w:pPr>
      <w:r>
        <w:rPr>
          <w:rFonts w:hint="eastAsia"/>
          <w:b/>
          <w:bCs/>
          <w:color w:val="auto"/>
          <w:highlight w:val="none"/>
          <w:lang w:val="en-US" w:eastAsia="zh-CN"/>
        </w:rPr>
        <w:t>11</w:t>
      </w:r>
      <w:r>
        <w:rPr>
          <w:b/>
          <w:bCs/>
          <w:color w:val="auto"/>
          <w:highlight w:val="none"/>
        </w:rPr>
        <w:t xml:space="preserve">.1.2  </w:t>
      </w:r>
      <w:r>
        <w:rPr>
          <w:rFonts w:hint="eastAsia"/>
          <w:color w:val="auto"/>
          <w:highlight w:val="none"/>
        </w:rPr>
        <w:t>木结构建筑使用环境分类</w:t>
      </w:r>
      <w:r>
        <w:rPr>
          <w:rFonts w:hint="eastAsia"/>
          <w:color w:val="auto"/>
          <w:highlight w:val="none"/>
          <w:lang w:val="en-US" w:eastAsia="zh-CN"/>
        </w:rPr>
        <w:t>应</w:t>
      </w:r>
      <w:r>
        <w:rPr>
          <w:rFonts w:hint="eastAsia"/>
          <w:color w:val="auto"/>
          <w:highlight w:val="none"/>
        </w:rPr>
        <w:t>按现行国家标准《木结构工程施工质量验收规范》</w:t>
      </w:r>
      <w:r>
        <w:rPr>
          <w:color w:val="auto"/>
          <w:highlight w:val="none"/>
        </w:rPr>
        <w:t>GB</w:t>
      </w:r>
      <w:r>
        <w:rPr>
          <w:rFonts w:hint="eastAsia"/>
          <w:color w:val="auto"/>
          <w:highlight w:val="none"/>
          <w:lang w:val="en-US" w:eastAsia="zh-CN"/>
        </w:rPr>
        <w:t xml:space="preserve"> </w:t>
      </w:r>
      <w:r>
        <w:rPr>
          <w:color w:val="auto"/>
          <w:highlight w:val="none"/>
        </w:rPr>
        <w:t>50206</w:t>
      </w:r>
      <w:r>
        <w:rPr>
          <w:rFonts w:hint="eastAsia"/>
          <w:color w:val="auto"/>
          <w:highlight w:val="none"/>
        </w:rPr>
        <w:t>的相关规定划分。</w:t>
      </w:r>
    </w:p>
    <w:p w14:paraId="6AA6E65F">
      <w:pPr>
        <w:pStyle w:val="4"/>
        <w:bidi w:val="0"/>
        <w:jc w:val="both"/>
        <w:rPr>
          <w:b w:val="0"/>
          <w:bCs w:val="0"/>
          <w:color w:val="auto"/>
          <w:highlight w:val="none"/>
        </w:rPr>
      </w:pPr>
      <w:r>
        <w:rPr>
          <w:rFonts w:hint="eastAsia"/>
          <w:b w:val="0"/>
          <w:bCs w:val="0"/>
          <w:color w:val="auto"/>
          <w:highlight w:val="none"/>
          <w:lang w:val="en-US" w:eastAsia="zh-CN"/>
        </w:rPr>
        <w:t>11</w:t>
      </w:r>
      <w:r>
        <w:rPr>
          <w:b w:val="0"/>
          <w:bCs w:val="0"/>
          <w:color w:val="auto"/>
          <w:highlight w:val="none"/>
        </w:rPr>
        <w:t>.1.</w:t>
      </w:r>
      <w:r>
        <w:rPr>
          <w:rFonts w:hint="eastAsia"/>
          <w:b w:val="0"/>
          <w:bCs w:val="0"/>
          <w:color w:val="auto"/>
          <w:highlight w:val="none"/>
          <w:lang w:val="en-US" w:eastAsia="zh-CN"/>
        </w:rPr>
        <w:t>3</w:t>
      </w:r>
      <w:r>
        <w:rPr>
          <w:b w:val="0"/>
          <w:bCs w:val="0"/>
          <w:color w:val="auto"/>
          <w:highlight w:val="none"/>
        </w:rPr>
        <w:t xml:space="preserve">  </w:t>
      </w:r>
      <w:r>
        <w:rPr>
          <w:rFonts w:hint="eastAsia"/>
          <w:b w:val="0"/>
          <w:bCs w:val="0"/>
          <w:color w:val="auto"/>
          <w:highlight w:val="none"/>
        </w:rPr>
        <w:t>木结构</w:t>
      </w:r>
      <w:r>
        <w:rPr>
          <w:rFonts w:hint="eastAsia"/>
          <w:b w:val="0"/>
          <w:bCs w:val="0"/>
          <w:color w:val="auto"/>
          <w:highlight w:val="none"/>
          <w:lang w:val="en-US" w:eastAsia="zh-CN"/>
        </w:rPr>
        <w:t>建筑应</w:t>
      </w:r>
      <w:r>
        <w:rPr>
          <w:rFonts w:hint="eastAsia"/>
          <w:b w:val="0"/>
          <w:bCs w:val="0"/>
          <w:color w:val="auto"/>
          <w:highlight w:val="none"/>
        </w:rPr>
        <w:t>结合建筑的</w:t>
      </w:r>
      <w:r>
        <w:rPr>
          <w:rFonts w:hint="eastAsia"/>
          <w:b w:val="0"/>
          <w:bCs w:val="0"/>
          <w:color w:val="auto"/>
          <w:highlight w:val="none"/>
          <w:lang w:val="en-US" w:eastAsia="zh-CN"/>
        </w:rPr>
        <w:t>使用功能进行结构设计</w:t>
      </w:r>
      <w:r>
        <w:rPr>
          <w:rFonts w:hint="eastAsia"/>
          <w:b w:val="0"/>
          <w:bCs w:val="0"/>
          <w:color w:val="auto"/>
          <w:highlight w:val="none"/>
        </w:rPr>
        <w:t>，避免木构件在干湿交替的环境</w:t>
      </w:r>
      <w:r>
        <w:rPr>
          <w:rFonts w:hint="eastAsia"/>
          <w:b w:val="0"/>
          <w:bCs w:val="0"/>
          <w:color w:val="auto"/>
          <w:highlight w:val="none"/>
          <w:lang w:val="en-US" w:eastAsia="zh-CN"/>
        </w:rPr>
        <w:t>中使用</w:t>
      </w:r>
      <w:r>
        <w:rPr>
          <w:rFonts w:hint="eastAsia"/>
          <w:b w:val="0"/>
          <w:bCs w:val="0"/>
          <w:color w:val="auto"/>
          <w:highlight w:val="none"/>
        </w:rPr>
        <w:t>。</w:t>
      </w:r>
    </w:p>
    <w:p w14:paraId="3BFCF1AA">
      <w:pPr>
        <w:pStyle w:val="4"/>
        <w:bidi w:val="0"/>
        <w:rPr>
          <w:color w:val="auto"/>
          <w:highlight w:val="none"/>
        </w:rPr>
      </w:pPr>
      <w:r>
        <w:rPr>
          <w:rFonts w:hint="eastAsia"/>
          <w:b/>
          <w:bCs/>
          <w:color w:val="auto"/>
          <w:highlight w:val="none"/>
          <w:lang w:val="en-US" w:eastAsia="zh-CN"/>
        </w:rPr>
        <w:t>11</w:t>
      </w:r>
      <w:r>
        <w:rPr>
          <w:b/>
          <w:bCs/>
          <w:color w:val="auto"/>
          <w:highlight w:val="none"/>
        </w:rPr>
        <w:t>.1.</w:t>
      </w:r>
      <w:r>
        <w:rPr>
          <w:rFonts w:hint="eastAsia"/>
          <w:b/>
          <w:bCs/>
          <w:color w:val="auto"/>
          <w:highlight w:val="none"/>
          <w:lang w:val="en-US" w:eastAsia="zh-CN"/>
        </w:rPr>
        <w:t>4</w:t>
      </w:r>
      <w:r>
        <w:rPr>
          <w:b/>
          <w:bCs/>
          <w:color w:val="auto"/>
          <w:highlight w:val="none"/>
        </w:rPr>
        <w:t xml:space="preserve">  </w:t>
      </w:r>
      <w:r>
        <w:rPr>
          <w:rFonts w:hint="eastAsia"/>
          <w:color w:val="auto"/>
          <w:highlight w:val="none"/>
        </w:rPr>
        <w:t>木结构建筑使用的木构件应根据使用环境按现行国家标准《木结构工程施工质量验收规范》</w:t>
      </w:r>
      <w:r>
        <w:rPr>
          <w:color w:val="auto"/>
          <w:highlight w:val="none"/>
        </w:rPr>
        <w:t>GB 50206</w:t>
      </w:r>
      <w:r>
        <w:rPr>
          <w:rFonts w:hint="eastAsia"/>
          <w:color w:val="auto"/>
          <w:highlight w:val="none"/>
        </w:rPr>
        <w:t>的规定进行防腐、防虫处理。</w:t>
      </w:r>
    </w:p>
    <w:p w14:paraId="462D30B3">
      <w:pPr>
        <w:pStyle w:val="4"/>
        <w:bidi w:val="0"/>
        <w:rPr>
          <w:rFonts w:hint="eastAsia"/>
          <w:color w:val="auto"/>
          <w:highlight w:val="none"/>
          <w:lang w:val="en-US" w:eastAsia="zh-CN"/>
        </w:rPr>
      </w:pPr>
      <w:r>
        <w:rPr>
          <w:rFonts w:hint="eastAsia"/>
          <w:b/>
          <w:bCs/>
          <w:color w:val="auto"/>
          <w:highlight w:val="none"/>
          <w:lang w:val="en-US" w:eastAsia="zh-CN"/>
        </w:rPr>
        <w:t xml:space="preserve">11.1.5  </w:t>
      </w:r>
      <w:r>
        <w:rPr>
          <w:rFonts w:hint="eastAsia"/>
          <w:color w:val="auto"/>
          <w:highlight w:val="none"/>
        </w:rPr>
        <w:t>防腐防生物危害施工</w:t>
      </w:r>
      <w:r>
        <w:rPr>
          <w:rFonts w:hint="eastAsia"/>
          <w:color w:val="auto"/>
          <w:highlight w:val="none"/>
          <w:lang w:val="en-US" w:eastAsia="zh-CN"/>
        </w:rPr>
        <w:t>应</w:t>
      </w:r>
      <w:r>
        <w:rPr>
          <w:rFonts w:hint="eastAsia"/>
          <w:color w:val="auto"/>
          <w:highlight w:val="none"/>
        </w:rPr>
        <w:t>按现行国家标准《木结构工程施工规范》</w:t>
      </w:r>
      <w:r>
        <w:rPr>
          <w:color w:val="auto"/>
          <w:highlight w:val="none"/>
        </w:rPr>
        <w:t>GB/T 50772</w:t>
      </w:r>
      <w:r>
        <w:rPr>
          <w:rFonts w:hint="eastAsia"/>
          <w:color w:val="auto"/>
          <w:highlight w:val="none"/>
        </w:rPr>
        <w:t>的</w:t>
      </w:r>
      <w:r>
        <w:rPr>
          <w:rFonts w:hint="eastAsia"/>
          <w:color w:val="auto"/>
          <w:highlight w:val="none"/>
          <w:lang w:val="en-US" w:eastAsia="zh-CN"/>
        </w:rPr>
        <w:t>相关</w:t>
      </w:r>
      <w:r>
        <w:rPr>
          <w:rFonts w:hint="eastAsia"/>
          <w:color w:val="auto"/>
          <w:highlight w:val="none"/>
        </w:rPr>
        <w:t>规定执行。</w:t>
      </w:r>
    </w:p>
    <w:p w14:paraId="2ED1C62B">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11.1.1-11.1.5：结合广西区内的高温高湿环境，防水防潮，保持木构件干燥并避免其在干湿交替的环境中使用，是最为根本的防腐朽措施，同时也可以有效减少白蚁滋生。在生物危害非常严峻及关键部位，木结构构件应该积极使用防腐处理木材或天然耐久木材，有效提高局部和个别部件的性能和使用寿命。凡是在重要部位，设计和施工时应积极采用多道防护措施，避免单一防护措施破坏引起不必要的损失。</w:t>
      </w:r>
    </w:p>
    <w:p w14:paraId="7292173A">
      <w:pPr>
        <w:rPr>
          <w:rFonts w:hint="default"/>
          <w:color w:val="auto"/>
          <w:highlight w:val="none"/>
          <w:lang w:val="en-US" w:eastAsia="zh-CN"/>
        </w:rPr>
      </w:pPr>
    </w:p>
    <w:p w14:paraId="413BDC98">
      <w:pPr>
        <w:pStyle w:val="4"/>
        <w:bidi w:val="0"/>
        <w:rPr>
          <w:rFonts w:hint="eastAsia"/>
          <w:color w:val="auto"/>
          <w:highlight w:val="none"/>
        </w:rPr>
      </w:pPr>
      <w:r>
        <w:rPr>
          <w:rFonts w:hint="eastAsia"/>
          <w:b/>
          <w:bCs/>
          <w:color w:val="auto"/>
          <w:highlight w:val="none"/>
          <w:lang w:val="en-US" w:eastAsia="zh-CN"/>
        </w:rPr>
        <w:t>11</w:t>
      </w:r>
      <w:r>
        <w:rPr>
          <w:b/>
          <w:bCs/>
          <w:color w:val="auto"/>
          <w:highlight w:val="none"/>
        </w:rPr>
        <w:t xml:space="preserve">.1.6  </w:t>
      </w:r>
      <w:r>
        <w:rPr>
          <w:rFonts w:hint="eastAsia"/>
          <w:color w:val="auto"/>
          <w:highlight w:val="none"/>
        </w:rPr>
        <w:t>木结构建筑应采取防止木构件腐朽或被虫蛀的措施，并应确保木结构建筑能够达到设计使用年限。</w:t>
      </w:r>
    </w:p>
    <w:p w14:paraId="2299EA13">
      <w:pPr>
        <w:pStyle w:val="4"/>
        <w:bidi w:val="0"/>
        <w:rPr>
          <w:rFonts w:hint="eastAsia"/>
          <w:color w:val="auto"/>
          <w:highlight w:val="none"/>
        </w:rPr>
      </w:pPr>
      <w:r>
        <w:rPr>
          <w:rFonts w:hint="eastAsia"/>
          <w:b/>
          <w:bCs/>
          <w:color w:val="auto"/>
          <w:highlight w:val="none"/>
          <w:lang w:val="en-US" w:eastAsia="zh-CN"/>
        </w:rPr>
        <w:t>11</w:t>
      </w:r>
      <w:r>
        <w:rPr>
          <w:b/>
          <w:bCs/>
          <w:color w:val="auto"/>
          <w:highlight w:val="none"/>
        </w:rPr>
        <w:t>.1.</w:t>
      </w:r>
      <w:r>
        <w:rPr>
          <w:rFonts w:hint="eastAsia"/>
          <w:b/>
          <w:bCs/>
          <w:color w:val="auto"/>
          <w:highlight w:val="none"/>
          <w:lang w:val="en-US" w:eastAsia="zh-CN"/>
        </w:rPr>
        <w:t>7</w:t>
      </w:r>
      <w:r>
        <w:rPr>
          <w:b/>
          <w:bCs/>
          <w:color w:val="auto"/>
          <w:highlight w:val="none"/>
        </w:rPr>
        <w:t xml:space="preserve">  </w:t>
      </w:r>
      <w:r>
        <w:rPr>
          <w:rFonts w:hint="eastAsia"/>
          <w:color w:val="auto"/>
          <w:highlight w:val="none"/>
        </w:rPr>
        <w:t>设计图纸中应注明木结构构件防腐、防虫的构造措施，并应规定设计施工注意事项。</w:t>
      </w:r>
    </w:p>
    <w:p w14:paraId="73D79F52">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11.1.6-11.1.7：</w:t>
      </w:r>
      <w:r>
        <w:rPr>
          <w:rFonts w:hint="default"/>
          <w:color w:val="auto"/>
          <w:highlight w:val="none"/>
          <w:lang w:val="en-US" w:eastAsia="zh-CN"/>
        </w:rPr>
        <w:t>木材作为天然材料，容易受到环境因素的影响，特别是腐朽和虫蛀问题，这对木结构建筑的安全性和耐久性构成了威胁。为了确保木结构建筑能够达到设计使用年限，</w:t>
      </w:r>
      <w:r>
        <w:rPr>
          <w:rFonts w:hint="eastAsia"/>
          <w:color w:val="auto"/>
          <w:highlight w:val="none"/>
          <w:lang w:val="en-US" w:eastAsia="zh-CN"/>
        </w:rPr>
        <w:t>应</w:t>
      </w:r>
      <w:r>
        <w:rPr>
          <w:rFonts w:hint="default"/>
          <w:color w:val="auto"/>
          <w:highlight w:val="none"/>
          <w:lang w:val="en-US" w:eastAsia="zh-CN"/>
        </w:rPr>
        <w:t>采取一系列有效的防止木构件腐朽和被虫蛀的措施。</w:t>
      </w:r>
      <w:r>
        <w:rPr>
          <w:rFonts w:hint="eastAsia"/>
          <w:color w:val="auto"/>
          <w:highlight w:val="none"/>
          <w:lang w:val="en-US" w:eastAsia="zh-CN"/>
        </w:rPr>
        <w:t>同时</w:t>
      </w:r>
      <w:r>
        <w:rPr>
          <w:rFonts w:hint="default"/>
          <w:color w:val="auto"/>
          <w:highlight w:val="none"/>
          <w:lang w:val="en-US" w:eastAsia="zh-CN"/>
        </w:rPr>
        <w:t>，还</w:t>
      </w:r>
      <w:r>
        <w:rPr>
          <w:rFonts w:hint="eastAsia"/>
          <w:color w:val="auto"/>
          <w:highlight w:val="none"/>
          <w:lang w:val="en-US" w:eastAsia="zh-CN"/>
        </w:rPr>
        <w:t>应</w:t>
      </w:r>
      <w:r>
        <w:rPr>
          <w:rFonts w:hint="default"/>
          <w:color w:val="auto"/>
          <w:highlight w:val="none"/>
          <w:lang w:val="en-US" w:eastAsia="zh-CN"/>
        </w:rPr>
        <w:t>从整体上考虑木结构建筑的设计、施工、维护等各个环节</w:t>
      </w:r>
      <w:r>
        <w:rPr>
          <w:rFonts w:hint="eastAsia"/>
          <w:color w:val="auto"/>
          <w:highlight w:val="none"/>
          <w:lang w:val="en-US" w:eastAsia="zh-CN"/>
        </w:rPr>
        <w:t>，</w:t>
      </w:r>
      <w:r>
        <w:rPr>
          <w:rFonts w:hint="default"/>
          <w:color w:val="auto"/>
          <w:highlight w:val="none"/>
          <w:lang w:val="en-US" w:eastAsia="zh-CN"/>
        </w:rPr>
        <w:t>设计时应充分考虑环境因素对木材的影响，采用合理的结构形式和构造措施；施工过程中应严格遵守施工规范，确保施工质量；使用过程中应建立完善的维护管理制度，定期对建筑进行检查和维护。</w:t>
      </w:r>
    </w:p>
    <w:p w14:paraId="6331AB6B">
      <w:pPr>
        <w:rPr>
          <w:rFonts w:hint="eastAsia"/>
          <w:color w:val="auto"/>
          <w:highlight w:val="none"/>
        </w:rPr>
      </w:pPr>
    </w:p>
    <w:p w14:paraId="20FC92A4">
      <w:pPr>
        <w:pStyle w:val="4"/>
        <w:bidi w:val="0"/>
        <w:rPr>
          <w:rFonts w:hint="eastAsia"/>
          <w:color w:val="auto"/>
          <w:highlight w:val="none"/>
          <w:lang w:eastAsia="zh-CN"/>
        </w:rPr>
      </w:pPr>
      <w:r>
        <w:rPr>
          <w:rFonts w:hint="eastAsia"/>
          <w:b/>
          <w:bCs/>
          <w:color w:val="auto"/>
          <w:highlight w:val="none"/>
          <w:lang w:val="en-US" w:eastAsia="zh-CN"/>
        </w:rPr>
        <w:t>11</w:t>
      </w:r>
      <w:r>
        <w:rPr>
          <w:b/>
          <w:bCs/>
          <w:color w:val="auto"/>
          <w:highlight w:val="none"/>
        </w:rPr>
        <w:t>.1.</w:t>
      </w:r>
      <w:r>
        <w:rPr>
          <w:rFonts w:hint="eastAsia"/>
          <w:b/>
          <w:bCs/>
          <w:color w:val="auto"/>
          <w:highlight w:val="none"/>
          <w:lang w:val="en-US" w:eastAsia="zh-CN"/>
        </w:rPr>
        <w:t>8</w:t>
      </w:r>
      <w:r>
        <w:rPr>
          <w:b/>
          <w:bCs/>
          <w:color w:val="auto"/>
          <w:highlight w:val="none"/>
        </w:rPr>
        <w:t xml:space="preserve"> </w:t>
      </w:r>
      <w:r>
        <w:rPr>
          <w:rFonts w:hint="eastAsia"/>
          <w:b/>
          <w:bCs/>
          <w:color w:val="auto"/>
          <w:highlight w:val="none"/>
          <w:lang w:val="en-US" w:eastAsia="zh-CN"/>
        </w:rPr>
        <w:t xml:space="preserve"> </w:t>
      </w:r>
      <w:r>
        <w:rPr>
          <w:rFonts w:hint="eastAsia"/>
          <w:color w:val="auto"/>
          <w:highlight w:val="none"/>
        </w:rPr>
        <w:t>当承重结构使用现行国家标准《</w:t>
      </w:r>
      <w:r>
        <w:rPr>
          <w:rFonts w:hint="eastAsia"/>
          <w:color w:val="auto"/>
          <w:highlight w:val="none"/>
          <w:lang w:eastAsia="zh-CN"/>
        </w:rPr>
        <w:t>木结构设计标准</w:t>
      </w:r>
      <w:r>
        <w:rPr>
          <w:rFonts w:hint="eastAsia"/>
          <w:color w:val="auto"/>
          <w:highlight w:val="none"/>
        </w:rPr>
        <w:t>》GB</w:t>
      </w:r>
      <w:r>
        <w:rPr>
          <w:rFonts w:hint="eastAsia"/>
          <w:color w:val="auto"/>
          <w:highlight w:val="none"/>
          <w:lang w:val="en-US" w:eastAsia="zh-CN"/>
        </w:rPr>
        <w:t xml:space="preserve"> </w:t>
      </w:r>
      <w:r>
        <w:rPr>
          <w:rFonts w:hint="eastAsia"/>
          <w:color w:val="auto"/>
          <w:highlight w:val="none"/>
        </w:rPr>
        <w:t>50005中易腐朽或易遭虫害的木材，并位于易腐朽或易遭虫害的位置时，应采用防腐木材。</w:t>
      </w:r>
    </w:p>
    <w:p w14:paraId="26A58B82">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1.1.8：木材作为承重结构材料时，其耐久性和安全性至关重要。然而，木材本身存在易腐朽和易遭虫害的问题，特别是在潮湿、温暖的环境中更为严重。当木材处于易腐朽或易遭虫害的位置时，如果不采取适当的防护措施，其使用寿命将大大缩短，甚至影响整个结构的安全。因此，采用防腐木材是确保木结构承重结构安全、耐久的有效手段。</w:t>
      </w:r>
    </w:p>
    <w:p w14:paraId="2BCACFD4">
      <w:pPr>
        <w:rPr>
          <w:rFonts w:hint="default"/>
          <w:color w:val="auto"/>
          <w:highlight w:val="none"/>
          <w:lang w:val="en-US" w:eastAsia="zh-CN"/>
        </w:rPr>
      </w:pPr>
    </w:p>
    <w:p w14:paraId="18811620">
      <w:pPr>
        <w:pStyle w:val="4"/>
        <w:bidi w:val="0"/>
        <w:rPr>
          <w:rFonts w:hint="eastAsia"/>
          <w:color w:val="auto"/>
          <w:highlight w:val="none"/>
          <w:lang w:eastAsia="zh-CN"/>
        </w:rPr>
      </w:pPr>
      <w:r>
        <w:rPr>
          <w:rFonts w:hint="eastAsia"/>
          <w:b/>
          <w:bCs/>
          <w:color w:val="auto"/>
          <w:highlight w:val="none"/>
          <w:lang w:val="en-US" w:eastAsia="zh-CN"/>
        </w:rPr>
        <w:t>11</w:t>
      </w:r>
      <w:r>
        <w:rPr>
          <w:b/>
          <w:bCs/>
          <w:color w:val="auto"/>
          <w:highlight w:val="none"/>
        </w:rPr>
        <w:t>.1.</w:t>
      </w:r>
      <w:r>
        <w:rPr>
          <w:rFonts w:hint="eastAsia"/>
          <w:b/>
          <w:bCs/>
          <w:color w:val="auto"/>
          <w:highlight w:val="none"/>
          <w:lang w:val="en-US" w:eastAsia="zh-CN"/>
        </w:rPr>
        <w:t>9</w:t>
      </w:r>
      <w:r>
        <w:rPr>
          <w:b/>
          <w:bCs/>
          <w:color w:val="auto"/>
          <w:highlight w:val="none"/>
        </w:rPr>
        <w:t xml:space="preserve">  </w:t>
      </w:r>
      <w:r>
        <w:rPr>
          <w:rFonts w:hint="eastAsia"/>
          <w:color w:val="auto"/>
          <w:highlight w:val="none"/>
          <w:lang w:eastAsia="zh-CN"/>
        </w:rPr>
        <w:t>防腐防虫药剂配方及技术</w:t>
      </w:r>
      <w:r>
        <w:rPr>
          <w:rFonts w:hint="eastAsia"/>
          <w:color w:val="auto"/>
          <w:highlight w:val="none"/>
          <w:lang w:val="en-US" w:eastAsia="zh-CN"/>
        </w:rPr>
        <w:t>指标应</w:t>
      </w:r>
      <w:r>
        <w:rPr>
          <w:rFonts w:hint="eastAsia"/>
          <w:color w:val="auto"/>
          <w:highlight w:val="none"/>
          <w:lang w:eastAsia="zh-CN"/>
        </w:rPr>
        <w:t>符合现行国家标准《木材防腐剂》GB/T 27654的规定，不</w:t>
      </w:r>
      <w:r>
        <w:rPr>
          <w:rFonts w:hint="eastAsia"/>
          <w:color w:val="auto"/>
          <w:highlight w:val="none"/>
          <w:lang w:val="en-US" w:eastAsia="zh-CN"/>
        </w:rPr>
        <w:t>应</w:t>
      </w:r>
      <w:r>
        <w:rPr>
          <w:rFonts w:hint="eastAsia"/>
          <w:color w:val="auto"/>
          <w:highlight w:val="none"/>
          <w:lang w:eastAsia="zh-CN"/>
        </w:rPr>
        <w:t>使用未经鉴定合格的防护剂。</w:t>
      </w:r>
    </w:p>
    <w:p w14:paraId="44FC42EA">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11.1.9：在使用防腐防虫药剂时，必须确保所选用的防护剂已经过相关机构鉴定并合格，未经鉴定合格的防护剂可能存在性能不稳定、效果不佳甚至对环境和人体有害的风险。因此，在选择和使用防护剂时，应严格遵循相关标准和规定，确保木材防腐防虫工作的有效性和安全性。</w:t>
      </w:r>
    </w:p>
    <w:p w14:paraId="3BC2A977">
      <w:pPr>
        <w:rPr>
          <w:rFonts w:hint="eastAsia"/>
          <w:color w:val="auto"/>
          <w:highlight w:val="none"/>
          <w:lang w:val="en-US" w:eastAsia="zh-CN"/>
        </w:rPr>
      </w:pPr>
    </w:p>
    <w:p w14:paraId="571421B2">
      <w:pPr>
        <w:pStyle w:val="4"/>
        <w:bidi w:val="0"/>
        <w:rPr>
          <w:rFonts w:hint="eastAsia"/>
          <w:color w:val="auto"/>
          <w:highlight w:val="none"/>
          <w:lang w:eastAsia="zh-CN"/>
        </w:rPr>
      </w:pPr>
      <w:r>
        <w:rPr>
          <w:rFonts w:hint="eastAsia"/>
          <w:b/>
          <w:bCs/>
          <w:color w:val="auto"/>
          <w:highlight w:val="none"/>
          <w:lang w:val="en-US" w:eastAsia="zh-CN"/>
        </w:rPr>
        <w:t xml:space="preserve">11.1.10  </w:t>
      </w:r>
      <w:r>
        <w:rPr>
          <w:rFonts w:hint="eastAsia"/>
          <w:color w:val="auto"/>
          <w:highlight w:val="none"/>
          <w:lang w:eastAsia="zh-CN"/>
        </w:rPr>
        <w:t>防腐木材的使用分类和要求应符合现行国家标准《防腐木材的使用分类和要求》GB/T 27651的规定。</w:t>
      </w:r>
    </w:p>
    <w:p w14:paraId="10FF3047">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11.1.10：在选择和使用防腐木材时，应根据具体的使用环境和需求选择合适的类别，并确保其符</w:t>
      </w:r>
      <w:r>
        <w:rPr>
          <w:rFonts w:hint="default"/>
          <w:color w:val="auto"/>
          <w:highlight w:val="none"/>
          <w:lang w:val="en-US" w:eastAsia="zh-CN"/>
        </w:rPr>
        <w:t>合相关的技术指标和环保要求。</w:t>
      </w:r>
    </w:p>
    <w:p w14:paraId="6FA41262">
      <w:pPr>
        <w:rPr>
          <w:rFonts w:hint="default"/>
          <w:color w:val="auto"/>
          <w:highlight w:val="none"/>
          <w:lang w:val="en-US" w:eastAsia="zh-CN"/>
        </w:rPr>
      </w:pPr>
    </w:p>
    <w:p w14:paraId="1061B3A2">
      <w:pPr>
        <w:pStyle w:val="4"/>
        <w:bidi w:val="0"/>
        <w:rPr>
          <w:color w:val="auto"/>
          <w:highlight w:val="none"/>
        </w:rPr>
      </w:pPr>
      <w:r>
        <w:rPr>
          <w:rFonts w:hint="eastAsia"/>
          <w:b/>
          <w:bCs/>
          <w:color w:val="auto"/>
          <w:highlight w:val="none"/>
          <w:lang w:val="en-US" w:eastAsia="zh-CN"/>
        </w:rPr>
        <w:t>11</w:t>
      </w:r>
      <w:r>
        <w:rPr>
          <w:b/>
          <w:bCs/>
          <w:color w:val="auto"/>
          <w:highlight w:val="none"/>
        </w:rPr>
        <w:t>.1.</w:t>
      </w:r>
      <w:r>
        <w:rPr>
          <w:rFonts w:hint="eastAsia"/>
          <w:b/>
          <w:bCs/>
          <w:color w:val="auto"/>
          <w:highlight w:val="none"/>
          <w:lang w:val="en-US" w:eastAsia="zh-CN"/>
        </w:rPr>
        <w:t>11</w:t>
      </w:r>
      <w:r>
        <w:rPr>
          <w:b/>
          <w:bCs/>
          <w:color w:val="auto"/>
          <w:highlight w:val="none"/>
        </w:rPr>
        <w:t xml:space="preserve">  </w:t>
      </w:r>
      <w:r>
        <w:rPr>
          <w:rFonts w:hint="eastAsia"/>
          <w:color w:val="auto"/>
          <w:highlight w:val="none"/>
        </w:rPr>
        <w:t>木结构建筑防雷分区的划分和防雷设计应符合现行国家标准《建筑物防雷设计规范》</w:t>
      </w:r>
      <w:r>
        <w:rPr>
          <w:color w:val="auto"/>
          <w:highlight w:val="none"/>
        </w:rPr>
        <w:t>GB</w:t>
      </w:r>
      <w:r>
        <w:rPr>
          <w:rFonts w:hint="eastAsia"/>
          <w:color w:val="auto"/>
          <w:highlight w:val="none"/>
          <w:lang w:val="en-US" w:eastAsia="zh-CN"/>
        </w:rPr>
        <w:t xml:space="preserve"> </w:t>
      </w:r>
      <w:r>
        <w:rPr>
          <w:color w:val="auto"/>
          <w:highlight w:val="none"/>
        </w:rPr>
        <w:t>500</w:t>
      </w:r>
      <w:r>
        <w:rPr>
          <w:rFonts w:hint="eastAsia"/>
          <w:color w:val="auto"/>
          <w:highlight w:val="none"/>
          <w:lang w:val="en-US" w:eastAsia="zh-CN"/>
        </w:rPr>
        <w:t>5</w:t>
      </w:r>
      <w:r>
        <w:rPr>
          <w:color w:val="auto"/>
          <w:highlight w:val="none"/>
        </w:rPr>
        <w:t>7</w:t>
      </w:r>
      <w:r>
        <w:rPr>
          <w:rFonts w:hint="eastAsia"/>
          <w:color w:val="auto"/>
          <w:highlight w:val="none"/>
        </w:rPr>
        <w:t>的相关规定，并应符合下列规定：</w:t>
      </w:r>
    </w:p>
    <w:p w14:paraId="27C45CC7">
      <w:pPr>
        <w:pStyle w:val="4"/>
        <w:bidi w:val="0"/>
        <w:ind w:firstLine="480" w:firstLineChars="200"/>
        <w:rPr>
          <w:color w:val="auto"/>
          <w:highlight w:val="none"/>
        </w:rPr>
      </w:pPr>
      <w:r>
        <w:rPr>
          <w:color w:val="auto"/>
          <w:highlight w:val="none"/>
        </w:rPr>
        <w:t xml:space="preserve">1  </w:t>
      </w:r>
      <w:r>
        <w:rPr>
          <w:rFonts w:hint="eastAsia"/>
          <w:color w:val="auto"/>
          <w:highlight w:val="none"/>
        </w:rPr>
        <w:t>人员密集的纯木结构建筑应按第二类防雷采取相应的措施，其余类型的木结构建筑应按第三类防雷采取相应的措施；</w:t>
      </w:r>
    </w:p>
    <w:p w14:paraId="6F69AFD0">
      <w:pPr>
        <w:pStyle w:val="4"/>
        <w:bidi w:val="0"/>
        <w:ind w:firstLine="480" w:firstLineChars="200"/>
        <w:rPr>
          <w:color w:val="auto"/>
          <w:highlight w:val="none"/>
        </w:rPr>
      </w:pPr>
      <w:r>
        <w:rPr>
          <w:color w:val="auto"/>
          <w:highlight w:val="none"/>
        </w:rPr>
        <w:t xml:space="preserve">2  </w:t>
      </w:r>
      <w:r>
        <w:rPr>
          <w:rFonts w:hint="eastAsia"/>
          <w:color w:val="auto"/>
          <w:highlight w:val="none"/>
        </w:rPr>
        <w:t>应设置防直击雷和防雷电感应的装置；</w:t>
      </w:r>
    </w:p>
    <w:p w14:paraId="134E15A9">
      <w:pPr>
        <w:pStyle w:val="4"/>
        <w:bidi w:val="0"/>
        <w:ind w:firstLine="480" w:firstLineChars="200"/>
        <w:rPr>
          <w:color w:val="auto"/>
          <w:highlight w:val="none"/>
        </w:rPr>
      </w:pPr>
      <w:r>
        <w:rPr>
          <w:color w:val="auto"/>
          <w:highlight w:val="none"/>
        </w:rPr>
        <w:t xml:space="preserve">3  </w:t>
      </w:r>
      <w:r>
        <w:rPr>
          <w:rFonts w:hint="eastAsia"/>
          <w:color w:val="auto"/>
          <w:highlight w:val="none"/>
        </w:rPr>
        <w:t>应有效防止雷击时所产生的接触电压、跨步电压和对各种架空线路的危害；</w:t>
      </w:r>
    </w:p>
    <w:p w14:paraId="254A0522">
      <w:pPr>
        <w:pStyle w:val="4"/>
        <w:bidi w:val="0"/>
        <w:ind w:firstLine="480" w:firstLineChars="200"/>
        <w:rPr>
          <w:rFonts w:hint="eastAsia"/>
          <w:color w:val="auto"/>
          <w:highlight w:val="none"/>
        </w:rPr>
      </w:pPr>
      <w:r>
        <w:rPr>
          <w:color w:val="auto"/>
          <w:highlight w:val="none"/>
        </w:rPr>
        <w:t xml:space="preserve">4  </w:t>
      </w:r>
      <w:r>
        <w:rPr>
          <w:rFonts w:hint="eastAsia"/>
          <w:color w:val="auto"/>
          <w:highlight w:val="none"/>
        </w:rPr>
        <w:t>每座建筑应单独接地，引下线不低于两根，接地电阻不小于</w:t>
      </w:r>
      <w:r>
        <w:rPr>
          <w:color w:val="auto"/>
          <w:highlight w:val="none"/>
        </w:rPr>
        <w:t>10</w:t>
      </w:r>
      <w:r>
        <w:rPr>
          <w:rFonts w:hint="eastAsia"/>
          <w:color w:val="auto"/>
          <w:highlight w:val="none"/>
        </w:rPr>
        <w:t>欧姆，其间距沿周长计算不应大于</w:t>
      </w:r>
      <w:r>
        <w:rPr>
          <w:color w:val="auto"/>
          <w:highlight w:val="none"/>
        </w:rPr>
        <w:t>18m</w:t>
      </w:r>
      <w:r>
        <w:rPr>
          <w:rFonts w:hint="eastAsia"/>
          <w:color w:val="auto"/>
          <w:highlight w:val="none"/>
        </w:rPr>
        <w:t>。</w:t>
      </w:r>
    </w:p>
    <w:p w14:paraId="3BE26E07">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11.1.11：木结构建筑相对于混凝土和钢结构在雷电冲击下受损的概率较小，但由于其材料特性和构造方式，仍然有可能受到雷电的威胁。雷电可通过建筑物的主要构件（如梁、柱、墙和屋顶）传导至建筑内部，造成设备损坏、火灾甚至人员伤亡。因此，木结构建筑同样需要采取有效的防雷措施，</w:t>
      </w:r>
      <w:r>
        <w:rPr>
          <w:rFonts w:hint="default"/>
          <w:color w:val="auto"/>
          <w:highlight w:val="none"/>
          <w:lang w:val="en-US" w:eastAsia="zh-CN"/>
        </w:rPr>
        <w:t>在进行木结构建筑的防雷设计时，应充分考虑建筑物的结构特点和使用需求</w:t>
      </w:r>
      <w:r>
        <w:rPr>
          <w:rFonts w:hint="eastAsia"/>
          <w:color w:val="auto"/>
          <w:highlight w:val="none"/>
          <w:lang w:val="en-US" w:eastAsia="zh-CN"/>
        </w:rPr>
        <w:t>，</w:t>
      </w:r>
      <w:r>
        <w:rPr>
          <w:rFonts w:hint="default"/>
          <w:color w:val="auto"/>
          <w:highlight w:val="none"/>
          <w:lang w:val="en-US" w:eastAsia="zh-CN"/>
        </w:rPr>
        <w:t>确保防雷设计与建筑设计相结合，实现防雷效果与建筑美观的和谐统一。通过采取有效的防雷措施和注意事项，可以确保木结构建筑在雷电天气下的安全稳定运行。</w:t>
      </w:r>
    </w:p>
    <w:p w14:paraId="048467A8">
      <w:pPr>
        <w:rPr>
          <w:rFonts w:hint="eastAsia"/>
          <w:color w:val="auto"/>
          <w:highlight w:val="none"/>
          <w:lang w:val="en-US" w:eastAsia="zh-CN"/>
        </w:rPr>
      </w:pPr>
    </w:p>
    <w:p w14:paraId="2D0DE937">
      <w:pPr>
        <w:pStyle w:val="3"/>
        <w:spacing w:before="156" w:after="156"/>
        <w:rPr>
          <w:rFonts w:hint="eastAsia"/>
          <w:color w:val="auto"/>
          <w:highlight w:val="none"/>
        </w:rPr>
      </w:pPr>
      <w:bookmarkStart w:id="246" w:name="_Toc13875"/>
      <w:bookmarkStart w:id="247" w:name="_Toc58592752"/>
      <w:bookmarkStart w:id="248" w:name="_Toc12118"/>
      <w:bookmarkStart w:id="249" w:name="_Toc30796"/>
      <w:bookmarkStart w:id="250" w:name="_Toc7698"/>
      <w:bookmarkStart w:id="251" w:name="_Toc20254"/>
      <w:r>
        <w:rPr>
          <w:rFonts w:hint="eastAsia"/>
          <w:color w:val="auto"/>
          <w:highlight w:val="none"/>
          <w:lang w:eastAsia="zh-CN"/>
        </w:rPr>
        <w:t>11.</w:t>
      </w:r>
      <w:r>
        <w:rPr>
          <w:rFonts w:hint="eastAsia"/>
          <w:color w:val="auto"/>
          <w:highlight w:val="none"/>
        </w:rPr>
        <w:t>2</w:t>
      </w:r>
      <w:r>
        <w:rPr>
          <w:rFonts w:hint="eastAsia"/>
          <w:color w:val="auto"/>
          <w:highlight w:val="none"/>
          <w:lang w:eastAsia="zh-CN"/>
        </w:rPr>
        <w:t xml:space="preserve">  </w:t>
      </w:r>
      <w:r>
        <w:rPr>
          <w:rFonts w:hint="eastAsia"/>
          <w:color w:val="auto"/>
          <w:highlight w:val="none"/>
        </w:rPr>
        <w:t>防生物危害</w:t>
      </w:r>
      <w:bookmarkEnd w:id="246"/>
      <w:bookmarkEnd w:id="247"/>
      <w:bookmarkEnd w:id="248"/>
      <w:bookmarkEnd w:id="249"/>
      <w:bookmarkEnd w:id="250"/>
      <w:bookmarkEnd w:id="251"/>
    </w:p>
    <w:p w14:paraId="048636F2">
      <w:pPr>
        <w:pStyle w:val="4"/>
        <w:bidi w:val="0"/>
        <w:rPr>
          <w:rFonts w:hint="eastAsia"/>
          <w:color w:val="auto"/>
          <w:highlight w:val="none"/>
        </w:rPr>
      </w:pPr>
      <w:r>
        <w:rPr>
          <w:rFonts w:hint="eastAsia"/>
          <w:b/>
          <w:bCs/>
          <w:color w:val="auto"/>
          <w:highlight w:val="none"/>
          <w:lang w:val="en-US" w:eastAsia="zh-CN"/>
        </w:rPr>
        <w:t>11</w:t>
      </w:r>
      <w:r>
        <w:rPr>
          <w:b/>
          <w:bCs/>
          <w:color w:val="auto"/>
          <w:highlight w:val="none"/>
        </w:rPr>
        <w:t xml:space="preserve">.2.1  </w:t>
      </w:r>
      <w:r>
        <w:rPr>
          <w:rFonts w:hint="eastAsia"/>
          <w:color w:val="auto"/>
          <w:highlight w:val="none"/>
        </w:rPr>
        <w:t>白蚁的预防措施应符合国家现行标准《房屋白蚁预防技术规程》</w:t>
      </w:r>
      <w:r>
        <w:rPr>
          <w:color w:val="auto"/>
          <w:highlight w:val="none"/>
        </w:rPr>
        <w:t>JGJ/T</w:t>
      </w:r>
      <w:r>
        <w:rPr>
          <w:rFonts w:hint="eastAsia"/>
          <w:color w:val="auto"/>
          <w:highlight w:val="none"/>
          <w:lang w:val="en-US" w:eastAsia="zh-CN"/>
        </w:rPr>
        <w:t xml:space="preserve"> </w:t>
      </w:r>
      <w:r>
        <w:rPr>
          <w:color w:val="auto"/>
          <w:highlight w:val="none"/>
        </w:rPr>
        <w:t>245</w:t>
      </w:r>
      <w:r>
        <w:rPr>
          <w:rFonts w:hint="eastAsia"/>
          <w:color w:val="auto"/>
          <w:highlight w:val="none"/>
        </w:rPr>
        <w:t>的规定。</w:t>
      </w:r>
    </w:p>
    <w:p w14:paraId="3BBFA8A9">
      <w:pPr>
        <w:pStyle w:val="50"/>
        <w:bidi w:val="0"/>
        <w:jc w:val="both"/>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11.2.1：木结构建筑相比其他材质的建筑，其使用寿命受到多种因素的影响，其中白蚁侵蚀是一个重要方面，如果不采取有效的预防措施，白蚁会迅速侵蚀木材，导致结构脆弱，威胁到建筑物的整体安全。因此，白蚁的预防措施应符合《房屋白蚁预防技术规程》JGJ/T 245的相关规定，通过科学、合理、有效的措施来预防和控制白蚁危害，保障房屋的安全和使用寿命，减少因白蚁侵蚀而导致的维修和更换成本。</w:t>
      </w:r>
    </w:p>
    <w:p w14:paraId="0299BF19">
      <w:pPr>
        <w:bidi w:val="0"/>
        <w:rPr>
          <w:rFonts w:hint="eastAsia"/>
          <w:color w:val="auto"/>
          <w:highlight w:val="none"/>
          <w:lang w:val="en-US" w:eastAsia="zh-CN"/>
        </w:rPr>
      </w:pPr>
    </w:p>
    <w:p w14:paraId="4EAE78CF">
      <w:pPr>
        <w:pStyle w:val="4"/>
        <w:bidi w:val="0"/>
        <w:rPr>
          <w:color w:val="auto"/>
          <w:highlight w:val="none"/>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2</w:t>
      </w:r>
      <w:r>
        <w:rPr>
          <w:b/>
          <w:bCs/>
          <w:color w:val="auto"/>
          <w:highlight w:val="none"/>
        </w:rPr>
        <w:t xml:space="preserve">  </w:t>
      </w:r>
      <w:r>
        <w:rPr>
          <w:rFonts w:hint="eastAsia"/>
          <w:color w:val="auto"/>
          <w:highlight w:val="none"/>
        </w:rPr>
        <w:t>木结构建筑的施工应符合下列规定</w:t>
      </w:r>
      <w:r>
        <w:rPr>
          <w:rFonts w:hint="eastAsia"/>
          <w:color w:val="auto"/>
          <w:highlight w:val="none"/>
          <w:lang w:eastAsia="zh-CN"/>
        </w:rPr>
        <w:t>：</w:t>
      </w:r>
    </w:p>
    <w:p w14:paraId="46750A3C">
      <w:pPr>
        <w:pStyle w:val="4"/>
        <w:bidi w:val="0"/>
        <w:ind w:firstLine="480" w:firstLineChars="200"/>
        <w:rPr>
          <w:color w:val="auto"/>
          <w:highlight w:val="none"/>
        </w:rPr>
      </w:pPr>
      <w:r>
        <w:rPr>
          <w:color w:val="auto"/>
          <w:highlight w:val="none"/>
        </w:rPr>
        <w:t xml:space="preserve">1  </w:t>
      </w:r>
      <w:r>
        <w:rPr>
          <w:rFonts w:hint="eastAsia"/>
          <w:color w:val="auto"/>
          <w:highlight w:val="none"/>
        </w:rPr>
        <w:t>施工前应对场地周围的树木和土壤进行白蚁检查和灭蚁工作；</w:t>
      </w:r>
    </w:p>
    <w:p w14:paraId="569532CA">
      <w:pPr>
        <w:pStyle w:val="4"/>
        <w:bidi w:val="0"/>
        <w:ind w:firstLine="480" w:firstLineChars="200"/>
        <w:rPr>
          <w:color w:val="auto"/>
          <w:highlight w:val="none"/>
        </w:rPr>
      </w:pPr>
      <w:r>
        <w:rPr>
          <w:color w:val="auto"/>
          <w:highlight w:val="none"/>
        </w:rPr>
        <w:t xml:space="preserve">2  </w:t>
      </w:r>
      <w:r>
        <w:rPr>
          <w:rFonts w:hint="eastAsia"/>
          <w:color w:val="auto"/>
          <w:highlight w:val="none"/>
        </w:rPr>
        <w:t>应清除地基土中已有的白蚁巢穴和潜在的白蚁栖息地；</w:t>
      </w:r>
    </w:p>
    <w:p w14:paraId="4C764903">
      <w:pPr>
        <w:pStyle w:val="4"/>
        <w:bidi w:val="0"/>
        <w:ind w:firstLine="480" w:firstLineChars="200"/>
        <w:rPr>
          <w:color w:val="auto"/>
          <w:highlight w:val="none"/>
        </w:rPr>
      </w:pPr>
      <w:r>
        <w:rPr>
          <w:color w:val="auto"/>
          <w:highlight w:val="none"/>
        </w:rPr>
        <w:t xml:space="preserve">3  </w:t>
      </w:r>
      <w:r>
        <w:rPr>
          <w:rFonts w:hint="eastAsia"/>
          <w:color w:val="auto"/>
          <w:highlight w:val="none"/>
        </w:rPr>
        <w:t>地基开挖时应彻底清除树桩、树根和其他埋在土壤中的木材；</w:t>
      </w:r>
    </w:p>
    <w:p w14:paraId="105AF4AD">
      <w:pPr>
        <w:pStyle w:val="4"/>
        <w:bidi w:val="0"/>
        <w:ind w:firstLine="480" w:firstLineChars="200"/>
        <w:rPr>
          <w:color w:val="auto"/>
          <w:highlight w:val="none"/>
        </w:rPr>
      </w:pPr>
      <w:r>
        <w:rPr>
          <w:color w:val="auto"/>
          <w:highlight w:val="none"/>
        </w:rPr>
        <w:t xml:space="preserve">4  </w:t>
      </w:r>
      <w:r>
        <w:rPr>
          <w:rFonts w:hint="eastAsia"/>
          <w:color w:val="auto"/>
          <w:highlight w:val="none"/>
        </w:rPr>
        <w:t>所有施工时产生的木模板、废木材、纸质品及其他有机垃圾，应在建造过程中或完工后及时清理干净；</w:t>
      </w:r>
    </w:p>
    <w:p w14:paraId="5C3090C1">
      <w:pPr>
        <w:pStyle w:val="4"/>
        <w:bidi w:val="0"/>
        <w:ind w:firstLine="480" w:firstLineChars="200"/>
        <w:rPr>
          <w:color w:val="auto"/>
          <w:highlight w:val="none"/>
        </w:rPr>
      </w:pPr>
      <w:r>
        <w:rPr>
          <w:color w:val="auto"/>
          <w:highlight w:val="none"/>
        </w:rPr>
        <w:t xml:space="preserve">5  </w:t>
      </w:r>
      <w:r>
        <w:rPr>
          <w:rFonts w:hint="eastAsia"/>
          <w:color w:val="auto"/>
          <w:highlight w:val="none"/>
        </w:rPr>
        <w:t>所有进</w:t>
      </w:r>
      <w:r>
        <w:rPr>
          <w:rFonts w:hint="eastAsia"/>
          <w:color w:val="auto"/>
          <w:highlight w:val="none"/>
          <w:lang w:val="en-US" w:eastAsia="zh-CN"/>
        </w:rPr>
        <w:t>入</w:t>
      </w:r>
      <w:r>
        <w:rPr>
          <w:rFonts w:hint="eastAsia"/>
          <w:color w:val="auto"/>
          <w:highlight w:val="none"/>
        </w:rPr>
        <w:t>现场的木材、其他林产品、土壤和绿化用树木，均应进行白蚁检疫，施工时不应采用任何受白蚁感染的材料；</w:t>
      </w:r>
    </w:p>
    <w:p w14:paraId="54786265">
      <w:pPr>
        <w:pStyle w:val="4"/>
        <w:bidi w:val="0"/>
        <w:ind w:firstLine="480" w:firstLineChars="200"/>
        <w:rPr>
          <w:rFonts w:hint="eastAsia"/>
          <w:color w:val="auto"/>
          <w:highlight w:val="none"/>
        </w:rPr>
      </w:pPr>
      <w:r>
        <w:rPr>
          <w:color w:val="auto"/>
          <w:highlight w:val="none"/>
        </w:rPr>
        <w:t xml:space="preserve">6  </w:t>
      </w:r>
      <w:r>
        <w:rPr>
          <w:rFonts w:hint="eastAsia"/>
          <w:color w:val="auto"/>
          <w:highlight w:val="none"/>
        </w:rPr>
        <w:t>应按设计要求做好防治白蚁的其他各项措施。</w:t>
      </w:r>
    </w:p>
    <w:p w14:paraId="6A61AC4D">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11.2.2：木结构建筑的施工应符合一系列关于白蚁防治的严格规定，以确保建筑的长期稳定性和安全性。这些规定主要包括以下几个方面：</w:t>
      </w:r>
    </w:p>
    <w:p w14:paraId="7F620DCA">
      <w:pPr>
        <w:pStyle w:val="50"/>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施工前的白蚁检查和灭蚁工作</w:t>
      </w:r>
    </w:p>
    <w:p w14:paraId="3756A665">
      <w:pPr>
        <w:pStyle w:val="50"/>
        <w:bidi w:val="0"/>
        <w:rPr>
          <w:rFonts w:hint="default"/>
          <w:color w:val="auto"/>
          <w:highlight w:val="none"/>
          <w:lang w:val="en-US" w:eastAsia="zh-CN"/>
        </w:rPr>
      </w:pPr>
      <w:r>
        <w:rPr>
          <w:rFonts w:hint="default"/>
          <w:color w:val="auto"/>
          <w:highlight w:val="none"/>
          <w:lang w:val="en-US" w:eastAsia="zh-CN"/>
        </w:rPr>
        <w:t>白蚁检查：在施工前，应对场地周围的树木和土壤进行全面的白蚁检查，以识别并确定是否存在白蚁活动及其巢穴的位置。</w:t>
      </w:r>
    </w:p>
    <w:p w14:paraId="4F36C918">
      <w:pPr>
        <w:pStyle w:val="50"/>
        <w:bidi w:val="0"/>
        <w:rPr>
          <w:rFonts w:hint="default"/>
          <w:color w:val="auto"/>
          <w:highlight w:val="none"/>
          <w:lang w:val="en-US" w:eastAsia="zh-CN"/>
        </w:rPr>
      </w:pPr>
      <w:r>
        <w:rPr>
          <w:rFonts w:hint="default"/>
          <w:color w:val="auto"/>
          <w:highlight w:val="none"/>
          <w:lang w:val="en-US" w:eastAsia="zh-CN"/>
        </w:rPr>
        <w:t>灭蚁工作：一旦发现白蚁巢穴或活动迹象，应立即采取有效措施进行灭蚁处理，如使用化学药剂或物理方法摧毁巢穴，以防止白蚁对木结构建筑造成损害。</w:t>
      </w:r>
    </w:p>
    <w:p w14:paraId="23F16B33">
      <w:pPr>
        <w:pStyle w:val="50"/>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地基处理与清理</w:t>
      </w:r>
    </w:p>
    <w:p w14:paraId="24F9F668">
      <w:pPr>
        <w:pStyle w:val="50"/>
        <w:bidi w:val="0"/>
        <w:rPr>
          <w:rFonts w:hint="default"/>
          <w:color w:val="auto"/>
          <w:highlight w:val="none"/>
          <w:lang w:val="en-US" w:eastAsia="zh-CN"/>
        </w:rPr>
      </w:pPr>
      <w:r>
        <w:rPr>
          <w:rFonts w:hint="default"/>
          <w:color w:val="auto"/>
          <w:highlight w:val="none"/>
          <w:lang w:val="en-US" w:eastAsia="zh-CN"/>
        </w:rPr>
        <w:t>清除白蚁巢穴和栖息地：应清除地基土中已有的白蚁巢穴和潜在的白蚁栖息地，以减少白蚁对地基的侵蚀和破坏。</w:t>
      </w:r>
    </w:p>
    <w:p w14:paraId="00F260DB">
      <w:pPr>
        <w:pStyle w:val="50"/>
        <w:bidi w:val="0"/>
        <w:rPr>
          <w:rFonts w:hint="default"/>
          <w:color w:val="auto"/>
          <w:highlight w:val="none"/>
          <w:lang w:val="en-US" w:eastAsia="zh-CN"/>
        </w:rPr>
      </w:pPr>
      <w:r>
        <w:rPr>
          <w:rFonts w:hint="default"/>
          <w:color w:val="auto"/>
          <w:highlight w:val="none"/>
          <w:lang w:val="en-US" w:eastAsia="zh-CN"/>
        </w:rPr>
        <w:t>彻底清除树桩、树根等木材：地基开挖时，应彻底清除树桩、树根和其他埋在土壤中的木材，以避免为白蚁提供食物来源和栖息地。</w:t>
      </w:r>
    </w:p>
    <w:p w14:paraId="439C741B">
      <w:pPr>
        <w:pStyle w:val="50"/>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施工过程中的垃圾处理</w:t>
      </w:r>
    </w:p>
    <w:p w14:paraId="2D330B34">
      <w:pPr>
        <w:pStyle w:val="50"/>
        <w:bidi w:val="0"/>
        <w:rPr>
          <w:rFonts w:hint="default"/>
          <w:color w:val="auto"/>
          <w:highlight w:val="none"/>
          <w:lang w:val="en-US" w:eastAsia="zh-CN"/>
        </w:rPr>
      </w:pPr>
      <w:r>
        <w:rPr>
          <w:rFonts w:hint="default"/>
          <w:color w:val="auto"/>
          <w:highlight w:val="none"/>
          <w:lang w:val="en-US" w:eastAsia="zh-CN"/>
        </w:rPr>
        <w:t>所有施工时产生的木模板、废木材、纸质品及其他有机垃圾，应在建造过程中或完工后及时清理干净，以防止这些垃圾成为白蚁的食物来源。</w:t>
      </w:r>
    </w:p>
    <w:p w14:paraId="6D6BA4B9">
      <w:pPr>
        <w:pStyle w:val="50"/>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材料进场检疫</w:t>
      </w:r>
    </w:p>
    <w:p w14:paraId="67D37EDC">
      <w:pPr>
        <w:pStyle w:val="50"/>
        <w:bidi w:val="0"/>
        <w:rPr>
          <w:rFonts w:hint="default"/>
          <w:color w:val="auto"/>
          <w:highlight w:val="none"/>
          <w:lang w:val="en-US" w:eastAsia="zh-CN"/>
        </w:rPr>
      </w:pPr>
      <w:r>
        <w:rPr>
          <w:rFonts w:hint="default"/>
          <w:color w:val="auto"/>
          <w:highlight w:val="none"/>
          <w:lang w:val="en-US" w:eastAsia="zh-CN"/>
        </w:rPr>
        <w:t>白蚁检疫：所有进入现场的木材、其他林产品、土壤和绿化用树木，均应进行严格的白蚁检疫</w:t>
      </w:r>
      <w:r>
        <w:rPr>
          <w:rFonts w:hint="eastAsia"/>
          <w:color w:val="auto"/>
          <w:highlight w:val="none"/>
          <w:lang w:val="en-US" w:eastAsia="zh-CN"/>
        </w:rPr>
        <w:t>，</w:t>
      </w:r>
      <w:r>
        <w:rPr>
          <w:rFonts w:hint="default"/>
          <w:color w:val="auto"/>
          <w:highlight w:val="none"/>
          <w:lang w:val="en-US" w:eastAsia="zh-CN"/>
        </w:rPr>
        <w:t>检疫合格后方可使用于施工中。</w:t>
      </w:r>
    </w:p>
    <w:p w14:paraId="22D86E23">
      <w:pPr>
        <w:pStyle w:val="50"/>
        <w:bidi w:val="0"/>
        <w:rPr>
          <w:rFonts w:hint="default"/>
          <w:color w:val="auto"/>
          <w:highlight w:val="none"/>
          <w:lang w:val="en-US" w:eastAsia="zh-CN"/>
        </w:rPr>
      </w:pPr>
      <w:r>
        <w:rPr>
          <w:rFonts w:hint="default"/>
          <w:color w:val="auto"/>
          <w:highlight w:val="none"/>
          <w:lang w:val="en-US" w:eastAsia="zh-CN"/>
        </w:rPr>
        <w:t>禁止使用受感染材料：施工时不应采用任何受白蚁感染的材料，以防止白蚁通过材料传播至建筑内部。</w:t>
      </w:r>
    </w:p>
    <w:p w14:paraId="25855B11">
      <w:pPr>
        <w:pStyle w:val="50"/>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按设计要求做好防治白蚁的其他措施</w:t>
      </w:r>
    </w:p>
    <w:p w14:paraId="4BB84DFC">
      <w:pPr>
        <w:pStyle w:val="50"/>
        <w:bidi w:val="0"/>
        <w:rPr>
          <w:rFonts w:hint="default"/>
          <w:color w:val="auto"/>
          <w:highlight w:val="none"/>
          <w:lang w:val="en-US" w:eastAsia="zh-CN"/>
        </w:rPr>
      </w:pPr>
      <w:r>
        <w:rPr>
          <w:rFonts w:hint="default"/>
          <w:color w:val="auto"/>
          <w:highlight w:val="none"/>
          <w:lang w:val="en-US" w:eastAsia="zh-CN"/>
        </w:rPr>
        <w:t>设计阶段的白蚁防治考虑：在建筑设计阶段，就应充分考虑白蚁防治的需求，制定科学合理的防治方案。</w:t>
      </w:r>
    </w:p>
    <w:p w14:paraId="43158217">
      <w:pPr>
        <w:pStyle w:val="50"/>
        <w:bidi w:val="0"/>
        <w:rPr>
          <w:rFonts w:hint="default"/>
          <w:color w:val="auto"/>
          <w:highlight w:val="none"/>
          <w:lang w:val="en-US" w:eastAsia="zh-CN"/>
        </w:rPr>
      </w:pPr>
      <w:r>
        <w:rPr>
          <w:rFonts w:hint="default"/>
          <w:color w:val="auto"/>
          <w:highlight w:val="none"/>
          <w:lang w:val="en-US" w:eastAsia="zh-CN"/>
        </w:rPr>
        <w:t>施工阶段的防治措施：在施工过程中，应严格按照设计要求执行各项白蚁防治措施，如设置防白蚁屏障、进行药物处理等。</w:t>
      </w:r>
    </w:p>
    <w:p w14:paraId="2A00808F">
      <w:pPr>
        <w:rPr>
          <w:rFonts w:hint="eastAsia"/>
          <w:color w:val="auto"/>
          <w:highlight w:val="none"/>
        </w:rPr>
      </w:pPr>
    </w:p>
    <w:p w14:paraId="0EE7DA97">
      <w:pPr>
        <w:pStyle w:val="4"/>
        <w:bidi w:val="0"/>
        <w:rPr>
          <w:rFonts w:hint="eastAsia"/>
          <w:color w:val="auto"/>
          <w:highlight w:val="none"/>
          <w:lang w:eastAsia="zh-CN"/>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3</w:t>
      </w:r>
      <w:r>
        <w:rPr>
          <w:b/>
          <w:bCs/>
          <w:color w:val="auto"/>
          <w:highlight w:val="none"/>
        </w:rPr>
        <w:t xml:space="preserve">  </w:t>
      </w:r>
      <w:r>
        <w:rPr>
          <w:rFonts w:hint="eastAsia"/>
          <w:color w:val="auto"/>
          <w:highlight w:val="none"/>
        </w:rPr>
        <w:t>木结构建筑的防白蚁设计应符合下列规定</w:t>
      </w:r>
      <w:r>
        <w:rPr>
          <w:rFonts w:hint="eastAsia"/>
          <w:color w:val="auto"/>
          <w:highlight w:val="none"/>
          <w:lang w:eastAsia="zh-CN"/>
        </w:rPr>
        <w:t>：</w:t>
      </w:r>
    </w:p>
    <w:p w14:paraId="64AC5C10">
      <w:pPr>
        <w:pStyle w:val="4"/>
        <w:bidi w:val="0"/>
        <w:ind w:firstLine="480" w:firstLineChars="200"/>
        <w:rPr>
          <w:rFonts w:hint="eastAsia"/>
          <w:color w:val="auto"/>
          <w:highlight w:val="none"/>
          <w:lang w:eastAsia="zh-CN"/>
        </w:rPr>
      </w:pPr>
      <w:r>
        <w:rPr>
          <w:color w:val="auto"/>
          <w:highlight w:val="none"/>
        </w:rPr>
        <w:t xml:space="preserve">1  </w:t>
      </w:r>
      <w:r>
        <w:rPr>
          <w:rFonts w:hint="eastAsia"/>
          <w:color w:val="auto"/>
          <w:highlight w:val="none"/>
        </w:rPr>
        <w:t>直接与土壤接触的基础和外墙，应采用混凝土或砖石结构</w:t>
      </w:r>
      <w:r>
        <w:rPr>
          <w:rFonts w:hint="eastAsia"/>
          <w:color w:val="auto"/>
          <w:highlight w:val="none"/>
          <w:lang w:eastAsia="zh-CN"/>
        </w:rPr>
        <w:t>；</w:t>
      </w:r>
      <w:r>
        <w:rPr>
          <w:rFonts w:hint="eastAsia"/>
          <w:color w:val="auto"/>
          <w:highlight w:val="none"/>
        </w:rPr>
        <w:t>基础和外墙中出现的缝隙宽度不应大于</w:t>
      </w:r>
      <w:r>
        <w:rPr>
          <w:color w:val="auto"/>
          <w:highlight w:val="none"/>
        </w:rPr>
        <w:t>0.3mm</w:t>
      </w:r>
      <w:r>
        <w:rPr>
          <w:rFonts w:hint="eastAsia"/>
          <w:color w:val="auto"/>
          <w:highlight w:val="none"/>
          <w:lang w:eastAsia="zh-CN"/>
        </w:rPr>
        <w:t>；</w:t>
      </w:r>
    </w:p>
    <w:p w14:paraId="487BFBE8">
      <w:pPr>
        <w:pStyle w:val="4"/>
        <w:bidi w:val="0"/>
        <w:ind w:firstLine="480" w:firstLineChars="200"/>
        <w:rPr>
          <w:rFonts w:hint="eastAsia"/>
          <w:color w:val="auto"/>
          <w:highlight w:val="none"/>
          <w:lang w:eastAsia="zh-CN"/>
        </w:rPr>
      </w:pPr>
      <w:r>
        <w:rPr>
          <w:color w:val="auto"/>
          <w:highlight w:val="none"/>
        </w:rPr>
        <w:t xml:space="preserve">2  </w:t>
      </w:r>
      <w:r>
        <w:rPr>
          <w:rFonts w:hint="eastAsia"/>
          <w:color w:val="auto"/>
          <w:highlight w:val="none"/>
        </w:rPr>
        <w:t>当无地下室时，底层地面应采用混凝土结构，并宜采用整浇的混凝土地面</w:t>
      </w:r>
      <w:r>
        <w:rPr>
          <w:rFonts w:hint="eastAsia"/>
          <w:color w:val="auto"/>
          <w:highlight w:val="none"/>
          <w:lang w:eastAsia="zh-CN"/>
        </w:rPr>
        <w:t>；</w:t>
      </w:r>
    </w:p>
    <w:p w14:paraId="680C8B6E">
      <w:pPr>
        <w:pStyle w:val="4"/>
        <w:bidi w:val="0"/>
        <w:ind w:firstLine="480" w:firstLineChars="200"/>
        <w:rPr>
          <w:rFonts w:hint="eastAsia"/>
          <w:color w:val="auto"/>
          <w:highlight w:val="none"/>
          <w:lang w:eastAsia="zh-CN"/>
        </w:rPr>
      </w:pPr>
      <w:r>
        <w:rPr>
          <w:color w:val="auto"/>
          <w:highlight w:val="none"/>
        </w:rPr>
        <w:t xml:space="preserve">3  </w:t>
      </w:r>
      <w:r>
        <w:rPr>
          <w:rFonts w:hint="eastAsia"/>
          <w:color w:val="auto"/>
          <w:highlight w:val="none"/>
        </w:rPr>
        <w:t>由地下通往室内的设备电缆缝隙、管道孔缝隙、基础顶面与底层混凝土地坪之间的接缝，应采用防白蚁物理屏障或土壤化学屏障进行局部处理</w:t>
      </w:r>
      <w:r>
        <w:rPr>
          <w:rFonts w:hint="eastAsia"/>
          <w:color w:val="auto"/>
          <w:highlight w:val="none"/>
          <w:lang w:eastAsia="zh-CN"/>
        </w:rPr>
        <w:t>；</w:t>
      </w:r>
    </w:p>
    <w:p w14:paraId="5925DBEE">
      <w:pPr>
        <w:pStyle w:val="4"/>
        <w:bidi w:val="0"/>
        <w:ind w:firstLine="480" w:firstLineChars="200"/>
        <w:rPr>
          <w:rFonts w:hint="eastAsia"/>
          <w:color w:val="auto"/>
          <w:highlight w:val="none"/>
          <w:lang w:eastAsia="zh-CN"/>
        </w:rPr>
      </w:pPr>
      <w:r>
        <w:rPr>
          <w:color w:val="auto"/>
          <w:highlight w:val="none"/>
        </w:rPr>
        <w:t xml:space="preserve">4  </w:t>
      </w:r>
      <w:r>
        <w:rPr>
          <w:rFonts w:hint="eastAsia"/>
          <w:color w:val="auto"/>
          <w:highlight w:val="none"/>
        </w:rPr>
        <w:t>外墙的排水通风空气层开口处应设置连续的防虫网，防虫网隔栅孔径应小于</w:t>
      </w:r>
      <w:r>
        <w:rPr>
          <w:color w:val="auto"/>
          <w:highlight w:val="none"/>
        </w:rPr>
        <w:t>1mm</w:t>
      </w:r>
      <w:r>
        <w:rPr>
          <w:rFonts w:hint="eastAsia"/>
          <w:color w:val="auto"/>
          <w:highlight w:val="none"/>
          <w:lang w:eastAsia="zh-CN"/>
        </w:rPr>
        <w:t>；</w:t>
      </w:r>
    </w:p>
    <w:p w14:paraId="5A76F7CF">
      <w:pPr>
        <w:pStyle w:val="4"/>
        <w:bidi w:val="0"/>
        <w:ind w:firstLine="480" w:firstLineChars="200"/>
        <w:rPr>
          <w:rFonts w:hint="eastAsia"/>
          <w:color w:val="auto"/>
          <w:highlight w:val="none"/>
          <w:lang w:eastAsia="zh-CN"/>
        </w:rPr>
      </w:pPr>
      <w:r>
        <w:rPr>
          <w:color w:val="auto"/>
          <w:highlight w:val="none"/>
        </w:rPr>
        <w:t xml:space="preserve">5  </w:t>
      </w:r>
      <w:r>
        <w:rPr>
          <w:rFonts w:hint="eastAsia"/>
          <w:color w:val="auto"/>
          <w:highlight w:val="none"/>
        </w:rPr>
        <w:t>地基的外排水层或外保温绝热层不宜高出室外地坪，否则应作局部防白蚁处理</w:t>
      </w:r>
      <w:r>
        <w:rPr>
          <w:rFonts w:hint="eastAsia"/>
          <w:color w:val="auto"/>
          <w:highlight w:val="none"/>
          <w:lang w:eastAsia="zh-CN"/>
        </w:rPr>
        <w:t>。</w:t>
      </w:r>
    </w:p>
    <w:p w14:paraId="3DBAA037">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11.2.3：木结构建筑的防白蚁设计是一个综合性的工程，需要从基础、外墙、地面、缝隙处理、排水通风以及地基处理等多个方面入手，采取多种措施共同防范白蚁的危害。</w:t>
      </w:r>
      <w:r>
        <w:rPr>
          <w:rFonts w:hint="default"/>
          <w:color w:val="auto"/>
          <w:highlight w:val="none"/>
          <w:lang w:val="en-US" w:eastAsia="zh-CN"/>
        </w:rPr>
        <w:t>通过这些设计措施的实施，可以有效地提高木结构建筑的耐久性和安全性。</w:t>
      </w:r>
    </w:p>
    <w:p w14:paraId="46E349C1">
      <w:pPr>
        <w:pStyle w:val="50"/>
        <w:bidi w:val="0"/>
        <w:rPr>
          <w:rFonts w:hint="eastAsia"/>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基础与外墙</w:t>
      </w:r>
    </w:p>
    <w:p w14:paraId="4D5FBB45">
      <w:pPr>
        <w:pStyle w:val="50"/>
        <w:bidi w:val="0"/>
        <w:rPr>
          <w:rFonts w:hint="eastAsia"/>
          <w:color w:val="auto"/>
          <w:highlight w:val="none"/>
          <w:lang w:val="en-US" w:eastAsia="zh-CN"/>
        </w:rPr>
      </w:pPr>
      <w:r>
        <w:rPr>
          <w:rFonts w:hint="default"/>
          <w:color w:val="auto"/>
          <w:highlight w:val="none"/>
          <w:lang w:val="en-US" w:eastAsia="zh-CN"/>
        </w:rPr>
        <w:t>直接与土壤接触的基础和外墙</w:t>
      </w:r>
      <w:r>
        <w:rPr>
          <w:rFonts w:hint="eastAsia"/>
          <w:color w:val="auto"/>
          <w:highlight w:val="none"/>
          <w:lang w:val="en-US" w:eastAsia="zh-CN"/>
        </w:rPr>
        <w:t>，</w:t>
      </w:r>
      <w:r>
        <w:rPr>
          <w:rFonts w:hint="default"/>
          <w:color w:val="auto"/>
          <w:highlight w:val="none"/>
          <w:lang w:val="en-US" w:eastAsia="zh-CN"/>
        </w:rPr>
        <w:t>应采用混凝土或砖石结构，因为这些材料对白蚁有天然的抵抗性。同时，应确保基础和外墙中的缝隙宽度不超过0.3mm，以防止白蚁通过这些缝隙侵入建筑内部。</w:t>
      </w:r>
    </w:p>
    <w:p w14:paraId="71207780">
      <w:pPr>
        <w:pStyle w:val="50"/>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底层地面</w:t>
      </w:r>
    </w:p>
    <w:p w14:paraId="3A1B2EC0">
      <w:pPr>
        <w:pStyle w:val="50"/>
        <w:bidi w:val="0"/>
        <w:rPr>
          <w:rFonts w:hint="default"/>
          <w:color w:val="auto"/>
          <w:highlight w:val="none"/>
          <w:lang w:val="en-US" w:eastAsia="zh-CN"/>
        </w:rPr>
      </w:pPr>
      <w:r>
        <w:rPr>
          <w:rFonts w:hint="default"/>
          <w:color w:val="auto"/>
          <w:highlight w:val="none"/>
          <w:lang w:val="en-US" w:eastAsia="zh-CN"/>
        </w:rPr>
        <w:t>当木结构建筑无地下室时，底层地面应采用混凝土结构，并优先考虑整浇的混凝土地面。这种设计可以有效地隔绝白蚁从地面侵入建筑的可能性。</w:t>
      </w:r>
    </w:p>
    <w:p w14:paraId="77567F7A">
      <w:pPr>
        <w:pStyle w:val="50"/>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缝隙与接口处理</w:t>
      </w:r>
    </w:p>
    <w:p w14:paraId="7515A6B3">
      <w:pPr>
        <w:pStyle w:val="50"/>
        <w:bidi w:val="0"/>
        <w:rPr>
          <w:rFonts w:hint="default"/>
          <w:color w:val="auto"/>
          <w:highlight w:val="none"/>
          <w:lang w:val="en-US" w:eastAsia="zh-CN"/>
        </w:rPr>
      </w:pPr>
      <w:r>
        <w:rPr>
          <w:rFonts w:hint="default"/>
          <w:color w:val="auto"/>
          <w:highlight w:val="none"/>
          <w:lang w:val="en-US" w:eastAsia="zh-CN"/>
        </w:rPr>
        <w:t>由地下通往室内的设备电缆缝隙、管道孔缝隙、基础顶面与底层混凝土地坪之间的接缝等，都是白蚁可能侵入的通道。因此，这些缝隙应采用防白蚁物理屏障（如不锈钢网、塑料板等）或土壤化学屏障进行局部处理，以防止白蚁通过这些缝隙进入建筑内部。</w:t>
      </w:r>
    </w:p>
    <w:p w14:paraId="4A11CDB3">
      <w:pPr>
        <w:pStyle w:val="50"/>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外墙排水通风</w:t>
      </w:r>
    </w:p>
    <w:p w14:paraId="42217978">
      <w:pPr>
        <w:pStyle w:val="50"/>
        <w:bidi w:val="0"/>
        <w:rPr>
          <w:rFonts w:hint="default"/>
          <w:color w:val="auto"/>
          <w:highlight w:val="none"/>
          <w:lang w:val="en-US" w:eastAsia="zh-CN"/>
        </w:rPr>
      </w:pPr>
      <w:r>
        <w:rPr>
          <w:rFonts w:hint="default"/>
          <w:color w:val="auto"/>
          <w:highlight w:val="none"/>
          <w:lang w:val="en-US" w:eastAsia="zh-CN"/>
        </w:rPr>
        <w:t>外墙的排水通风空气层开口处应设置连续的防虫网，防虫网隔栅孔径应小于1mm，以防止白蚁等害虫通过空气层进入建筑内部。</w:t>
      </w:r>
    </w:p>
    <w:p w14:paraId="3762E4D8">
      <w:pPr>
        <w:pStyle w:val="50"/>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地基外排水层与保温绝热层处理</w:t>
      </w:r>
    </w:p>
    <w:p w14:paraId="2D4F60B0">
      <w:pPr>
        <w:pStyle w:val="50"/>
        <w:bidi w:val="0"/>
        <w:rPr>
          <w:rFonts w:hint="default"/>
          <w:color w:val="auto"/>
          <w:highlight w:val="none"/>
          <w:lang w:val="en-US" w:eastAsia="zh-CN"/>
        </w:rPr>
      </w:pPr>
      <w:r>
        <w:rPr>
          <w:rFonts w:hint="default"/>
          <w:color w:val="auto"/>
          <w:highlight w:val="none"/>
          <w:lang w:val="en-US" w:eastAsia="zh-CN"/>
        </w:rPr>
        <w:t>地基的外排水层或外保温绝热层一般不宜高出室外地坪，因为高出地坪的部分容易成为白蚁的侵入路径。如果必须高出地坪，应采取局部防白蚁处理技术措施，如设置化学屏障或物理屏障等。</w:t>
      </w:r>
    </w:p>
    <w:p w14:paraId="7F78C990">
      <w:pPr>
        <w:rPr>
          <w:rFonts w:hint="default"/>
          <w:color w:val="auto"/>
          <w:highlight w:val="none"/>
          <w:lang w:val="en-US" w:eastAsia="zh-CN"/>
        </w:rPr>
      </w:pPr>
    </w:p>
    <w:p w14:paraId="63BBF0B9">
      <w:pPr>
        <w:pStyle w:val="4"/>
        <w:bidi w:val="0"/>
        <w:rPr>
          <w:color w:val="auto"/>
          <w:highlight w:val="none"/>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4</w:t>
      </w:r>
      <w:r>
        <w:rPr>
          <w:b/>
          <w:bCs/>
          <w:color w:val="auto"/>
          <w:highlight w:val="none"/>
        </w:rPr>
        <w:t xml:space="preserve">  </w:t>
      </w:r>
      <w:r>
        <w:rPr>
          <w:rFonts w:hint="eastAsia"/>
          <w:color w:val="auto"/>
          <w:highlight w:val="none"/>
        </w:rPr>
        <w:t>轻型木结构建筑物防白蚁设计应满足</w:t>
      </w:r>
      <w:r>
        <w:rPr>
          <w:rFonts w:hint="eastAsia"/>
          <w:color w:val="auto"/>
          <w:highlight w:val="none"/>
          <w:lang w:val="en-US" w:eastAsia="zh-CN"/>
        </w:rPr>
        <w:t>11.2.2</w:t>
      </w:r>
      <w:r>
        <w:rPr>
          <w:rFonts w:hint="eastAsia"/>
          <w:color w:val="auto"/>
          <w:highlight w:val="none"/>
        </w:rPr>
        <w:t>和</w:t>
      </w:r>
      <w:r>
        <w:rPr>
          <w:rFonts w:hint="eastAsia"/>
          <w:color w:val="auto"/>
          <w:highlight w:val="none"/>
          <w:lang w:val="en-US" w:eastAsia="zh-CN"/>
        </w:rPr>
        <w:t>11.2.3</w:t>
      </w:r>
      <w:r>
        <w:rPr>
          <w:rFonts w:hint="eastAsia"/>
          <w:color w:val="auto"/>
          <w:highlight w:val="none"/>
        </w:rPr>
        <w:t>的条件，并应选择以下三种方法中的一种：防白蚁土壤化学处理、白蚁诱饵系统或物理屏障等措施，同时应符合下列规定：</w:t>
      </w:r>
    </w:p>
    <w:p w14:paraId="1CFBE675">
      <w:pPr>
        <w:pStyle w:val="4"/>
        <w:bidi w:val="0"/>
        <w:ind w:firstLine="480" w:firstLineChars="200"/>
        <w:rPr>
          <w:color w:val="auto"/>
          <w:highlight w:val="none"/>
        </w:rPr>
      </w:pPr>
      <w:r>
        <w:rPr>
          <w:color w:val="auto"/>
          <w:highlight w:val="none"/>
        </w:rPr>
        <w:t xml:space="preserve">1  </w:t>
      </w:r>
      <w:r>
        <w:rPr>
          <w:rFonts w:hint="eastAsia"/>
          <w:color w:val="auto"/>
          <w:highlight w:val="none"/>
        </w:rPr>
        <w:t>防白蚁土壤化学处理应采用土壤防白蚁药剂。土壤防白蚁药剂的浓度、用药量和处理方法必须严格符合现行国家有关要求及药剂产品的要求；</w:t>
      </w:r>
    </w:p>
    <w:p w14:paraId="554EFD67">
      <w:pPr>
        <w:pStyle w:val="4"/>
        <w:bidi w:val="0"/>
        <w:ind w:firstLine="480" w:firstLineChars="200"/>
        <w:rPr>
          <w:color w:val="auto"/>
          <w:highlight w:val="none"/>
        </w:rPr>
      </w:pPr>
      <w:r>
        <w:rPr>
          <w:color w:val="auto"/>
          <w:highlight w:val="none"/>
        </w:rPr>
        <w:t xml:space="preserve">2  </w:t>
      </w:r>
      <w:r>
        <w:rPr>
          <w:rFonts w:hint="eastAsia"/>
          <w:color w:val="auto"/>
          <w:highlight w:val="none"/>
        </w:rPr>
        <w:t>白蚁诱饵系统的使用应严格符合现行国家有关要求及药剂产品的要求</w:t>
      </w:r>
      <w:r>
        <w:rPr>
          <w:rFonts w:hint="eastAsia"/>
          <w:color w:val="auto"/>
          <w:highlight w:val="none"/>
          <w:lang w:eastAsia="zh-CN"/>
        </w:rPr>
        <w:t>，</w:t>
      </w:r>
      <w:r>
        <w:rPr>
          <w:rFonts w:hint="eastAsia"/>
          <w:color w:val="auto"/>
          <w:highlight w:val="none"/>
        </w:rPr>
        <w:t>并确保其放置、维护和监控从居住许可起至少</w:t>
      </w:r>
      <w:r>
        <w:rPr>
          <w:color w:val="auto"/>
          <w:highlight w:val="none"/>
        </w:rPr>
        <w:t>10</w:t>
      </w:r>
      <w:r>
        <w:rPr>
          <w:rFonts w:hint="eastAsia"/>
          <w:color w:val="auto"/>
          <w:highlight w:val="none"/>
        </w:rPr>
        <w:t>年有效；</w:t>
      </w:r>
    </w:p>
    <w:p w14:paraId="09CDE889">
      <w:pPr>
        <w:pStyle w:val="4"/>
        <w:bidi w:val="0"/>
        <w:ind w:firstLine="480" w:firstLineChars="200"/>
        <w:rPr>
          <w:rFonts w:hint="eastAsia"/>
          <w:color w:val="auto"/>
          <w:highlight w:val="none"/>
        </w:rPr>
      </w:pPr>
      <w:r>
        <w:rPr>
          <w:color w:val="auto"/>
          <w:highlight w:val="none"/>
        </w:rPr>
        <w:t xml:space="preserve">3  </w:t>
      </w:r>
      <w:r>
        <w:rPr>
          <w:rFonts w:hint="eastAsia"/>
          <w:color w:val="auto"/>
          <w:highlight w:val="none"/>
        </w:rPr>
        <w:t>白蚁物理屏障应采用符合相关规定的防白蚁物理屏障方法。常用的物理屏障有防白蚁沙障、金属或塑料护网和环管、防白蚁药剂处理薄膜。</w:t>
      </w:r>
    </w:p>
    <w:p w14:paraId="59DB6F3A">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11.2.4：</w:t>
      </w:r>
      <w:r>
        <w:rPr>
          <w:rFonts w:hint="default"/>
          <w:color w:val="auto"/>
          <w:highlight w:val="none"/>
          <w:lang w:val="en-US" w:eastAsia="zh-CN"/>
        </w:rPr>
        <w:t>轻型木结构建筑防白蚁设计需要综合考虑多种因素，包括药剂的选择和使用、诱饵系统的维护和监控以及物理屏障的安装等。通过科学合理的防蚁措施，可以有效保护建筑物的安全和稳定。</w:t>
      </w:r>
    </w:p>
    <w:p w14:paraId="4DB3AAB2">
      <w:pPr>
        <w:pStyle w:val="50"/>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防白蚁土壤化学处理</w:t>
      </w:r>
    </w:p>
    <w:p w14:paraId="7C176CBC">
      <w:pPr>
        <w:pStyle w:val="50"/>
        <w:bidi w:val="0"/>
        <w:rPr>
          <w:rFonts w:hint="default"/>
          <w:color w:val="auto"/>
          <w:highlight w:val="none"/>
          <w:lang w:val="en-US" w:eastAsia="zh-CN"/>
        </w:rPr>
      </w:pPr>
      <w:r>
        <w:rPr>
          <w:rFonts w:hint="default"/>
          <w:color w:val="auto"/>
          <w:highlight w:val="none"/>
          <w:lang w:val="en-US" w:eastAsia="zh-CN"/>
        </w:rPr>
        <w:t>土壤防白蚁药剂的选择：在进行土壤化学处理时，</w:t>
      </w:r>
      <w:r>
        <w:rPr>
          <w:rFonts w:hint="eastAsia"/>
          <w:color w:val="auto"/>
          <w:highlight w:val="none"/>
          <w:lang w:val="en-US" w:eastAsia="zh-CN"/>
        </w:rPr>
        <w:t>应</w:t>
      </w:r>
      <w:r>
        <w:rPr>
          <w:rFonts w:hint="default"/>
          <w:color w:val="auto"/>
          <w:highlight w:val="none"/>
          <w:lang w:val="en-US" w:eastAsia="zh-CN"/>
        </w:rPr>
        <w:t>选用符合国家现行标准的土壤防白蚁药剂</w:t>
      </w:r>
      <w:r>
        <w:rPr>
          <w:rFonts w:hint="eastAsia"/>
          <w:color w:val="auto"/>
          <w:highlight w:val="none"/>
          <w:lang w:val="en-US" w:eastAsia="zh-CN"/>
        </w:rPr>
        <w:t>，</w:t>
      </w:r>
      <w:r>
        <w:rPr>
          <w:rFonts w:hint="default"/>
          <w:color w:val="auto"/>
          <w:highlight w:val="none"/>
          <w:lang w:val="en-US" w:eastAsia="zh-CN"/>
        </w:rPr>
        <w:t>这些药剂应经过严格的安全性和有效性评估，以确保其在使用过程中既能有效防止白蚁侵害，又不会对环境和人体健康造成危害。</w:t>
      </w:r>
    </w:p>
    <w:p w14:paraId="76E68DD5">
      <w:pPr>
        <w:pStyle w:val="50"/>
        <w:bidi w:val="0"/>
        <w:rPr>
          <w:rFonts w:hint="default"/>
          <w:color w:val="auto"/>
          <w:highlight w:val="none"/>
          <w:lang w:val="en-US" w:eastAsia="zh-CN"/>
        </w:rPr>
      </w:pPr>
      <w:r>
        <w:rPr>
          <w:rFonts w:hint="default"/>
          <w:color w:val="auto"/>
          <w:highlight w:val="none"/>
          <w:lang w:val="en-US" w:eastAsia="zh-CN"/>
        </w:rPr>
        <w:t>浓度、用药量和处理方法的控制：药剂的浓度、用药量以及具体的处理方法</w:t>
      </w:r>
      <w:r>
        <w:rPr>
          <w:rFonts w:hint="eastAsia"/>
          <w:color w:val="auto"/>
          <w:highlight w:val="none"/>
          <w:lang w:val="en-US" w:eastAsia="zh-CN"/>
        </w:rPr>
        <w:t>应</w:t>
      </w:r>
      <w:r>
        <w:rPr>
          <w:rFonts w:hint="default"/>
          <w:color w:val="auto"/>
          <w:highlight w:val="none"/>
          <w:lang w:val="en-US" w:eastAsia="zh-CN"/>
        </w:rPr>
        <w:t>严格按照国家相关要求及药剂产品的说明书进行操作</w:t>
      </w:r>
      <w:r>
        <w:rPr>
          <w:rFonts w:hint="eastAsia"/>
          <w:color w:val="auto"/>
          <w:highlight w:val="none"/>
          <w:lang w:val="en-US" w:eastAsia="zh-CN"/>
        </w:rPr>
        <w:t>，</w:t>
      </w:r>
      <w:r>
        <w:rPr>
          <w:rFonts w:hint="default"/>
          <w:color w:val="auto"/>
          <w:highlight w:val="none"/>
          <w:lang w:val="en-US" w:eastAsia="zh-CN"/>
        </w:rPr>
        <w:t>过量使用药剂可能导致环境污染，而用量不足则可能无法达到预期的防蚁效果。同时，处理方法的选择也应根据土壤类型、气候条件等因素进行综合考虑。</w:t>
      </w:r>
    </w:p>
    <w:p w14:paraId="77F763D1">
      <w:pPr>
        <w:pStyle w:val="50"/>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白蚁诱饵系统的使用</w:t>
      </w:r>
    </w:p>
    <w:p w14:paraId="0FAB1F2E">
      <w:pPr>
        <w:pStyle w:val="50"/>
        <w:bidi w:val="0"/>
        <w:rPr>
          <w:rFonts w:hint="default"/>
          <w:color w:val="auto"/>
          <w:highlight w:val="none"/>
          <w:lang w:val="en-US" w:eastAsia="zh-CN"/>
        </w:rPr>
      </w:pPr>
      <w:r>
        <w:rPr>
          <w:rFonts w:hint="default"/>
          <w:color w:val="auto"/>
          <w:highlight w:val="none"/>
          <w:lang w:val="en-US" w:eastAsia="zh-CN"/>
        </w:rPr>
        <w:t>符合国家要求：白蚁诱饵系统的使用同样</w:t>
      </w:r>
      <w:r>
        <w:rPr>
          <w:rFonts w:hint="eastAsia"/>
          <w:color w:val="auto"/>
          <w:highlight w:val="none"/>
          <w:lang w:val="en-US" w:eastAsia="zh-CN"/>
        </w:rPr>
        <w:t>应</w:t>
      </w:r>
      <w:r>
        <w:rPr>
          <w:rFonts w:hint="default"/>
          <w:color w:val="auto"/>
          <w:highlight w:val="none"/>
          <w:lang w:val="en-US" w:eastAsia="zh-CN"/>
        </w:rPr>
        <w:t>遵循国家现行的相关标准和要求。这包括诱饵站的设计、安装、药剂的选择和使用等方面。</w:t>
      </w:r>
    </w:p>
    <w:p w14:paraId="1FA1CFB3">
      <w:pPr>
        <w:pStyle w:val="50"/>
        <w:bidi w:val="0"/>
        <w:rPr>
          <w:rFonts w:hint="default"/>
          <w:color w:val="auto"/>
          <w:highlight w:val="none"/>
          <w:lang w:val="en-US" w:eastAsia="zh-CN"/>
        </w:rPr>
      </w:pPr>
      <w:r>
        <w:rPr>
          <w:rFonts w:hint="default"/>
          <w:color w:val="auto"/>
          <w:highlight w:val="none"/>
          <w:lang w:val="en-US" w:eastAsia="zh-CN"/>
        </w:rPr>
        <w:t>长期有效性：为了确保白蚁诱饵系统的长期有效性，</w:t>
      </w:r>
      <w:r>
        <w:rPr>
          <w:rFonts w:hint="eastAsia"/>
          <w:color w:val="auto"/>
          <w:highlight w:val="none"/>
          <w:lang w:val="en-US" w:eastAsia="zh-CN"/>
        </w:rPr>
        <w:t>应</w:t>
      </w:r>
      <w:r>
        <w:rPr>
          <w:rFonts w:hint="default"/>
          <w:color w:val="auto"/>
          <w:highlight w:val="none"/>
          <w:lang w:val="en-US" w:eastAsia="zh-CN"/>
        </w:rPr>
        <w:t>对其进行定期的放置、维护和监控</w:t>
      </w:r>
      <w:r>
        <w:rPr>
          <w:rFonts w:hint="eastAsia"/>
          <w:color w:val="auto"/>
          <w:highlight w:val="none"/>
          <w:lang w:val="en-US" w:eastAsia="zh-CN"/>
        </w:rPr>
        <w:t>，</w:t>
      </w:r>
      <w:r>
        <w:rPr>
          <w:rFonts w:hint="default"/>
          <w:color w:val="auto"/>
          <w:highlight w:val="none"/>
          <w:lang w:val="en-US" w:eastAsia="zh-CN"/>
        </w:rPr>
        <w:t>从居住许可起至少10年内，这些工作都应得到持续有效的执行。这有助于及时发现并处理白蚁活动，防止其对建筑物造成损害。</w:t>
      </w:r>
    </w:p>
    <w:p w14:paraId="2E1838A6">
      <w:pPr>
        <w:pStyle w:val="50"/>
        <w:bidi w:val="0"/>
        <w:rPr>
          <w:rFonts w:hint="default"/>
          <w:color w:val="auto"/>
          <w:highlight w:val="none"/>
          <w:lang w:val="en-US" w:eastAsia="zh-CN"/>
        </w:rPr>
      </w:pPr>
      <w:r>
        <w:rPr>
          <w:rFonts w:hint="default"/>
          <w:color w:val="auto"/>
          <w:highlight w:val="none"/>
          <w:lang w:val="en-US" w:eastAsia="zh-CN"/>
        </w:rPr>
        <w:t>药剂产品的要求：诱饵站中使用的药剂也应符合国家相关要求及药剂产品的说明书。这些药剂应具有良好的引诱性和传播性，能够迅速吸引并杀死白蚁。</w:t>
      </w:r>
    </w:p>
    <w:p w14:paraId="39AC702E">
      <w:pPr>
        <w:pStyle w:val="50"/>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白蚁物理屏障</w:t>
      </w:r>
    </w:p>
    <w:p w14:paraId="79510B8A">
      <w:pPr>
        <w:pStyle w:val="50"/>
        <w:bidi w:val="0"/>
        <w:rPr>
          <w:rFonts w:hint="default"/>
          <w:color w:val="auto"/>
          <w:highlight w:val="none"/>
          <w:lang w:val="en-US" w:eastAsia="zh-CN"/>
        </w:rPr>
      </w:pPr>
      <w:r>
        <w:rPr>
          <w:rFonts w:hint="default"/>
          <w:color w:val="auto"/>
          <w:highlight w:val="none"/>
          <w:lang w:val="en-US" w:eastAsia="zh-CN"/>
        </w:rPr>
        <w:t>符合相关规定的防白蚁物理屏障方法：在选择物理屏障时，应优先考虑符合国家和地方相关规定的防白蚁物理屏障方法。这些方法经过实践验证，具有较好的防蚁效果。</w:t>
      </w:r>
    </w:p>
    <w:p w14:paraId="1DECF178">
      <w:pPr>
        <w:pStyle w:val="50"/>
        <w:bidi w:val="0"/>
        <w:rPr>
          <w:rFonts w:hint="default"/>
          <w:color w:val="auto"/>
          <w:highlight w:val="none"/>
          <w:lang w:val="en-US" w:eastAsia="zh-CN"/>
        </w:rPr>
      </w:pPr>
      <w:r>
        <w:rPr>
          <w:rFonts w:hint="default"/>
          <w:color w:val="auto"/>
          <w:highlight w:val="none"/>
          <w:lang w:val="en-US" w:eastAsia="zh-CN"/>
        </w:rPr>
        <w:t>常用的物理屏障：常用的物理屏障包括防白蚁沙障、金属或塑料护网和环管、防白蚁药剂处理薄膜等。这些屏障材料应具有良好的耐久性和抗腐蚀性，以确保其长期有效性。同时，它们的安装也应符合相关要求，以确保屏障的完整性和连续性。</w:t>
      </w:r>
    </w:p>
    <w:p w14:paraId="5C3DB8E3">
      <w:pPr>
        <w:rPr>
          <w:rFonts w:hint="eastAsia"/>
          <w:color w:val="auto"/>
          <w:highlight w:val="none"/>
        </w:rPr>
      </w:pPr>
    </w:p>
    <w:p w14:paraId="5DBA9461">
      <w:pPr>
        <w:pStyle w:val="4"/>
        <w:bidi w:val="0"/>
        <w:rPr>
          <w:color w:val="auto"/>
          <w:highlight w:val="none"/>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5</w:t>
      </w:r>
      <w:r>
        <w:rPr>
          <w:b/>
          <w:bCs/>
          <w:color w:val="auto"/>
          <w:highlight w:val="none"/>
        </w:rPr>
        <w:t xml:space="preserve">  </w:t>
      </w:r>
      <w:r>
        <w:rPr>
          <w:rFonts w:hint="eastAsia"/>
          <w:color w:val="auto"/>
          <w:highlight w:val="none"/>
          <w:lang w:val="en-US" w:eastAsia="zh-CN"/>
        </w:rPr>
        <w:t>宜</w:t>
      </w:r>
      <w:r>
        <w:rPr>
          <w:rFonts w:hint="eastAsia"/>
          <w:color w:val="auto"/>
          <w:highlight w:val="none"/>
        </w:rPr>
        <w:t>采用具有防白蚁性能的防腐处理木材或天然耐腐木材，提高轻型木结构的抗白蚁性能，并应符合下列规定：</w:t>
      </w:r>
    </w:p>
    <w:p w14:paraId="34D827AB">
      <w:pPr>
        <w:pStyle w:val="4"/>
        <w:bidi w:val="0"/>
        <w:ind w:firstLine="480" w:firstLineChars="200"/>
        <w:rPr>
          <w:color w:val="auto"/>
          <w:highlight w:val="none"/>
        </w:rPr>
      </w:pPr>
      <w:r>
        <w:rPr>
          <w:color w:val="auto"/>
          <w:highlight w:val="none"/>
        </w:rPr>
        <w:t xml:space="preserve">1  </w:t>
      </w:r>
      <w:r>
        <w:rPr>
          <w:rFonts w:hint="eastAsia"/>
          <w:color w:val="auto"/>
          <w:highlight w:val="none"/>
        </w:rPr>
        <w:t>硼处理木材不能用于长期暴露在雨水或积水的环境中；</w:t>
      </w:r>
    </w:p>
    <w:p w14:paraId="307E7D91">
      <w:pPr>
        <w:pStyle w:val="4"/>
        <w:bidi w:val="0"/>
        <w:ind w:firstLine="480" w:firstLineChars="200"/>
        <w:rPr>
          <w:color w:val="auto"/>
          <w:highlight w:val="none"/>
        </w:rPr>
      </w:pPr>
      <w:r>
        <w:rPr>
          <w:color w:val="auto"/>
          <w:highlight w:val="none"/>
        </w:rPr>
        <w:t xml:space="preserve">2  </w:t>
      </w:r>
      <w:r>
        <w:rPr>
          <w:rFonts w:hint="eastAsia"/>
          <w:color w:val="auto"/>
          <w:highlight w:val="none"/>
        </w:rPr>
        <w:t>防腐处理后新锯木材的断面、锯口及钻孔，应采用同种防腐剂浓缩液或其它允许的防腐剂浓缩液进行补充处理；</w:t>
      </w:r>
    </w:p>
    <w:p w14:paraId="1A43FD4A">
      <w:pPr>
        <w:pStyle w:val="4"/>
        <w:bidi w:val="0"/>
        <w:ind w:firstLine="480" w:firstLineChars="200"/>
        <w:rPr>
          <w:rFonts w:hint="eastAsia"/>
          <w:color w:val="auto"/>
          <w:highlight w:val="none"/>
          <w:lang w:eastAsia="zh-CN"/>
        </w:rPr>
      </w:pPr>
      <w:r>
        <w:rPr>
          <w:color w:val="auto"/>
          <w:highlight w:val="none"/>
        </w:rPr>
        <w:t xml:space="preserve">3  </w:t>
      </w:r>
      <w:r>
        <w:rPr>
          <w:rFonts w:hint="eastAsia"/>
          <w:color w:val="auto"/>
          <w:highlight w:val="none"/>
        </w:rPr>
        <w:t>在不直接接触土壤的情况下，已证明的天然抗乳白蚁木材，可以与防腐木材等同使用</w:t>
      </w:r>
      <w:r>
        <w:rPr>
          <w:rFonts w:hint="eastAsia"/>
          <w:color w:val="auto"/>
          <w:highlight w:val="none"/>
          <w:lang w:eastAsia="zh-CN"/>
        </w:rPr>
        <w:t>；</w:t>
      </w:r>
    </w:p>
    <w:p w14:paraId="5D44B2A6">
      <w:pPr>
        <w:pStyle w:val="4"/>
        <w:bidi w:val="0"/>
        <w:ind w:firstLine="480" w:firstLineChars="200"/>
        <w:rPr>
          <w:rFonts w:hint="eastAsia"/>
          <w:color w:val="auto"/>
          <w:highlight w:val="none"/>
        </w:rPr>
      </w:pPr>
      <w:r>
        <w:rPr>
          <w:color w:val="auto"/>
          <w:highlight w:val="none"/>
        </w:rPr>
        <w:t xml:space="preserve">4  </w:t>
      </w:r>
      <w:r>
        <w:rPr>
          <w:rFonts w:hint="eastAsia"/>
          <w:color w:val="auto"/>
          <w:highlight w:val="none"/>
          <w:lang w:eastAsia="zh-CN"/>
        </w:rPr>
        <w:t>防虫蚁</w:t>
      </w:r>
      <w:r>
        <w:rPr>
          <w:rFonts w:hint="eastAsia"/>
          <w:color w:val="auto"/>
          <w:highlight w:val="none"/>
        </w:rPr>
        <w:t>处理木材产品须检验合格后</w:t>
      </w:r>
      <w:r>
        <w:rPr>
          <w:rFonts w:hint="eastAsia"/>
          <w:color w:val="auto"/>
          <w:highlight w:val="none"/>
          <w:lang w:eastAsia="zh-CN"/>
        </w:rPr>
        <w:t>，</w:t>
      </w:r>
      <w:r>
        <w:rPr>
          <w:rFonts w:hint="eastAsia"/>
          <w:color w:val="auto"/>
          <w:highlight w:val="none"/>
        </w:rPr>
        <w:t>方可使用。应有明显的</w:t>
      </w:r>
      <w:r>
        <w:rPr>
          <w:rFonts w:hint="eastAsia"/>
          <w:color w:val="auto"/>
          <w:highlight w:val="none"/>
          <w:lang w:eastAsia="zh-CN"/>
        </w:rPr>
        <w:t>防虫蚁</w:t>
      </w:r>
      <w:r>
        <w:rPr>
          <w:rFonts w:hint="eastAsia"/>
          <w:color w:val="auto"/>
          <w:highlight w:val="none"/>
        </w:rPr>
        <w:t>标志</w:t>
      </w:r>
      <w:r>
        <w:rPr>
          <w:rFonts w:hint="eastAsia"/>
          <w:color w:val="auto"/>
          <w:highlight w:val="none"/>
          <w:lang w:eastAsia="zh-CN"/>
        </w:rPr>
        <w:t>，</w:t>
      </w:r>
      <w:r>
        <w:rPr>
          <w:rFonts w:hint="eastAsia"/>
          <w:color w:val="auto"/>
          <w:highlight w:val="none"/>
        </w:rPr>
        <w:t>包括使用环境等级。</w:t>
      </w:r>
    </w:p>
    <w:p w14:paraId="27434F05">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11.2.5：</w:t>
      </w:r>
      <w:r>
        <w:rPr>
          <w:rFonts w:hint="default"/>
          <w:color w:val="auto"/>
          <w:highlight w:val="none"/>
          <w:lang w:val="en-US" w:eastAsia="zh-CN"/>
        </w:rPr>
        <w:t>在轻型木结构建筑中，采用具有防白蚁性能的防腐处理木材或天然耐腐木材，是出于提高抗白蚁性能、延长使用寿命、符合环保要求和适应性强等多方面的考虑。</w:t>
      </w:r>
    </w:p>
    <w:p w14:paraId="37F920E9">
      <w:pPr>
        <w:pStyle w:val="50"/>
        <w:bidi w:val="0"/>
        <w:rPr>
          <w:rFonts w:hint="default"/>
          <w:color w:val="auto"/>
          <w:highlight w:val="none"/>
          <w:lang w:val="en-US" w:eastAsia="zh-CN"/>
        </w:rPr>
      </w:pPr>
      <w:r>
        <w:rPr>
          <w:rFonts w:hint="default"/>
          <w:color w:val="auto"/>
          <w:highlight w:val="none"/>
          <w:lang w:val="en-US" w:eastAsia="zh-CN"/>
        </w:rPr>
        <w:t>防腐处理木材</w:t>
      </w:r>
      <w:r>
        <w:rPr>
          <w:rFonts w:hint="eastAsia"/>
          <w:color w:val="auto"/>
          <w:highlight w:val="none"/>
          <w:lang w:val="en-US" w:eastAsia="zh-CN"/>
        </w:rPr>
        <w:t>是</w:t>
      </w:r>
      <w:r>
        <w:rPr>
          <w:rFonts w:hint="default"/>
          <w:color w:val="auto"/>
          <w:highlight w:val="none"/>
          <w:lang w:val="en-US" w:eastAsia="zh-CN"/>
        </w:rPr>
        <w:t>通过化学或物理方法处理，增强其对白蚁等害虫的抵抗力</w:t>
      </w:r>
      <w:r>
        <w:rPr>
          <w:rFonts w:hint="eastAsia"/>
          <w:color w:val="auto"/>
          <w:highlight w:val="none"/>
          <w:lang w:val="en-US" w:eastAsia="zh-CN"/>
        </w:rPr>
        <w:t>，</w:t>
      </w:r>
      <w:r>
        <w:rPr>
          <w:rFonts w:hint="default"/>
          <w:color w:val="auto"/>
          <w:highlight w:val="none"/>
          <w:lang w:val="en-US" w:eastAsia="zh-CN"/>
        </w:rPr>
        <w:t>这种处理通常涉及将木材浸泡在防腐剂中，使防腐剂渗透到木材内部，从而在木材表面和内部形成一道屏障，阻止白蚁的侵蚀</w:t>
      </w:r>
      <w:r>
        <w:rPr>
          <w:rFonts w:hint="eastAsia"/>
          <w:color w:val="auto"/>
          <w:highlight w:val="none"/>
          <w:lang w:val="en-US" w:eastAsia="zh-CN"/>
        </w:rPr>
        <w:t>。</w:t>
      </w:r>
      <w:r>
        <w:rPr>
          <w:rFonts w:hint="default"/>
          <w:color w:val="auto"/>
          <w:highlight w:val="none"/>
          <w:lang w:val="en-US" w:eastAsia="zh-CN"/>
        </w:rPr>
        <w:t>具有防白蚁性能的防腐处理木材不仅能够抵抗白蚁的啃食，还能在一定程度上抵御其他害虫和微生物的侵害。</w:t>
      </w:r>
    </w:p>
    <w:p w14:paraId="75BD8814">
      <w:pPr>
        <w:pStyle w:val="50"/>
        <w:bidi w:val="0"/>
        <w:rPr>
          <w:rFonts w:hint="default"/>
          <w:color w:val="auto"/>
          <w:highlight w:val="none"/>
          <w:lang w:val="en-US" w:eastAsia="zh-CN"/>
        </w:rPr>
      </w:pPr>
      <w:r>
        <w:rPr>
          <w:rFonts w:hint="eastAsia"/>
          <w:color w:val="auto"/>
          <w:highlight w:val="none"/>
          <w:lang w:val="en-US" w:eastAsia="zh-CN"/>
        </w:rPr>
        <w:t>而</w:t>
      </w:r>
      <w:r>
        <w:rPr>
          <w:rFonts w:hint="default"/>
          <w:color w:val="auto"/>
          <w:highlight w:val="none"/>
          <w:lang w:val="en-US" w:eastAsia="zh-CN"/>
        </w:rPr>
        <w:t>天然耐腐木材则是指由于自然生长过程中形成的化学成分而具有天然抗腐蚀性能的木材</w:t>
      </w:r>
      <w:r>
        <w:rPr>
          <w:rFonts w:hint="eastAsia"/>
          <w:color w:val="auto"/>
          <w:highlight w:val="none"/>
          <w:lang w:val="en-US" w:eastAsia="zh-CN"/>
        </w:rPr>
        <w:t>，</w:t>
      </w:r>
      <w:r>
        <w:rPr>
          <w:rFonts w:hint="default"/>
          <w:color w:val="auto"/>
          <w:highlight w:val="none"/>
          <w:lang w:val="en-US" w:eastAsia="zh-CN"/>
        </w:rPr>
        <w:t>这些木材通常含有丰富的天然防腐剂，如树脂、单宁或精油等，这些物质能够有效地抵抗白蚁和其他害虫的侵蚀。常见的天然耐腐木材包括一些硬木种类，如柚木、紫檀等。</w:t>
      </w:r>
    </w:p>
    <w:p w14:paraId="338444CE">
      <w:pPr>
        <w:pStyle w:val="50"/>
        <w:bidi w:val="0"/>
        <w:rPr>
          <w:rFonts w:hint="eastAsia"/>
          <w:color w:val="auto"/>
          <w:highlight w:val="none"/>
          <w:lang w:val="en-US" w:eastAsia="zh-CN"/>
        </w:rPr>
      </w:pPr>
      <w:r>
        <w:rPr>
          <w:rFonts w:hint="eastAsia"/>
          <w:color w:val="auto"/>
          <w:highlight w:val="none"/>
          <w:lang w:val="en-US" w:eastAsia="zh-CN"/>
        </w:rPr>
        <w:t>同时，还</w:t>
      </w:r>
      <w:r>
        <w:rPr>
          <w:rFonts w:hint="eastAsia"/>
          <w:color w:val="auto"/>
          <w:highlight w:val="none"/>
        </w:rPr>
        <w:t>应符合下列规定</w:t>
      </w:r>
      <w:r>
        <w:rPr>
          <w:rFonts w:hint="eastAsia"/>
          <w:color w:val="auto"/>
          <w:highlight w:val="none"/>
          <w:lang w:eastAsia="zh-CN"/>
        </w:rPr>
        <w:t>：</w:t>
      </w:r>
    </w:p>
    <w:p w14:paraId="1994A307">
      <w:pPr>
        <w:pStyle w:val="50"/>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硼处理木材的使用限制</w:t>
      </w:r>
    </w:p>
    <w:p w14:paraId="28DFCF68">
      <w:pPr>
        <w:pStyle w:val="50"/>
        <w:bidi w:val="0"/>
        <w:rPr>
          <w:rFonts w:hint="default"/>
          <w:color w:val="auto"/>
          <w:highlight w:val="none"/>
          <w:lang w:val="en-US" w:eastAsia="zh-CN"/>
        </w:rPr>
      </w:pPr>
      <w:r>
        <w:rPr>
          <w:rFonts w:hint="default"/>
          <w:color w:val="auto"/>
          <w:highlight w:val="none"/>
          <w:lang w:val="en-US" w:eastAsia="zh-CN"/>
        </w:rPr>
        <w:t>硼处理木材是一种有效的防白蚁木材处理方法，但其使用需受一定限制。特别地，硼处理木材不应长期暴露在雨水或积水的环境中。这是因为水分可能会逐渐稀释硼化合物，从而降低其防白蚁效果。因此，在设计和施工中，应确保硼处理木材的使用环境避免长期受水浸泡。</w:t>
      </w:r>
    </w:p>
    <w:p w14:paraId="1D9ECBE1">
      <w:pPr>
        <w:pStyle w:val="50"/>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防腐处理后新锯木材的补充处理</w:t>
      </w:r>
    </w:p>
    <w:p w14:paraId="42079D2E">
      <w:pPr>
        <w:pStyle w:val="50"/>
        <w:bidi w:val="0"/>
        <w:rPr>
          <w:rFonts w:hint="default"/>
          <w:color w:val="auto"/>
          <w:highlight w:val="none"/>
          <w:lang w:val="en-US" w:eastAsia="zh-CN"/>
        </w:rPr>
      </w:pPr>
      <w:r>
        <w:rPr>
          <w:rFonts w:hint="default"/>
          <w:color w:val="auto"/>
          <w:highlight w:val="none"/>
          <w:lang w:val="en-US" w:eastAsia="zh-CN"/>
        </w:rPr>
        <w:t>在防腐处理后的木材进行进一步加工（如锯切、钻孔等）时，新暴露的断面、锯口及钻孔可能成为白蚁入侵的潜在途径。为了保持木材的整体防白蚁性能，这些新暴露的部分应采用同种防腐剂浓缩液或其它允许的防腐剂浓缩液进行补充处理。这一措施确保了木材在整个加工和使用过程中都能保持有效的防白蚁性能。</w:t>
      </w:r>
    </w:p>
    <w:p w14:paraId="03A685F9">
      <w:pPr>
        <w:pStyle w:val="50"/>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天然抗乳白蚁木材的使用</w:t>
      </w:r>
    </w:p>
    <w:p w14:paraId="09067D0B">
      <w:pPr>
        <w:pStyle w:val="50"/>
        <w:bidi w:val="0"/>
        <w:rPr>
          <w:rFonts w:hint="default"/>
          <w:color w:val="auto"/>
          <w:highlight w:val="none"/>
          <w:lang w:val="en-US" w:eastAsia="zh-CN"/>
        </w:rPr>
      </w:pPr>
      <w:r>
        <w:rPr>
          <w:rFonts w:hint="default"/>
          <w:color w:val="auto"/>
          <w:highlight w:val="none"/>
          <w:lang w:val="en-US" w:eastAsia="zh-CN"/>
        </w:rPr>
        <w:t>在不直接接触土壤的情况下，已证明具有天然抗乳白蚁性能的木材可以与防腐木材等同使用。这类木材由于其天然的化学成分而具有抵抗白蚁侵蚀的能力，因此在适当的使用条件下可以作为一种有效的防白蚁材料。然而，需要注意的是，这些木材的防白蚁性能可能因种类、产地和具体使用条件而异，因此在使用前应进行充分的测试和评估。</w:t>
      </w:r>
    </w:p>
    <w:p w14:paraId="596E60D5">
      <w:pPr>
        <w:pStyle w:val="50"/>
        <w:bidi w:val="0"/>
        <w:rPr>
          <w:rFonts w:hint="default"/>
          <w:color w:val="auto"/>
          <w:highlight w:val="none"/>
          <w:lang w:val="en-US" w:eastAsia="zh-CN"/>
        </w:rPr>
      </w:pPr>
      <w:r>
        <w:rPr>
          <w:rFonts w:hint="eastAsia"/>
          <w:color w:val="auto"/>
          <w:highlight w:val="none"/>
          <w:lang w:val="en-US" w:eastAsia="zh-CN"/>
        </w:rPr>
        <w:t>（4）防虫蚁</w:t>
      </w:r>
      <w:r>
        <w:rPr>
          <w:rFonts w:hint="default"/>
          <w:color w:val="auto"/>
          <w:highlight w:val="none"/>
          <w:lang w:val="en-US" w:eastAsia="zh-CN"/>
        </w:rPr>
        <w:t>处理木材产品的检验和标识</w:t>
      </w:r>
    </w:p>
    <w:p w14:paraId="7389C7C6">
      <w:pPr>
        <w:pStyle w:val="50"/>
        <w:bidi w:val="0"/>
        <w:rPr>
          <w:rFonts w:hint="default"/>
          <w:color w:val="auto"/>
          <w:highlight w:val="none"/>
          <w:lang w:val="en-US" w:eastAsia="zh-CN"/>
        </w:rPr>
      </w:pPr>
      <w:r>
        <w:rPr>
          <w:rFonts w:hint="eastAsia"/>
          <w:color w:val="auto"/>
          <w:highlight w:val="none"/>
          <w:lang w:val="en-US" w:eastAsia="zh-CN"/>
        </w:rPr>
        <w:t>防虫蚁</w:t>
      </w:r>
      <w:r>
        <w:rPr>
          <w:rFonts w:hint="default"/>
          <w:color w:val="auto"/>
          <w:highlight w:val="none"/>
          <w:lang w:val="en-US" w:eastAsia="zh-CN"/>
        </w:rPr>
        <w:t>处理木材产品在使用前必须经过严格的检验，以确保其符合相关的</w:t>
      </w:r>
      <w:r>
        <w:rPr>
          <w:rFonts w:hint="eastAsia"/>
          <w:color w:val="auto"/>
          <w:highlight w:val="none"/>
          <w:lang w:val="en-US" w:eastAsia="zh-CN"/>
        </w:rPr>
        <w:t>防虫蚁</w:t>
      </w:r>
      <w:r>
        <w:rPr>
          <w:rFonts w:hint="default"/>
          <w:color w:val="auto"/>
          <w:highlight w:val="none"/>
          <w:lang w:val="en-US" w:eastAsia="zh-CN"/>
        </w:rPr>
        <w:t>性能标准。检验合格的木材产品应具有明显的</w:t>
      </w:r>
      <w:r>
        <w:rPr>
          <w:rFonts w:hint="eastAsia"/>
          <w:color w:val="auto"/>
          <w:highlight w:val="none"/>
          <w:lang w:val="en-US" w:eastAsia="zh-CN"/>
        </w:rPr>
        <w:t>防虫蚁</w:t>
      </w:r>
      <w:r>
        <w:rPr>
          <w:rFonts w:hint="default"/>
          <w:color w:val="auto"/>
          <w:highlight w:val="none"/>
          <w:lang w:val="en-US" w:eastAsia="zh-CN"/>
        </w:rPr>
        <w:t>标志，包括使用环境等级等信息。这些标志和标识有助于用户正确选择和使用</w:t>
      </w:r>
      <w:r>
        <w:rPr>
          <w:rFonts w:hint="eastAsia"/>
          <w:color w:val="auto"/>
          <w:highlight w:val="none"/>
          <w:lang w:val="en-US" w:eastAsia="zh-CN"/>
        </w:rPr>
        <w:t>防虫蚁</w:t>
      </w:r>
      <w:r>
        <w:rPr>
          <w:rFonts w:hint="default"/>
          <w:color w:val="auto"/>
          <w:highlight w:val="none"/>
          <w:lang w:val="en-US" w:eastAsia="zh-CN"/>
        </w:rPr>
        <w:t>木材产品，同时也有助于监管部门对市场上的</w:t>
      </w:r>
      <w:r>
        <w:rPr>
          <w:rFonts w:hint="eastAsia"/>
          <w:color w:val="auto"/>
          <w:highlight w:val="none"/>
          <w:lang w:val="en-US" w:eastAsia="zh-CN"/>
        </w:rPr>
        <w:t>防虫蚁</w:t>
      </w:r>
      <w:r>
        <w:rPr>
          <w:rFonts w:hint="default"/>
          <w:color w:val="auto"/>
          <w:highlight w:val="none"/>
          <w:lang w:val="en-US" w:eastAsia="zh-CN"/>
        </w:rPr>
        <w:t>木材产品进行有效的监管和管理。</w:t>
      </w:r>
    </w:p>
    <w:p w14:paraId="58CE5750">
      <w:pPr>
        <w:pStyle w:val="50"/>
        <w:bidi w:val="0"/>
        <w:rPr>
          <w:rFonts w:hint="default"/>
          <w:color w:val="auto"/>
          <w:highlight w:val="none"/>
          <w:lang w:val="en-US" w:eastAsia="zh-CN"/>
        </w:rPr>
      </w:pPr>
      <w:r>
        <w:rPr>
          <w:rFonts w:hint="default"/>
          <w:color w:val="auto"/>
          <w:highlight w:val="none"/>
          <w:lang w:val="en-US" w:eastAsia="zh-CN"/>
        </w:rPr>
        <w:t>综上所述，通过选择合适的防白蚁木材、采取必要的补充处理措施、正确使用天然抗乳白蚁木材以及加强</w:t>
      </w:r>
      <w:r>
        <w:rPr>
          <w:rFonts w:hint="eastAsia"/>
          <w:color w:val="auto"/>
          <w:highlight w:val="none"/>
          <w:lang w:val="en-US" w:eastAsia="zh-CN"/>
        </w:rPr>
        <w:t>防虫蚁</w:t>
      </w:r>
      <w:r>
        <w:rPr>
          <w:rFonts w:hint="default"/>
          <w:color w:val="auto"/>
          <w:highlight w:val="none"/>
          <w:lang w:val="en-US" w:eastAsia="zh-CN"/>
        </w:rPr>
        <w:t>处理木材产品的检验和标识管理</w:t>
      </w:r>
      <w:r>
        <w:rPr>
          <w:rFonts w:hint="eastAsia"/>
          <w:color w:val="auto"/>
          <w:highlight w:val="none"/>
          <w:lang w:val="en-US" w:eastAsia="zh-CN"/>
        </w:rPr>
        <w:t>等</w:t>
      </w:r>
      <w:r>
        <w:rPr>
          <w:rFonts w:hint="default"/>
          <w:color w:val="auto"/>
          <w:highlight w:val="none"/>
          <w:lang w:val="en-US" w:eastAsia="zh-CN"/>
        </w:rPr>
        <w:t>，可以有效地提高轻型木结构的抗白蚁性能，保障建筑物的安全和稳定。</w:t>
      </w:r>
    </w:p>
    <w:p w14:paraId="6FEDD832">
      <w:pPr>
        <w:rPr>
          <w:rFonts w:hint="default"/>
          <w:color w:val="auto"/>
          <w:highlight w:val="none"/>
          <w:lang w:val="en-US" w:eastAsia="zh-CN"/>
        </w:rPr>
      </w:pPr>
    </w:p>
    <w:p w14:paraId="1B77E6AC">
      <w:pPr>
        <w:pStyle w:val="4"/>
        <w:bidi w:val="0"/>
        <w:rPr>
          <w:rFonts w:hint="eastAsia"/>
          <w:color w:val="auto"/>
          <w:highlight w:val="none"/>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6</w:t>
      </w:r>
      <w:r>
        <w:rPr>
          <w:b/>
          <w:bCs/>
          <w:color w:val="auto"/>
          <w:highlight w:val="none"/>
        </w:rPr>
        <w:t xml:space="preserve">  </w:t>
      </w:r>
      <w:r>
        <w:rPr>
          <w:rFonts w:hint="eastAsia"/>
          <w:color w:val="auto"/>
          <w:highlight w:val="none"/>
        </w:rPr>
        <w:t>常用的药剂配方及处理方法，</w:t>
      </w:r>
      <w:r>
        <w:rPr>
          <w:rFonts w:hint="eastAsia"/>
          <w:color w:val="auto"/>
          <w:highlight w:val="none"/>
          <w:lang w:val="en-US" w:eastAsia="zh-CN"/>
        </w:rPr>
        <w:t>应</w:t>
      </w:r>
      <w:r>
        <w:rPr>
          <w:rFonts w:hint="eastAsia"/>
          <w:color w:val="auto"/>
          <w:highlight w:val="none"/>
        </w:rPr>
        <w:t>按现行国家标准《木结构工程施工质量验收规范》</w:t>
      </w:r>
      <w:r>
        <w:rPr>
          <w:color w:val="auto"/>
          <w:highlight w:val="none"/>
        </w:rPr>
        <w:t>GB</w:t>
      </w:r>
      <w:r>
        <w:rPr>
          <w:rFonts w:hint="eastAsia"/>
          <w:color w:val="auto"/>
          <w:highlight w:val="none"/>
          <w:lang w:val="en-US" w:eastAsia="zh-CN"/>
        </w:rPr>
        <w:t xml:space="preserve"> </w:t>
      </w:r>
      <w:r>
        <w:rPr>
          <w:color w:val="auto"/>
          <w:highlight w:val="none"/>
        </w:rPr>
        <w:t>50206</w:t>
      </w:r>
      <w:r>
        <w:rPr>
          <w:rFonts w:hint="eastAsia"/>
          <w:color w:val="auto"/>
          <w:highlight w:val="none"/>
        </w:rPr>
        <w:t>的规定采用。采用的防腐剂、防虫剂不得危及人畜安全，不得污染环境。</w:t>
      </w:r>
    </w:p>
    <w:p w14:paraId="0B83F66E">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11.2.6：木结构建筑采用的防腐剂、防虫剂不得危及人畜安全、不得污染环境，这是出于对安全性、环保性以及法规与标准的综合考虑。在实际应用中，应严格遵循相关法规和标准，选择安全、环保的防腐剂、防虫剂，并采取综合防护措施来保障木结构建筑的安全性和耐久性。</w:t>
      </w:r>
    </w:p>
    <w:p w14:paraId="43192C3D">
      <w:pPr>
        <w:rPr>
          <w:rFonts w:hint="eastAsia"/>
          <w:color w:val="auto"/>
          <w:highlight w:val="none"/>
          <w:lang w:val="en-US" w:eastAsia="zh-CN"/>
        </w:rPr>
      </w:pPr>
    </w:p>
    <w:p w14:paraId="6EAD1A74">
      <w:pPr>
        <w:pStyle w:val="4"/>
        <w:bidi w:val="0"/>
        <w:rPr>
          <w:rFonts w:hint="eastAsia"/>
          <w:color w:val="auto"/>
          <w:highlight w:val="none"/>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7</w:t>
      </w:r>
      <w:r>
        <w:rPr>
          <w:b/>
          <w:bCs/>
          <w:color w:val="auto"/>
          <w:highlight w:val="none"/>
        </w:rPr>
        <w:t xml:space="preserve">  </w:t>
      </w:r>
      <w:r>
        <w:rPr>
          <w:rFonts w:hint="eastAsia"/>
          <w:color w:val="auto"/>
          <w:highlight w:val="none"/>
        </w:rPr>
        <w:t>木构件的机械加工应在药剂处理前进行。木构件经防腐防虫处理后，应避免重新切割或钻孔</w:t>
      </w:r>
      <w:r>
        <w:rPr>
          <w:rFonts w:hint="eastAsia"/>
          <w:color w:val="auto"/>
          <w:highlight w:val="none"/>
          <w:lang w:eastAsia="zh-CN"/>
        </w:rPr>
        <w:t>，</w:t>
      </w:r>
      <w:r>
        <w:rPr>
          <w:rFonts w:hint="eastAsia"/>
          <w:color w:val="auto"/>
          <w:highlight w:val="none"/>
        </w:rPr>
        <w:t>由于技术上的原因，确有必要作局部修整时，</w:t>
      </w:r>
      <w:r>
        <w:rPr>
          <w:rFonts w:hint="eastAsia"/>
          <w:color w:val="auto"/>
          <w:highlight w:val="none"/>
          <w:lang w:val="en-US" w:eastAsia="zh-CN"/>
        </w:rPr>
        <w:t>应</w:t>
      </w:r>
      <w:r>
        <w:rPr>
          <w:rFonts w:hint="eastAsia"/>
          <w:color w:val="auto"/>
          <w:highlight w:val="none"/>
        </w:rPr>
        <w:t>对木材暴露的表面涂刷足够的同品牌药剂。</w:t>
      </w:r>
    </w:p>
    <w:p w14:paraId="39A28227">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11.2.7：</w:t>
      </w:r>
      <w:r>
        <w:rPr>
          <w:rFonts w:hint="default"/>
          <w:color w:val="auto"/>
          <w:highlight w:val="none"/>
          <w:lang w:val="en-US" w:eastAsia="zh-CN"/>
        </w:rPr>
        <w:t>木构件的机械加工通常应在药剂处理之前进行，这是为了确保药剂能够完全、均匀地渗透到木材的所有部位，包括内部和表面。一旦木构件被机械加工（如切割、钻孔等），新暴露的木材表面就可能没有接受到足够的药剂处理，从而留下</w:t>
      </w:r>
      <w:r>
        <w:rPr>
          <w:rFonts w:hint="eastAsia" w:cs="Times New Roman"/>
          <w:bCs/>
          <w:color w:val="auto"/>
          <w:szCs w:val="24"/>
          <w:highlight w:val="none"/>
        </w:rPr>
        <w:t>腐蚀、虫蛀</w:t>
      </w:r>
      <w:r>
        <w:rPr>
          <w:rFonts w:hint="default"/>
          <w:color w:val="auto"/>
          <w:highlight w:val="none"/>
          <w:lang w:val="en-US" w:eastAsia="zh-CN"/>
        </w:rPr>
        <w:t>的隐患。</w:t>
      </w:r>
    </w:p>
    <w:p w14:paraId="18CF38B5">
      <w:pPr>
        <w:pStyle w:val="50"/>
        <w:bidi w:val="0"/>
        <w:rPr>
          <w:rFonts w:hint="default"/>
          <w:color w:val="auto"/>
          <w:highlight w:val="none"/>
          <w:lang w:val="en-US" w:eastAsia="zh-CN"/>
        </w:rPr>
      </w:pPr>
      <w:r>
        <w:rPr>
          <w:rFonts w:hint="default"/>
          <w:color w:val="auto"/>
          <w:highlight w:val="none"/>
          <w:lang w:val="en-US" w:eastAsia="zh-CN"/>
        </w:rPr>
        <w:t>当木构件经过防腐防虫处理后，原则上应避免重新切割或钻孔，因为这</w:t>
      </w:r>
      <w:r>
        <w:rPr>
          <w:rFonts w:hint="eastAsia"/>
          <w:color w:val="auto"/>
          <w:highlight w:val="none"/>
          <w:lang w:val="en-US" w:eastAsia="zh-CN"/>
        </w:rPr>
        <w:t>将</w:t>
      </w:r>
      <w:r>
        <w:rPr>
          <w:rFonts w:hint="default"/>
          <w:color w:val="auto"/>
          <w:highlight w:val="none"/>
          <w:lang w:val="en-US" w:eastAsia="zh-CN"/>
        </w:rPr>
        <w:t>破坏已经形成的药剂保护层，使木材内部或新暴露的表面容易受到腐朽和虫害的侵害。然而，在实际工程中，由于技术或设计上的需要，有时不得不进行局部的修整或加工</w:t>
      </w:r>
      <w:r>
        <w:rPr>
          <w:rFonts w:hint="eastAsia"/>
          <w:color w:val="auto"/>
          <w:highlight w:val="none"/>
          <w:lang w:val="en-US" w:eastAsia="zh-CN"/>
        </w:rPr>
        <w:t>，</w:t>
      </w:r>
      <w:r>
        <w:rPr>
          <w:rFonts w:hint="default"/>
          <w:color w:val="auto"/>
          <w:highlight w:val="none"/>
          <w:lang w:val="en-US" w:eastAsia="zh-CN"/>
        </w:rPr>
        <w:t>在这种情况下，为了确保木材的防腐、防虫效果不受影响，应对新暴露的木材表面涂刷足够的同品牌药剂。这样做可以确保新暴露的木材表面也能得到有效的保护，从而保持整个木构件的防腐、防虫性能。</w:t>
      </w:r>
    </w:p>
    <w:p w14:paraId="7CB5379E">
      <w:pPr>
        <w:rPr>
          <w:rFonts w:hint="default"/>
          <w:color w:val="auto"/>
          <w:highlight w:val="none"/>
          <w:lang w:val="en-US" w:eastAsia="zh-CN"/>
        </w:rPr>
      </w:pPr>
    </w:p>
    <w:p w14:paraId="340ABB27">
      <w:pPr>
        <w:pStyle w:val="4"/>
        <w:bidi w:val="0"/>
        <w:rPr>
          <w:rFonts w:hint="eastAsia"/>
          <w:color w:val="auto"/>
          <w:highlight w:val="none"/>
          <w:lang w:eastAsia="zh-CN"/>
        </w:rPr>
      </w:pPr>
      <w:r>
        <w:rPr>
          <w:rFonts w:hint="eastAsia"/>
          <w:b/>
          <w:bCs/>
          <w:color w:val="auto"/>
          <w:highlight w:val="none"/>
          <w:lang w:val="en-US" w:eastAsia="zh-CN"/>
        </w:rPr>
        <w:t>11</w:t>
      </w:r>
      <w:r>
        <w:rPr>
          <w:b/>
          <w:bCs/>
          <w:color w:val="auto"/>
          <w:highlight w:val="none"/>
        </w:rPr>
        <w:t>.2.</w:t>
      </w:r>
      <w:r>
        <w:rPr>
          <w:rFonts w:hint="eastAsia"/>
          <w:b/>
          <w:bCs/>
          <w:color w:val="auto"/>
          <w:highlight w:val="none"/>
          <w:lang w:val="en-US" w:eastAsia="zh-CN"/>
        </w:rPr>
        <w:t xml:space="preserve">8  </w:t>
      </w:r>
      <w:r>
        <w:rPr>
          <w:rFonts w:hint="eastAsia"/>
          <w:color w:val="auto"/>
          <w:highlight w:val="none"/>
        </w:rPr>
        <w:t>经防护处理的木构件，其防护层有损伤或</w:t>
      </w:r>
      <w:r>
        <w:rPr>
          <w:rFonts w:hint="eastAsia"/>
          <w:color w:val="auto"/>
          <w:highlight w:val="none"/>
          <w:lang w:val="en-US" w:eastAsia="zh-CN"/>
        </w:rPr>
        <w:t>因局部加工</w:t>
      </w:r>
      <w:r>
        <w:rPr>
          <w:rFonts w:hint="eastAsia"/>
          <w:color w:val="auto"/>
          <w:highlight w:val="none"/>
        </w:rPr>
        <w:t>而造成防护层缺损时，应进行修补。</w:t>
      </w:r>
    </w:p>
    <w:p w14:paraId="30EEE621">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11.2.8：经防护处理的木构件，其防护层的主要作用是提供防腐、防虫、防潮等保护，以确保木构件在使用过程中能够保持稳定的性能和延长使用寿命。一旦防护层受损，木材直接暴露在外界环境中，容易受到细菌、霉菌、白蚁等生物的侵害，导致木材腐朽、变质。及时修补可以恢复防护层的完整性，继续为木材提供保护。</w:t>
      </w:r>
    </w:p>
    <w:p w14:paraId="2C23B083">
      <w:pPr>
        <w:rPr>
          <w:rFonts w:hint="default"/>
          <w:color w:val="auto"/>
          <w:highlight w:val="none"/>
          <w:lang w:val="en-US" w:eastAsia="zh-CN"/>
        </w:rPr>
      </w:pPr>
    </w:p>
    <w:p w14:paraId="790C0515">
      <w:pPr>
        <w:pStyle w:val="4"/>
        <w:bidi w:val="0"/>
        <w:rPr>
          <w:rFonts w:hint="eastAsia"/>
          <w:color w:val="auto"/>
          <w:highlight w:val="none"/>
          <w:lang w:eastAsia="zh-CN"/>
        </w:rPr>
      </w:pPr>
      <w:r>
        <w:rPr>
          <w:rFonts w:hint="eastAsia"/>
          <w:b/>
          <w:bCs/>
          <w:color w:val="auto"/>
          <w:highlight w:val="none"/>
          <w:lang w:val="en-US" w:eastAsia="zh-CN"/>
        </w:rPr>
        <w:t>11</w:t>
      </w:r>
      <w:r>
        <w:rPr>
          <w:b/>
          <w:bCs/>
          <w:color w:val="auto"/>
          <w:highlight w:val="none"/>
        </w:rPr>
        <w:t>.</w:t>
      </w:r>
      <w:r>
        <w:rPr>
          <w:rFonts w:hint="eastAsia"/>
          <w:b/>
          <w:bCs/>
          <w:color w:val="auto"/>
          <w:highlight w:val="none"/>
          <w:lang w:val="en-US" w:eastAsia="zh-CN"/>
        </w:rPr>
        <w:t>2</w:t>
      </w:r>
      <w:r>
        <w:rPr>
          <w:b/>
          <w:bCs/>
          <w:color w:val="auto"/>
          <w:highlight w:val="none"/>
        </w:rPr>
        <w:t>.</w:t>
      </w:r>
      <w:r>
        <w:rPr>
          <w:rFonts w:hint="eastAsia"/>
          <w:b/>
          <w:bCs/>
          <w:color w:val="auto"/>
          <w:highlight w:val="none"/>
          <w:lang w:val="en-US" w:eastAsia="zh-CN"/>
        </w:rPr>
        <w:t>9</w:t>
      </w:r>
      <w:r>
        <w:rPr>
          <w:b/>
          <w:bCs/>
          <w:color w:val="auto"/>
          <w:highlight w:val="none"/>
        </w:rPr>
        <w:t xml:space="preserve">  </w:t>
      </w:r>
      <w:r>
        <w:rPr>
          <w:rFonts w:hint="eastAsia"/>
          <w:color w:val="auto"/>
          <w:highlight w:val="none"/>
          <w:lang w:val="en-US" w:eastAsia="zh-CN"/>
        </w:rPr>
        <w:t>木</w:t>
      </w:r>
      <w:r>
        <w:rPr>
          <w:rFonts w:hint="eastAsia"/>
          <w:color w:val="auto"/>
          <w:highlight w:val="none"/>
        </w:rPr>
        <w:t>结构中外露钢构件及未作镀锌处理的金属连接件，应按设计文件的规定采取防锈蚀措施</w:t>
      </w:r>
      <w:r>
        <w:rPr>
          <w:rFonts w:hint="eastAsia"/>
          <w:color w:val="auto"/>
          <w:highlight w:val="none"/>
          <w:lang w:eastAsia="zh-CN"/>
        </w:rPr>
        <w:t>，</w:t>
      </w:r>
      <w:r>
        <w:rPr>
          <w:rFonts w:hint="eastAsia"/>
          <w:color w:val="auto"/>
          <w:highlight w:val="none"/>
          <w:lang w:val="en-US" w:eastAsia="zh-CN"/>
        </w:rPr>
        <w:t>且</w:t>
      </w:r>
      <w:r>
        <w:rPr>
          <w:rFonts w:hint="eastAsia"/>
          <w:color w:val="auto"/>
          <w:highlight w:val="none"/>
        </w:rPr>
        <w:t>防</w:t>
      </w:r>
      <w:r>
        <w:rPr>
          <w:rFonts w:hint="eastAsia"/>
          <w:color w:val="auto"/>
          <w:highlight w:val="none"/>
          <w:lang w:val="en-US" w:eastAsia="zh-CN"/>
        </w:rPr>
        <w:t>护</w:t>
      </w:r>
      <w:r>
        <w:rPr>
          <w:rFonts w:hint="eastAsia"/>
          <w:color w:val="auto"/>
          <w:highlight w:val="none"/>
        </w:rPr>
        <w:t>剂不应与金属连接件起化学反应。</w:t>
      </w:r>
    </w:p>
    <w:p w14:paraId="77583329">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11.2.9：木结构中外露钢构件及未作镀锌处理的金属连接件，由于直接暴露于外界环境中，容易受到氧气、水分以及其他腐蚀介质的侵蚀，从而发生锈蚀。这不仅会影响结构的美观性，更重要的是会削弱构件的强度和耐久性，进而对整体结构的安全性构成威胁。因此，设计文件中应明确指定防锈蚀的方法、材料、工艺等要求，以确保防锈蚀效果达到预期目标。同时，防护剂的选择应基于钢构件和金属连接件的材质、使用环境以及预期寿命等因素进行综合考虑，且选用的防护剂不应与金属连接件发生化学反应，以免对结构造成损害。</w:t>
      </w:r>
    </w:p>
    <w:p w14:paraId="227F77A1">
      <w:pPr>
        <w:rPr>
          <w:rFonts w:hint="eastAsia"/>
          <w:color w:val="auto"/>
          <w:highlight w:val="none"/>
          <w:lang w:val="en-US" w:eastAsia="zh-CN"/>
        </w:rPr>
      </w:pPr>
    </w:p>
    <w:p w14:paraId="1CC3867B">
      <w:pPr>
        <w:rPr>
          <w:rFonts w:hint="eastAsia"/>
          <w:color w:val="auto"/>
          <w:highlight w:val="none"/>
          <w:lang w:val="en-US" w:eastAsia="zh-CN"/>
        </w:rPr>
      </w:pPr>
    </w:p>
    <w:p w14:paraId="435159D4">
      <w:pPr>
        <w:pStyle w:val="4"/>
        <w:bidi w:val="0"/>
        <w:rPr>
          <w:rFonts w:hint="eastAsia"/>
          <w:color w:val="auto"/>
          <w:highlight w:val="none"/>
          <w:lang w:eastAsia="zh-CN"/>
        </w:rPr>
      </w:pPr>
      <w:r>
        <w:rPr>
          <w:rFonts w:hint="eastAsia"/>
          <w:b/>
          <w:bCs/>
          <w:color w:val="auto"/>
          <w:highlight w:val="none"/>
          <w:lang w:val="en-US" w:eastAsia="zh-CN"/>
        </w:rPr>
        <w:t>11</w:t>
      </w:r>
      <w:r>
        <w:rPr>
          <w:b/>
          <w:bCs/>
          <w:color w:val="auto"/>
          <w:highlight w:val="none"/>
        </w:rPr>
        <w:t>.</w:t>
      </w:r>
      <w:r>
        <w:rPr>
          <w:rFonts w:hint="eastAsia"/>
          <w:b/>
          <w:bCs/>
          <w:color w:val="auto"/>
          <w:highlight w:val="none"/>
          <w:lang w:val="en-US" w:eastAsia="zh-CN"/>
        </w:rPr>
        <w:t>2.10</w:t>
      </w:r>
      <w:r>
        <w:rPr>
          <w:rFonts w:hint="eastAsia"/>
          <w:color w:val="auto"/>
          <w:highlight w:val="none"/>
          <w:lang w:val="en-US" w:eastAsia="zh-CN"/>
        </w:rPr>
        <w:t xml:space="preserve">  </w:t>
      </w:r>
      <w:r>
        <w:rPr>
          <w:rFonts w:hint="eastAsia"/>
          <w:color w:val="auto"/>
          <w:highlight w:val="none"/>
          <w:lang w:eastAsia="zh-CN"/>
        </w:rPr>
        <w:t>木结构的防腐、防虫采用药剂加压处理时，该药剂在木材中的保持量和透入度应达到设计文件规定的要求。设计未作规定时，则应符合现行国家标准《木结构工程施工质量验收规范》GB</w:t>
      </w:r>
      <w:r>
        <w:rPr>
          <w:rFonts w:hint="eastAsia"/>
          <w:color w:val="auto"/>
          <w:highlight w:val="none"/>
          <w:lang w:val="en-US" w:eastAsia="zh-CN"/>
        </w:rPr>
        <w:t xml:space="preserve"> </w:t>
      </w:r>
      <w:r>
        <w:rPr>
          <w:rFonts w:hint="eastAsia"/>
          <w:color w:val="auto"/>
          <w:highlight w:val="none"/>
          <w:lang w:eastAsia="zh-CN"/>
        </w:rPr>
        <w:t>50206规定的最低要求。</w:t>
      </w:r>
    </w:p>
    <w:p w14:paraId="6C8F19F2">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11.2.10：</w:t>
      </w:r>
      <w:r>
        <w:rPr>
          <w:rFonts w:hint="default"/>
          <w:color w:val="auto"/>
          <w:highlight w:val="none"/>
          <w:lang w:val="en-US" w:eastAsia="zh-CN"/>
        </w:rPr>
        <w:t>药剂保持量是指木材在防腐、防虫处理后，单位体积木材中所含有的有效防腐、防虫药剂的量</w:t>
      </w:r>
      <w:r>
        <w:rPr>
          <w:rFonts w:hint="eastAsia"/>
          <w:color w:val="auto"/>
          <w:highlight w:val="none"/>
          <w:lang w:val="en-US" w:eastAsia="zh-CN"/>
        </w:rPr>
        <w:t>，</w:t>
      </w:r>
      <w:r>
        <w:rPr>
          <w:rFonts w:hint="default"/>
          <w:color w:val="auto"/>
          <w:highlight w:val="none"/>
          <w:lang w:val="en-US" w:eastAsia="zh-CN"/>
        </w:rPr>
        <w:t>这个量直接影响木材的防腐、防虫效果和使用寿命。设计文件</w:t>
      </w:r>
      <w:r>
        <w:rPr>
          <w:rFonts w:hint="eastAsia"/>
          <w:color w:val="auto"/>
          <w:highlight w:val="none"/>
          <w:lang w:val="en-US" w:eastAsia="zh-CN"/>
        </w:rPr>
        <w:t>应</w:t>
      </w:r>
      <w:r>
        <w:rPr>
          <w:rFonts w:hint="default"/>
          <w:color w:val="auto"/>
          <w:highlight w:val="none"/>
          <w:lang w:val="en-US" w:eastAsia="zh-CN"/>
        </w:rPr>
        <w:t>根据木材的材质、使用环境、预期寿命等因素，规定具体的药剂保持量要求。在实际操作中，为确保药剂保持量达到设计要求，需要严格控制药剂的配方、浓度、处理工艺等各个环节。同时，在处理完成后，还应对木材进行药剂保持量的检测，以确保其符合设计要求。</w:t>
      </w:r>
    </w:p>
    <w:p w14:paraId="712712A3">
      <w:pPr>
        <w:pStyle w:val="50"/>
        <w:bidi w:val="0"/>
        <w:rPr>
          <w:rFonts w:hint="default"/>
          <w:color w:val="auto"/>
          <w:highlight w:val="none"/>
          <w:lang w:val="en-US" w:eastAsia="zh-CN"/>
        </w:rPr>
      </w:pPr>
      <w:r>
        <w:rPr>
          <w:rFonts w:hint="default"/>
          <w:color w:val="auto"/>
          <w:highlight w:val="none"/>
          <w:lang w:val="en-US" w:eastAsia="zh-CN"/>
        </w:rPr>
        <w:t>药剂透入度是指防腐、防虫药剂在木材中的渗透深度和渗透均匀性</w:t>
      </w:r>
      <w:r>
        <w:rPr>
          <w:rFonts w:hint="eastAsia"/>
          <w:color w:val="auto"/>
          <w:highlight w:val="none"/>
          <w:lang w:val="en-US" w:eastAsia="zh-CN"/>
        </w:rPr>
        <w:t>，</w:t>
      </w:r>
      <w:r>
        <w:rPr>
          <w:rFonts w:hint="default"/>
          <w:color w:val="auto"/>
          <w:highlight w:val="none"/>
          <w:lang w:val="en-US" w:eastAsia="zh-CN"/>
        </w:rPr>
        <w:t>透入度越高，药剂在木材中的分布越均匀，防腐、防虫效果就越好。设计文件</w:t>
      </w:r>
      <w:r>
        <w:rPr>
          <w:rFonts w:hint="eastAsia"/>
          <w:color w:val="auto"/>
          <w:highlight w:val="none"/>
          <w:lang w:val="en-US" w:eastAsia="zh-CN"/>
        </w:rPr>
        <w:t>应</w:t>
      </w:r>
      <w:r>
        <w:rPr>
          <w:rFonts w:hint="default"/>
          <w:color w:val="auto"/>
          <w:highlight w:val="none"/>
          <w:lang w:val="en-US" w:eastAsia="zh-CN"/>
        </w:rPr>
        <w:t>根据木材的材质、尺寸、使用环境等因素，规定具体的药剂透入度要求。为实现药剂的高透入度，通常采用加压浸渍等工艺，使药剂在高压下充分渗透到木材内部。在处理过程中，还需要注意木材的含水率、温度等条件，以确保药剂能够顺利渗透。处理完成后，同样需要对木材进行药剂透入度的检测，以确保其符合设计要求。</w:t>
      </w:r>
    </w:p>
    <w:p w14:paraId="677D2722">
      <w:pPr>
        <w:pStyle w:val="3"/>
        <w:bidi w:val="0"/>
        <w:rPr>
          <w:rFonts w:hint="eastAsia"/>
          <w:color w:val="auto"/>
          <w:highlight w:val="none"/>
          <w:lang w:eastAsia="zh-CN"/>
        </w:rPr>
      </w:pPr>
      <w:bookmarkStart w:id="252" w:name="_Toc31064"/>
      <w:bookmarkStart w:id="253" w:name="_Toc7289"/>
      <w:bookmarkStart w:id="254" w:name="_Toc12095"/>
      <w:r>
        <w:rPr>
          <w:rFonts w:hint="eastAsia"/>
          <w:color w:val="auto"/>
          <w:highlight w:val="none"/>
          <w:lang w:val="en-US" w:eastAsia="zh-CN"/>
        </w:rPr>
        <w:t>11</w:t>
      </w:r>
      <w:r>
        <w:rPr>
          <w:rFonts w:hint="eastAsia"/>
          <w:color w:val="auto"/>
          <w:highlight w:val="none"/>
        </w:rPr>
        <w:t>.</w:t>
      </w:r>
      <w:r>
        <w:rPr>
          <w:rFonts w:hint="eastAsia"/>
          <w:color w:val="auto"/>
          <w:highlight w:val="none"/>
          <w:lang w:val="en-US" w:eastAsia="zh-CN"/>
        </w:rPr>
        <w:t>3  防水防潮</w:t>
      </w:r>
      <w:bookmarkEnd w:id="252"/>
      <w:bookmarkEnd w:id="253"/>
      <w:bookmarkEnd w:id="254"/>
    </w:p>
    <w:p w14:paraId="3E39A396">
      <w:pPr>
        <w:pStyle w:val="4"/>
        <w:bidi w:val="0"/>
        <w:rPr>
          <w:rFonts w:hint="eastAsia"/>
          <w:color w:val="auto"/>
          <w:highlight w:val="none"/>
          <w:lang w:eastAsia="zh-CN"/>
        </w:rPr>
      </w:pPr>
      <w:r>
        <w:rPr>
          <w:rFonts w:hint="eastAsia"/>
          <w:b/>
          <w:bCs/>
          <w:color w:val="auto"/>
          <w:highlight w:val="none"/>
          <w:lang w:eastAsia="zh-CN"/>
        </w:rPr>
        <w:t>11.</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 xml:space="preserve">1  </w:t>
      </w:r>
      <w:r>
        <w:rPr>
          <w:rFonts w:hint="eastAsia"/>
          <w:color w:val="auto"/>
          <w:highlight w:val="none"/>
          <w:lang w:eastAsia="zh-CN"/>
        </w:rPr>
        <w:t>木结构建筑应有效利用悬挑结构、雨篷等设施对外墙面和门窗进行保护，宜减少在围护结构上开窗开洞的部位。</w:t>
      </w:r>
    </w:p>
    <w:p w14:paraId="147FCE62">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建筑平、立面过于复杂，围护结构上开洞过多，阳台、门窗等过度暴露，都会增加建筑防水防潮的难度。减少不必要的开窗开洞，可以减少雨水、湿气等外界因素对建筑内部的侵蚀，这对于保持木结构建筑的干燥、防止霉变和腐朽具有重要意义。通过设计合理的悬挑结构或采用遮挡设施，可以有效地为外墙面和门窗提供遮阳和防雨的保护，这种结构不仅能够减少雨水对外墙和门窗的直接冲击，还能在一定程度上降低太阳辐射对室内温度的影响，从而提高建筑的能效。</w:t>
      </w:r>
    </w:p>
    <w:p w14:paraId="18F0DCBC">
      <w:pPr>
        <w:rPr>
          <w:rFonts w:hint="default"/>
          <w:color w:val="auto"/>
          <w:highlight w:val="none"/>
          <w:lang w:val="en-US" w:eastAsia="zh-CN"/>
        </w:rPr>
      </w:pPr>
    </w:p>
    <w:p w14:paraId="3F7427D6">
      <w:pPr>
        <w:pStyle w:val="4"/>
        <w:bidi w:val="0"/>
        <w:rPr>
          <w:rFonts w:hint="eastAsia"/>
          <w:color w:val="auto"/>
          <w:highlight w:val="none"/>
          <w:lang w:eastAsia="zh-CN"/>
        </w:rPr>
      </w:pPr>
      <w:r>
        <w:rPr>
          <w:rFonts w:hint="eastAsia"/>
          <w:b/>
          <w:bCs/>
          <w:color w:val="auto"/>
          <w:highlight w:val="none"/>
          <w:lang w:eastAsia="zh-CN"/>
        </w:rPr>
        <w:t>11.</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 xml:space="preserve">2  </w:t>
      </w:r>
      <w:r>
        <w:rPr>
          <w:rFonts w:hint="eastAsia"/>
          <w:color w:val="auto"/>
          <w:highlight w:val="none"/>
          <w:lang w:eastAsia="zh-CN"/>
        </w:rPr>
        <w:t>木结构的防水防潮措施应按下列规定设置：</w:t>
      </w:r>
    </w:p>
    <w:p w14:paraId="277FD875">
      <w:pPr>
        <w:pStyle w:val="4"/>
        <w:bidi w:val="0"/>
        <w:ind w:firstLine="480" w:firstLineChars="200"/>
        <w:rPr>
          <w:rFonts w:hint="eastAsia"/>
          <w:color w:val="auto"/>
          <w:highlight w:val="none"/>
          <w:lang w:eastAsia="zh-CN"/>
        </w:rPr>
      </w:pPr>
      <w:r>
        <w:rPr>
          <w:rFonts w:hint="eastAsia"/>
          <w:color w:val="auto"/>
          <w:highlight w:val="none"/>
          <w:lang w:eastAsia="zh-CN"/>
        </w:rPr>
        <w:t>1</w:t>
      </w:r>
      <w:r>
        <w:rPr>
          <w:rFonts w:hint="eastAsia"/>
          <w:color w:val="auto"/>
          <w:highlight w:val="none"/>
          <w:lang w:val="en-US" w:eastAsia="zh-CN"/>
        </w:rPr>
        <w:t xml:space="preserve">  </w:t>
      </w:r>
      <w:r>
        <w:rPr>
          <w:rFonts w:hint="eastAsia"/>
          <w:color w:val="auto"/>
          <w:highlight w:val="none"/>
          <w:lang w:eastAsia="zh-CN"/>
        </w:rPr>
        <w:t>当</w:t>
      </w:r>
      <w:r>
        <w:rPr>
          <w:rFonts w:hint="eastAsia"/>
          <w:color w:val="auto"/>
          <w:highlight w:val="none"/>
          <w:lang w:val="en-US" w:eastAsia="zh-CN"/>
        </w:rPr>
        <w:t>桁架</w:t>
      </w:r>
      <w:r>
        <w:rPr>
          <w:rFonts w:hint="eastAsia"/>
          <w:color w:val="auto"/>
          <w:highlight w:val="none"/>
          <w:lang w:eastAsia="zh-CN"/>
        </w:rPr>
        <w:t>和大梁支承在砌体或混凝土上时，</w:t>
      </w:r>
      <w:r>
        <w:rPr>
          <w:rFonts w:hint="eastAsia"/>
          <w:color w:val="auto"/>
          <w:highlight w:val="none"/>
          <w:lang w:val="en-US" w:eastAsia="zh-CN"/>
        </w:rPr>
        <w:t>桁架</w:t>
      </w:r>
      <w:r>
        <w:rPr>
          <w:rFonts w:hint="eastAsia"/>
          <w:color w:val="auto"/>
          <w:highlight w:val="none"/>
          <w:lang w:eastAsia="zh-CN"/>
        </w:rPr>
        <w:t>和大梁的支座下应设置防潮层；</w:t>
      </w:r>
    </w:p>
    <w:p w14:paraId="0701DA27">
      <w:pPr>
        <w:pStyle w:val="4"/>
        <w:bidi w:val="0"/>
        <w:ind w:firstLine="480" w:firstLineChars="200"/>
        <w:rPr>
          <w:rFonts w:hint="eastAsia"/>
          <w:color w:val="auto"/>
          <w:highlight w:val="none"/>
          <w:lang w:eastAsia="zh-CN"/>
        </w:rPr>
      </w:pPr>
      <w:r>
        <w:rPr>
          <w:rFonts w:hint="eastAsia"/>
          <w:color w:val="auto"/>
          <w:highlight w:val="none"/>
          <w:lang w:eastAsia="zh-CN"/>
        </w:rPr>
        <w:t>2</w:t>
      </w:r>
      <w:r>
        <w:rPr>
          <w:rFonts w:hint="eastAsia"/>
          <w:color w:val="auto"/>
          <w:highlight w:val="none"/>
          <w:lang w:val="en-US" w:eastAsia="zh-CN"/>
        </w:rPr>
        <w:t xml:space="preserve">  桁架</w:t>
      </w:r>
      <w:r>
        <w:rPr>
          <w:rFonts w:hint="eastAsia"/>
          <w:color w:val="auto"/>
          <w:highlight w:val="none"/>
          <w:lang w:eastAsia="zh-CN"/>
        </w:rPr>
        <w:t>、大梁的支座节点或其他承重木构件不应封闭在墙体或保温层内；</w:t>
      </w:r>
    </w:p>
    <w:p w14:paraId="023E2119">
      <w:pPr>
        <w:pStyle w:val="4"/>
        <w:bidi w:val="0"/>
        <w:ind w:firstLine="480" w:firstLineChars="200"/>
        <w:rPr>
          <w:rFonts w:hint="eastAsia"/>
          <w:color w:val="auto"/>
          <w:highlight w:val="none"/>
          <w:lang w:eastAsia="zh-CN"/>
        </w:rPr>
      </w:pPr>
      <w:r>
        <w:rPr>
          <w:rFonts w:hint="eastAsia"/>
          <w:color w:val="auto"/>
          <w:highlight w:val="none"/>
          <w:lang w:eastAsia="zh-CN"/>
        </w:rPr>
        <w:t>3</w:t>
      </w:r>
      <w:r>
        <w:rPr>
          <w:rFonts w:hint="eastAsia"/>
          <w:color w:val="auto"/>
          <w:highlight w:val="none"/>
          <w:lang w:val="en-US" w:eastAsia="zh-CN"/>
        </w:rPr>
        <w:t xml:space="preserve">  </w:t>
      </w:r>
      <w:r>
        <w:rPr>
          <w:rFonts w:hint="eastAsia"/>
          <w:color w:val="auto"/>
          <w:highlight w:val="none"/>
          <w:lang w:eastAsia="zh-CN"/>
        </w:rPr>
        <w:t>支承在砌体或混凝土上的木柱底部应设置垫板，</w:t>
      </w:r>
      <w:r>
        <w:rPr>
          <w:rFonts w:hint="eastAsia"/>
          <w:color w:val="auto"/>
          <w:highlight w:val="none"/>
          <w:lang w:val="en-US" w:eastAsia="zh-CN"/>
        </w:rPr>
        <w:t>不应</w:t>
      </w:r>
      <w:r>
        <w:rPr>
          <w:rFonts w:hint="eastAsia"/>
          <w:color w:val="auto"/>
          <w:highlight w:val="none"/>
          <w:lang w:eastAsia="zh-CN"/>
        </w:rPr>
        <w:t>将木柱直接砌入砌体中，或浇筑在混凝土中；</w:t>
      </w:r>
    </w:p>
    <w:p w14:paraId="32CB923E">
      <w:pPr>
        <w:pStyle w:val="4"/>
        <w:bidi w:val="0"/>
        <w:ind w:firstLine="480" w:firstLineChars="200"/>
        <w:rPr>
          <w:rFonts w:hint="eastAsia"/>
          <w:color w:val="auto"/>
          <w:highlight w:val="none"/>
          <w:lang w:eastAsia="zh-CN"/>
        </w:rPr>
      </w:pPr>
      <w:r>
        <w:rPr>
          <w:rFonts w:hint="eastAsia"/>
          <w:color w:val="auto"/>
          <w:highlight w:val="none"/>
          <w:lang w:eastAsia="zh-CN"/>
        </w:rPr>
        <w:t>4</w:t>
      </w:r>
      <w:r>
        <w:rPr>
          <w:rFonts w:hint="eastAsia"/>
          <w:color w:val="auto"/>
          <w:highlight w:val="none"/>
          <w:lang w:val="en-US" w:eastAsia="zh-CN"/>
        </w:rPr>
        <w:t xml:space="preserve">  </w:t>
      </w:r>
      <w:r>
        <w:rPr>
          <w:rFonts w:hint="eastAsia"/>
          <w:color w:val="auto"/>
          <w:highlight w:val="none"/>
          <w:lang w:eastAsia="zh-CN"/>
        </w:rPr>
        <w:t>在木结构隐蔽部位应设置通风孔洞；</w:t>
      </w:r>
    </w:p>
    <w:p w14:paraId="0D274D4F">
      <w:pPr>
        <w:pStyle w:val="4"/>
        <w:bidi w:val="0"/>
        <w:ind w:firstLine="480" w:firstLineChars="200"/>
        <w:rPr>
          <w:rFonts w:hint="eastAsia"/>
          <w:color w:val="auto"/>
          <w:highlight w:val="none"/>
          <w:lang w:eastAsia="zh-CN"/>
        </w:rPr>
      </w:pPr>
      <w:r>
        <w:rPr>
          <w:rFonts w:hint="eastAsia"/>
          <w:color w:val="auto"/>
          <w:highlight w:val="none"/>
          <w:lang w:eastAsia="zh-CN"/>
        </w:rPr>
        <w:t>5</w:t>
      </w:r>
      <w:r>
        <w:rPr>
          <w:rFonts w:hint="eastAsia"/>
          <w:color w:val="auto"/>
          <w:highlight w:val="none"/>
          <w:lang w:val="en-US" w:eastAsia="zh-CN"/>
        </w:rPr>
        <w:t xml:space="preserve">  </w:t>
      </w:r>
      <w:r>
        <w:rPr>
          <w:rFonts w:hint="eastAsia"/>
          <w:color w:val="auto"/>
          <w:highlight w:val="none"/>
          <w:lang w:eastAsia="zh-CN"/>
        </w:rPr>
        <w:t>无地下室的底层木楼盖应架空,并应采取通风防潮措施；</w:t>
      </w:r>
    </w:p>
    <w:p w14:paraId="70C81DCF">
      <w:pPr>
        <w:pStyle w:val="4"/>
        <w:bidi w:val="0"/>
        <w:ind w:firstLine="480" w:firstLineChars="200"/>
        <w:rPr>
          <w:rFonts w:hint="eastAsia"/>
          <w:color w:val="auto"/>
          <w:highlight w:val="none"/>
          <w:lang w:eastAsia="zh-CN"/>
        </w:rPr>
      </w:pPr>
      <w:r>
        <w:rPr>
          <w:rFonts w:hint="eastAsia"/>
          <w:color w:val="auto"/>
          <w:highlight w:val="none"/>
          <w:lang w:val="en-US" w:eastAsia="zh-CN"/>
        </w:rPr>
        <w:t xml:space="preserve">6  </w:t>
      </w:r>
      <w:r>
        <w:rPr>
          <w:rFonts w:hint="eastAsia"/>
          <w:color w:val="auto"/>
          <w:highlight w:val="none"/>
          <w:lang w:eastAsia="zh-CN"/>
        </w:rPr>
        <w:t>在木构件和混凝土构件之间应铺设防潮膜。</w:t>
      </w:r>
    </w:p>
    <w:p w14:paraId="14D3E113">
      <w:pPr>
        <w:pStyle w:val="4"/>
        <w:bidi w:val="0"/>
        <w:ind w:firstLine="480" w:firstLineChars="200"/>
        <w:rPr>
          <w:rFonts w:hint="eastAsia"/>
          <w:color w:val="auto"/>
          <w:highlight w:val="none"/>
          <w:lang w:eastAsia="zh-CN"/>
        </w:rPr>
      </w:pPr>
      <w:r>
        <w:rPr>
          <w:rFonts w:hint="eastAsia"/>
          <w:color w:val="auto"/>
          <w:highlight w:val="none"/>
          <w:lang w:val="en-US" w:eastAsia="zh-CN"/>
        </w:rPr>
        <w:t xml:space="preserve">7  </w:t>
      </w:r>
      <w:r>
        <w:rPr>
          <w:rFonts w:hint="eastAsia"/>
          <w:color w:val="auto"/>
          <w:highlight w:val="none"/>
          <w:lang w:eastAsia="zh-CN"/>
        </w:rPr>
        <w:t>当建筑物底层采用木楼盖时，木构件的底部距离室外地坪的高度不应小于300mm。</w:t>
      </w:r>
    </w:p>
    <w:p w14:paraId="4E72AD1E">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 xml:space="preserve">：木材的腐朽，系受木腐菌侵害所致。在木结构建筑中，木腐菌主要依赖潮湿的环境而得以生存与发展，各地的调查表明，凡是在结构构造上封闭的部位以及易经常受潮的场所，其木构件无不受木腐菌的侵害，严重者甚至会发生木结构坍塌事故。与此相反，若木结构所处的环境通风干燥良好，其木构件的使用年限，即使已逾百年，仍然可保持完好无损的状态。  </w:t>
      </w:r>
    </w:p>
    <w:p w14:paraId="746E6E0D">
      <w:pPr>
        <w:pStyle w:val="50"/>
        <w:bidi w:val="0"/>
        <w:rPr>
          <w:rFonts w:hint="eastAsia"/>
          <w:color w:val="auto"/>
          <w:highlight w:val="none"/>
          <w:lang w:val="en-US" w:eastAsia="zh-CN"/>
        </w:rPr>
      </w:pPr>
      <w:r>
        <w:rPr>
          <w:rFonts w:hint="eastAsia"/>
          <w:color w:val="auto"/>
          <w:highlight w:val="none"/>
          <w:lang w:val="en-US" w:eastAsia="zh-CN"/>
        </w:rPr>
        <w:t>因此，为防止木结构腐朽，首先应采取既经济又有效的构造措施，只有在采取构造措施后仍有可能遭受菌害的结构或部位，才需用防腐剂进行处理。</w:t>
      </w:r>
    </w:p>
    <w:p w14:paraId="578E9F50">
      <w:pPr>
        <w:pStyle w:val="50"/>
        <w:bidi w:val="0"/>
        <w:rPr>
          <w:rFonts w:hint="eastAsia"/>
          <w:color w:val="auto"/>
          <w:highlight w:val="none"/>
          <w:lang w:val="en-US" w:eastAsia="zh-CN"/>
        </w:rPr>
      </w:pPr>
      <w:r>
        <w:rPr>
          <w:rFonts w:hint="eastAsia"/>
          <w:color w:val="auto"/>
          <w:highlight w:val="none"/>
          <w:lang w:val="en-US" w:eastAsia="zh-CN"/>
        </w:rPr>
        <w:t>建筑木结构构造上的防腐措施，主要是通风与防潮。本条的内容便是根据各地工程实践经验总结而成。这里应指出的是，通过构造上的通风、防潮，使木结构经常保持干燥，在很多情况下能对虫害起到—定的抑制作用，应与药剂配合使用，以取得更好的防虫效果。</w:t>
      </w:r>
    </w:p>
    <w:p w14:paraId="77FB9202">
      <w:pPr>
        <w:rPr>
          <w:rFonts w:hint="default"/>
          <w:color w:val="auto"/>
          <w:highlight w:val="none"/>
          <w:lang w:val="en-US" w:eastAsia="zh-CN"/>
        </w:rPr>
      </w:pPr>
    </w:p>
    <w:p w14:paraId="23021078">
      <w:pPr>
        <w:pStyle w:val="4"/>
        <w:bidi w:val="0"/>
        <w:rPr>
          <w:rFonts w:hint="eastAsia"/>
          <w:color w:val="auto"/>
          <w:highlight w:val="none"/>
          <w:lang w:eastAsia="zh-CN"/>
        </w:rPr>
      </w:pPr>
      <w:r>
        <w:rPr>
          <w:rFonts w:hint="eastAsia"/>
          <w:b/>
          <w:bCs/>
          <w:color w:val="auto"/>
          <w:highlight w:val="none"/>
          <w:lang w:eastAsia="zh-CN"/>
        </w:rPr>
        <w:t>11.</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 xml:space="preserve"> </w:t>
      </w:r>
      <w:r>
        <w:rPr>
          <w:rFonts w:hint="eastAsia"/>
          <w:b/>
          <w:bCs/>
          <w:color w:val="auto"/>
          <w:highlight w:val="none"/>
          <w:lang w:val="en-US" w:eastAsia="zh-CN"/>
        </w:rPr>
        <w:t xml:space="preserve"> </w:t>
      </w:r>
      <w:r>
        <w:rPr>
          <w:rFonts w:hint="eastAsia"/>
          <w:color w:val="auto"/>
          <w:highlight w:val="none"/>
          <w:lang w:eastAsia="zh-CN"/>
        </w:rPr>
        <w:t>木结构建筑应采取有效措施提高整个建筑围护结构的气密性能，应在下列部位的接触面和连接点设置气密层：</w:t>
      </w:r>
    </w:p>
    <w:p w14:paraId="4C546529">
      <w:pPr>
        <w:pStyle w:val="4"/>
        <w:bidi w:val="0"/>
        <w:ind w:firstLine="480" w:firstLineChars="200"/>
        <w:rPr>
          <w:rFonts w:hint="eastAsia"/>
          <w:color w:val="auto"/>
          <w:highlight w:val="none"/>
          <w:lang w:eastAsia="zh-CN"/>
        </w:rPr>
      </w:pPr>
      <w:r>
        <w:rPr>
          <w:rFonts w:hint="eastAsia"/>
          <w:color w:val="auto"/>
          <w:highlight w:val="none"/>
          <w:lang w:eastAsia="zh-CN"/>
        </w:rPr>
        <w:t>1</w:t>
      </w:r>
      <w:r>
        <w:rPr>
          <w:rFonts w:hint="eastAsia"/>
          <w:color w:val="auto"/>
          <w:highlight w:val="none"/>
          <w:lang w:val="en-US" w:eastAsia="zh-CN"/>
        </w:rPr>
        <w:t xml:space="preserve">  </w:t>
      </w:r>
      <w:r>
        <w:rPr>
          <w:rFonts w:hint="eastAsia"/>
          <w:color w:val="auto"/>
          <w:highlight w:val="none"/>
          <w:lang w:eastAsia="zh-CN"/>
        </w:rPr>
        <w:t>相邻单元之间；</w:t>
      </w:r>
    </w:p>
    <w:p w14:paraId="6B55A510">
      <w:pPr>
        <w:pStyle w:val="4"/>
        <w:bidi w:val="0"/>
        <w:ind w:firstLine="480" w:firstLineChars="200"/>
        <w:rPr>
          <w:rFonts w:hint="eastAsia"/>
          <w:color w:val="auto"/>
          <w:highlight w:val="none"/>
          <w:lang w:eastAsia="zh-CN"/>
        </w:rPr>
      </w:pPr>
      <w:r>
        <w:rPr>
          <w:rFonts w:hint="eastAsia"/>
          <w:color w:val="auto"/>
          <w:highlight w:val="none"/>
          <w:lang w:eastAsia="zh-CN"/>
        </w:rPr>
        <w:t>2</w:t>
      </w:r>
      <w:r>
        <w:rPr>
          <w:rFonts w:hint="eastAsia"/>
          <w:color w:val="auto"/>
          <w:highlight w:val="none"/>
          <w:lang w:val="en-US" w:eastAsia="zh-CN"/>
        </w:rPr>
        <w:t xml:space="preserve">  </w:t>
      </w:r>
      <w:r>
        <w:rPr>
          <w:rFonts w:hint="eastAsia"/>
          <w:color w:val="auto"/>
          <w:highlight w:val="none"/>
          <w:lang w:eastAsia="zh-CN"/>
        </w:rPr>
        <w:t>室内空间与车库之间；</w:t>
      </w:r>
    </w:p>
    <w:p w14:paraId="6546C8C0">
      <w:pPr>
        <w:pStyle w:val="4"/>
        <w:bidi w:val="0"/>
        <w:ind w:firstLine="480" w:firstLineChars="200"/>
        <w:rPr>
          <w:rFonts w:hint="eastAsia"/>
          <w:color w:val="auto"/>
          <w:highlight w:val="none"/>
          <w:lang w:eastAsia="zh-CN"/>
        </w:rPr>
      </w:pPr>
      <w:r>
        <w:rPr>
          <w:rFonts w:hint="eastAsia"/>
          <w:color w:val="auto"/>
          <w:highlight w:val="none"/>
          <w:lang w:eastAsia="zh-CN"/>
        </w:rPr>
        <w:t>3</w:t>
      </w:r>
      <w:r>
        <w:rPr>
          <w:rFonts w:hint="eastAsia"/>
          <w:color w:val="auto"/>
          <w:highlight w:val="none"/>
          <w:lang w:val="en-US" w:eastAsia="zh-CN"/>
        </w:rPr>
        <w:t xml:space="preserve">  </w:t>
      </w:r>
      <w:r>
        <w:rPr>
          <w:rFonts w:hint="eastAsia"/>
          <w:color w:val="auto"/>
          <w:highlight w:val="none"/>
          <w:lang w:eastAsia="zh-CN"/>
        </w:rPr>
        <w:t>室内空间与非调温调湿地下室之间；</w:t>
      </w:r>
    </w:p>
    <w:p w14:paraId="788379FD">
      <w:pPr>
        <w:pStyle w:val="4"/>
        <w:bidi w:val="0"/>
        <w:ind w:firstLine="480" w:firstLineChars="200"/>
        <w:rPr>
          <w:rFonts w:hint="eastAsia"/>
          <w:color w:val="auto"/>
          <w:highlight w:val="none"/>
          <w:lang w:eastAsia="zh-CN"/>
        </w:rPr>
      </w:pPr>
      <w:r>
        <w:rPr>
          <w:rFonts w:hint="eastAsia"/>
          <w:color w:val="auto"/>
          <w:highlight w:val="none"/>
          <w:lang w:eastAsia="zh-CN"/>
        </w:rPr>
        <w:t>4</w:t>
      </w:r>
      <w:r>
        <w:rPr>
          <w:rFonts w:hint="eastAsia"/>
          <w:color w:val="auto"/>
          <w:highlight w:val="none"/>
          <w:lang w:val="en-US" w:eastAsia="zh-CN"/>
        </w:rPr>
        <w:t xml:space="preserve">  </w:t>
      </w:r>
      <w:r>
        <w:rPr>
          <w:rFonts w:hint="eastAsia"/>
          <w:color w:val="auto"/>
          <w:highlight w:val="none"/>
          <w:lang w:eastAsia="zh-CN"/>
        </w:rPr>
        <w:t>室内空间与架空层之间；</w:t>
      </w:r>
    </w:p>
    <w:p w14:paraId="5BC19077">
      <w:pPr>
        <w:pStyle w:val="4"/>
        <w:bidi w:val="0"/>
        <w:ind w:firstLine="480" w:firstLineChars="200"/>
        <w:rPr>
          <w:rFonts w:hint="eastAsia"/>
          <w:color w:val="auto"/>
          <w:highlight w:val="none"/>
          <w:lang w:eastAsia="zh-CN"/>
        </w:rPr>
      </w:pPr>
      <w:r>
        <w:rPr>
          <w:rFonts w:hint="eastAsia"/>
          <w:color w:val="auto"/>
          <w:highlight w:val="none"/>
          <w:lang w:eastAsia="zh-CN"/>
        </w:rPr>
        <w:t>5</w:t>
      </w:r>
      <w:r>
        <w:rPr>
          <w:rFonts w:hint="eastAsia"/>
          <w:color w:val="auto"/>
          <w:highlight w:val="none"/>
          <w:lang w:val="en-US" w:eastAsia="zh-CN"/>
        </w:rPr>
        <w:t xml:space="preserve">  </w:t>
      </w:r>
      <w:r>
        <w:rPr>
          <w:rFonts w:hint="eastAsia"/>
          <w:color w:val="auto"/>
          <w:highlight w:val="none"/>
          <w:lang w:eastAsia="zh-CN"/>
        </w:rPr>
        <w:t>室内空间与通风屋顶空间之间。</w:t>
      </w:r>
    </w:p>
    <w:p w14:paraId="2374A689">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提高围护结构气密性不仅对于防止雨水侵入，防止潮湿水蒸气在维护结构内冷凝作用明显，而且对于减少建筑供暖制冷所需能源，提高隔声性能，改善居住舒适度，都尤为重要。大部分建筑材料，如规格材、胶合板、定向木片板、石膏板及大多数柔性材料都具有较高的气密性，保证建筑维护结构气密性的关键在于保证气密层在不同材料和部件的连接及开洞处的连续性。采用胶带粘接和使用密封条等可以提高接触面和连接点气密性。</w:t>
      </w:r>
    </w:p>
    <w:p w14:paraId="099637EA">
      <w:pPr>
        <w:rPr>
          <w:rFonts w:hint="eastAsia"/>
          <w:color w:val="auto"/>
          <w:highlight w:val="none"/>
          <w:lang w:eastAsia="zh-CN"/>
        </w:rPr>
      </w:pPr>
    </w:p>
    <w:p w14:paraId="66875396">
      <w:pPr>
        <w:pStyle w:val="4"/>
        <w:bidi w:val="0"/>
        <w:rPr>
          <w:rFonts w:hint="eastAsia"/>
          <w:color w:val="auto"/>
          <w:highlight w:val="none"/>
          <w:lang w:eastAsia="zh-CN"/>
        </w:rPr>
      </w:pPr>
      <w:r>
        <w:rPr>
          <w:rFonts w:hint="eastAsia"/>
          <w:b/>
          <w:bCs/>
          <w:color w:val="auto"/>
          <w:highlight w:val="none"/>
          <w:lang w:eastAsia="zh-CN"/>
        </w:rPr>
        <w:t>11.</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 xml:space="preserve">4  </w:t>
      </w:r>
      <w:r>
        <w:rPr>
          <w:rFonts w:hint="eastAsia"/>
          <w:color w:val="auto"/>
          <w:highlight w:val="none"/>
          <w:lang w:eastAsia="zh-CN"/>
        </w:rPr>
        <w:t>木结构建筑应减少外围护结构表面的环境暴露程度，</w:t>
      </w:r>
      <w:r>
        <w:rPr>
          <w:rFonts w:hint="eastAsia"/>
          <w:color w:val="auto"/>
          <w:highlight w:val="none"/>
          <w:lang w:val="en-US" w:eastAsia="zh-CN"/>
        </w:rPr>
        <w:t>在</w:t>
      </w:r>
      <w:r>
        <w:rPr>
          <w:rFonts w:hint="eastAsia"/>
          <w:color w:val="auto"/>
          <w:highlight w:val="none"/>
          <w:lang w:eastAsia="zh-CN"/>
        </w:rPr>
        <w:t>环境暴露程度</w:t>
      </w:r>
      <w:r>
        <w:rPr>
          <w:rFonts w:hint="eastAsia"/>
          <w:color w:val="auto"/>
          <w:highlight w:val="none"/>
          <w:lang w:val="en-US" w:eastAsia="zh-CN"/>
        </w:rPr>
        <w:t>较</w:t>
      </w:r>
      <w:r>
        <w:rPr>
          <w:rFonts w:hint="eastAsia"/>
          <w:color w:val="auto"/>
          <w:highlight w:val="none"/>
          <w:lang w:eastAsia="zh-CN"/>
        </w:rPr>
        <w:t>高的</w:t>
      </w:r>
      <w:r>
        <w:rPr>
          <w:rFonts w:hint="eastAsia"/>
          <w:color w:val="auto"/>
          <w:highlight w:val="none"/>
          <w:lang w:val="en-US" w:eastAsia="zh-CN"/>
        </w:rPr>
        <w:t>区域</w:t>
      </w:r>
      <w:r>
        <w:rPr>
          <w:rFonts w:hint="eastAsia"/>
          <w:color w:val="auto"/>
          <w:highlight w:val="none"/>
          <w:lang w:eastAsia="zh-CN"/>
        </w:rPr>
        <w:t>应采用防雨幕墙。</w:t>
      </w:r>
    </w:p>
    <w:p w14:paraId="3D0CB339">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w:t>
      </w:r>
      <w:r>
        <w:rPr>
          <w:rFonts w:hint="default"/>
          <w:color w:val="auto"/>
          <w:highlight w:val="none"/>
          <w:lang w:val="en-US" w:eastAsia="zh-CN"/>
        </w:rPr>
        <w:t>外围护结构是建筑与外界环境接触的主要界面，其性能直接影响到建筑的耐久性、舒适性和能耗。对于木结构建筑而言，外围护结构的保护尤为重要，因为木材相对于其他建筑材料更容易受到水分、阳光、风、雨等自然因素的侵蚀。为了减少外围护结构表面的环境暴露程度，可以采取多种措施。例如，在建筑设计阶段，可以通过合理的布局和造型，减少建筑外墙直接暴露在恶劣环境中的面积。同时，选择适当的建筑材料和构造方式，如使用耐候性好的涂料、防水材料等，也可以提高外围护结构的耐久性和抗侵蚀能力。在环境暴露程度较高的区域，如多雨、多风或日照强烈的地区，防雨幕墙成为了一种有效的保护措施。防雨幕墙不仅能够有效地阻挡雨水的侵蚀，还能减少风压对建筑外墙的影响，同时在一定程度上起到遮阳的作用，降低建筑的能耗。此外，防雨幕墙的设计和安装也需要特别注意</w:t>
      </w:r>
      <w:r>
        <w:rPr>
          <w:rFonts w:hint="eastAsia"/>
          <w:color w:val="auto"/>
          <w:highlight w:val="none"/>
          <w:lang w:val="en-US" w:eastAsia="zh-CN"/>
        </w:rPr>
        <w:t>，</w:t>
      </w:r>
      <w:r>
        <w:rPr>
          <w:rFonts w:hint="default"/>
          <w:color w:val="auto"/>
          <w:highlight w:val="none"/>
          <w:lang w:val="en-US" w:eastAsia="zh-CN"/>
        </w:rPr>
        <w:t>一方面要确保防雨幕墙与建筑主体结构的连接牢固可靠，防止因风压或其他外力作用导致的脱落或损坏</w:t>
      </w:r>
      <w:r>
        <w:rPr>
          <w:rFonts w:hint="eastAsia"/>
          <w:color w:val="auto"/>
          <w:highlight w:val="none"/>
          <w:lang w:val="en-US" w:eastAsia="zh-CN"/>
        </w:rPr>
        <w:t>，</w:t>
      </w:r>
      <w:r>
        <w:rPr>
          <w:rFonts w:hint="default"/>
          <w:color w:val="auto"/>
          <w:highlight w:val="none"/>
          <w:lang w:val="en-US" w:eastAsia="zh-CN"/>
        </w:rPr>
        <w:t>另一方面要合理设置排水系统，确保雨水能够及时排出，避免在幕墙与建筑外墙之间形成积水，从而对建筑造成进一步的损害。</w:t>
      </w:r>
    </w:p>
    <w:p w14:paraId="050292C2">
      <w:pPr>
        <w:rPr>
          <w:rFonts w:hint="eastAsia"/>
          <w:color w:val="auto"/>
          <w:highlight w:val="none"/>
          <w:lang w:eastAsia="zh-CN"/>
        </w:rPr>
      </w:pPr>
    </w:p>
    <w:p w14:paraId="12CC9B3B">
      <w:pPr>
        <w:pStyle w:val="4"/>
        <w:bidi w:val="0"/>
        <w:rPr>
          <w:rFonts w:hint="eastAsia"/>
          <w:color w:val="auto"/>
          <w:highlight w:val="none"/>
          <w:lang w:eastAsia="zh-CN"/>
        </w:rPr>
      </w:pPr>
      <w:r>
        <w:rPr>
          <w:rFonts w:hint="eastAsia"/>
          <w:b/>
          <w:bCs/>
          <w:color w:val="auto"/>
          <w:highlight w:val="none"/>
          <w:lang w:eastAsia="zh-CN"/>
        </w:rPr>
        <w:t>11.</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 xml:space="preserve">5  </w:t>
      </w:r>
      <w:r>
        <w:rPr>
          <w:rFonts w:hint="eastAsia"/>
          <w:color w:val="auto"/>
          <w:highlight w:val="none"/>
          <w:lang w:eastAsia="zh-CN"/>
        </w:rPr>
        <w:t>木结构建筑屋顶宜采用坡屋顶。屋顶空间宜安装通风孔，采用自然通风时，通风孔总面积应不小于保温吊顶面积的1/300，并应采取防止昆虫或雨水进入的措施。</w:t>
      </w:r>
    </w:p>
    <w:p w14:paraId="14FBE89E">
      <w:pPr>
        <w:pStyle w:val="50"/>
        <w:bidi w:val="0"/>
        <w:rPr>
          <w:rFonts w:hint="default"/>
          <w:color w:val="auto"/>
          <w:highlight w:val="none"/>
          <w:lang w:val="en-US" w:eastAsia="zh-CN"/>
        </w:rPr>
      </w:pPr>
      <w:r>
        <w:rPr>
          <w:rFonts w:hint="eastAsia"/>
          <w:color w:val="auto"/>
          <w:highlight w:val="none"/>
        </w:rPr>
        <w:t>【条文说明】</w:t>
      </w:r>
      <w:r>
        <w:rPr>
          <w:rFonts w:hint="eastAsia"/>
          <w:color w:val="auto"/>
          <w:highlight w:val="none"/>
          <w:lang w:val="en-US" w:eastAsia="zh-CN"/>
        </w:rPr>
        <w:t>：</w:t>
      </w:r>
      <w:r>
        <w:rPr>
          <w:rFonts w:hint="default"/>
          <w:color w:val="auto"/>
          <w:highlight w:val="none"/>
          <w:lang w:val="en-US" w:eastAsia="zh-CN"/>
        </w:rPr>
        <w:t>木结构建筑作为一种传统而独特的建筑形式，其屋顶设计尤为重要。在多种屋顶形式中，坡屋顶被认为是木结构建筑最为适宜的选择。这主要是因为坡屋顶能够有效地排水，避免雨水在屋顶表面积聚，减少渗漏风险，保护建筑结构不受水害侵蚀。同时，坡屋顶还能增加建筑的稳定性，使结构更加牢固。</w:t>
      </w:r>
    </w:p>
    <w:p w14:paraId="1E54449F">
      <w:pPr>
        <w:pStyle w:val="50"/>
        <w:bidi w:val="0"/>
        <w:rPr>
          <w:rFonts w:hint="default"/>
          <w:color w:val="auto"/>
          <w:highlight w:val="none"/>
          <w:lang w:val="en-US" w:eastAsia="zh-CN"/>
        </w:rPr>
      </w:pPr>
      <w:r>
        <w:rPr>
          <w:rFonts w:hint="default"/>
          <w:color w:val="auto"/>
          <w:highlight w:val="none"/>
          <w:lang w:val="en-US" w:eastAsia="zh-CN"/>
        </w:rPr>
        <w:t>除了坡屋顶的选择外，木结构建筑的屋顶空间还需要合理设置通风孔。通风孔的安装对于建筑的通风换气至关重要，能够改善室内空气质量，降低温度和湿度，为</w:t>
      </w:r>
      <w:r>
        <w:rPr>
          <w:rFonts w:hint="eastAsia"/>
          <w:color w:val="auto"/>
          <w:highlight w:val="none"/>
          <w:lang w:val="en-US" w:eastAsia="zh-CN"/>
        </w:rPr>
        <w:t>使用</w:t>
      </w:r>
      <w:r>
        <w:rPr>
          <w:rFonts w:hint="default"/>
          <w:color w:val="auto"/>
          <w:highlight w:val="none"/>
          <w:lang w:val="en-US" w:eastAsia="zh-CN"/>
        </w:rPr>
        <w:t>者提供更加舒适的环境。特别是在炎热的夏季，良好的通风可以显著降低室内温度，减少空调使用，从而节约能源。然而，在设置通风孔时，还需要注意防止昆虫或雨水进入室内</w:t>
      </w:r>
      <w:r>
        <w:rPr>
          <w:rFonts w:hint="eastAsia"/>
          <w:color w:val="auto"/>
          <w:highlight w:val="none"/>
          <w:lang w:val="en-US" w:eastAsia="zh-CN"/>
        </w:rPr>
        <w:t>，</w:t>
      </w:r>
      <w:r>
        <w:rPr>
          <w:rFonts w:hint="default"/>
          <w:color w:val="auto"/>
          <w:highlight w:val="none"/>
          <w:lang w:val="en-US" w:eastAsia="zh-CN"/>
        </w:rPr>
        <w:t>这可以通过安装防虫网和防水措施来实现，既能保障通风效果，又能避免不必要的麻烦。</w:t>
      </w:r>
    </w:p>
    <w:p w14:paraId="082EE66B">
      <w:pPr>
        <w:rPr>
          <w:rFonts w:hint="eastAsia"/>
          <w:color w:val="auto"/>
          <w:highlight w:val="none"/>
          <w:lang w:eastAsia="zh-CN"/>
        </w:rPr>
      </w:pPr>
    </w:p>
    <w:p w14:paraId="51244B7D">
      <w:pPr>
        <w:pStyle w:val="4"/>
        <w:bidi w:val="0"/>
        <w:rPr>
          <w:rFonts w:hint="eastAsia"/>
          <w:color w:val="auto"/>
          <w:highlight w:val="none"/>
          <w:lang w:eastAsia="zh-CN"/>
        </w:rPr>
      </w:pPr>
      <w:r>
        <w:rPr>
          <w:rFonts w:hint="eastAsia"/>
          <w:b/>
          <w:bCs/>
          <w:color w:val="auto"/>
          <w:highlight w:val="none"/>
          <w:lang w:eastAsia="zh-CN"/>
        </w:rPr>
        <w:t>11.</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6</w:t>
      </w:r>
      <w:r>
        <w:rPr>
          <w:rFonts w:hint="eastAsia"/>
          <w:b/>
          <w:bCs/>
          <w:color w:val="auto"/>
          <w:highlight w:val="none"/>
          <w:lang w:eastAsia="zh-CN"/>
        </w:rPr>
        <w:t xml:space="preserve"> </w:t>
      </w:r>
      <w:r>
        <w:rPr>
          <w:rFonts w:hint="eastAsia"/>
          <w:b/>
          <w:bCs/>
          <w:color w:val="auto"/>
          <w:highlight w:val="none"/>
          <w:lang w:val="en-US" w:eastAsia="zh-CN"/>
        </w:rPr>
        <w:t xml:space="preserve"> </w:t>
      </w:r>
      <w:r>
        <w:rPr>
          <w:rFonts w:hint="eastAsia"/>
          <w:color w:val="auto"/>
          <w:highlight w:val="none"/>
          <w:lang w:eastAsia="zh-CN"/>
        </w:rPr>
        <w:t>在门窗洞口、屋面、外墙开洞处、屋顶露台和阳台等部位均应设置防水、防潮和排水的构造措施，应有效地利用泛水材料促进局部排水。泛水板向外倾斜的最终坡度不应低于5%，屋顶露台和阳台的地面最终排水坡度不应小于2% 。</w:t>
      </w:r>
    </w:p>
    <w:p w14:paraId="1C427C9D">
      <w:pPr>
        <w:pStyle w:val="50"/>
        <w:bidi w:val="0"/>
        <w:rPr>
          <w:rFonts w:hint="eastAsia"/>
          <w:color w:val="auto"/>
          <w:highlight w:val="none"/>
          <w:lang w:val="en-US" w:eastAsia="zh-CN"/>
        </w:rPr>
      </w:pPr>
      <w:r>
        <w:rPr>
          <w:rFonts w:hint="eastAsia"/>
          <w:color w:val="auto"/>
          <w:highlight w:val="none"/>
        </w:rPr>
        <w:t>【条文说明】</w:t>
      </w:r>
      <w:r>
        <w:rPr>
          <w:rFonts w:hint="eastAsia"/>
          <w:color w:val="auto"/>
          <w:highlight w:val="none"/>
          <w:lang w:val="en-US" w:eastAsia="zh-CN"/>
        </w:rPr>
        <w:t>：</w:t>
      </w:r>
      <w:r>
        <w:rPr>
          <w:rFonts w:hint="default"/>
          <w:color w:val="auto"/>
          <w:highlight w:val="none"/>
          <w:lang w:val="en-US" w:eastAsia="zh-CN"/>
        </w:rPr>
        <w:t>木材质地易受水分影响，导致腐朽、变形等问题，因此在设计与施工过程中，对于防水、防潮和排水的处理显得尤为重要。在门窗洞口、屋面、外墙开洞处、屋顶露台和阳台等关键部位，木结构建筑必须采取周密的防水、防潮和排水措施。这些区域往往是雨水、湿气及外界环境因素影响最为集中的地方，如果处理不当，不仅会影响建筑的使用寿命，还可能对</w:t>
      </w:r>
      <w:r>
        <w:rPr>
          <w:rFonts w:hint="eastAsia"/>
          <w:color w:val="auto"/>
          <w:highlight w:val="none"/>
          <w:lang w:val="en-US" w:eastAsia="zh-CN"/>
        </w:rPr>
        <w:t>使用</w:t>
      </w:r>
      <w:r>
        <w:rPr>
          <w:rFonts w:hint="default"/>
          <w:color w:val="auto"/>
          <w:highlight w:val="none"/>
          <w:lang w:val="en-US" w:eastAsia="zh-CN"/>
        </w:rPr>
        <w:t>者造成困扰。门窗洞口作为室内外环境的交汇点，必须确保其密封性和排水性，以防止雨水渗入室内。屋面作为建筑的“外衣”，其防水层的设计和施工直接关系到建筑的防雨性能。外墙开洞处，如排气孔、空调孔等，也需要进行专门的防水处理，以避免雨水通过这些小孔渗入墙体。屋顶露台和阳台是木结构建筑中常见的开放空间，它们不仅受到雨水的直接冲刷，还容易积聚湿气。因此，在这些区域除了设置防水层外，还需要通过合理的排水系统，将雨水迅速排走，避免积水造成的损害。</w:t>
      </w:r>
    </w:p>
    <w:p w14:paraId="588A3A4A">
      <w:pPr>
        <w:rPr>
          <w:rFonts w:hint="default"/>
          <w:color w:val="auto"/>
          <w:highlight w:val="none"/>
          <w:lang w:val="en-US" w:eastAsia="zh-CN"/>
        </w:rPr>
      </w:pPr>
    </w:p>
    <w:p w14:paraId="4905A3FF">
      <w:pPr>
        <w:pStyle w:val="2"/>
        <w:spacing w:before="312"/>
        <w:rPr>
          <w:color w:val="auto"/>
          <w:highlight w:val="none"/>
          <w:lang w:eastAsia="zh-CN"/>
        </w:rPr>
      </w:pPr>
      <w:bookmarkStart w:id="255" w:name="_Toc1156"/>
      <w:bookmarkStart w:id="256" w:name="_Toc30184"/>
      <w:bookmarkStart w:id="257" w:name="_Toc8290"/>
      <w:bookmarkStart w:id="258" w:name="_Toc5958"/>
      <w:r>
        <w:rPr>
          <w:rFonts w:hint="eastAsia"/>
          <w:color w:val="auto"/>
          <w:highlight w:val="none"/>
          <w:lang w:eastAsia="zh-CN"/>
        </w:rPr>
        <w:t>12  制作、安装与验收</w:t>
      </w:r>
      <w:bookmarkEnd w:id="255"/>
      <w:bookmarkEnd w:id="256"/>
      <w:bookmarkEnd w:id="257"/>
    </w:p>
    <w:p w14:paraId="7A1F1358">
      <w:pPr>
        <w:pStyle w:val="3"/>
        <w:spacing w:before="156" w:after="156"/>
        <w:rPr>
          <w:color w:val="auto"/>
          <w:highlight w:val="none"/>
          <w:lang w:eastAsia="zh-CN"/>
        </w:rPr>
      </w:pPr>
      <w:bookmarkStart w:id="259" w:name="_Toc13143"/>
      <w:bookmarkStart w:id="260" w:name="_Toc2305"/>
      <w:bookmarkStart w:id="261" w:name="_Toc28439"/>
      <w:r>
        <w:rPr>
          <w:rFonts w:hint="eastAsia"/>
          <w:color w:val="auto"/>
          <w:highlight w:val="none"/>
          <w:lang w:eastAsia="zh-CN"/>
        </w:rPr>
        <w:t xml:space="preserve">12.1 </w:t>
      </w:r>
      <w:r>
        <w:rPr>
          <w:color w:val="auto"/>
          <w:highlight w:val="none"/>
          <w:lang w:eastAsia="zh-CN"/>
        </w:rPr>
        <w:t xml:space="preserve"> 一般规定</w:t>
      </w:r>
      <w:bookmarkEnd w:id="259"/>
      <w:bookmarkEnd w:id="260"/>
      <w:bookmarkEnd w:id="261"/>
    </w:p>
    <w:p w14:paraId="7FE4603F">
      <w:pPr>
        <w:pStyle w:val="4"/>
        <w:rPr>
          <w:color w:val="auto"/>
          <w:highlight w:val="none"/>
          <w:lang w:eastAsia="zh-CN"/>
        </w:rPr>
      </w:pPr>
      <w:r>
        <w:rPr>
          <w:color w:val="auto"/>
          <w:highlight w:val="none"/>
          <w:lang w:eastAsia="zh-CN"/>
        </w:rPr>
        <w:t>12.1.1</w:t>
      </w:r>
      <w:r>
        <w:rPr>
          <w:rFonts w:hint="eastAsia"/>
          <w:color w:val="auto"/>
          <w:highlight w:val="none"/>
          <w:lang w:eastAsia="zh-CN"/>
        </w:rPr>
        <w:t xml:space="preserve">  构件从市场直接购置的原木、方木应有树种证明文件，并应符合现行《木结构施工规范》GB/T 50772原木、方木与规格材材质等级标准。进场原木、方木与规格材的树种、规格和强度等级应符合设计文件的规定。</w:t>
      </w:r>
    </w:p>
    <w:p w14:paraId="3AD4992A">
      <w:pPr>
        <w:pStyle w:val="50"/>
        <w:ind w:firstLine="480"/>
        <w:rPr>
          <w:color w:val="auto"/>
          <w:highlight w:val="none"/>
        </w:rPr>
      </w:pPr>
      <w:r>
        <w:rPr>
          <w:rFonts w:hint="eastAsia"/>
          <w:color w:val="auto"/>
          <w:highlight w:val="none"/>
        </w:rPr>
        <w:t>【条文说明】</w:t>
      </w:r>
      <w:r>
        <w:rPr>
          <w:color w:val="auto"/>
          <w:highlight w:val="none"/>
        </w:rPr>
        <w:t>12.1.1</w:t>
      </w:r>
      <w:r>
        <w:rPr>
          <w:rFonts w:hint="eastAsia"/>
          <w:color w:val="auto"/>
          <w:highlight w:val="none"/>
        </w:rPr>
        <w:t xml:space="preserve">  确保原材料的质量和合规性，避免使用不符合要求的木材，影响整体工程质量和安全。</w:t>
      </w:r>
    </w:p>
    <w:p w14:paraId="7010B105">
      <w:pPr>
        <w:rPr>
          <w:color w:val="auto"/>
          <w:highlight w:val="none"/>
        </w:rPr>
      </w:pPr>
    </w:p>
    <w:p w14:paraId="28F64A85">
      <w:pPr>
        <w:pStyle w:val="4"/>
        <w:rPr>
          <w:color w:val="auto"/>
          <w:highlight w:val="none"/>
          <w:lang w:eastAsia="zh-CN"/>
        </w:rPr>
      </w:pPr>
      <w:r>
        <w:rPr>
          <w:rFonts w:hint="eastAsia"/>
          <w:color w:val="auto"/>
          <w:highlight w:val="none"/>
          <w:lang w:eastAsia="zh-CN"/>
        </w:rPr>
        <w:t>12.1.2  制作木结构构件时，原木、方木与规格材全截面平均含水率不应大于25% ，规格材不应大于20% 。</w:t>
      </w:r>
    </w:p>
    <w:p w14:paraId="4D3DB4EF">
      <w:pPr>
        <w:pStyle w:val="50"/>
        <w:ind w:firstLine="480"/>
        <w:rPr>
          <w:color w:val="auto"/>
          <w:highlight w:val="none"/>
        </w:rPr>
      </w:pPr>
      <w:r>
        <w:rPr>
          <w:rFonts w:hint="eastAsia"/>
          <w:color w:val="auto"/>
          <w:highlight w:val="none"/>
        </w:rPr>
        <w:t>【条文说明】12.1.2  控制含水率以防止木材变形、开裂等问题，保证构件的稳定性和耐久性。</w:t>
      </w:r>
    </w:p>
    <w:p w14:paraId="550F44B3">
      <w:pPr>
        <w:rPr>
          <w:color w:val="auto"/>
          <w:highlight w:val="none"/>
        </w:rPr>
      </w:pPr>
    </w:p>
    <w:p w14:paraId="0B352A17">
      <w:pPr>
        <w:pStyle w:val="4"/>
        <w:rPr>
          <w:color w:val="auto"/>
          <w:highlight w:val="none"/>
          <w:lang w:eastAsia="zh-CN"/>
        </w:rPr>
      </w:pPr>
      <w:r>
        <w:rPr>
          <w:rFonts w:hint="eastAsia"/>
          <w:color w:val="auto"/>
          <w:highlight w:val="none"/>
          <w:lang w:eastAsia="zh-CN"/>
        </w:rPr>
        <w:t>12.1.3  预制木结构原木、方木与规格材构件燃烧性能及耐火极限应符合现行国家标准《</w:t>
      </w:r>
      <w:r>
        <w:rPr>
          <w:rFonts w:hint="eastAsia"/>
          <w:color w:val="auto"/>
          <w:highlight w:val="none"/>
          <w:lang w:eastAsia="zh-CN"/>
        </w:rPr>
        <w:t>木结构设计标准</w:t>
      </w:r>
      <w:r>
        <w:rPr>
          <w:rFonts w:hint="eastAsia"/>
          <w:color w:val="auto"/>
          <w:highlight w:val="none"/>
          <w:lang w:eastAsia="zh-CN"/>
        </w:rPr>
        <w:t>》GB</w:t>
      </w:r>
      <w:r>
        <w:rPr>
          <w:rFonts w:hint="eastAsia"/>
          <w:color w:val="auto"/>
          <w:highlight w:val="none"/>
          <w:lang w:eastAsia="zh-CN"/>
        </w:rPr>
        <w:t>500</w:t>
      </w:r>
      <w:r>
        <w:rPr>
          <w:rFonts w:hint="eastAsia"/>
          <w:color w:val="auto"/>
          <w:highlight w:val="none"/>
          <w:lang w:val="en-US" w:eastAsia="zh-CN"/>
        </w:rPr>
        <w:t>0</w:t>
      </w:r>
      <w:r>
        <w:rPr>
          <w:rFonts w:hint="eastAsia"/>
          <w:color w:val="auto"/>
          <w:highlight w:val="none"/>
          <w:lang w:eastAsia="zh-CN"/>
        </w:rPr>
        <w:t>5</w:t>
      </w:r>
      <w:r>
        <w:rPr>
          <w:rFonts w:hint="eastAsia"/>
          <w:color w:val="auto"/>
          <w:highlight w:val="none"/>
          <w:lang w:eastAsia="zh-CN"/>
        </w:rPr>
        <w:t xml:space="preserve"> 的规定。</w:t>
      </w:r>
    </w:p>
    <w:p w14:paraId="0757A78E">
      <w:pPr>
        <w:pStyle w:val="50"/>
        <w:ind w:firstLine="480"/>
        <w:rPr>
          <w:color w:val="auto"/>
          <w:highlight w:val="none"/>
        </w:rPr>
      </w:pPr>
      <w:r>
        <w:rPr>
          <w:rFonts w:hint="eastAsia"/>
          <w:color w:val="auto"/>
          <w:highlight w:val="none"/>
        </w:rPr>
        <w:t>【条文说明】12.1.3  确保木结构构件的防火性能符合规范要求，提高建筑物的整体防火安全。</w:t>
      </w:r>
    </w:p>
    <w:p w14:paraId="76287EA4">
      <w:pPr>
        <w:rPr>
          <w:color w:val="auto"/>
          <w:highlight w:val="none"/>
        </w:rPr>
      </w:pPr>
    </w:p>
    <w:p w14:paraId="46122D47">
      <w:pPr>
        <w:pStyle w:val="4"/>
        <w:rPr>
          <w:color w:val="auto"/>
          <w:highlight w:val="none"/>
          <w:lang w:eastAsia="zh-CN"/>
        </w:rPr>
      </w:pPr>
      <w:r>
        <w:rPr>
          <w:rFonts w:hint="eastAsia"/>
          <w:color w:val="auto"/>
          <w:highlight w:val="none"/>
          <w:lang w:eastAsia="zh-CN"/>
        </w:rPr>
        <w:t>12.1.4  防腐木材应采用天然抗白蚁木材、经防腐处理的木材或天然耐久木材。防腐木材和防腐剂应符合现行国家标准《木材防腐剂》GB/T 27654、《防腐木材工程应用技术规范》GB 50828和《木结构工程施工质量验收规范》GB 50206的规定。</w:t>
      </w:r>
    </w:p>
    <w:p w14:paraId="115CF9E9">
      <w:pPr>
        <w:pStyle w:val="50"/>
        <w:ind w:firstLine="480"/>
        <w:rPr>
          <w:color w:val="auto"/>
          <w:highlight w:val="none"/>
        </w:rPr>
      </w:pPr>
      <w:r>
        <w:rPr>
          <w:rFonts w:hint="eastAsia"/>
          <w:color w:val="auto"/>
          <w:highlight w:val="none"/>
        </w:rPr>
        <w:t>【条文说明】 12.1.4  防止木材腐朽和虫害，延长木结构的使用寿命。</w:t>
      </w:r>
    </w:p>
    <w:p w14:paraId="40DF754A">
      <w:pPr>
        <w:rPr>
          <w:color w:val="auto"/>
          <w:highlight w:val="none"/>
        </w:rPr>
      </w:pPr>
    </w:p>
    <w:p w14:paraId="63113E3A">
      <w:pPr>
        <w:pStyle w:val="4"/>
        <w:rPr>
          <w:color w:val="auto"/>
          <w:highlight w:val="none"/>
          <w:lang w:eastAsia="zh-CN"/>
        </w:rPr>
      </w:pPr>
      <w:r>
        <w:rPr>
          <w:rFonts w:hint="eastAsia"/>
          <w:color w:val="auto"/>
          <w:highlight w:val="none"/>
          <w:lang w:eastAsia="zh-CN"/>
        </w:rPr>
        <w:t>12.1.5  工程木产品的类别、组合方式、强度等级、截面尺寸和适用环境应符合设计文件的规定，并应有产品质量合格证书和产品标识。</w:t>
      </w:r>
    </w:p>
    <w:p w14:paraId="335B225B">
      <w:pPr>
        <w:pStyle w:val="50"/>
        <w:ind w:firstLine="480"/>
        <w:rPr>
          <w:color w:val="auto"/>
          <w:highlight w:val="none"/>
        </w:rPr>
      </w:pPr>
      <w:r>
        <w:rPr>
          <w:rFonts w:hint="eastAsia"/>
          <w:color w:val="auto"/>
          <w:highlight w:val="none"/>
        </w:rPr>
        <w:t>【条文说明】12.1.5  确保工程木产品的质量和适用性，满足设计要求。</w:t>
      </w:r>
    </w:p>
    <w:p w14:paraId="236930FD">
      <w:pPr>
        <w:rPr>
          <w:color w:val="auto"/>
          <w:highlight w:val="none"/>
        </w:rPr>
      </w:pPr>
    </w:p>
    <w:p w14:paraId="43C43DA4">
      <w:pPr>
        <w:pStyle w:val="4"/>
        <w:rPr>
          <w:color w:val="auto"/>
          <w:highlight w:val="none"/>
          <w:lang w:eastAsia="zh-CN"/>
        </w:rPr>
      </w:pPr>
      <w:r>
        <w:rPr>
          <w:rFonts w:hint="eastAsia"/>
          <w:color w:val="auto"/>
          <w:highlight w:val="none"/>
          <w:lang w:eastAsia="zh-CN"/>
        </w:rPr>
        <w:t>12.1.6  工程木产品中结构复合木材、层板胶合木、工字梁应有符合现行国家标准《木结构试验方法标准》BG/T 50329规定的胶缝完整性检验和层板指接强度检验合格报告。结构复合木材、工字梁，结构复合木材作构件时不宜在其有厚度方向作切割、刨削等加工。</w:t>
      </w:r>
    </w:p>
    <w:p w14:paraId="004D19E6">
      <w:pPr>
        <w:pStyle w:val="50"/>
        <w:ind w:firstLine="480"/>
        <w:rPr>
          <w:color w:val="auto"/>
          <w:highlight w:val="none"/>
        </w:rPr>
      </w:pPr>
      <w:r>
        <w:rPr>
          <w:rFonts w:hint="eastAsia"/>
          <w:color w:val="auto"/>
          <w:highlight w:val="none"/>
        </w:rPr>
        <w:t>【条文说明】 12.1.6  确保结构复合木材等产品的强度和质量，避免因加工不当导致性能下降。</w:t>
      </w:r>
    </w:p>
    <w:p w14:paraId="70BA50D0">
      <w:pPr>
        <w:pStyle w:val="3"/>
        <w:spacing w:before="156" w:after="156"/>
        <w:rPr>
          <w:rFonts w:ascii="Arial" w:hAnsi="Arial" w:cs="Arial"/>
          <w:color w:val="auto"/>
          <w:sz w:val="21"/>
          <w:szCs w:val="21"/>
          <w:highlight w:val="none"/>
          <w:lang w:eastAsia="zh-CN"/>
        </w:rPr>
      </w:pPr>
      <w:bookmarkStart w:id="262" w:name="_Toc20995"/>
      <w:bookmarkStart w:id="263" w:name="_Toc25844"/>
      <w:bookmarkStart w:id="264" w:name="_Toc10138"/>
      <w:r>
        <w:rPr>
          <w:rFonts w:hint="eastAsia"/>
          <w:color w:val="auto"/>
          <w:highlight w:val="none"/>
          <w:lang w:eastAsia="zh-CN"/>
        </w:rPr>
        <w:t>12.2  构件制作</w:t>
      </w:r>
      <w:bookmarkEnd w:id="262"/>
      <w:bookmarkEnd w:id="263"/>
      <w:bookmarkEnd w:id="264"/>
    </w:p>
    <w:p w14:paraId="30CC09D3">
      <w:pPr>
        <w:pStyle w:val="4"/>
        <w:rPr>
          <w:color w:val="auto"/>
          <w:highlight w:val="none"/>
          <w:lang w:eastAsia="zh-CN"/>
        </w:rPr>
      </w:pPr>
      <w:r>
        <w:rPr>
          <w:rFonts w:hint="eastAsia"/>
          <w:color w:val="auto"/>
          <w:highlight w:val="none"/>
          <w:lang w:eastAsia="zh-CN"/>
        </w:rPr>
        <w:t>12.2.1  木材加工前需确认好木材型号、树种，以及工艺要求。</w:t>
      </w:r>
    </w:p>
    <w:p w14:paraId="32F8EF9B">
      <w:pPr>
        <w:pStyle w:val="50"/>
        <w:ind w:firstLine="480"/>
        <w:rPr>
          <w:color w:val="auto"/>
          <w:highlight w:val="none"/>
        </w:rPr>
      </w:pPr>
      <w:r>
        <w:rPr>
          <w:rFonts w:hint="eastAsia"/>
          <w:color w:val="auto"/>
          <w:highlight w:val="none"/>
        </w:rPr>
        <w:t>【条文说明】 12.2.1  确保加工前对木材有清晰的认识和规划，避免加工错误。</w:t>
      </w:r>
    </w:p>
    <w:p w14:paraId="35DD96AE">
      <w:pPr>
        <w:rPr>
          <w:color w:val="auto"/>
          <w:highlight w:val="none"/>
        </w:rPr>
      </w:pPr>
    </w:p>
    <w:p w14:paraId="4954D4B6">
      <w:pPr>
        <w:pStyle w:val="4"/>
        <w:rPr>
          <w:color w:val="auto"/>
          <w:highlight w:val="none"/>
          <w:lang w:eastAsia="zh-CN"/>
        </w:rPr>
      </w:pPr>
      <w:r>
        <w:rPr>
          <w:rFonts w:hint="eastAsia"/>
          <w:color w:val="auto"/>
          <w:highlight w:val="none"/>
          <w:lang w:eastAsia="zh-CN"/>
        </w:rPr>
        <w:t>12.2.2  对出厂后的木材进行</w:t>
      </w:r>
      <w:r>
        <w:rPr>
          <w:rFonts w:hint="eastAsia"/>
          <w:color w:val="auto"/>
          <w:highlight w:val="none"/>
          <w:lang w:eastAsia="zh-CN"/>
        </w:rPr>
        <w:t>规</w:t>
      </w:r>
      <w:r>
        <w:rPr>
          <w:rFonts w:hint="eastAsia"/>
          <w:color w:val="auto"/>
          <w:highlight w:val="none"/>
          <w:lang w:eastAsia="zh-CN"/>
        </w:rPr>
        <w:t>整，干燥，分类，指接，抛光，喷胶，胶合，固</w:t>
      </w:r>
      <w:r>
        <w:rPr>
          <w:rFonts w:hint="eastAsia"/>
          <w:color w:val="auto"/>
          <w:highlight w:val="none"/>
          <w:lang w:eastAsia="zh-CN"/>
        </w:rPr>
        <w:t>化</w:t>
      </w:r>
      <w:r>
        <w:rPr>
          <w:rFonts w:hint="eastAsia"/>
          <w:color w:val="auto"/>
          <w:highlight w:val="none"/>
          <w:lang w:eastAsia="zh-CN"/>
        </w:rPr>
        <w:t>，上漆。</w:t>
      </w:r>
    </w:p>
    <w:p w14:paraId="3F8DBA45">
      <w:pPr>
        <w:pStyle w:val="50"/>
        <w:ind w:firstLine="480"/>
        <w:rPr>
          <w:color w:val="auto"/>
          <w:highlight w:val="none"/>
        </w:rPr>
      </w:pPr>
      <w:r>
        <w:rPr>
          <w:rFonts w:hint="eastAsia"/>
          <w:color w:val="auto"/>
          <w:highlight w:val="none"/>
        </w:rPr>
        <w:t>【条文说明】12.2.2  详细说明木材加工的整个流程，确保加工质量。</w:t>
      </w:r>
    </w:p>
    <w:p w14:paraId="29369A2B">
      <w:pPr>
        <w:rPr>
          <w:color w:val="auto"/>
          <w:highlight w:val="none"/>
        </w:rPr>
      </w:pPr>
    </w:p>
    <w:p w14:paraId="1E6FD642">
      <w:pPr>
        <w:pStyle w:val="4"/>
        <w:rPr>
          <w:color w:val="auto"/>
          <w:highlight w:val="none"/>
          <w:lang w:eastAsia="zh-CN"/>
        </w:rPr>
      </w:pPr>
      <w:r>
        <w:rPr>
          <w:rFonts w:hint="eastAsia"/>
          <w:color w:val="auto"/>
          <w:highlight w:val="none"/>
          <w:lang w:eastAsia="zh-CN"/>
        </w:rPr>
        <w:t>12.2.3  确认大型原木木材型号及工艺要求后，测量尺寸时做好标记，复测尺寸后进行切割。大型原木在切割时需均速进行。</w:t>
      </w:r>
    </w:p>
    <w:p w14:paraId="1BE61529">
      <w:pPr>
        <w:pStyle w:val="50"/>
        <w:ind w:firstLine="480"/>
        <w:rPr>
          <w:color w:val="auto"/>
          <w:highlight w:val="none"/>
        </w:rPr>
      </w:pPr>
      <w:r>
        <w:rPr>
          <w:rFonts w:hint="eastAsia"/>
          <w:color w:val="auto"/>
          <w:highlight w:val="none"/>
        </w:rPr>
        <w:t>【条文说明】 12.2.3  强调大型原木切割的注意事项，防止加工过程中出现意外。</w:t>
      </w:r>
    </w:p>
    <w:p w14:paraId="4C19C1A1">
      <w:pPr>
        <w:rPr>
          <w:color w:val="auto"/>
          <w:highlight w:val="none"/>
          <w:lang w:eastAsia="zh-CN"/>
        </w:rPr>
      </w:pPr>
    </w:p>
    <w:p w14:paraId="19DD2FD3">
      <w:pPr>
        <w:pStyle w:val="4"/>
        <w:rPr>
          <w:color w:val="auto"/>
          <w:highlight w:val="none"/>
          <w:lang w:eastAsia="zh-CN"/>
        </w:rPr>
      </w:pPr>
      <w:r>
        <w:rPr>
          <w:rFonts w:hint="eastAsia"/>
          <w:color w:val="auto"/>
          <w:highlight w:val="none"/>
          <w:lang w:eastAsia="zh-CN"/>
        </w:rPr>
        <w:t>12.2.4  外墙挂板按工艺尺寸设定，将柔性PVC片材放置在底座顶面；通过压条将片材挤压贴合在底座顶面；压辊进行复压；冷却水循环对压辊和片 材降温，切割机构对片材按需求进行水平方向的切割。</w:t>
      </w:r>
    </w:p>
    <w:p w14:paraId="20A9BA0E">
      <w:pPr>
        <w:pStyle w:val="50"/>
        <w:ind w:firstLine="480"/>
        <w:rPr>
          <w:color w:val="auto"/>
          <w:highlight w:val="none"/>
        </w:rPr>
      </w:pPr>
      <w:r>
        <w:rPr>
          <w:rFonts w:hint="eastAsia"/>
          <w:color w:val="auto"/>
          <w:highlight w:val="none"/>
        </w:rPr>
        <w:t>【条文说明】12.2.4  详细描述了外墙挂板的制作过程，确保加工精度和质量。</w:t>
      </w:r>
    </w:p>
    <w:p w14:paraId="70BEB96E">
      <w:pPr>
        <w:rPr>
          <w:color w:val="auto"/>
          <w:highlight w:val="none"/>
        </w:rPr>
      </w:pPr>
    </w:p>
    <w:p w14:paraId="44B8D597">
      <w:pPr>
        <w:pStyle w:val="4"/>
        <w:rPr>
          <w:color w:val="auto"/>
          <w:highlight w:val="none"/>
          <w:lang w:eastAsia="zh-CN"/>
        </w:rPr>
      </w:pPr>
      <w:r>
        <w:rPr>
          <w:rFonts w:hint="eastAsia"/>
          <w:color w:val="auto"/>
          <w:highlight w:val="none"/>
          <w:lang w:eastAsia="zh-CN"/>
        </w:rPr>
        <w:t>12.2.5  由素材按需切割，允许偏差±1㎜，置入真空压力罐，进行防腐处理。木质顺水条有助于形成空气腔。</w:t>
      </w:r>
    </w:p>
    <w:p w14:paraId="2E89DE3D">
      <w:pPr>
        <w:pStyle w:val="50"/>
        <w:ind w:firstLine="480"/>
        <w:rPr>
          <w:color w:val="auto"/>
          <w:highlight w:val="none"/>
        </w:rPr>
      </w:pPr>
      <w:r>
        <w:rPr>
          <w:rFonts w:hint="eastAsia"/>
          <w:color w:val="auto"/>
          <w:highlight w:val="none"/>
        </w:rPr>
        <w:t>【条文说明】1.2.5  说明防腐处理的步骤和要求，保证木材的防腐效果。</w:t>
      </w:r>
    </w:p>
    <w:p w14:paraId="71244FB4">
      <w:pPr>
        <w:rPr>
          <w:color w:val="auto"/>
          <w:highlight w:val="none"/>
        </w:rPr>
      </w:pPr>
    </w:p>
    <w:p w14:paraId="563C8E58">
      <w:pPr>
        <w:pStyle w:val="4"/>
        <w:rPr>
          <w:color w:val="auto"/>
          <w:highlight w:val="none"/>
          <w:lang w:eastAsia="zh-CN"/>
        </w:rPr>
      </w:pPr>
      <w:r>
        <w:rPr>
          <w:rFonts w:hint="eastAsia"/>
          <w:color w:val="auto"/>
          <w:highlight w:val="none"/>
          <w:lang w:eastAsia="zh-CN"/>
        </w:rPr>
        <w:t>12.2.6  墙板制作时应考虑空调挂机荷载。墙体与基础进行刚性连接。</w:t>
      </w:r>
    </w:p>
    <w:p w14:paraId="5C2F625A">
      <w:pPr>
        <w:pStyle w:val="50"/>
        <w:ind w:firstLine="480"/>
        <w:rPr>
          <w:color w:val="auto"/>
          <w:highlight w:val="none"/>
        </w:rPr>
      </w:pPr>
      <w:r>
        <w:rPr>
          <w:rFonts w:hint="eastAsia"/>
          <w:color w:val="auto"/>
          <w:highlight w:val="none"/>
        </w:rPr>
        <w:t>【条文说明】12.2.6  强调墙板制作时需考虑荷载因素，确保墙体的稳固性。</w:t>
      </w:r>
    </w:p>
    <w:p w14:paraId="5A4DC903">
      <w:pPr>
        <w:pStyle w:val="3"/>
        <w:spacing w:before="156" w:after="156"/>
        <w:rPr>
          <w:color w:val="auto"/>
          <w:highlight w:val="none"/>
          <w:lang w:eastAsia="zh-CN"/>
        </w:rPr>
      </w:pPr>
      <w:bookmarkStart w:id="265" w:name="_Toc24580"/>
      <w:bookmarkStart w:id="266" w:name="_Toc30483"/>
      <w:bookmarkStart w:id="267" w:name="_Toc13204"/>
      <w:r>
        <w:rPr>
          <w:rFonts w:hint="eastAsia"/>
          <w:color w:val="auto"/>
          <w:highlight w:val="none"/>
          <w:lang w:eastAsia="zh-CN"/>
        </w:rPr>
        <w:t>12.3  安  装</w:t>
      </w:r>
      <w:bookmarkEnd w:id="265"/>
      <w:bookmarkEnd w:id="266"/>
      <w:bookmarkEnd w:id="267"/>
    </w:p>
    <w:p w14:paraId="35E19DB2">
      <w:pPr>
        <w:pStyle w:val="4"/>
        <w:rPr>
          <w:color w:val="auto"/>
          <w:highlight w:val="none"/>
          <w:lang w:eastAsia="zh-CN"/>
        </w:rPr>
      </w:pPr>
      <w:r>
        <w:rPr>
          <w:rFonts w:hint="eastAsia"/>
          <w:color w:val="auto"/>
          <w:highlight w:val="none"/>
          <w:lang w:eastAsia="zh-CN"/>
        </w:rPr>
        <w:t>12.3.1  室内外地坪高差应保持在200mm至600mm之间，防止上部结构受潮气影响。基础交接之前必须核对基础的平面几何尺寸。</w:t>
      </w:r>
    </w:p>
    <w:p w14:paraId="21B3F30F">
      <w:pPr>
        <w:pStyle w:val="50"/>
        <w:ind w:firstLine="480"/>
        <w:rPr>
          <w:color w:val="auto"/>
          <w:highlight w:val="none"/>
        </w:rPr>
      </w:pPr>
      <w:r>
        <w:rPr>
          <w:rFonts w:hint="eastAsia"/>
          <w:color w:val="auto"/>
          <w:highlight w:val="none"/>
        </w:rPr>
        <w:t>【条文说明】 12.3.1  确保地坪高差适宜，防止潮气对木结构的影响，同时核对基础尺寸以确保安装的准确性。</w:t>
      </w:r>
    </w:p>
    <w:p w14:paraId="451E6B29">
      <w:pPr>
        <w:rPr>
          <w:color w:val="auto"/>
          <w:highlight w:val="none"/>
        </w:rPr>
      </w:pPr>
    </w:p>
    <w:p w14:paraId="5B026129">
      <w:pPr>
        <w:pStyle w:val="4"/>
        <w:rPr>
          <w:color w:val="auto"/>
          <w:highlight w:val="none"/>
          <w:lang w:eastAsia="zh-CN"/>
        </w:rPr>
      </w:pPr>
      <w:r>
        <w:rPr>
          <w:color w:val="auto"/>
          <w:highlight w:val="none"/>
          <w:lang w:eastAsia="zh-CN"/>
        </w:rPr>
        <w:t>12.3.</w:t>
      </w:r>
      <w:r>
        <w:rPr>
          <w:rFonts w:hint="eastAsia"/>
          <w:color w:val="auto"/>
          <w:highlight w:val="none"/>
          <w:lang w:eastAsia="zh-CN"/>
        </w:rPr>
        <w:t>2  防腐木与基础圈梁应采用预埋地脚螺栓、化学螺栓或植筋锚固，地脚螺栓应为高强度的镀锌钢。</w:t>
      </w:r>
    </w:p>
    <w:p w14:paraId="35D4A787">
      <w:pPr>
        <w:pStyle w:val="50"/>
        <w:ind w:firstLine="480"/>
        <w:rPr>
          <w:color w:val="auto"/>
          <w:highlight w:val="none"/>
        </w:rPr>
      </w:pPr>
      <w:r>
        <w:rPr>
          <w:rFonts w:hint="eastAsia"/>
          <w:color w:val="auto"/>
          <w:highlight w:val="none"/>
        </w:rPr>
        <w:t>【条文说明】12.3.2  明确防腐木与基础连接的方式和要求，确保连接的牢固性和耐久性。</w:t>
      </w:r>
    </w:p>
    <w:p w14:paraId="4E1FCBE8">
      <w:pPr>
        <w:rPr>
          <w:color w:val="auto"/>
          <w:highlight w:val="none"/>
        </w:rPr>
      </w:pPr>
    </w:p>
    <w:p w14:paraId="5ED0E8C3">
      <w:pPr>
        <w:pStyle w:val="4"/>
        <w:rPr>
          <w:color w:val="auto"/>
          <w:highlight w:val="none"/>
          <w:lang w:eastAsia="zh-CN"/>
        </w:rPr>
      </w:pPr>
      <w:r>
        <w:rPr>
          <w:color w:val="auto"/>
          <w:highlight w:val="none"/>
          <w:lang w:eastAsia="zh-CN"/>
        </w:rPr>
        <w:t>12.3.3</w:t>
      </w:r>
      <w:r>
        <w:rPr>
          <w:rFonts w:hint="eastAsia"/>
          <w:color w:val="auto"/>
          <w:highlight w:val="none"/>
          <w:lang w:eastAsia="zh-CN"/>
        </w:rPr>
        <w:t xml:space="preserve">  墙体所用的规格材、覆面板的品种、强度等级及规格，必须符合设计文件的规定，以及合同配置的要求。</w:t>
      </w:r>
    </w:p>
    <w:p w14:paraId="11F847AE">
      <w:pPr>
        <w:pStyle w:val="50"/>
        <w:ind w:firstLine="480"/>
        <w:rPr>
          <w:color w:val="auto"/>
          <w:highlight w:val="none"/>
        </w:rPr>
      </w:pPr>
      <w:r>
        <w:rPr>
          <w:rFonts w:hint="eastAsia"/>
          <w:color w:val="auto"/>
          <w:highlight w:val="none"/>
        </w:rPr>
        <w:t>【条文说明】12.3.3  确保墙体材料符合设计要求，保证墙体的整体性能。</w:t>
      </w:r>
    </w:p>
    <w:p w14:paraId="285114AA">
      <w:pPr>
        <w:rPr>
          <w:color w:val="auto"/>
          <w:highlight w:val="none"/>
        </w:rPr>
      </w:pPr>
    </w:p>
    <w:p w14:paraId="7E2E09C9">
      <w:pPr>
        <w:pStyle w:val="4"/>
        <w:rPr>
          <w:color w:val="auto"/>
          <w:highlight w:val="none"/>
          <w:lang w:eastAsia="zh-CN"/>
        </w:rPr>
      </w:pPr>
      <w:r>
        <w:rPr>
          <w:color w:val="auto"/>
          <w:highlight w:val="none"/>
          <w:lang w:eastAsia="zh-CN"/>
        </w:rPr>
        <w:t>12.3.</w:t>
      </w:r>
      <w:r>
        <w:rPr>
          <w:rFonts w:hint="eastAsia"/>
          <w:color w:val="auto"/>
          <w:highlight w:val="none"/>
          <w:lang w:eastAsia="zh-CN"/>
        </w:rPr>
        <w:t>4  按墙体编号顺序堆放和运输。安装墙体时由墙角处开始，从外</w:t>
      </w:r>
      <w:r>
        <w:rPr>
          <w:rFonts w:hint="eastAsia"/>
          <w:color w:val="auto"/>
          <w:highlight w:val="none"/>
          <w:lang w:eastAsia="zh-CN"/>
        </w:rPr>
        <w:t>向</w:t>
      </w:r>
      <w:r>
        <w:rPr>
          <w:rFonts w:hint="eastAsia"/>
          <w:color w:val="auto"/>
          <w:highlight w:val="none"/>
          <w:lang w:eastAsia="zh-CN"/>
        </w:rPr>
        <w:t>内进行，保持墙体垂直。</w:t>
      </w:r>
    </w:p>
    <w:p w14:paraId="7A6C8A3E">
      <w:pPr>
        <w:pStyle w:val="50"/>
        <w:ind w:firstLine="480"/>
        <w:rPr>
          <w:color w:val="auto"/>
          <w:highlight w:val="none"/>
        </w:rPr>
      </w:pPr>
      <w:r>
        <w:rPr>
          <w:rFonts w:hint="eastAsia"/>
          <w:color w:val="auto"/>
          <w:highlight w:val="none"/>
        </w:rPr>
        <w:t>【条文说明】12.3.4  规范墙体的安装顺序，确保安装过程的顺利进行和墙体的垂直度。</w:t>
      </w:r>
    </w:p>
    <w:p w14:paraId="4E548240">
      <w:pPr>
        <w:rPr>
          <w:color w:val="auto"/>
          <w:highlight w:val="none"/>
        </w:rPr>
      </w:pPr>
    </w:p>
    <w:p w14:paraId="39ADAFFC">
      <w:pPr>
        <w:pStyle w:val="4"/>
        <w:rPr>
          <w:color w:val="auto"/>
          <w:highlight w:val="none"/>
          <w:lang w:eastAsia="zh-CN"/>
        </w:rPr>
      </w:pPr>
      <w:r>
        <w:rPr>
          <w:color w:val="auto"/>
          <w:highlight w:val="none"/>
          <w:lang w:eastAsia="zh-CN"/>
        </w:rPr>
        <w:t>12.3.5</w:t>
      </w:r>
      <w:r>
        <w:rPr>
          <w:rFonts w:hint="eastAsia"/>
          <w:color w:val="auto"/>
          <w:highlight w:val="none"/>
          <w:lang w:eastAsia="zh-CN"/>
        </w:rPr>
        <w:t xml:space="preserve">  安装过梁，通常过梁的顶部标高与墙体顶梁板下口齐平，过梁的墙体下口采用大于梁宽度的规格材拼接支撑。当过梁标高较高，需切断顶梁板时，过梁两端与顶梁板相接处用厚度不小于3mm的镀锌钢板钉连接固定。</w:t>
      </w:r>
    </w:p>
    <w:p w14:paraId="7F6B2186">
      <w:pPr>
        <w:pStyle w:val="50"/>
        <w:ind w:firstLine="480"/>
        <w:rPr>
          <w:color w:val="auto"/>
          <w:highlight w:val="none"/>
        </w:rPr>
      </w:pPr>
      <w:r>
        <w:rPr>
          <w:rFonts w:hint="eastAsia"/>
          <w:color w:val="auto"/>
          <w:highlight w:val="none"/>
        </w:rPr>
        <w:t>【条文说明】12.3.5  详细说明过梁的安装方法和要求，确保过梁的稳固性和安全性。</w:t>
      </w:r>
    </w:p>
    <w:p w14:paraId="0015DFF5">
      <w:pPr>
        <w:rPr>
          <w:color w:val="auto"/>
          <w:highlight w:val="none"/>
        </w:rPr>
      </w:pPr>
    </w:p>
    <w:p w14:paraId="14B6680C">
      <w:pPr>
        <w:pStyle w:val="4"/>
        <w:rPr>
          <w:color w:val="auto"/>
          <w:highlight w:val="none"/>
          <w:lang w:eastAsia="zh-CN"/>
        </w:rPr>
      </w:pPr>
      <w:r>
        <w:rPr>
          <w:color w:val="auto"/>
          <w:highlight w:val="none"/>
          <w:lang w:eastAsia="zh-CN"/>
        </w:rPr>
        <w:t>12.3.</w:t>
      </w:r>
      <w:r>
        <w:rPr>
          <w:rFonts w:hint="eastAsia"/>
          <w:color w:val="auto"/>
          <w:highlight w:val="none"/>
          <w:lang w:eastAsia="zh-CN"/>
        </w:rPr>
        <w:t>6 墙体窗洞口的净尺寸宜大于窗框外边尺寸每边20mm；门洞口的净尺寸，其宽度和高度宜分别大于门框外尺寸60mm。</w:t>
      </w:r>
    </w:p>
    <w:p w14:paraId="450785EE">
      <w:pPr>
        <w:pStyle w:val="50"/>
        <w:ind w:firstLine="480"/>
        <w:rPr>
          <w:color w:val="auto"/>
          <w:highlight w:val="none"/>
        </w:rPr>
      </w:pPr>
      <w:r>
        <w:rPr>
          <w:rFonts w:hint="eastAsia"/>
          <w:color w:val="auto"/>
          <w:highlight w:val="none"/>
        </w:rPr>
        <w:t>【条文说明】12.3.6  规定门窗洞口的尺寸要求，确保门窗安装的准确性和密封性。</w:t>
      </w:r>
    </w:p>
    <w:p w14:paraId="68E89D12">
      <w:pPr>
        <w:rPr>
          <w:color w:val="auto"/>
          <w:highlight w:val="none"/>
        </w:rPr>
      </w:pPr>
    </w:p>
    <w:p w14:paraId="29D8549B">
      <w:pPr>
        <w:pStyle w:val="4"/>
        <w:rPr>
          <w:color w:val="auto"/>
          <w:highlight w:val="none"/>
          <w:lang w:eastAsia="zh-CN"/>
        </w:rPr>
      </w:pPr>
      <w:r>
        <w:rPr>
          <w:color w:val="auto"/>
          <w:highlight w:val="none"/>
          <w:lang w:eastAsia="zh-CN"/>
        </w:rPr>
        <w:t>12.3.</w:t>
      </w:r>
      <w:r>
        <w:rPr>
          <w:rFonts w:hint="eastAsia"/>
          <w:color w:val="auto"/>
          <w:highlight w:val="none"/>
          <w:lang w:eastAsia="zh-CN"/>
        </w:rPr>
        <w:t>7  墙体铺钉OSB板，墙面板厚度应符合表12.3.1规定。OSB板垂直于墙骨柱铺钉，竖向接头应位于墙骨柱中心线上。上下两板的竖向接头应错开同一墙骨柱布置。横向安装时，上下两道的竖向接缝必须错开至少两根墙骨柱。墙体两面铺钉OSB板时，两面对应位置的墙面板接缝也应错开，避免接缝于同一墙骨上。</w:t>
      </w:r>
    </w:p>
    <w:p w14:paraId="2DF54544">
      <w:pPr>
        <w:pStyle w:val="50"/>
        <w:ind w:firstLine="480"/>
        <w:rPr>
          <w:color w:val="auto"/>
          <w:highlight w:val="none"/>
        </w:rPr>
      </w:pPr>
      <w:r>
        <w:rPr>
          <w:rFonts w:hint="eastAsia"/>
          <w:color w:val="auto"/>
          <w:highlight w:val="none"/>
        </w:rPr>
        <w:t>【条文说明】12.3.7  详细说明墙面板的铺钉方法和要求，确保墙面板的稳固性和平整度。</w:t>
      </w:r>
    </w:p>
    <w:p w14:paraId="02C68C51">
      <w:pPr>
        <w:pStyle w:val="40"/>
        <w:rPr>
          <w:color w:val="auto"/>
          <w:highlight w:val="none"/>
        </w:rPr>
      </w:pPr>
      <w:r>
        <w:rPr>
          <w:rFonts w:hint="eastAsia"/>
          <w:color w:val="auto"/>
          <w:highlight w:val="none"/>
        </w:rPr>
        <w:t xml:space="preserve">表 </w:t>
      </w:r>
      <w:r>
        <w:rPr>
          <w:rFonts w:hint="eastAsia"/>
          <w:color w:val="auto"/>
          <w:highlight w:val="none"/>
          <w:lang w:eastAsia="zh-CN"/>
        </w:rPr>
        <w:t>1</w:t>
      </w:r>
      <w:r>
        <w:rPr>
          <w:rFonts w:hint="eastAsia"/>
          <w:color w:val="auto"/>
          <w:highlight w:val="none"/>
        </w:rPr>
        <w:t>2.</w:t>
      </w:r>
      <w:r>
        <w:rPr>
          <w:rFonts w:hint="eastAsia"/>
          <w:color w:val="auto"/>
          <w:highlight w:val="none"/>
          <w:lang w:eastAsia="zh-CN"/>
        </w:rPr>
        <w:t>3</w:t>
      </w:r>
      <w:r>
        <w:rPr>
          <w:rFonts w:hint="eastAsia"/>
          <w:color w:val="auto"/>
          <w:highlight w:val="none"/>
        </w:rPr>
        <w:t>.1  最小墙面板厚度</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2841"/>
        <w:gridCol w:w="2841"/>
      </w:tblGrid>
      <w:tr w14:paraId="2BA8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Merge w:val="restart"/>
            <w:vAlign w:val="center"/>
          </w:tcPr>
          <w:p w14:paraId="71CD75CB">
            <w:pPr>
              <w:pStyle w:val="43"/>
              <w:rPr>
                <w:color w:val="auto"/>
                <w:highlight w:val="none"/>
              </w:rPr>
            </w:pPr>
            <w:r>
              <w:rPr>
                <w:rFonts w:hint="eastAsia"/>
                <w:color w:val="auto"/>
                <w:highlight w:val="none"/>
              </w:rPr>
              <w:t>墙面板材料</w:t>
            </w:r>
          </w:p>
        </w:tc>
        <w:tc>
          <w:tcPr>
            <w:tcW w:w="5682" w:type="dxa"/>
            <w:gridSpan w:val="2"/>
          </w:tcPr>
          <w:p w14:paraId="6D3EFD9C">
            <w:pPr>
              <w:pStyle w:val="43"/>
              <w:rPr>
                <w:color w:val="auto"/>
                <w:highlight w:val="none"/>
              </w:rPr>
            </w:pPr>
            <w:r>
              <w:rPr>
                <w:rFonts w:hint="eastAsia"/>
                <w:color w:val="auto"/>
                <w:highlight w:val="none"/>
              </w:rPr>
              <w:t>最小墙面板厚度（mm）</w:t>
            </w:r>
          </w:p>
        </w:tc>
      </w:tr>
      <w:tr w14:paraId="5B67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Merge w:val="continue"/>
          </w:tcPr>
          <w:p w14:paraId="661A816C">
            <w:pPr>
              <w:pStyle w:val="43"/>
              <w:rPr>
                <w:color w:val="auto"/>
                <w:highlight w:val="none"/>
              </w:rPr>
            </w:pPr>
          </w:p>
        </w:tc>
        <w:tc>
          <w:tcPr>
            <w:tcW w:w="2841" w:type="dxa"/>
          </w:tcPr>
          <w:p w14:paraId="3D60723B">
            <w:pPr>
              <w:pStyle w:val="43"/>
              <w:rPr>
                <w:color w:val="auto"/>
                <w:highlight w:val="none"/>
              </w:rPr>
            </w:pPr>
            <w:r>
              <w:rPr>
                <w:rFonts w:hint="eastAsia"/>
                <w:color w:val="auto"/>
                <w:highlight w:val="none"/>
              </w:rPr>
              <w:t>墙骨柱间距400mm</w:t>
            </w:r>
          </w:p>
        </w:tc>
        <w:tc>
          <w:tcPr>
            <w:tcW w:w="2841" w:type="dxa"/>
          </w:tcPr>
          <w:p w14:paraId="10C613A6">
            <w:pPr>
              <w:pStyle w:val="43"/>
              <w:rPr>
                <w:color w:val="auto"/>
                <w:highlight w:val="none"/>
              </w:rPr>
            </w:pPr>
            <w:r>
              <w:rPr>
                <w:rFonts w:hint="eastAsia"/>
                <w:color w:val="auto"/>
                <w:highlight w:val="none"/>
              </w:rPr>
              <w:t>墙骨柱间距</w:t>
            </w:r>
          </w:p>
        </w:tc>
      </w:tr>
      <w:tr w14:paraId="60EB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tcPr>
          <w:p w14:paraId="3FFD86D9">
            <w:pPr>
              <w:pStyle w:val="43"/>
              <w:rPr>
                <w:color w:val="auto"/>
                <w:highlight w:val="none"/>
              </w:rPr>
            </w:pPr>
            <w:r>
              <w:rPr>
                <w:rFonts w:hint="eastAsia"/>
                <w:color w:val="auto"/>
                <w:highlight w:val="none"/>
              </w:rPr>
              <w:t>木基结构板材</w:t>
            </w:r>
          </w:p>
        </w:tc>
        <w:tc>
          <w:tcPr>
            <w:tcW w:w="2841" w:type="dxa"/>
          </w:tcPr>
          <w:p w14:paraId="55A29E25">
            <w:pPr>
              <w:pStyle w:val="43"/>
              <w:rPr>
                <w:color w:val="auto"/>
                <w:highlight w:val="none"/>
              </w:rPr>
            </w:pPr>
            <w:r>
              <w:rPr>
                <w:rFonts w:hint="eastAsia"/>
                <w:color w:val="auto"/>
                <w:highlight w:val="none"/>
              </w:rPr>
              <w:t>9</w:t>
            </w:r>
          </w:p>
        </w:tc>
        <w:tc>
          <w:tcPr>
            <w:tcW w:w="2841" w:type="dxa"/>
          </w:tcPr>
          <w:p w14:paraId="30DE2131">
            <w:pPr>
              <w:pStyle w:val="43"/>
              <w:rPr>
                <w:color w:val="auto"/>
                <w:highlight w:val="none"/>
              </w:rPr>
            </w:pPr>
            <w:r>
              <w:rPr>
                <w:rFonts w:hint="eastAsia"/>
                <w:color w:val="auto"/>
                <w:highlight w:val="none"/>
              </w:rPr>
              <w:t>11</w:t>
            </w:r>
          </w:p>
        </w:tc>
      </w:tr>
      <w:tr w14:paraId="736D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tcPr>
          <w:p w14:paraId="4B73889D">
            <w:pPr>
              <w:pStyle w:val="43"/>
              <w:rPr>
                <w:color w:val="auto"/>
                <w:highlight w:val="none"/>
              </w:rPr>
            </w:pPr>
            <w:r>
              <w:rPr>
                <w:rFonts w:hint="eastAsia"/>
                <w:color w:val="auto"/>
                <w:highlight w:val="none"/>
              </w:rPr>
              <w:t>石膏墙板</w:t>
            </w:r>
          </w:p>
        </w:tc>
        <w:tc>
          <w:tcPr>
            <w:tcW w:w="2841" w:type="dxa"/>
          </w:tcPr>
          <w:p w14:paraId="2D792B82">
            <w:pPr>
              <w:pStyle w:val="43"/>
              <w:rPr>
                <w:color w:val="auto"/>
                <w:highlight w:val="none"/>
              </w:rPr>
            </w:pPr>
            <w:r>
              <w:rPr>
                <w:rFonts w:hint="eastAsia"/>
                <w:color w:val="auto"/>
                <w:highlight w:val="none"/>
              </w:rPr>
              <w:t>9</w:t>
            </w:r>
          </w:p>
        </w:tc>
        <w:tc>
          <w:tcPr>
            <w:tcW w:w="2841" w:type="dxa"/>
          </w:tcPr>
          <w:p w14:paraId="4A9A59D3">
            <w:pPr>
              <w:pStyle w:val="43"/>
              <w:rPr>
                <w:color w:val="auto"/>
                <w:highlight w:val="none"/>
              </w:rPr>
            </w:pPr>
            <w:r>
              <w:rPr>
                <w:rFonts w:hint="eastAsia"/>
                <w:color w:val="auto"/>
                <w:highlight w:val="none"/>
              </w:rPr>
              <w:t>12</w:t>
            </w:r>
          </w:p>
        </w:tc>
      </w:tr>
    </w:tbl>
    <w:p w14:paraId="6C4AB164">
      <w:pPr>
        <w:pStyle w:val="4"/>
        <w:rPr>
          <w:color w:val="auto"/>
          <w:highlight w:val="none"/>
          <w:lang w:eastAsia="zh-CN"/>
        </w:rPr>
      </w:pPr>
      <w:r>
        <w:rPr>
          <w:color w:val="auto"/>
          <w:highlight w:val="none"/>
          <w:lang w:eastAsia="zh-CN"/>
        </w:rPr>
        <w:t>12.3.</w:t>
      </w:r>
      <w:r>
        <w:rPr>
          <w:rFonts w:hint="eastAsia"/>
          <w:color w:val="auto"/>
          <w:highlight w:val="none"/>
          <w:lang w:eastAsia="zh-CN"/>
        </w:rPr>
        <w:t>8</w:t>
      </w:r>
      <w:r>
        <w:rPr>
          <w:color w:val="auto"/>
          <w:highlight w:val="none"/>
          <w:lang w:eastAsia="zh-CN"/>
        </w:rPr>
        <w:t xml:space="preserve"> </w:t>
      </w:r>
      <w:r>
        <w:rPr>
          <w:rFonts w:hint="eastAsia"/>
          <w:color w:val="auto"/>
          <w:highlight w:val="none"/>
          <w:lang w:eastAsia="zh-CN"/>
        </w:rPr>
        <w:t xml:space="preserve"> 根据施工结构图布置的位置采用预制的抗上拔钢托架连接剪力墙。施工时应核对位置提前在需锚固的位置打孔，这样方便于墙体布置好后安装抗上拔钢托架。当剪力墙直接搁置在基础墙上时，剪力的传递通过锚固螺栓来完成。</w:t>
      </w:r>
    </w:p>
    <w:p w14:paraId="66D1356C">
      <w:pPr>
        <w:pStyle w:val="50"/>
        <w:ind w:firstLine="480"/>
        <w:rPr>
          <w:color w:val="auto"/>
          <w:highlight w:val="none"/>
        </w:rPr>
      </w:pPr>
      <w:r>
        <w:rPr>
          <w:rFonts w:hint="eastAsia"/>
          <w:color w:val="auto"/>
          <w:highlight w:val="none"/>
        </w:rPr>
        <w:t>【条文说明】12.3.8  明确剪力墙的连接方式和要求，确保剪力墙的稳定性和安全性。</w:t>
      </w:r>
    </w:p>
    <w:p w14:paraId="4031B666">
      <w:pPr>
        <w:rPr>
          <w:color w:val="auto"/>
          <w:highlight w:val="none"/>
        </w:rPr>
      </w:pPr>
    </w:p>
    <w:p w14:paraId="42EDA49D">
      <w:pPr>
        <w:pStyle w:val="4"/>
        <w:rPr>
          <w:color w:val="auto"/>
          <w:highlight w:val="none"/>
          <w:lang w:eastAsia="zh-CN"/>
        </w:rPr>
      </w:pPr>
      <w:r>
        <w:rPr>
          <w:color w:val="auto"/>
          <w:highlight w:val="none"/>
          <w:lang w:eastAsia="zh-CN"/>
        </w:rPr>
        <w:t>12.3.</w:t>
      </w:r>
      <w:r>
        <w:rPr>
          <w:rFonts w:hint="eastAsia"/>
          <w:color w:val="auto"/>
          <w:highlight w:val="none"/>
          <w:lang w:eastAsia="zh-CN"/>
        </w:rPr>
        <w:t>9  木柱应支承在混凝土柱墩或基础上，并应与预埋连接件采用螺栓可靠地锚固。</w:t>
      </w:r>
    </w:p>
    <w:p w14:paraId="53C5C18C">
      <w:pPr>
        <w:pStyle w:val="50"/>
        <w:ind w:firstLine="480"/>
        <w:rPr>
          <w:color w:val="auto"/>
          <w:highlight w:val="none"/>
        </w:rPr>
      </w:pPr>
      <w:r>
        <w:rPr>
          <w:rFonts w:hint="eastAsia"/>
          <w:color w:val="auto"/>
          <w:highlight w:val="none"/>
        </w:rPr>
        <w:t>【条文说明】 12.3.9  强调木柱的安装方式和要求，确保木柱的稳固性和安全性。</w:t>
      </w:r>
    </w:p>
    <w:p w14:paraId="1C882BF5">
      <w:pPr>
        <w:rPr>
          <w:color w:val="auto"/>
          <w:highlight w:val="none"/>
          <w:lang w:eastAsia="zh-CN"/>
        </w:rPr>
      </w:pPr>
    </w:p>
    <w:p w14:paraId="49CA914E">
      <w:pPr>
        <w:pStyle w:val="4"/>
        <w:rPr>
          <w:color w:val="auto"/>
          <w:highlight w:val="none"/>
          <w:lang w:eastAsia="zh-CN"/>
        </w:rPr>
      </w:pPr>
      <w:r>
        <w:rPr>
          <w:color w:val="auto"/>
          <w:highlight w:val="none"/>
          <w:lang w:eastAsia="zh-CN"/>
        </w:rPr>
        <w:t>12.3.1</w:t>
      </w:r>
      <w:r>
        <w:rPr>
          <w:rFonts w:hint="eastAsia"/>
          <w:color w:val="auto"/>
          <w:highlight w:val="none"/>
          <w:lang w:eastAsia="zh-CN"/>
        </w:rPr>
        <w:t>0 拖梁安装时，首先在托梁端头中间穿加规格材加强，并且在托梁或搁栅中应有横撑或剪刀撑连接。搁栅封头、封边应用两根规格材，搁栅的接头交错布置横撑固定连接。</w:t>
      </w:r>
    </w:p>
    <w:p w14:paraId="67075650">
      <w:pPr>
        <w:pStyle w:val="50"/>
        <w:ind w:firstLine="480"/>
        <w:rPr>
          <w:color w:val="auto"/>
          <w:highlight w:val="none"/>
        </w:rPr>
      </w:pPr>
      <w:r>
        <w:rPr>
          <w:rFonts w:hint="eastAsia"/>
          <w:color w:val="auto"/>
          <w:highlight w:val="none"/>
        </w:rPr>
        <w:t>【条文说明】12.3.10  详细说明拖梁和搁栅的安装方法和要求，确保楼盖结构的稳固性和承重能力。</w:t>
      </w:r>
    </w:p>
    <w:p w14:paraId="68F6F458">
      <w:pPr>
        <w:rPr>
          <w:color w:val="auto"/>
          <w:highlight w:val="none"/>
        </w:rPr>
      </w:pPr>
    </w:p>
    <w:p w14:paraId="114B1EEB">
      <w:pPr>
        <w:pStyle w:val="4"/>
        <w:rPr>
          <w:color w:val="auto"/>
          <w:highlight w:val="none"/>
          <w:lang w:eastAsia="zh-CN"/>
        </w:rPr>
      </w:pPr>
      <w:r>
        <w:rPr>
          <w:color w:val="auto"/>
          <w:highlight w:val="none"/>
          <w:lang w:eastAsia="zh-CN"/>
        </w:rPr>
        <w:t>12.3.1</w:t>
      </w:r>
      <w:r>
        <w:rPr>
          <w:rFonts w:hint="eastAsia"/>
          <w:color w:val="auto"/>
          <w:highlight w:val="none"/>
          <w:lang w:eastAsia="zh-CN"/>
        </w:rPr>
        <w:t>1 当楼盖需支承平行于搁栅的非承重墙时，墙体下应设置搁栅或使墙体落在两根搁栅间的实心横撑上。当非承重墙垂直于搁栅安装，距搁栅支座不大于0.9m时，搁栅可不做特殊处理。垂直或平行于楼盖搁栅的承重内墙应支承在具有足够承载力的梁或墙上，安装按设计图纸施工。</w:t>
      </w:r>
    </w:p>
    <w:p w14:paraId="28B97F6A">
      <w:pPr>
        <w:pStyle w:val="50"/>
        <w:ind w:firstLine="480"/>
        <w:rPr>
          <w:color w:val="auto"/>
          <w:highlight w:val="none"/>
        </w:rPr>
      </w:pPr>
      <w:r>
        <w:rPr>
          <w:rFonts w:hint="eastAsia"/>
          <w:color w:val="auto"/>
          <w:highlight w:val="none"/>
        </w:rPr>
        <w:t>【条文说明】12.3.11 当非承重墙平行于搁栅时，需设置搁栅或实心横撑支撑，当非承重墙垂直于搁栅且距支座较近时，搁栅可不做特殊处理，承重内墙应支承在具有足够承载力的梁或墙上，按设计图纸施工。</w:t>
      </w:r>
    </w:p>
    <w:p w14:paraId="788AF1BA">
      <w:pPr>
        <w:rPr>
          <w:color w:val="auto"/>
          <w:highlight w:val="none"/>
        </w:rPr>
      </w:pPr>
    </w:p>
    <w:p w14:paraId="62B95541">
      <w:pPr>
        <w:pStyle w:val="4"/>
        <w:rPr>
          <w:color w:val="auto"/>
          <w:highlight w:val="none"/>
          <w:lang w:eastAsia="zh-CN"/>
        </w:rPr>
      </w:pPr>
      <w:r>
        <w:rPr>
          <w:color w:val="auto"/>
          <w:highlight w:val="none"/>
          <w:lang w:eastAsia="zh-CN"/>
        </w:rPr>
        <w:t>12.3.1</w:t>
      </w:r>
      <w:r>
        <w:rPr>
          <w:rFonts w:hint="eastAsia"/>
          <w:color w:val="auto"/>
          <w:highlight w:val="none"/>
          <w:lang w:eastAsia="zh-CN"/>
        </w:rPr>
        <w:t>2 梁与支座应紧密接触。用规格材制成的组合梁在支座间应连续，单根规格材的对接应位于梁的支座上。如果是多跨连续梁，则该组合梁中的单根规格材可在距支座1/4净跨处或1/4净跨内对接（图12.3.7a）。在梁1/4净跨处对接的规格材在相邻跨度内应连续，不得在相邻跨内的同一位置对接，且在同一截面上对接的规格材数量不得超过该截面规格材总数的一半。组合梁内任何单根规格材在同一跨度内不得有二个或二个以上的接头。</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2"/>
      </w:tblGrid>
      <w:tr w14:paraId="71EE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2" w:type="dxa"/>
          </w:tcPr>
          <w:p w14:paraId="22CF1F2D">
            <w:pPr>
              <w:autoSpaceDN w:val="0"/>
              <w:jc w:val="center"/>
              <w:rPr>
                <w:rFonts w:ascii="宋体" w:hAnsi="宋体"/>
                <w:color w:val="auto"/>
                <w:sz w:val="21"/>
                <w:szCs w:val="21"/>
                <w:highlight w:val="none"/>
              </w:rPr>
            </w:pPr>
            <w:r>
              <w:rPr>
                <w:rFonts w:ascii="宋体" w:hAnsi="宋体"/>
                <w:color w:val="auto"/>
                <w:sz w:val="21"/>
                <w:szCs w:val="21"/>
                <w:highlight w:val="none"/>
                <w:lang w:eastAsia="zh-CN"/>
              </w:rPr>
              <w:drawing>
                <wp:inline distT="0" distB="0" distL="114300" distR="114300">
                  <wp:extent cx="5887085" cy="3311525"/>
                  <wp:effectExtent l="0" t="0" r="0" b="0"/>
                  <wp:docPr id="33" name="图片 33" descr="E:/黄华莉专属/工作项目/2024/CG/张柳欣/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黄华莉专属/工作项目/2024/CG/张柳欣/图片1.jpg图片1"/>
                          <pic:cNvPicPr>
                            <a:picLocks noChangeAspect="1"/>
                          </pic:cNvPicPr>
                        </pic:nvPicPr>
                        <pic:blipFill>
                          <a:blip r:embed="rId85">
                            <a:clrChange>
                              <a:clrFrom>
                                <a:srgbClr val="FEFEFC">
                                  <a:alpha val="100000"/>
                                </a:srgbClr>
                              </a:clrFrom>
                              <a:clrTo>
                                <a:srgbClr val="FEFEFC">
                                  <a:alpha val="100000"/>
                                  <a:alpha val="0"/>
                                </a:srgbClr>
                              </a:clrTo>
                            </a:clrChange>
                            <a:grayscl/>
                          </a:blip>
                          <a:srcRect l="75" r="75"/>
                          <a:stretch>
                            <a:fillRect/>
                          </a:stretch>
                        </pic:blipFill>
                        <pic:spPr>
                          <a:xfrm>
                            <a:off x="0" y="0"/>
                            <a:ext cx="5887085" cy="3311525"/>
                          </a:xfrm>
                          <a:prstGeom prst="rect">
                            <a:avLst/>
                          </a:prstGeom>
                          <a:noFill/>
                          <a:ln>
                            <a:noFill/>
                          </a:ln>
                        </pic:spPr>
                      </pic:pic>
                    </a:graphicData>
                  </a:graphic>
                </wp:inline>
              </w:drawing>
            </w:r>
          </w:p>
          <w:p w14:paraId="533C8AA2">
            <w:pPr>
              <w:pStyle w:val="44"/>
              <w:ind w:firstLine="198"/>
              <w:rPr>
                <w:rFonts w:ascii="宋体" w:hAnsi="宋体"/>
                <w:color w:val="auto"/>
                <w:szCs w:val="21"/>
                <w:highlight w:val="none"/>
              </w:rPr>
            </w:pPr>
            <w:r>
              <w:rPr>
                <w:rFonts w:hint="eastAsia"/>
                <w:color w:val="auto"/>
                <w:highlight w:val="none"/>
              </w:rPr>
              <w:t>图 12.3.7a  组合梁中的接头构造</w:t>
            </w:r>
          </w:p>
        </w:tc>
      </w:tr>
    </w:tbl>
    <w:p w14:paraId="69E85C54">
      <w:pPr>
        <w:pStyle w:val="4"/>
        <w:ind w:firstLine="480" w:firstLineChars="200"/>
        <w:rPr>
          <w:color w:val="auto"/>
          <w:highlight w:val="none"/>
          <w:lang w:eastAsia="zh-CN"/>
        </w:rPr>
      </w:pPr>
      <w:r>
        <w:rPr>
          <w:rFonts w:hint="eastAsia"/>
          <w:color w:val="auto"/>
          <w:highlight w:val="none"/>
          <w:lang w:eastAsia="zh-CN"/>
        </w:rPr>
        <w:t>当组合截面梁采用40mm宽的规格材组成时，规格材之间应沿梁高采用等分布置的双排钉连接，钉长不得小于90mm，钉之间的中心距不得大于450mm，钉子到每根规格材端部的距离应为100—150mm。（图12.3.7b）组合梁也可以通过直径不小于12mm，中心距为1.2m的螺杆连接，螺杆到规格材端部的距离不超过600mm。</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2"/>
      </w:tblGrid>
      <w:tr w14:paraId="63E0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2" w:type="dxa"/>
            <w:tcBorders>
              <w:top w:val="nil"/>
              <w:left w:val="nil"/>
              <w:bottom w:val="nil"/>
              <w:right w:val="nil"/>
            </w:tcBorders>
          </w:tcPr>
          <w:p w14:paraId="3D270157">
            <w:pPr>
              <w:autoSpaceDN w:val="0"/>
              <w:jc w:val="center"/>
              <w:rPr>
                <w:rFonts w:ascii="宋体" w:hAnsi="宋体"/>
                <w:color w:val="auto"/>
                <w:sz w:val="21"/>
                <w:szCs w:val="21"/>
                <w:highlight w:val="none"/>
              </w:rPr>
            </w:pPr>
            <w:r>
              <w:rPr>
                <w:rFonts w:ascii="宋体" w:hAnsi="宋体"/>
                <w:color w:val="auto"/>
                <w:sz w:val="21"/>
                <w:szCs w:val="21"/>
                <w:highlight w:val="none"/>
                <w:lang w:eastAsia="zh-CN"/>
              </w:rPr>
              <w:drawing>
                <wp:inline distT="0" distB="0" distL="114300" distR="114300">
                  <wp:extent cx="6313805" cy="3277235"/>
                  <wp:effectExtent l="0" t="0" r="0" b="0"/>
                  <wp:docPr id="34" name="图片 34" descr="E:/黄华莉专属/工作项目/2024/CG/张柳欣/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黄华莉专属/工作项目/2024/CG/张柳欣/图片2.jpg图片2"/>
                          <pic:cNvPicPr>
                            <a:picLocks noChangeAspect="1"/>
                          </pic:cNvPicPr>
                        </pic:nvPicPr>
                        <pic:blipFill>
                          <a:blip r:embed="rId86">
                            <a:clrChange>
                              <a:clrFrom>
                                <a:srgbClr val="FFFFFF">
                                  <a:alpha val="100000"/>
                                </a:srgbClr>
                              </a:clrFrom>
                              <a:clrTo>
                                <a:srgbClr val="FFFFFF">
                                  <a:alpha val="100000"/>
                                  <a:alpha val="0"/>
                                </a:srgbClr>
                              </a:clrTo>
                            </a:clrChange>
                            <a:grayscl/>
                          </a:blip>
                          <a:srcRect t="135" b="135"/>
                          <a:stretch>
                            <a:fillRect/>
                          </a:stretch>
                        </pic:blipFill>
                        <pic:spPr>
                          <a:xfrm>
                            <a:off x="0" y="0"/>
                            <a:ext cx="6313805" cy="3277235"/>
                          </a:xfrm>
                          <a:prstGeom prst="rect">
                            <a:avLst/>
                          </a:prstGeom>
                          <a:noFill/>
                          <a:ln>
                            <a:noFill/>
                          </a:ln>
                        </pic:spPr>
                      </pic:pic>
                    </a:graphicData>
                  </a:graphic>
                </wp:inline>
              </w:drawing>
            </w:r>
          </w:p>
          <w:p w14:paraId="594A4491">
            <w:pPr>
              <w:pStyle w:val="44"/>
              <w:ind w:firstLine="198"/>
              <w:rPr>
                <w:color w:val="auto"/>
                <w:highlight w:val="none"/>
              </w:rPr>
            </w:pPr>
            <w:r>
              <w:rPr>
                <w:rFonts w:hint="eastAsia"/>
                <w:color w:val="auto"/>
                <w:highlight w:val="none"/>
              </w:rPr>
              <w:t>图 12.3.7b  组合梁的钉连接要求</w:t>
            </w:r>
          </w:p>
          <w:p w14:paraId="13DBCB09">
            <w:pPr>
              <w:pStyle w:val="6"/>
              <w:jc w:val="center"/>
              <w:rPr>
                <w:color w:val="auto"/>
                <w:highlight w:val="none"/>
                <w:lang w:eastAsia="zh-CN"/>
              </w:rPr>
            </w:pPr>
            <w:r>
              <w:rPr>
                <w:rFonts w:hint="eastAsia"/>
                <w:color w:val="auto"/>
                <w:highlight w:val="none"/>
              </w:rPr>
              <w:t>注：也可采用中心距≤1.2m、直径≥12mm的螺杆连接，螺杆端距≤600mm。</w:t>
            </w:r>
          </w:p>
        </w:tc>
      </w:tr>
    </w:tbl>
    <w:p w14:paraId="559B0E74">
      <w:pPr>
        <w:pStyle w:val="50"/>
        <w:ind w:firstLine="480"/>
        <w:rPr>
          <w:color w:val="auto"/>
          <w:highlight w:val="none"/>
        </w:rPr>
      </w:pPr>
      <w:r>
        <w:rPr>
          <w:rFonts w:hint="eastAsia"/>
          <w:color w:val="auto"/>
          <w:highlight w:val="none"/>
        </w:rPr>
        <w:t>【条文说明】12.3.12  梁与支座应紧密接触，规格材对接应在支座上或1/4净跨处，且不能在同一截面过多对接，组合梁中规格材间应双排钉连接或螺杆连接，以满足强度和稳定性要求。</w:t>
      </w:r>
    </w:p>
    <w:p w14:paraId="71745FB3">
      <w:pPr>
        <w:rPr>
          <w:color w:val="auto"/>
          <w:highlight w:val="none"/>
        </w:rPr>
      </w:pPr>
    </w:p>
    <w:p w14:paraId="39701EF8">
      <w:pPr>
        <w:pStyle w:val="4"/>
        <w:rPr>
          <w:color w:val="auto"/>
          <w:highlight w:val="none"/>
          <w:lang w:eastAsia="zh-CN"/>
        </w:rPr>
      </w:pPr>
      <w:r>
        <w:rPr>
          <w:color w:val="auto"/>
          <w:highlight w:val="none"/>
          <w:lang w:eastAsia="zh-CN"/>
        </w:rPr>
        <w:t>12.3.1</w:t>
      </w:r>
      <w:r>
        <w:rPr>
          <w:rFonts w:hint="eastAsia"/>
          <w:color w:val="auto"/>
          <w:highlight w:val="none"/>
          <w:lang w:eastAsia="zh-CN"/>
        </w:rPr>
        <w:t>3</w:t>
      </w:r>
      <w:r>
        <w:rPr>
          <w:color w:val="auto"/>
          <w:highlight w:val="none"/>
          <w:lang w:eastAsia="zh-CN"/>
        </w:rPr>
        <w:t xml:space="preserve"> </w:t>
      </w:r>
      <w:r>
        <w:rPr>
          <w:rFonts w:hint="eastAsia"/>
          <w:color w:val="auto"/>
          <w:highlight w:val="none"/>
          <w:lang w:eastAsia="zh-CN"/>
        </w:rPr>
        <w:t xml:space="preserve"> 铺设楼面板时应覆盖至封头或封边搁栅的外边缘，宜整张固钉。设计文件未做规定的，楼面板按长度方向垂直楼盖搁栅铺设，面板宽度方向的接缝需错开至少两根搁栅的间距，接缝在搁栅的中心线上。</w:t>
      </w:r>
    </w:p>
    <w:p w14:paraId="6A1B5C02">
      <w:pPr>
        <w:pStyle w:val="50"/>
        <w:ind w:firstLine="480"/>
        <w:rPr>
          <w:color w:val="auto"/>
          <w:highlight w:val="none"/>
        </w:rPr>
      </w:pPr>
      <w:r>
        <w:rPr>
          <w:rFonts w:hint="eastAsia"/>
          <w:color w:val="auto"/>
          <w:highlight w:val="none"/>
        </w:rPr>
        <w:t xml:space="preserve">【条文说明】12.3.13  楼面板应覆盖至封头或封边搁栅外边缘，整张固钉，面板接缝需错开至少两根搁栅间距，接缝在搁栅中心线上。 </w:t>
      </w:r>
    </w:p>
    <w:p w14:paraId="15898631">
      <w:pPr>
        <w:rPr>
          <w:color w:val="auto"/>
          <w:highlight w:val="none"/>
          <w:lang w:eastAsia="zh-CN"/>
        </w:rPr>
      </w:pPr>
    </w:p>
    <w:p w14:paraId="32EFF288">
      <w:pPr>
        <w:pStyle w:val="4"/>
        <w:rPr>
          <w:color w:val="auto"/>
          <w:highlight w:val="none"/>
          <w:lang w:eastAsia="zh-CN"/>
        </w:rPr>
      </w:pPr>
      <w:r>
        <w:rPr>
          <w:color w:val="auto"/>
          <w:highlight w:val="none"/>
          <w:lang w:eastAsia="zh-CN"/>
        </w:rPr>
        <w:t>12.3.1</w:t>
      </w:r>
      <w:r>
        <w:rPr>
          <w:rFonts w:hint="eastAsia"/>
          <w:color w:val="auto"/>
          <w:highlight w:val="none"/>
          <w:lang w:eastAsia="zh-CN"/>
        </w:rPr>
        <w:t>4 木桁架安装图应将连接构造和永久支撑、构件连接件在施工图上标明。</w:t>
      </w:r>
    </w:p>
    <w:p w14:paraId="7A0A2FC9">
      <w:pPr>
        <w:pStyle w:val="50"/>
        <w:ind w:firstLine="480"/>
        <w:rPr>
          <w:color w:val="auto"/>
          <w:highlight w:val="none"/>
        </w:rPr>
      </w:pPr>
      <w:r>
        <w:rPr>
          <w:rFonts w:hint="eastAsia"/>
          <w:color w:val="auto"/>
          <w:highlight w:val="none"/>
        </w:rPr>
        <w:t>【条文说明】12.3.14  桁架安装图应标明连接构造和永久支撑、构件连接件。</w:t>
      </w:r>
    </w:p>
    <w:p w14:paraId="4FA9BBB6">
      <w:pPr>
        <w:rPr>
          <w:color w:val="auto"/>
          <w:highlight w:val="none"/>
          <w:lang w:eastAsia="zh-CN"/>
        </w:rPr>
      </w:pPr>
    </w:p>
    <w:p w14:paraId="279CDA3C">
      <w:pPr>
        <w:pStyle w:val="4"/>
        <w:rPr>
          <w:color w:val="auto"/>
          <w:sz w:val="21"/>
          <w:szCs w:val="21"/>
          <w:highlight w:val="none"/>
          <w:lang w:eastAsia="zh-CN"/>
        </w:rPr>
      </w:pPr>
      <w:r>
        <w:rPr>
          <w:color w:val="auto"/>
          <w:highlight w:val="none"/>
          <w:lang w:eastAsia="zh-CN"/>
        </w:rPr>
        <w:t>12.3.1</w:t>
      </w:r>
      <w:r>
        <w:rPr>
          <w:rFonts w:hint="eastAsia"/>
          <w:color w:val="auto"/>
          <w:highlight w:val="none"/>
          <w:lang w:eastAsia="zh-CN"/>
        </w:rPr>
        <w:t xml:space="preserve">5 对于非上人屋面，屋面板的最小厚度应满足表12.3.2中要求。对于上人屋面，屋面板的厚度应满足楼面板的要求。  </w:t>
      </w:r>
      <w:r>
        <w:rPr>
          <w:rFonts w:hint="eastAsia" w:ascii="宋体" w:hAnsi="宋体"/>
          <w:color w:val="auto"/>
          <w:sz w:val="21"/>
          <w:szCs w:val="21"/>
          <w:highlight w:val="none"/>
        </w:rPr>
        <w:t xml:space="preserve"> </w:t>
      </w:r>
    </w:p>
    <w:p w14:paraId="22B4F564">
      <w:pPr>
        <w:pStyle w:val="40"/>
        <w:rPr>
          <w:color w:val="auto"/>
          <w:highlight w:val="none"/>
          <w:lang w:eastAsia="zh-CN"/>
        </w:rPr>
      </w:pPr>
      <w:r>
        <w:rPr>
          <w:rFonts w:hint="eastAsia"/>
          <w:color w:val="auto"/>
          <w:highlight w:val="none"/>
          <w:lang w:eastAsia="zh-CN"/>
        </w:rPr>
        <w:t>表12.3.2 木基结构板最小厚度</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5"/>
        <w:gridCol w:w="3357"/>
        <w:gridCol w:w="3360"/>
      </w:tblGrid>
      <w:tr w14:paraId="34AB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E3A293F">
            <w:pPr>
              <w:pStyle w:val="43"/>
              <w:rPr>
                <w:color w:val="auto"/>
                <w:highlight w:val="none"/>
              </w:rPr>
            </w:pPr>
            <w:r>
              <w:rPr>
                <w:rFonts w:hint="eastAsia"/>
                <w:color w:val="auto"/>
                <w:highlight w:val="none"/>
              </w:rPr>
              <w:t>支承板的间距（㎜）</w:t>
            </w:r>
          </w:p>
        </w:tc>
        <w:tc>
          <w:tcPr>
            <w:tcW w:w="0" w:type="auto"/>
            <w:gridSpan w:val="2"/>
            <w:vAlign w:val="center"/>
          </w:tcPr>
          <w:p w14:paraId="0C49F45D">
            <w:pPr>
              <w:pStyle w:val="43"/>
              <w:rPr>
                <w:color w:val="auto"/>
                <w:highlight w:val="none"/>
              </w:rPr>
            </w:pPr>
            <w:r>
              <w:rPr>
                <w:rFonts w:hint="eastAsia"/>
                <w:color w:val="auto"/>
                <w:highlight w:val="none"/>
              </w:rPr>
              <w:t>木基结构板的最小厚度（㎜）</w:t>
            </w:r>
          </w:p>
        </w:tc>
      </w:tr>
      <w:tr w14:paraId="36D9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51A37CE">
            <w:pPr>
              <w:pStyle w:val="43"/>
              <w:rPr>
                <w:color w:val="auto"/>
                <w:highlight w:val="none"/>
              </w:rPr>
            </w:pPr>
          </w:p>
        </w:tc>
        <w:tc>
          <w:tcPr>
            <w:tcW w:w="0" w:type="auto"/>
            <w:vAlign w:val="center"/>
          </w:tcPr>
          <w:p w14:paraId="11A1BF9A">
            <w:pPr>
              <w:pStyle w:val="43"/>
              <w:rPr>
                <w:color w:val="auto"/>
                <w:highlight w:val="none"/>
              </w:rPr>
            </w:pPr>
            <w:r>
              <w:rPr>
                <w:rFonts w:hint="eastAsia"/>
                <w:color w:val="auto"/>
                <w:highlight w:val="none"/>
              </w:rPr>
              <w:t>G</w:t>
            </w:r>
            <w:r>
              <w:rPr>
                <w:rFonts w:hint="eastAsia"/>
                <w:color w:val="auto"/>
                <w:highlight w:val="none"/>
                <w:vertAlign w:val="subscript"/>
              </w:rPr>
              <w:t>K</w:t>
            </w:r>
            <w:r>
              <w:rPr>
                <w:rFonts w:hint="eastAsia"/>
                <w:color w:val="auto"/>
                <w:highlight w:val="none"/>
              </w:rPr>
              <w:t>≤0.3kN/㎡</w:t>
            </w:r>
          </w:p>
          <w:p w14:paraId="5D514211">
            <w:pPr>
              <w:pStyle w:val="43"/>
              <w:rPr>
                <w:color w:val="auto"/>
                <w:highlight w:val="none"/>
              </w:rPr>
            </w:pPr>
            <w:r>
              <w:rPr>
                <w:rFonts w:hint="eastAsia"/>
                <w:color w:val="auto"/>
                <w:highlight w:val="none"/>
              </w:rPr>
              <w:t>S</w:t>
            </w:r>
            <w:r>
              <w:rPr>
                <w:rFonts w:hint="eastAsia"/>
                <w:color w:val="auto"/>
                <w:highlight w:val="none"/>
                <w:vertAlign w:val="subscript"/>
              </w:rPr>
              <w:t>K</w:t>
            </w:r>
            <w:r>
              <w:rPr>
                <w:rFonts w:hint="eastAsia"/>
                <w:color w:val="auto"/>
                <w:highlight w:val="none"/>
              </w:rPr>
              <w:t>≤2.0kN/㎡</w:t>
            </w:r>
          </w:p>
        </w:tc>
        <w:tc>
          <w:tcPr>
            <w:tcW w:w="0" w:type="auto"/>
            <w:vAlign w:val="center"/>
          </w:tcPr>
          <w:p w14:paraId="75318505">
            <w:pPr>
              <w:pStyle w:val="43"/>
              <w:rPr>
                <w:color w:val="auto"/>
                <w:highlight w:val="none"/>
              </w:rPr>
            </w:pPr>
            <w:r>
              <w:rPr>
                <w:rFonts w:hint="eastAsia"/>
                <w:color w:val="auto"/>
                <w:highlight w:val="none"/>
              </w:rPr>
              <w:t>0.3kN/㎡＜G</w:t>
            </w:r>
            <w:r>
              <w:rPr>
                <w:rFonts w:hint="eastAsia"/>
                <w:color w:val="auto"/>
                <w:highlight w:val="none"/>
                <w:vertAlign w:val="subscript"/>
              </w:rPr>
              <w:t>K</w:t>
            </w:r>
            <w:r>
              <w:rPr>
                <w:rFonts w:hint="eastAsia"/>
                <w:color w:val="auto"/>
                <w:highlight w:val="none"/>
              </w:rPr>
              <w:t>≤1.3kN/㎡</w:t>
            </w:r>
          </w:p>
          <w:p w14:paraId="64713995">
            <w:pPr>
              <w:pStyle w:val="43"/>
              <w:rPr>
                <w:color w:val="auto"/>
                <w:highlight w:val="none"/>
              </w:rPr>
            </w:pPr>
            <w:r>
              <w:rPr>
                <w:rFonts w:hint="eastAsia"/>
                <w:color w:val="auto"/>
                <w:highlight w:val="none"/>
              </w:rPr>
              <w:t>S</w:t>
            </w:r>
            <w:r>
              <w:rPr>
                <w:rFonts w:hint="eastAsia"/>
                <w:color w:val="auto"/>
                <w:highlight w:val="none"/>
                <w:vertAlign w:val="subscript"/>
              </w:rPr>
              <w:t>K</w:t>
            </w:r>
            <w:r>
              <w:rPr>
                <w:rFonts w:hint="eastAsia"/>
                <w:color w:val="auto"/>
                <w:highlight w:val="none"/>
              </w:rPr>
              <w:t>≤2.0kN/㎡</w:t>
            </w:r>
          </w:p>
        </w:tc>
      </w:tr>
      <w:tr w14:paraId="55F4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Align w:val="center"/>
          </w:tcPr>
          <w:p w14:paraId="332DFF6F">
            <w:pPr>
              <w:pStyle w:val="43"/>
              <w:rPr>
                <w:color w:val="auto"/>
                <w:highlight w:val="none"/>
              </w:rPr>
            </w:pPr>
            <w:r>
              <w:rPr>
                <w:rFonts w:hint="eastAsia"/>
                <w:color w:val="auto"/>
                <w:highlight w:val="none"/>
              </w:rPr>
              <w:t>400</w:t>
            </w:r>
          </w:p>
        </w:tc>
        <w:tc>
          <w:tcPr>
            <w:tcW w:w="2732" w:type="dxa"/>
            <w:vAlign w:val="center"/>
          </w:tcPr>
          <w:p w14:paraId="24539214">
            <w:pPr>
              <w:pStyle w:val="43"/>
              <w:rPr>
                <w:color w:val="auto"/>
                <w:highlight w:val="none"/>
              </w:rPr>
            </w:pPr>
            <w:r>
              <w:rPr>
                <w:rFonts w:hint="eastAsia"/>
                <w:color w:val="auto"/>
                <w:highlight w:val="none"/>
              </w:rPr>
              <w:t>9</w:t>
            </w:r>
          </w:p>
        </w:tc>
        <w:tc>
          <w:tcPr>
            <w:tcW w:w="2734" w:type="dxa"/>
            <w:vAlign w:val="center"/>
          </w:tcPr>
          <w:p w14:paraId="17577E6B">
            <w:pPr>
              <w:pStyle w:val="43"/>
              <w:rPr>
                <w:color w:val="auto"/>
                <w:highlight w:val="none"/>
              </w:rPr>
            </w:pPr>
            <w:r>
              <w:rPr>
                <w:rFonts w:hint="eastAsia"/>
                <w:color w:val="auto"/>
                <w:highlight w:val="none"/>
              </w:rPr>
              <w:t>11</w:t>
            </w:r>
          </w:p>
        </w:tc>
      </w:tr>
      <w:tr w14:paraId="6A7D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Align w:val="center"/>
          </w:tcPr>
          <w:p w14:paraId="0BAE6C76">
            <w:pPr>
              <w:pStyle w:val="43"/>
              <w:rPr>
                <w:color w:val="auto"/>
                <w:highlight w:val="none"/>
              </w:rPr>
            </w:pPr>
            <w:r>
              <w:rPr>
                <w:rFonts w:hint="eastAsia"/>
                <w:color w:val="auto"/>
                <w:highlight w:val="none"/>
              </w:rPr>
              <w:t>500</w:t>
            </w:r>
          </w:p>
        </w:tc>
        <w:tc>
          <w:tcPr>
            <w:tcW w:w="2732" w:type="dxa"/>
            <w:vAlign w:val="center"/>
          </w:tcPr>
          <w:p w14:paraId="7F3D0B24">
            <w:pPr>
              <w:pStyle w:val="43"/>
              <w:rPr>
                <w:color w:val="auto"/>
                <w:highlight w:val="none"/>
              </w:rPr>
            </w:pPr>
            <w:r>
              <w:rPr>
                <w:rFonts w:hint="eastAsia"/>
                <w:color w:val="auto"/>
                <w:highlight w:val="none"/>
              </w:rPr>
              <w:t>9</w:t>
            </w:r>
          </w:p>
        </w:tc>
        <w:tc>
          <w:tcPr>
            <w:tcW w:w="2734" w:type="dxa"/>
            <w:vAlign w:val="center"/>
          </w:tcPr>
          <w:p w14:paraId="5571CE27">
            <w:pPr>
              <w:pStyle w:val="43"/>
              <w:rPr>
                <w:color w:val="auto"/>
                <w:highlight w:val="none"/>
              </w:rPr>
            </w:pPr>
            <w:r>
              <w:rPr>
                <w:rFonts w:hint="eastAsia"/>
                <w:color w:val="auto"/>
                <w:highlight w:val="none"/>
              </w:rPr>
              <w:t>11</w:t>
            </w:r>
          </w:p>
        </w:tc>
      </w:tr>
      <w:tr w14:paraId="2B86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vAlign w:val="center"/>
          </w:tcPr>
          <w:p w14:paraId="67EEB23E">
            <w:pPr>
              <w:pStyle w:val="43"/>
              <w:rPr>
                <w:color w:val="auto"/>
                <w:highlight w:val="none"/>
              </w:rPr>
            </w:pPr>
            <w:r>
              <w:rPr>
                <w:rFonts w:hint="eastAsia"/>
                <w:color w:val="auto"/>
                <w:highlight w:val="none"/>
              </w:rPr>
              <w:t>600</w:t>
            </w:r>
          </w:p>
        </w:tc>
        <w:tc>
          <w:tcPr>
            <w:tcW w:w="2732" w:type="dxa"/>
            <w:vAlign w:val="center"/>
          </w:tcPr>
          <w:p w14:paraId="7A990169">
            <w:pPr>
              <w:pStyle w:val="43"/>
              <w:rPr>
                <w:color w:val="auto"/>
                <w:highlight w:val="none"/>
              </w:rPr>
            </w:pPr>
            <w:r>
              <w:rPr>
                <w:rFonts w:hint="eastAsia"/>
                <w:color w:val="auto"/>
                <w:highlight w:val="none"/>
              </w:rPr>
              <w:t>12</w:t>
            </w:r>
          </w:p>
        </w:tc>
        <w:tc>
          <w:tcPr>
            <w:tcW w:w="2734" w:type="dxa"/>
            <w:vAlign w:val="center"/>
          </w:tcPr>
          <w:p w14:paraId="0BF022C6">
            <w:pPr>
              <w:pStyle w:val="43"/>
              <w:rPr>
                <w:color w:val="auto"/>
                <w:highlight w:val="none"/>
              </w:rPr>
            </w:pPr>
            <w:r>
              <w:rPr>
                <w:rFonts w:hint="eastAsia"/>
                <w:color w:val="auto"/>
                <w:highlight w:val="none"/>
              </w:rPr>
              <w:t>12</w:t>
            </w:r>
          </w:p>
        </w:tc>
      </w:tr>
      <w:tr w14:paraId="6518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vAlign w:val="center"/>
          </w:tcPr>
          <w:p w14:paraId="47B03B1F">
            <w:pPr>
              <w:pStyle w:val="43"/>
              <w:rPr>
                <w:color w:val="auto"/>
                <w:highlight w:val="none"/>
              </w:rPr>
            </w:pPr>
            <w:r>
              <w:rPr>
                <w:rFonts w:hint="eastAsia"/>
                <w:color w:val="auto"/>
                <w:highlight w:val="none"/>
              </w:rPr>
              <w:t>注：当恒荷载标准值G</w:t>
            </w:r>
            <w:r>
              <w:rPr>
                <w:rFonts w:hint="eastAsia"/>
                <w:color w:val="auto"/>
                <w:highlight w:val="none"/>
                <w:vertAlign w:val="subscript"/>
              </w:rPr>
              <w:t>K</w:t>
            </w:r>
            <w:r>
              <w:rPr>
                <w:rFonts w:hint="eastAsia"/>
                <w:color w:val="auto"/>
                <w:highlight w:val="none"/>
              </w:rPr>
              <w:t>＞1.3kN/㎡或S</w:t>
            </w:r>
            <w:r>
              <w:rPr>
                <w:rFonts w:hint="eastAsia"/>
                <w:color w:val="auto"/>
                <w:highlight w:val="none"/>
                <w:vertAlign w:val="subscript"/>
              </w:rPr>
              <w:t>K</w:t>
            </w:r>
            <w:r>
              <w:rPr>
                <w:rFonts w:hint="eastAsia"/>
                <w:color w:val="auto"/>
                <w:highlight w:val="none"/>
              </w:rPr>
              <w:t>＞2.0kN/㎡，轻型木结构的构件及连接不能按构造设计，而应通过计算进行设计。</w:t>
            </w:r>
          </w:p>
        </w:tc>
      </w:tr>
    </w:tbl>
    <w:p w14:paraId="3F687DF8">
      <w:pPr>
        <w:pStyle w:val="50"/>
        <w:ind w:firstLine="480"/>
        <w:rPr>
          <w:color w:val="auto"/>
          <w:highlight w:val="none"/>
        </w:rPr>
      </w:pPr>
      <w:r>
        <w:rPr>
          <w:rFonts w:hint="eastAsia"/>
          <w:color w:val="auto"/>
          <w:highlight w:val="none"/>
        </w:rPr>
        <w:t>【条文说明】12.3.15  非上人屋面和上人屋面的屋面板厚度有不同要求，确保承载力和使用安全。</w:t>
      </w:r>
    </w:p>
    <w:p w14:paraId="6120F63A">
      <w:pPr>
        <w:rPr>
          <w:color w:val="auto"/>
          <w:highlight w:val="none"/>
        </w:rPr>
      </w:pPr>
    </w:p>
    <w:p w14:paraId="5915789D">
      <w:pPr>
        <w:pStyle w:val="4"/>
        <w:rPr>
          <w:color w:val="auto"/>
          <w:highlight w:val="none"/>
          <w:lang w:eastAsia="zh-CN"/>
        </w:rPr>
      </w:pPr>
      <w:r>
        <w:rPr>
          <w:color w:val="auto"/>
          <w:highlight w:val="none"/>
          <w:lang w:eastAsia="zh-CN"/>
        </w:rPr>
        <w:t>12.3.</w:t>
      </w:r>
      <w:r>
        <w:rPr>
          <w:rFonts w:hint="eastAsia"/>
          <w:color w:val="auto"/>
          <w:highlight w:val="none"/>
          <w:lang w:eastAsia="zh-CN"/>
        </w:rPr>
        <w:t>16 用于墙体与墙体之间相邻的墙骨柱连接，当墙体端部的墙骨柱之间间距不能满足螺纹钉连接时，用平板连接件加强连接。</w:t>
      </w:r>
    </w:p>
    <w:p w14:paraId="5952EB3A">
      <w:pPr>
        <w:pStyle w:val="50"/>
        <w:ind w:firstLine="480"/>
        <w:rPr>
          <w:color w:val="auto"/>
          <w:highlight w:val="none"/>
        </w:rPr>
      </w:pPr>
      <w:r>
        <w:rPr>
          <w:rFonts w:hint="eastAsia"/>
          <w:color w:val="auto"/>
          <w:highlight w:val="none"/>
        </w:rPr>
        <w:t>【条文说明】12.3.16  当墙骨柱间距不满足螺纹钉连接时，应使用平板连接件加强。</w:t>
      </w:r>
    </w:p>
    <w:p w14:paraId="1348E01B">
      <w:pPr>
        <w:pStyle w:val="3"/>
        <w:spacing w:before="156" w:after="156"/>
        <w:rPr>
          <w:color w:val="auto"/>
          <w:highlight w:val="none"/>
          <w:lang w:eastAsia="zh-CN"/>
        </w:rPr>
      </w:pPr>
      <w:bookmarkStart w:id="268" w:name="_Toc24001"/>
      <w:bookmarkStart w:id="269" w:name="_Toc30117"/>
      <w:bookmarkStart w:id="270" w:name="_Toc4599"/>
      <w:r>
        <w:rPr>
          <w:rFonts w:hint="eastAsia"/>
          <w:color w:val="auto"/>
          <w:highlight w:val="none"/>
          <w:lang w:eastAsia="zh-CN"/>
        </w:rPr>
        <w:t>12.4  验  收</w:t>
      </w:r>
      <w:bookmarkEnd w:id="268"/>
      <w:bookmarkEnd w:id="269"/>
      <w:bookmarkEnd w:id="270"/>
    </w:p>
    <w:p w14:paraId="48942B54">
      <w:pPr>
        <w:pStyle w:val="4"/>
        <w:rPr>
          <w:color w:val="auto"/>
          <w:highlight w:val="none"/>
          <w:lang w:eastAsia="zh-CN"/>
        </w:rPr>
      </w:pPr>
      <w:r>
        <w:rPr>
          <w:color w:val="auto"/>
          <w:highlight w:val="none"/>
          <w:lang w:eastAsia="zh-CN"/>
        </w:rPr>
        <w:t>12.4.1</w:t>
      </w:r>
      <w:r>
        <w:rPr>
          <w:rFonts w:hint="eastAsia"/>
          <w:color w:val="auto"/>
          <w:highlight w:val="none"/>
          <w:lang w:eastAsia="zh-CN"/>
        </w:rPr>
        <w:t xml:space="preserve">  预埋螺栓位置应根据图纸轴线布置，带线操作，确保螺栓高度和水平都在同一线上直至水泥凝结。安装防腐木时，高出部分的螺栓切除。</w:t>
      </w:r>
    </w:p>
    <w:p w14:paraId="4FA4FC9F">
      <w:pPr>
        <w:pStyle w:val="50"/>
        <w:ind w:firstLine="480"/>
        <w:rPr>
          <w:color w:val="auto"/>
          <w:highlight w:val="none"/>
        </w:rPr>
      </w:pPr>
      <w:r>
        <w:rPr>
          <w:rFonts w:hint="eastAsia"/>
          <w:color w:val="auto"/>
          <w:highlight w:val="none"/>
        </w:rPr>
        <w:t>【条文说明】12.4.1  螺栓位置应按图纸准确布置，防腐木安装时高出部分应切除。</w:t>
      </w:r>
    </w:p>
    <w:p w14:paraId="6323ECFB">
      <w:pPr>
        <w:rPr>
          <w:color w:val="auto"/>
          <w:highlight w:val="none"/>
        </w:rPr>
      </w:pPr>
    </w:p>
    <w:p w14:paraId="19EFE8A2">
      <w:pPr>
        <w:pStyle w:val="4"/>
        <w:rPr>
          <w:color w:val="auto"/>
          <w:highlight w:val="none"/>
          <w:lang w:eastAsia="zh-CN"/>
        </w:rPr>
      </w:pPr>
      <w:r>
        <w:rPr>
          <w:color w:val="auto"/>
          <w:highlight w:val="none"/>
          <w:lang w:eastAsia="zh-CN"/>
        </w:rPr>
        <w:t>12.4.2</w:t>
      </w:r>
      <w:r>
        <w:rPr>
          <w:rFonts w:hint="eastAsia"/>
          <w:color w:val="auto"/>
          <w:highlight w:val="none"/>
          <w:lang w:eastAsia="zh-CN"/>
        </w:rPr>
        <w:t xml:space="preserve">  防腐木采用经加压防腐处理的规格材，钻孔孔径可大于螺杆直径1mm—2mm。与基础顶的接触面间设置同等宽度的聚乙烯泡沫或者沥青卷材防潮层防潮，防潮层不留缝隙。</w:t>
      </w:r>
    </w:p>
    <w:p w14:paraId="240875FA">
      <w:pPr>
        <w:pStyle w:val="50"/>
        <w:ind w:firstLine="480"/>
        <w:rPr>
          <w:color w:val="auto"/>
          <w:highlight w:val="none"/>
        </w:rPr>
      </w:pPr>
      <w:r>
        <w:rPr>
          <w:rFonts w:hint="eastAsia"/>
          <w:color w:val="auto"/>
          <w:highlight w:val="none"/>
        </w:rPr>
        <w:t>【条文说明】12.4.2  防腐木应加压防腐处理，与基础顶之间设置防潮层。</w:t>
      </w:r>
    </w:p>
    <w:p w14:paraId="3FAE0710">
      <w:pPr>
        <w:rPr>
          <w:color w:val="auto"/>
          <w:highlight w:val="none"/>
        </w:rPr>
      </w:pPr>
    </w:p>
    <w:p w14:paraId="43FE969A">
      <w:pPr>
        <w:pStyle w:val="4"/>
        <w:rPr>
          <w:color w:val="auto"/>
          <w:highlight w:val="none"/>
          <w:lang w:eastAsia="zh-CN"/>
        </w:rPr>
      </w:pPr>
      <w:r>
        <w:rPr>
          <w:color w:val="auto"/>
          <w:highlight w:val="none"/>
          <w:lang w:eastAsia="zh-CN"/>
        </w:rPr>
        <w:t>12.4.3</w:t>
      </w:r>
      <w:r>
        <w:rPr>
          <w:rFonts w:hint="eastAsia"/>
          <w:color w:val="auto"/>
          <w:highlight w:val="none"/>
          <w:lang w:eastAsia="zh-CN"/>
        </w:rPr>
        <w:t xml:space="preserve">  多拼式房屋的架空层，在单元相邻的防水墙处也应采取防火措施，耐火极限最少为1小时。</w:t>
      </w:r>
    </w:p>
    <w:p w14:paraId="5E30C8F0">
      <w:pPr>
        <w:pStyle w:val="50"/>
        <w:ind w:firstLine="480"/>
        <w:rPr>
          <w:color w:val="auto"/>
          <w:highlight w:val="none"/>
        </w:rPr>
      </w:pPr>
      <w:r>
        <w:rPr>
          <w:rFonts w:hint="eastAsia"/>
          <w:color w:val="auto"/>
          <w:highlight w:val="none"/>
        </w:rPr>
        <w:t>【条文说明】12.4.3  多拼式房屋架空层相邻防水墙处应采取防火措施。</w:t>
      </w:r>
    </w:p>
    <w:p w14:paraId="6A5A171B">
      <w:pPr>
        <w:rPr>
          <w:color w:val="auto"/>
          <w:highlight w:val="none"/>
        </w:rPr>
      </w:pPr>
    </w:p>
    <w:p w14:paraId="76812A40">
      <w:pPr>
        <w:pStyle w:val="4"/>
        <w:rPr>
          <w:color w:val="auto"/>
          <w:highlight w:val="none"/>
          <w:lang w:eastAsia="zh-CN"/>
        </w:rPr>
      </w:pPr>
      <w:r>
        <w:rPr>
          <w:color w:val="auto"/>
          <w:highlight w:val="none"/>
          <w:lang w:eastAsia="zh-CN"/>
        </w:rPr>
        <w:t xml:space="preserve">12.4.4 </w:t>
      </w:r>
      <w:r>
        <w:rPr>
          <w:rFonts w:hint="eastAsia"/>
          <w:color w:val="auto"/>
          <w:highlight w:val="none"/>
          <w:lang w:eastAsia="zh-CN"/>
        </w:rPr>
        <w:t xml:space="preserve"> 根据图纸要求安装泛水板，并设置防虫网。在蚁虫高发的地带或者山区，应报当地防疫部门统一做好防疫工作。</w:t>
      </w:r>
    </w:p>
    <w:p w14:paraId="46D8CFDA">
      <w:pPr>
        <w:pStyle w:val="50"/>
        <w:ind w:firstLine="480"/>
        <w:rPr>
          <w:color w:val="auto"/>
          <w:highlight w:val="none"/>
        </w:rPr>
      </w:pPr>
      <w:r>
        <w:rPr>
          <w:rFonts w:hint="eastAsia"/>
          <w:color w:val="auto"/>
          <w:highlight w:val="none"/>
        </w:rPr>
        <w:t>【条文说明】12.4.4  按图纸要求安装泛水板，设置防虫网，特殊地区需报防疫部门处理。</w:t>
      </w:r>
    </w:p>
    <w:p w14:paraId="14DBF9A3">
      <w:pPr>
        <w:rPr>
          <w:color w:val="auto"/>
          <w:highlight w:val="none"/>
        </w:rPr>
      </w:pPr>
    </w:p>
    <w:p w14:paraId="6851042C">
      <w:pPr>
        <w:pStyle w:val="4"/>
        <w:rPr>
          <w:color w:val="auto"/>
          <w:highlight w:val="none"/>
          <w:lang w:eastAsia="zh-CN"/>
        </w:rPr>
      </w:pPr>
      <w:r>
        <w:rPr>
          <w:color w:val="auto"/>
          <w:highlight w:val="none"/>
          <w:lang w:eastAsia="zh-CN"/>
        </w:rPr>
        <w:t>12.4.5</w:t>
      </w:r>
      <w:r>
        <w:rPr>
          <w:rFonts w:hint="eastAsia"/>
          <w:color w:val="auto"/>
          <w:highlight w:val="none"/>
          <w:lang w:eastAsia="zh-CN"/>
        </w:rPr>
        <w:t xml:space="preserve">  墙体的制作必须符合设计文件的规定，施工现场应做到复核每块墙体构件钉连接、长宽、对角线以及洞口尺寸，并做书面验收记录。（表12.4.1）</w:t>
      </w:r>
    </w:p>
    <w:p w14:paraId="53534B1F">
      <w:pPr>
        <w:pStyle w:val="40"/>
        <w:rPr>
          <w:color w:val="auto"/>
          <w:highlight w:val="none"/>
        </w:rPr>
      </w:pPr>
      <w:r>
        <w:rPr>
          <w:rFonts w:hint="eastAsia"/>
          <w:color w:val="auto"/>
          <w:highlight w:val="none"/>
        </w:rPr>
        <w:t xml:space="preserve">表 </w:t>
      </w:r>
      <w:r>
        <w:rPr>
          <w:rFonts w:hint="eastAsia"/>
          <w:color w:val="auto"/>
          <w:highlight w:val="none"/>
          <w:lang w:eastAsia="zh-CN"/>
        </w:rPr>
        <w:t>1</w:t>
      </w:r>
      <w:r>
        <w:rPr>
          <w:rFonts w:hint="eastAsia"/>
          <w:color w:val="auto"/>
          <w:highlight w:val="none"/>
        </w:rPr>
        <w:t>2.</w:t>
      </w:r>
      <w:r>
        <w:rPr>
          <w:rFonts w:hint="eastAsia"/>
          <w:color w:val="auto"/>
          <w:highlight w:val="none"/>
          <w:lang w:eastAsia="zh-CN"/>
        </w:rPr>
        <w:t>4.</w:t>
      </w:r>
      <w:r>
        <w:rPr>
          <w:rFonts w:hint="eastAsia"/>
          <w:color w:val="auto"/>
          <w:highlight w:val="none"/>
        </w:rPr>
        <w:t>1  墙体骨架各构件之间的钉连接构造要求</w:t>
      </w:r>
    </w:p>
    <w:tbl>
      <w:tblPr>
        <w:tblStyle w:val="17"/>
        <w:tblW w:w="6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3346"/>
        <w:gridCol w:w="2392"/>
      </w:tblGrid>
      <w:tr w14:paraId="4FF6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gridSpan w:val="2"/>
            <w:vAlign w:val="center"/>
          </w:tcPr>
          <w:p w14:paraId="314917AF">
            <w:pPr>
              <w:pStyle w:val="43"/>
              <w:rPr>
                <w:color w:val="auto"/>
                <w:highlight w:val="none"/>
              </w:rPr>
            </w:pPr>
            <w:r>
              <w:rPr>
                <w:rFonts w:hint="eastAsia"/>
                <w:color w:val="auto"/>
                <w:highlight w:val="none"/>
              </w:rPr>
              <w:t>连接构件名称</w:t>
            </w:r>
          </w:p>
        </w:tc>
        <w:tc>
          <w:tcPr>
            <w:tcW w:w="0" w:type="auto"/>
            <w:vAlign w:val="center"/>
          </w:tcPr>
          <w:p w14:paraId="75FA0142">
            <w:pPr>
              <w:pStyle w:val="43"/>
              <w:rPr>
                <w:color w:val="auto"/>
                <w:highlight w:val="none"/>
              </w:rPr>
            </w:pPr>
            <w:r>
              <w:rPr>
                <w:rFonts w:hint="eastAsia"/>
                <w:color w:val="auto"/>
                <w:highlight w:val="none"/>
              </w:rPr>
              <w:t>钉连接要求</w:t>
            </w:r>
          </w:p>
        </w:tc>
      </w:tr>
      <w:tr w14:paraId="49E2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16CBA87C">
            <w:pPr>
              <w:pStyle w:val="43"/>
              <w:rPr>
                <w:color w:val="auto"/>
                <w:highlight w:val="none"/>
              </w:rPr>
            </w:pPr>
            <w:r>
              <w:rPr>
                <w:rFonts w:hint="eastAsia"/>
                <w:color w:val="auto"/>
                <w:highlight w:val="none"/>
              </w:rPr>
              <w:t>1</w:t>
            </w:r>
          </w:p>
        </w:tc>
        <w:tc>
          <w:tcPr>
            <w:tcW w:w="0" w:type="auto"/>
            <w:vAlign w:val="center"/>
          </w:tcPr>
          <w:p w14:paraId="25676573">
            <w:pPr>
              <w:pStyle w:val="43"/>
              <w:rPr>
                <w:color w:val="auto"/>
                <w:highlight w:val="none"/>
              </w:rPr>
            </w:pPr>
            <w:r>
              <w:rPr>
                <w:rFonts w:hint="eastAsia"/>
                <w:color w:val="auto"/>
                <w:highlight w:val="none"/>
              </w:rPr>
              <w:t>墙骨柱与墙体顶梁板及底梁板采用斜向或垂直钉连接</w:t>
            </w:r>
          </w:p>
        </w:tc>
        <w:tc>
          <w:tcPr>
            <w:tcW w:w="0" w:type="auto"/>
            <w:vAlign w:val="center"/>
          </w:tcPr>
          <w:p w14:paraId="74E3060E">
            <w:pPr>
              <w:pStyle w:val="43"/>
              <w:rPr>
                <w:color w:val="auto"/>
                <w:highlight w:val="none"/>
              </w:rPr>
            </w:pPr>
            <w:r>
              <w:rPr>
                <w:rFonts w:hint="eastAsia"/>
                <w:color w:val="auto"/>
                <w:highlight w:val="none"/>
              </w:rPr>
              <w:t>3枚80mm螺纹钉</w:t>
            </w:r>
          </w:p>
        </w:tc>
      </w:tr>
      <w:tr w14:paraId="2FF1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7414E535">
            <w:pPr>
              <w:pStyle w:val="43"/>
              <w:rPr>
                <w:color w:val="auto"/>
                <w:highlight w:val="none"/>
              </w:rPr>
            </w:pPr>
            <w:r>
              <w:rPr>
                <w:rFonts w:hint="eastAsia"/>
                <w:color w:val="auto"/>
                <w:highlight w:val="none"/>
              </w:rPr>
              <w:t>2</w:t>
            </w:r>
          </w:p>
        </w:tc>
        <w:tc>
          <w:tcPr>
            <w:tcW w:w="0" w:type="auto"/>
            <w:vAlign w:val="center"/>
          </w:tcPr>
          <w:p w14:paraId="0EA4E514">
            <w:pPr>
              <w:pStyle w:val="43"/>
              <w:rPr>
                <w:color w:val="auto"/>
                <w:highlight w:val="none"/>
              </w:rPr>
            </w:pPr>
            <w:r>
              <w:rPr>
                <w:rFonts w:hint="eastAsia"/>
                <w:color w:val="auto"/>
                <w:highlight w:val="none"/>
              </w:rPr>
              <w:t>双层顶梁板</w:t>
            </w:r>
          </w:p>
        </w:tc>
        <w:tc>
          <w:tcPr>
            <w:tcW w:w="0" w:type="auto"/>
            <w:vAlign w:val="center"/>
          </w:tcPr>
          <w:p w14:paraId="0DFA0A42">
            <w:pPr>
              <w:pStyle w:val="43"/>
              <w:rPr>
                <w:color w:val="auto"/>
                <w:highlight w:val="none"/>
              </w:rPr>
            </w:pPr>
            <w:r>
              <w:rPr>
                <w:rFonts w:hint="eastAsia"/>
                <w:color w:val="auto"/>
                <w:highlight w:val="none"/>
              </w:rPr>
              <w:t>中心距300mm交错80mm螺纹钉</w:t>
            </w:r>
          </w:p>
        </w:tc>
      </w:tr>
      <w:tr w14:paraId="1458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7B4B3A4E">
            <w:pPr>
              <w:pStyle w:val="43"/>
              <w:rPr>
                <w:color w:val="auto"/>
                <w:highlight w:val="none"/>
              </w:rPr>
            </w:pPr>
            <w:r>
              <w:rPr>
                <w:rFonts w:hint="eastAsia"/>
                <w:color w:val="auto"/>
                <w:highlight w:val="none"/>
              </w:rPr>
              <w:t>3</w:t>
            </w:r>
          </w:p>
        </w:tc>
        <w:tc>
          <w:tcPr>
            <w:tcW w:w="0" w:type="auto"/>
            <w:vAlign w:val="center"/>
          </w:tcPr>
          <w:p w14:paraId="27E5EA86">
            <w:pPr>
              <w:pStyle w:val="43"/>
              <w:rPr>
                <w:color w:val="auto"/>
                <w:highlight w:val="none"/>
              </w:rPr>
            </w:pPr>
            <w:r>
              <w:rPr>
                <w:rFonts w:hint="eastAsia"/>
                <w:color w:val="auto"/>
                <w:highlight w:val="none"/>
              </w:rPr>
              <w:t>墙体底梁板与地梁板</w:t>
            </w:r>
          </w:p>
        </w:tc>
        <w:tc>
          <w:tcPr>
            <w:tcW w:w="0" w:type="auto"/>
            <w:vAlign w:val="center"/>
          </w:tcPr>
          <w:p w14:paraId="3BE171A8">
            <w:pPr>
              <w:pStyle w:val="43"/>
              <w:rPr>
                <w:color w:val="auto"/>
                <w:highlight w:val="none"/>
              </w:rPr>
            </w:pPr>
            <w:r>
              <w:rPr>
                <w:rFonts w:hint="eastAsia"/>
                <w:color w:val="auto"/>
                <w:highlight w:val="none"/>
              </w:rPr>
              <w:t>墙骨柱中间两枚80mm螺纹钉</w:t>
            </w:r>
          </w:p>
        </w:tc>
      </w:tr>
      <w:tr w14:paraId="4538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FDC0F57">
            <w:pPr>
              <w:pStyle w:val="43"/>
              <w:rPr>
                <w:color w:val="auto"/>
                <w:highlight w:val="none"/>
              </w:rPr>
            </w:pPr>
            <w:r>
              <w:rPr>
                <w:rFonts w:hint="eastAsia"/>
                <w:color w:val="auto"/>
                <w:highlight w:val="none"/>
              </w:rPr>
              <w:t>4</w:t>
            </w:r>
          </w:p>
        </w:tc>
        <w:tc>
          <w:tcPr>
            <w:tcW w:w="0" w:type="auto"/>
            <w:vAlign w:val="center"/>
          </w:tcPr>
          <w:p w14:paraId="5427E500">
            <w:pPr>
              <w:pStyle w:val="43"/>
              <w:rPr>
                <w:color w:val="auto"/>
                <w:highlight w:val="none"/>
              </w:rPr>
            </w:pPr>
            <w:r>
              <w:rPr>
                <w:rFonts w:hint="eastAsia"/>
                <w:color w:val="auto"/>
                <w:highlight w:val="none"/>
              </w:rPr>
              <w:t>墙体底梁板与楼面骨架</w:t>
            </w:r>
          </w:p>
        </w:tc>
        <w:tc>
          <w:tcPr>
            <w:tcW w:w="0" w:type="auto"/>
            <w:vAlign w:val="center"/>
          </w:tcPr>
          <w:p w14:paraId="68E86FC3">
            <w:pPr>
              <w:pStyle w:val="43"/>
              <w:rPr>
                <w:color w:val="auto"/>
                <w:highlight w:val="none"/>
              </w:rPr>
            </w:pPr>
            <w:r>
              <w:rPr>
                <w:rFonts w:hint="eastAsia"/>
                <w:color w:val="auto"/>
                <w:highlight w:val="none"/>
              </w:rPr>
              <w:t>墙骨柱中间两枚80mm螺纹钉</w:t>
            </w:r>
          </w:p>
        </w:tc>
      </w:tr>
      <w:tr w14:paraId="594A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70BF4204">
            <w:pPr>
              <w:pStyle w:val="43"/>
              <w:rPr>
                <w:color w:val="auto"/>
                <w:highlight w:val="none"/>
              </w:rPr>
            </w:pPr>
            <w:r>
              <w:rPr>
                <w:rFonts w:hint="eastAsia"/>
                <w:color w:val="auto"/>
                <w:highlight w:val="none"/>
              </w:rPr>
              <w:t>5</w:t>
            </w:r>
          </w:p>
        </w:tc>
        <w:tc>
          <w:tcPr>
            <w:tcW w:w="0" w:type="auto"/>
            <w:vAlign w:val="center"/>
          </w:tcPr>
          <w:p w14:paraId="13463A91">
            <w:pPr>
              <w:pStyle w:val="43"/>
              <w:rPr>
                <w:color w:val="auto"/>
                <w:highlight w:val="none"/>
              </w:rPr>
            </w:pPr>
            <w:r>
              <w:rPr>
                <w:rFonts w:hint="eastAsia"/>
                <w:color w:val="auto"/>
                <w:highlight w:val="none"/>
              </w:rPr>
              <w:t>墙体相交处搭接的顶梁板</w:t>
            </w:r>
          </w:p>
        </w:tc>
        <w:tc>
          <w:tcPr>
            <w:tcW w:w="0" w:type="auto"/>
            <w:vAlign w:val="center"/>
          </w:tcPr>
          <w:p w14:paraId="03A941AD">
            <w:pPr>
              <w:pStyle w:val="43"/>
              <w:rPr>
                <w:color w:val="auto"/>
                <w:highlight w:val="none"/>
              </w:rPr>
            </w:pPr>
            <w:r>
              <w:rPr>
                <w:rFonts w:hint="eastAsia"/>
                <w:color w:val="auto"/>
                <w:highlight w:val="none"/>
              </w:rPr>
              <w:t>2枚80mm螺纹钉</w:t>
            </w:r>
          </w:p>
        </w:tc>
      </w:tr>
      <w:tr w14:paraId="1514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1DF6F189">
            <w:pPr>
              <w:pStyle w:val="43"/>
              <w:rPr>
                <w:color w:val="auto"/>
                <w:highlight w:val="none"/>
              </w:rPr>
            </w:pPr>
            <w:r>
              <w:rPr>
                <w:rFonts w:hint="eastAsia"/>
                <w:color w:val="auto"/>
                <w:highlight w:val="none"/>
              </w:rPr>
              <w:t>6</w:t>
            </w:r>
          </w:p>
        </w:tc>
        <w:tc>
          <w:tcPr>
            <w:tcW w:w="0" w:type="auto"/>
            <w:vAlign w:val="center"/>
          </w:tcPr>
          <w:p w14:paraId="06485010">
            <w:pPr>
              <w:pStyle w:val="43"/>
              <w:rPr>
                <w:color w:val="auto"/>
                <w:highlight w:val="none"/>
              </w:rPr>
            </w:pPr>
            <w:r>
              <w:rPr>
                <w:rFonts w:hint="eastAsia"/>
                <w:color w:val="auto"/>
                <w:highlight w:val="none"/>
              </w:rPr>
              <w:t>相邻的墙骨柱连接</w:t>
            </w:r>
          </w:p>
        </w:tc>
        <w:tc>
          <w:tcPr>
            <w:tcW w:w="0" w:type="auto"/>
            <w:vAlign w:val="center"/>
          </w:tcPr>
          <w:p w14:paraId="55E016CA">
            <w:pPr>
              <w:pStyle w:val="43"/>
              <w:rPr>
                <w:color w:val="auto"/>
                <w:highlight w:val="none"/>
              </w:rPr>
            </w:pPr>
            <w:r>
              <w:rPr>
                <w:rFonts w:hint="eastAsia"/>
                <w:color w:val="auto"/>
                <w:highlight w:val="none"/>
              </w:rPr>
              <w:t>中心距300mm长80mm螺纹钉</w:t>
            </w:r>
          </w:p>
        </w:tc>
      </w:tr>
      <w:tr w14:paraId="1C63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44135E87">
            <w:pPr>
              <w:pStyle w:val="43"/>
              <w:rPr>
                <w:color w:val="auto"/>
                <w:highlight w:val="none"/>
              </w:rPr>
            </w:pPr>
            <w:r>
              <w:rPr>
                <w:rFonts w:hint="eastAsia"/>
                <w:color w:val="auto"/>
                <w:highlight w:val="none"/>
              </w:rPr>
              <w:t>7</w:t>
            </w:r>
          </w:p>
        </w:tc>
        <w:tc>
          <w:tcPr>
            <w:tcW w:w="0" w:type="auto"/>
            <w:vAlign w:val="center"/>
          </w:tcPr>
          <w:p w14:paraId="09209E13">
            <w:pPr>
              <w:pStyle w:val="43"/>
              <w:rPr>
                <w:color w:val="auto"/>
                <w:highlight w:val="none"/>
              </w:rPr>
            </w:pPr>
            <w:r>
              <w:rPr>
                <w:rFonts w:hint="eastAsia"/>
                <w:color w:val="auto"/>
                <w:highlight w:val="none"/>
              </w:rPr>
              <w:t>过梁和墙骨柱</w:t>
            </w:r>
          </w:p>
        </w:tc>
        <w:tc>
          <w:tcPr>
            <w:tcW w:w="0" w:type="auto"/>
            <w:vAlign w:val="center"/>
          </w:tcPr>
          <w:p w14:paraId="7D9490C1">
            <w:pPr>
              <w:pStyle w:val="43"/>
              <w:rPr>
                <w:color w:val="auto"/>
                <w:highlight w:val="none"/>
              </w:rPr>
            </w:pPr>
            <w:r>
              <w:rPr>
                <w:rFonts w:hint="eastAsia"/>
                <w:color w:val="auto"/>
                <w:highlight w:val="none"/>
              </w:rPr>
              <w:t>每端3枚80mm螺纹钉</w:t>
            </w:r>
          </w:p>
        </w:tc>
      </w:tr>
    </w:tbl>
    <w:p w14:paraId="75656669">
      <w:pPr>
        <w:pStyle w:val="50"/>
        <w:ind w:firstLine="480"/>
        <w:rPr>
          <w:color w:val="auto"/>
          <w:highlight w:val="none"/>
        </w:rPr>
      </w:pPr>
      <w:r>
        <w:rPr>
          <w:rFonts w:hint="eastAsia"/>
          <w:color w:val="auto"/>
          <w:highlight w:val="none"/>
        </w:rPr>
        <w:t>【条文说明】12.4.5 墙体制作必须符合设计文件，验收时复核构件钉连接、长宽、对角线及洞口尺寸，并记录。</w:t>
      </w:r>
    </w:p>
    <w:p w14:paraId="0035ACF4">
      <w:pPr>
        <w:widowControl/>
        <w:rPr>
          <w:color w:val="auto"/>
          <w:highlight w:val="none"/>
          <w:lang w:eastAsia="zh-CN"/>
        </w:rPr>
      </w:pPr>
    </w:p>
    <w:p w14:paraId="7E2906BE">
      <w:pPr>
        <w:pStyle w:val="4"/>
        <w:rPr>
          <w:color w:val="auto"/>
          <w:highlight w:val="none"/>
          <w:lang w:eastAsia="zh-CN"/>
        </w:rPr>
      </w:pPr>
      <w:r>
        <w:rPr>
          <w:color w:val="auto"/>
          <w:highlight w:val="none"/>
          <w:lang w:eastAsia="zh-CN"/>
        </w:rPr>
        <w:t>12.4.</w:t>
      </w:r>
      <w:r>
        <w:rPr>
          <w:rFonts w:hint="eastAsia"/>
          <w:color w:val="auto"/>
          <w:highlight w:val="none"/>
          <w:lang w:eastAsia="zh-CN"/>
        </w:rPr>
        <w:t>6  楼盖各构件之间的钉连接构造要求（表12.4.2）</w:t>
      </w:r>
    </w:p>
    <w:p w14:paraId="3FA546B5">
      <w:pPr>
        <w:pStyle w:val="40"/>
        <w:rPr>
          <w:color w:val="auto"/>
          <w:highlight w:val="none"/>
          <w:lang w:eastAsia="zh-CN"/>
        </w:rPr>
      </w:pPr>
      <w:r>
        <w:rPr>
          <w:rFonts w:hint="eastAsia"/>
          <w:color w:val="auto"/>
          <w:highlight w:val="none"/>
        </w:rPr>
        <w:t>表</w:t>
      </w:r>
      <w:r>
        <w:rPr>
          <w:rFonts w:hint="eastAsia"/>
          <w:color w:val="auto"/>
          <w:highlight w:val="none"/>
          <w:lang w:eastAsia="zh-CN"/>
        </w:rPr>
        <w:t xml:space="preserve">12.4.2  </w:t>
      </w:r>
      <w:r>
        <w:rPr>
          <w:rFonts w:hint="eastAsia"/>
          <w:color w:val="auto"/>
          <w:highlight w:val="none"/>
        </w:rPr>
        <w:t>楼盖各构件之间的钉连接构造要求</w:t>
      </w:r>
    </w:p>
    <w:tbl>
      <w:tblPr>
        <w:tblStyle w:val="17"/>
        <w:tblW w:w="6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4045"/>
        <w:gridCol w:w="2034"/>
      </w:tblGrid>
      <w:tr w14:paraId="04DE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352" w:type="dxa"/>
            <w:gridSpan w:val="2"/>
          </w:tcPr>
          <w:p w14:paraId="17705720">
            <w:pPr>
              <w:pStyle w:val="43"/>
              <w:rPr>
                <w:color w:val="auto"/>
                <w:highlight w:val="none"/>
              </w:rPr>
            </w:pPr>
            <w:r>
              <w:rPr>
                <w:rFonts w:hint="eastAsia"/>
                <w:color w:val="auto"/>
                <w:highlight w:val="none"/>
              </w:rPr>
              <w:t>连接构件名称</w:t>
            </w:r>
          </w:p>
        </w:tc>
        <w:tc>
          <w:tcPr>
            <w:tcW w:w="2048" w:type="dxa"/>
          </w:tcPr>
          <w:p w14:paraId="57401E8B">
            <w:pPr>
              <w:pStyle w:val="43"/>
              <w:rPr>
                <w:color w:val="auto"/>
                <w:highlight w:val="none"/>
              </w:rPr>
            </w:pPr>
            <w:r>
              <w:rPr>
                <w:rFonts w:hint="eastAsia"/>
                <w:color w:val="auto"/>
                <w:highlight w:val="none"/>
              </w:rPr>
              <w:t>钉连接要求</w:t>
            </w:r>
          </w:p>
        </w:tc>
      </w:tr>
      <w:tr w14:paraId="4792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56" w:type="dxa"/>
          </w:tcPr>
          <w:p w14:paraId="509F18CD">
            <w:pPr>
              <w:pStyle w:val="43"/>
              <w:rPr>
                <w:color w:val="auto"/>
                <w:highlight w:val="none"/>
              </w:rPr>
            </w:pPr>
            <w:r>
              <w:rPr>
                <w:rFonts w:hint="eastAsia"/>
                <w:color w:val="auto"/>
                <w:highlight w:val="none"/>
              </w:rPr>
              <w:t>1</w:t>
            </w:r>
          </w:p>
        </w:tc>
        <w:tc>
          <w:tcPr>
            <w:tcW w:w="4096" w:type="dxa"/>
          </w:tcPr>
          <w:p w14:paraId="085EB6D7">
            <w:pPr>
              <w:pStyle w:val="43"/>
              <w:rPr>
                <w:color w:val="auto"/>
                <w:highlight w:val="none"/>
              </w:rPr>
            </w:pPr>
            <w:r>
              <w:rPr>
                <w:rFonts w:hint="eastAsia"/>
                <w:color w:val="auto"/>
                <w:highlight w:val="none"/>
              </w:rPr>
              <w:t>楼盖搁栅、托梁端头和墙体顶梁板或底梁板——斜向钉连接</w:t>
            </w:r>
          </w:p>
        </w:tc>
        <w:tc>
          <w:tcPr>
            <w:tcW w:w="2048" w:type="dxa"/>
          </w:tcPr>
          <w:p w14:paraId="49D17CE2">
            <w:pPr>
              <w:pStyle w:val="43"/>
              <w:rPr>
                <w:color w:val="auto"/>
                <w:highlight w:val="none"/>
              </w:rPr>
            </w:pPr>
            <w:r>
              <w:rPr>
                <w:rFonts w:hint="eastAsia"/>
                <w:color w:val="auto"/>
                <w:highlight w:val="none"/>
              </w:rPr>
              <w:t>2枚80mm螺纹钉</w:t>
            </w:r>
          </w:p>
        </w:tc>
      </w:tr>
      <w:tr w14:paraId="5D78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56" w:type="dxa"/>
          </w:tcPr>
          <w:p w14:paraId="3129750B">
            <w:pPr>
              <w:pStyle w:val="43"/>
              <w:rPr>
                <w:color w:val="auto"/>
                <w:highlight w:val="none"/>
              </w:rPr>
            </w:pPr>
            <w:r>
              <w:rPr>
                <w:rFonts w:hint="eastAsia"/>
                <w:color w:val="auto"/>
                <w:highlight w:val="none"/>
              </w:rPr>
              <w:t>2</w:t>
            </w:r>
          </w:p>
        </w:tc>
        <w:tc>
          <w:tcPr>
            <w:tcW w:w="4096" w:type="dxa"/>
          </w:tcPr>
          <w:p w14:paraId="4D873B45">
            <w:pPr>
              <w:pStyle w:val="43"/>
              <w:rPr>
                <w:color w:val="auto"/>
                <w:highlight w:val="none"/>
              </w:rPr>
            </w:pPr>
            <w:r>
              <w:rPr>
                <w:rFonts w:hint="eastAsia"/>
                <w:color w:val="auto"/>
                <w:highlight w:val="none"/>
              </w:rPr>
              <w:t>封边梁和墙体顶梁板或底梁板的连接</w:t>
            </w:r>
          </w:p>
        </w:tc>
        <w:tc>
          <w:tcPr>
            <w:tcW w:w="2048" w:type="dxa"/>
          </w:tcPr>
          <w:p w14:paraId="115E460F">
            <w:pPr>
              <w:pStyle w:val="43"/>
              <w:rPr>
                <w:color w:val="auto"/>
                <w:highlight w:val="none"/>
              </w:rPr>
            </w:pPr>
            <w:r>
              <w:rPr>
                <w:rFonts w:hint="eastAsia"/>
                <w:color w:val="auto"/>
                <w:highlight w:val="none"/>
              </w:rPr>
              <w:t>长80mm螺纹钉，间距300mm</w:t>
            </w:r>
          </w:p>
        </w:tc>
      </w:tr>
      <w:tr w14:paraId="7425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56" w:type="dxa"/>
          </w:tcPr>
          <w:p w14:paraId="01AFF878">
            <w:pPr>
              <w:pStyle w:val="43"/>
              <w:rPr>
                <w:color w:val="auto"/>
                <w:highlight w:val="none"/>
              </w:rPr>
            </w:pPr>
            <w:r>
              <w:rPr>
                <w:rFonts w:hint="eastAsia"/>
                <w:color w:val="auto"/>
                <w:highlight w:val="none"/>
              </w:rPr>
              <w:t>3</w:t>
            </w:r>
          </w:p>
        </w:tc>
        <w:tc>
          <w:tcPr>
            <w:tcW w:w="4096" w:type="dxa"/>
          </w:tcPr>
          <w:p w14:paraId="77D887FB">
            <w:pPr>
              <w:pStyle w:val="43"/>
              <w:rPr>
                <w:color w:val="auto"/>
                <w:highlight w:val="none"/>
              </w:rPr>
            </w:pPr>
            <w:r>
              <w:rPr>
                <w:rFonts w:hint="eastAsia"/>
                <w:color w:val="auto"/>
                <w:highlight w:val="none"/>
              </w:rPr>
              <w:t>搁栅木横撑和剪刀撑</w:t>
            </w:r>
          </w:p>
        </w:tc>
        <w:tc>
          <w:tcPr>
            <w:tcW w:w="2048" w:type="dxa"/>
          </w:tcPr>
          <w:p w14:paraId="520BF90C">
            <w:pPr>
              <w:pStyle w:val="43"/>
              <w:rPr>
                <w:color w:val="auto"/>
                <w:highlight w:val="none"/>
              </w:rPr>
            </w:pPr>
            <w:r>
              <w:rPr>
                <w:rFonts w:hint="eastAsia"/>
                <w:color w:val="auto"/>
                <w:highlight w:val="none"/>
              </w:rPr>
              <w:t>每端2枚80mm螺纹钉</w:t>
            </w:r>
          </w:p>
        </w:tc>
      </w:tr>
      <w:tr w14:paraId="2DD2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56" w:type="dxa"/>
          </w:tcPr>
          <w:p w14:paraId="448DA1A8">
            <w:pPr>
              <w:pStyle w:val="43"/>
              <w:rPr>
                <w:color w:val="auto"/>
                <w:highlight w:val="none"/>
              </w:rPr>
            </w:pPr>
            <w:r>
              <w:rPr>
                <w:rFonts w:hint="eastAsia"/>
                <w:color w:val="auto"/>
                <w:highlight w:val="none"/>
              </w:rPr>
              <w:t>4</w:t>
            </w:r>
          </w:p>
        </w:tc>
        <w:tc>
          <w:tcPr>
            <w:tcW w:w="4096" w:type="dxa"/>
          </w:tcPr>
          <w:p w14:paraId="4441C17A">
            <w:pPr>
              <w:pStyle w:val="43"/>
              <w:rPr>
                <w:color w:val="auto"/>
                <w:highlight w:val="none"/>
              </w:rPr>
            </w:pPr>
            <w:r>
              <w:rPr>
                <w:rFonts w:hint="eastAsia"/>
                <w:color w:val="auto"/>
                <w:highlight w:val="none"/>
              </w:rPr>
              <w:t>齿板托梁木横撑加强连接</w:t>
            </w:r>
          </w:p>
        </w:tc>
        <w:tc>
          <w:tcPr>
            <w:tcW w:w="2048" w:type="dxa"/>
          </w:tcPr>
          <w:p w14:paraId="19CA5ECA">
            <w:pPr>
              <w:pStyle w:val="43"/>
              <w:rPr>
                <w:color w:val="auto"/>
                <w:highlight w:val="none"/>
              </w:rPr>
            </w:pPr>
            <w:r>
              <w:rPr>
                <w:rFonts w:hint="eastAsia"/>
                <w:color w:val="auto"/>
                <w:highlight w:val="none"/>
              </w:rPr>
              <w:t>侧边2枚，顶部1枚</w:t>
            </w:r>
          </w:p>
        </w:tc>
      </w:tr>
      <w:tr w14:paraId="4EAB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56" w:type="dxa"/>
            <w:vAlign w:val="center"/>
          </w:tcPr>
          <w:p w14:paraId="28D8EE8B">
            <w:pPr>
              <w:pStyle w:val="43"/>
              <w:rPr>
                <w:color w:val="auto"/>
                <w:highlight w:val="none"/>
              </w:rPr>
            </w:pPr>
            <w:r>
              <w:rPr>
                <w:rFonts w:hint="eastAsia"/>
                <w:color w:val="auto"/>
                <w:highlight w:val="none"/>
              </w:rPr>
              <w:t>5</w:t>
            </w:r>
          </w:p>
        </w:tc>
        <w:tc>
          <w:tcPr>
            <w:tcW w:w="4096" w:type="dxa"/>
            <w:vAlign w:val="center"/>
          </w:tcPr>
          <w:p w14:paraId="2738404C">
            <w:pPr>
              <w:pStyle w:val="43"/>
              <w:rPr>
                <w:color w:val="auto"/>
                <w:highlight w:val="none"/>
              </w:rPr>
            </w:pPr>
            <w:r>
              <w:rPr>
                <w:rFonts w:hint="eastAsia"/>
                <w:color w:val="auto"/>
                <w:highlight w:val="none"/>
              </w:rPr>
              <w:t>楼面板与楼盖托梁、搁栅的连接</w:t>
            </w:r>
          </w:p>
        </w:tc>
        <w:tc>
          <w:tcPr>
            <w:tcW w:w="2048" w:type="dxa"/>
            <w:vAlign w:val="center"/>
          </w:tcPr>
          <w:p w14:paraId="3292BB69">
            <w:pPr>
              <w:pStyle w:val="43"/>
              <w:rPr>
                <w:color w:val="auto"/>
                <w:highlight w:val="none"/>
              </w:rPr>
            </w:pPr>
            <w:r>
              <w:rPr>
                <w:rFonts w:hint="eastAsia"/>
                <w:color w:val="auto"/>
                <w:highlight w:val="none"/>
              </w:rPr>
              <w:t>长50mm螺纹钉，面板边缘150mm，中间支座300mm</w:t>
            </w:r>
          </w:p>
        </w:tc>
      </w:tr>
      <w:tr w14:paraId="6ED1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56" w:type="dxa"/>
          </w:tcPr>
          <w:p w14:paraId="2B639EFC">
            <w:pPr>
              <w:pStyle w:val="43"/>
              <w:rPr>
                <w:color w:val="auto"/>
                <w:highlight w:val="none"/>
              </w:rPr>
            </w:pPr>
            <w:r>
              <w:rPr>
                <w:rFonts w:hint="eastAsia"/>
                <w:color w:val="auto"/>
                <w:highlight w:val="none"/>
              </w:rPr>
              <w:t>6</w:t>
            </w:r>
          </w:p>
        </w:tc>
        <w:tc>
          <w:tcPr>
            <w:tcW w:w="4096" w:type="dxa"/>
          </w:tcPr>
          <w:p w14:paraId="7ECDD36D">
            <w:pPr>
              <w:pStyle w:val="43"/>
              <w:rPr>
                <w:color w:val="auto"/>
                <w:highlight w:val="none"/>
              </w:rPr>
            </w:pPr>
            <w:r>
              <w:rPr>
                <w:rFonts w:hint="eastAsia"/>
                <w:color w:val="auto"/>
                <w:highlight w:val="none"/>
              </w:rPr>
              <w:t>封头搁栅和楼盖搁栅的连接</w:t>
            </w:r>
          </w:p>
        </w:tc>
        <w:tc>
          <w:tcPr>
            <w:tcW w:w="2048" w:type="dxa"/>
          </w:tcPr>
          <w:p w14:paraId="7860CCF1">
            <w:pPr>
              <w:pStyle w:val="43"/>
              <w:rPr>
                <w:color w:val="auto"/>
                <w:highlight w:val="none"/>
              </w:rPr>
            </w:pPr>
            <w:r>
              <w:rPr>
                <w:rFonts w:hint="eastAsia"/>
                <w:color w:val="auto"/>
                <w:highlight w:val="none"/>
              </w:rPr>
              <w:t>3枚80mm螺纹钉</w:t>
            </w:r>
          </w:p>
        </w:tc>
      </w:tr>
    </w:tbl>
    <w:p w14:paraId="2A02EEC7">
      <w:pPr>
        <w:pStyle w:val="50"/>
        <w:ind w:firstLine="480"/>
        <w:rPr>
          <w:color w:val="auto"/>
          <w:highlight w:val="none"/>
        </w:rPr>
      </w:pPr>
      <w:r>
        <w:rPr>
          <w:rFonts w:hint="eastAsia"/>
          <w:color w:val="auto"/>
          <w:highlight w:val="none"/>
        </w:rPr>
        <w:t>【条文说明】12.4.6 详细列出了楼盖各构件之间的钉连接要求，确保结构的稳定性和安全性。</w:t>
      </w:r>
    </w:p>
    <w:p w14:paraId="0907F06A">
      <w:pPr>
        <w:pStyle w:val="2"/>
        <w:spacing w:before="312"/>
        <w:rPr>
          <w:color w:val="auto"/>
          <w:highlight w:val="none"/>
          <w:lang w:eastAsia="zh-CN"/>
        </w:rPr>
      </w:pPr>
      <w:bookmarkStart w:id="271" w:name="_Toc26052"/>
      <w:bookmarkStart w:id="272" w:name="_Toc15555"/>
      <w:bookmarkStart w:id="273" w:name="_Toc26315"/>
      <w:r>
        <w:rPr>
          <w:rFonts w:hint="eastAsia"/>
          <w:color w:val="auto"/>
          <w:highlight w:val="none"/>
          <w:lang w:eastAsia="zh-CN"/>
        </w:rPr>
        <w:t>13  使用和维护</w:t>
      </w:r>
      <w:bookmarkEnd w:id="271"/>
      <w:bookmarkEnd w:id="272"/>
      <w:bookmarkEnd w:id="273"/>
    </w:p>
    <w:p w14:paraId="608820AC">
      <w:pPr>
        <w:pStyle w:val="3"/>
        <w:spacing w:before="156" w:after="156"/>
        <w:rPr>
          <w:color w:val="auto"/>
          <w:highlight w:val="none"/>
          <w:lang w:eastAsia="zh-CN"/>
        </w:rPr>
      </w:pPr>
      <w:bookmarkStart w:id="274" w:name="_Toc8191"/>
      <w:bookmarkStart w:id="275" w:name="_Toc14998"/>
      <w:bookmarkStart w:id="276" w:name="_Toc29575"/>
      <w:r>
        <w:rPr>
          <w:color w:val="auto"/>
          <w:highlight w:val="none"/>
          <w:lang w:eastAsia="zh-CN"/>
        </w:rPr>
        <w:t xml:space="preserve">13.1 </w:t>
      </w:r>
      <w:r>
        <w:rPr>
          <w:rFonts w:hint="eastAsia"/>
          <w:color w:val="auto"/>
          <w:highlight w:val="none"/>
          <w:lang w:eastAsia="zh-CN"/>
        </w:rPr>
        <w:t xml:space="preserve"> 一般规定</w:t>
      </w:r>
      <w:bookmarkEnd w:id="274"/>
      <w:bookmarkEnd w:id="275"/>
      <w:bookmarkEnd w:id="276"/>
    </w:p>
    <w:p w14:paraId="30D6251A">
      <w:pPr>
        <w:spacing w:line="240" w:lineRule="auto"/>
        <w:jc w:val="center"/>
        <w:rPr>
          <w:color w:val="auto"/>
          <w:sz w:val="21"/>
          <w:szCs w:val="21"/>
          <w:highlight w:val="none"/>
          <w:lang w:eastAsia="zh-CN"/>
        </w:rPr>
      </w:pPr>
    </w:p>
    <w:p w14:paraId="5F334B15">
      <w:pPr>
        <w:pStyle w:val="4"/>
        <w:rPr>
          <w:color w:val="auto"/>
          <w:highlight w:val="none"/>
          <w:lang w:eastAsia="zh-CN"/>
        </w:rPr>
      </w:pPr>
      <w:r>
        <w:rPr>
          <w:color w:val="auto"/>
          <w:highlight w:val="none"/>
          <w:lang w:eastAsia="zh-CN"/>
        </w:rPr>
        <w:t>13.1.1</w:t>
      </w:r>
      <w:r>
        <w:rPr>
          <w:rFonts w:hint="eastAsia"/>
          <w:color w:val="auto"/>
          <w:highlight w:val="none"/>
          <w:lang w:eastAsia="zh-CN"/>
        </w:rPr>
        <w:t xml:space="preserve"> </w:t>
      </w:r>
      <w:r>
        <w:rPr>
          <w:rFonts w:hint="eastAsia"/>
          <w:color w:val="auto"/>
          <w:highlight w:val="none"/>
          <w:lang w:eastAsia="zh-CN"/>
        </w:rPr>
        <w:t>木结构建筑竣工后应进行定期的检查与维护，并在使用前应有明确的检查与维护制度。</w:t>
      </w:r>
    </w:p>
    <w:p w14:paraId="1176DC72">
      <w:pPr>
        <w:pStyle w:val="50"/>
        <w:ind w:firstLine="480"/>
        <w:rPr>
          <w:color w:val="auto"/>
          <w:highlight w:val="none"/>
        </w:rPr>
      </w:pPr>
      <w:r>
        <w:rPr>
          <w:rFonts w:hint="eastAsia"/>
          <w:color w:val="auto"/>
          <w:highlight w:val="none"/>
        </w:rPr>
        <w:t>【条文说明】</w:t>
      </w:r>
      <w:r>
        <w:rPr>
          <w:color w:val="auto"/>
          <w:highlight w:val="none"/>
        </w:rPr>
        <w:t>13.1.1</w:t>
      </w:r>
      <w:r>
        <w:rPr>
          <w:rFonts w:hint="eastAsia"/>
          <w:color w:val="auto"/>
          <w:highlight w:val="none"/>
        </w:rPr>
        <w:t xml:space="preserve"> 定期检查与维护是延长木材木结构建筑寿命的必要措施。一般木材木结构建筑竣工后应进行定期的检查与维护非常重要，其目的在于：  </w:t>
      </w:r>
    </w:p>
    <w:p w14:paraId="236F96D4">
      <w:pPr>
        <w:pStyle w:val="50"/>
        <w:ind w:firstLine="480"/>
        <w:rPr>
          <w:color w:val="auto"/>
          <w:highlight w:val="none"/>
        </w:rPr>
      </w:pPr>
      <w:r>
        <w:rPr>
          <w:rFonts w:hint="eastAsia"/>
          <w:color w:val="auto"/>
          <w:highlight w:val="none"/>
        </w:rPr>
        <w:t xml:space="preserve">1  保护住户的安全与健康  </w:t>
      </w:r>
    </w:p>
    <w:p w14:paraId="0C2DBCD1">
      <w:pPr>
        <w:pStyle w:val="50"/>
        <w:ind w:firstLine="480"/>
        <w:rPr>
          <w:color w:val="auto"/>
          <w:highlight w:val="none"/>
        </w:rPr>
      </w:pPr>
      <w:r>
        <w:rPr>
          <w:rFonts w:hint="eastAsia"/>
          <w:color w:val="auto"/>
          <w:highlight w:val="none"/>
        </w:rPr>
        <w:t xml:space="preserve">2  延长建筑寿命  </w:t>
      </w:r>
    </w:p>
    <w:p w14:paraId="05990797">
      <w:pPr>
        <w:pStyle w:val="50"/>
        <w:ind w:firstLine="480"/>
        <w:rPr>
          <w:color w:val="auto"/>
          <w:highlight w:val="none"/>
        </w:rPr>
      </w:pPr>
      <w:r>
        <w:rPr>
          <w:rFonts w:hint="eastAsia"/>
          <w:color w:val="auto"/>
          <w:highlight w:val="none"/>
        </w:rPr>
        <w:t xml:space="preserve">3  使住宅在整个生命周期中的总使用成本降至最低  </w:t>
      </w:r>
    </w:p>
    <w:p w14:paraId="586A591C">
      <w:pPr>
        <w:pStyle w:val="50"/>
        <w:ind w:firstLine="480"/>
        <w:rPr>
          <w:color w:val="auto"/>
          <w:highlight w:val="none"/>
        </w:rPr>
      </w:pPr>
      <w:r>
        <w:rPr>
          <w:rFonts w:hint="eastAsia"/>
          <w:color w:val="auto"/>
          <w:highlight w:val="none"/>
        </w:rPr>
        <w:t xml:space="preserve">4  防止较大的经济损失  </w:t>
      </w:r>
    </w:p>
    <w:p w14:paraId="1596EB9F">
      <w:pPr>
        <w:pStyle w:val="50"/>
        <w:ind w:firstLine="480"/>
        <w:rPr>
          <w:color w:val="auto"/>
          <w:highlight w:val="none"/>
        </w:rPr>
      </w:pPr>
      <w:r>
        <w:rPr>
          <w:rFonts w:hint="eastAsia"/>
          <w:color w:val="auto"/>
          <w:highlight w:val="none"/>
        </w:rPr>
        <w:t xml:space="preserve">5  维护和改善住宅的功能性、舒适度、便利性与外观  </w:t>
      </w:r>
    </w:p>
    <w:p w14:paraId="40767C35">
      <w:pPr>
        <w:pStyle w:val="50"/>
        <w:ind w:firstLine="480"/>
        <w:rPr>
          <w:color w:val="auto"/>
          <w:highlight w:val="none"/>
        </w:rPr>
      </w:pPr>
      <w:r>
        <w:rPr>
          <w:rFonts w:hint="eastAsia"/>
          <w:color w:val="auto"/>
          <w:highlight w:val="none"/>
        </w:rPr>
        <w:t>6  防止木结构建筑受到水破坏的建筑。</w:t>
      </w:r>
    </w:p>
    <w:p w14:paraId="5A4DCAE5">
      <w:pPr>
        <w:rPr>
          <w:color w:val="auto"/>
          <w:highlight w:val="none"/>
          <w:lang w:eastAsia="zh-CN"/>
        </w:rPr>
      </w:pPr>
    </w:p>
    <w:p w14:paraId="4119B731">
      <w:pPr>
        <w:pStyle w:val="4"/>
        <w:rPr>
          <w:color w:val="auto"/>
          <w:highlight w:val="none"/>
          <w:lang w:eastAsia="zh-CN"/>
        </w:rPr>
      </w:pPr>
      <w:r>
        <w:rPr>
          <w:color w:val="auto"/>
          <w:highlight w:val="none"/>
          <w:lang w:eastAsia="zh-CN"/>
        </w:rPr>
        <w:t>13.1.2</w:t>
      </w:r>
      <w:r>
        <w:rPr>
          <w:rFonts w:hint="eastAsia"/>
          <w:color w:val="auto"/>
          <w:highlight w:val="none"/>
          <w:lang w:eastAsia="zh-CN"/>
        </w:rPr>
        <w:t xml:space="preserve">  </w:t>
      </w:r>
      <w:r>
        <w:rPr>
          <w:rFonts w:hint="eastAsia"/>
          <w:color w:val="auto"/>
          <w:highlight w:val="none"/>
          <w:lang w:eastAsia="zh-CN"/>
        </w:rPr>
        <w:t>对于需要立即维护和维修的内容，</w:t>
      </w:r>
      <w:r>
        <w:rPr>
          <w:rFonts w:hint="eastAsia"/>
          <w:color w:val="auto"/>
          <w:highlight w:val="none"/>
          <w:lang w:eastAsia="zh-CN"/>
        </w:rPr>
        <w:t>在损害或故障发生后必须立即处理，延迟维护或维修会导致安全危险和较大的经济损失或日后给住户带来的不便。</w:t>
      </w:r>
    </w:p>
    <w:p w14:paraId="26A8A0D4">
      <w:pPr>
        <w:pStyle w:val="50"/>
        <w:ind w:firstLine="480"/>
        <w:rPr>
          <w:color w:val="auto"/>
          <w:highlight w:val="none"/>
        </w:rPr>
      </w:pPr>
      <w:r>
        <w:rPr>
          <w:rFonts w:hint="eastAsia"/>
          <w:color w:val="auto"/>
          <w:highlight w:val="none"/>
        </w:rPr>
        <w:t>【条文说明】</w:t>
      </w:r>
      <w:r>
        <w:rPr>
          <w:color w:val="auto"/>
          <w:highlight w:val="none"/>
        </w:rPr>
        <w:t>13.1.2</w:t>
      </w:r>
      <w:r>
        <w:rPr>
          <w:rFonts w:hint="eastAsia"/>
          <w:color w:val="auto"/>
          <w:highlight w:val="none"/>
        </w:rPr>
        <w:t xml:space="preserve"> 损害或故障发生后应立即处理，避免安全危险和经济损失。</w:t>
      </w:r>
    </w:p>
    <w:p w14:paraId="336BAA43">
      <w:pPr>
        <w:rPr>
          <w:color w:val="auto"/>
          <w:highlight w:val="none"/>
        </w:rPr>
      </w:pPr>
    </w:p>
    <w:p w14:paraId="33658E8E">
      <w:pPr>
        <w:pStyle w:val="4"/>
        <w:rPr>
          <w:color w:val="auto"/>
          <w:highlight w:val="none"/>
          <w:lang w:eastAsia="zh-CN"/>
        </w:rPr>
      </w:pPr>
      <w:r>
        <w:rPr>
          <w:color w:val="auto"/>
          <w:highlight w:val="none"/>
          <w:lang w:eastAsia="zh-CN"/>
        </w:rPr>
        <w:t>13.1.3</w:t>
      </w:r>
      <w:r>
        <w:rPr>
          <w:rFonts w:hint="eastAsia"/>
          <w:color w:val="auto"/>
          <w:highlight w:val="none"/>
          <w:lang w:eastAsia="zh-CN"/>
        </w:rPr>
        <w:t xml:space="preserve">  </w:t>
      </w:r>
      <w:r>
        <w:rPr>
          <w:rFonts w:hint="eastAsia"/>
          <w:color w:val="auto"/>
          <w:highlight w:val="none"/>
          <w:lang w:eastAsia="zh-CN"/>
        </w:rPr>
        <w:t>木结构建筑应建立检查和维修档案，</w:t>
      </w:r>
      <w:r>
        <w:rPr>
          <w:rFonts w:hint="eastAsia"/>
          <w:color w:val="auto"/>
          <w:highlight w:val="none"/>
          <w:lang w:eastAsia="zh-CN"/>
        </w:rPr>
        <w:t>对要求观察并定期检查的内容列一个总结清单，确定维</w:t>
      </w:r>
      <w:r>
        <w:rPr>
          <w:rFonts w:hint="eastAsia"/>
          <w:color w:val="auto"/>
          <w:highlight w:val="none"/>
          <w:lang w:eastAsia="zh-CN"/>
        </w:rPr>
        <w:t>护</w:t>
      </w:r>
      <w:r>
        <w:rPr>
          <w:rFonts w:hint="eastAsia"/>
          <w:color w:val="auto"/>
          <w:highlight w:val="none"/>
          <w:lang w:eastAsia="zh-CN"/>
        </w:rPr>
        <w:t>和维修的需求。此清单将维护和维修内容分为两类：内装与外装。</w:t>
      </w:r>
    </w:p>
    <w:p w14:paraId="7BF5A654">
      <w:pPr>
        <w:pStyle w:val="50"/>
        <w:ind w:firstLine="480"/>
        <w:rPr>
          <w:color w:val="auto"/>
          <w:highlight w:val="none"/>
        </w:rPr>
      </w:pPr>
      <w:r>
        <w:rPr>
          <w:rFonts w:hint="eastAsia"/>
          <w:color w:val="auto"/>
          <w:highlight w:val="none"/>
        </w:rPr>
        <w:t>【条文说明】</w:t>
      </w:r>
      <w:r>
        <w:rPr>
          <w:color w:val="auto"/>
          <w:highlight w:val="none"/>
        </w:rPr>
        <w:t>13.1.3</w:t>
      </w:r>
      <w:r>
        <w:rPr>
          <w:rFonts w:hint="eastAsia"/>
          <w:color w:val="auto"/>
          <w:highlight w:val="none"/>
        </w:rPr>
        <w:t xml:space="preserve"> 对内装与外装后的维护和维修应当进行观察、检查，列出清单系统管理。检查时间要求是每半年或一年，并在档案中列出需定期观察的内容；对在观察或检查中发现的损害和故障应列出维修的时间。</w:t>
      </w:r>
    </w:p>
    <w:p w14:paraId="4915567A">
      <w:pPr>
        <w:rPr>
          <w:color w:val="auto"/>
          <w:highlight w:val="none"/>
          <w:lang w:eastAsia="zh-CN"/>
        </w:rPr>
      </w:pPr>
    </w:p>
    <w:p w14:paraId="6AA3556E">
      <w:pPr>
        <w:pStyle w:val="4"/>
        <w:rPr>
          <w:color w:val="auto"/>
          <w:highlight w:val="none"/>
          <w:lang w:eastAsia="zh-CN"/>
        </w:rPr>
      </w:pPr>
      <w:r>
        <w:rPr>
          <w:color w:val="auto"/>
          <w:highlight w:val="none"/>
          <w:lang w:eastAsia="zh-CN"/>
        </w:rPr>
        <w:t>13.1.4</w:t>
      </w:r>
      <w:r>
        <w:rPr>
          <w:rFonts w:hint="eastAsia"/>
          <w:color w:val="auto"/>
          <w:highlight w:val="none"/>
          <w:lang w:eastAsia="zh-CN"/>
        </w:rPr>
        <w:t xml:space="preserve">  工程竣工验收后需制定维护维修手册，并重点列明目的和原因，说明建筑竣工后检查与维护的重要性。</w:t>
      </w:r>
    </w:p>
    <w:p w14:paraId="538C35A6">
      <w:pPr>
        <w:pStyle w:val="50"/>
        <w:ind w:firstLine="480"/>
        <w:rPr>
          <w:color w:val="auto"/>
          <w:highlight w:val="none"/>
        </w:rPr>
      </w:pPr>
      <w:r>
        <w:rPr>
          <w:rFonts w:hint="eastAsia"/>
          <w:color w:val="auto"/>
          <w:highlight w:val="none"/>
        </w:rPr>
        <w:t>【条文说明】</w:t>
      </w:r>
      <w:r>
        <w:rPr>
          <w:color w:val="auto"/>
          <w:highlight w:val="none"/>
        </w:rPr>
        <w:t>13.1.4</w:t>
      </w:r>
      <w:r>
        <w:rPr>
          <w:rFonts w:hint="eastAsia"/>
          <w:color w:val="auto"/>
          <w:highlight w:val="none"/>
        </w:rPr>
        <w:t xml:space="preserve"> 制定维护维修手册，明确维护内容和重要性，帮助用户了解并执行必要的维护工作。</w:t>
      </w:r>
    </w:p>
    <w:p w14:paraId="6932F0A9">
      <w:pPr>
        <w:rPr>
          <w:color w:val="auto"/>
          <w:highlight w:val="none"/>
          <w:lang w:eastAsia="zh-CN"/>
        </w:rPr>
      </w:pPr>
      <w:r>
        <w:rPr>
          <w:rFonts w:hint="eastAsia"/>
          <w:color w:val="auto"/>
          <w:highlight w:val="none"/>
          <w:lang w:eastAsia="zh-CN"/>
        </w:rPr>
        <w:t xml:space="preserve">  </w:t>
      </w:r>
    </w:p>
    <w:p w14:paraId="1D79E371">
      <w:pPr>
        <w:pStyle w:val="4"/>
        <w:rPr>
          <w:color w:val="auto"/>
          <w:highlight w:val="none"/>
          <w:lang w:eastAsia="zh-CN"/>
        </w:rPr>
      </w:pPr>
      <w:r>
        <w:rPr>
          <w:rFonts w:hint="eastAsia"/>
          <w:color w:val="auto"/>
          <w:highlight w:val="none"/>
          <w:lang w:eastAsia="zh-CN"/>
        </w:rPr>
        <w:t>13.1.5  木结构建筑应每半年对防雷装置进行检查，检查应包括下列项目：</w:t>
      </w:r>
    </w:p>
    <w:p w14:paraId="0CC465A0">
      <w:pPr>
        <w:pStyle w:val="4"/>
        <w:ind w:firstLine="480" w:firstLineChars="200"/>
        <w:rPr>
          <w:color w:val="auto"/>
          <w:highlight w:val="none"/>
          <w:lang w:eastAsia="zh-CN"/>
        </w:rPr>
      </w:pPr>
      <w:r>
        <w:rPr>
          <w:rFonts w:hint="eastAsia"/>
          <w:color w:val="auto"/>
          <w:highlight w:val="none"/>
          <w:lang w:eastAsia="zh-CN"/>
        </w:rPr>
        <w:t>1</w:t>
      </w:r>
      <w:r>
        <w:rPr>
          <w:rFonts w:hint="eastAsia"/>
          <w:color w:val="auto"/>
          <w:highlight w:val="none"/>
          <w:lang w:eastAsia="zh-CN"/>
        </w:rPr>
        <w:tab/>
      </w:r>
      <w:r>
        <w:rPr>
          <w:rFonts w:hint="eastAsia"/>
          <w:color w:val="auto"/>
          <w:highlight w:val="none"/>
          <w:lang w:eastAsia="zh-CN"/>
        </w:rPr>
        <w:t>防雷装置的引线、连接件和固定装置的松动变形情况；</w:t>
      </w:r>
    </w:p>
    <w:p w14:paraId="01C4A897">
      <w:pPr>
        <w:pStyle w:val="4"/>
        <w:ind w:firstLine="480" w:firstLineChars="200"/>
        <w:rPr>
          <w:color w:val="auto"/>
          <w:highlight w:val="none"/>
          <w:lang w:eastAsia="zh-CN"/>
        </w:rPr>
      </w:pPr>
      <w:r>
        <w:rPr>
          <w:rFonts w:hint="eastAsia"/>
          <w:color w:val="auto"/>
          <w:highlight w:val="none"/>
          <w:lang w:eastAsia="zh-CN"/>
        </w:rPr>
        <w:t>2</w:t>
      </w:r>
      <w:r>
        <w:rPr>
          <w:rFonts w:hint="eastAsia"/>
          <w:color w:val="auto"/>
          <w:highlight w:val="none"/>
          <w:lang w:eastAsia="zh-CN"/>
        </w:rPr>
        <w:tab/>
      </w:r>
      <w:r>
        <w:rPr>
          <w:rFonts w:hint="eastAsia"/>
          <w:color w:val="auto"/>
          <w:highlight w:val="none"/>
          <w:lang w:eastAsia="zh-CN"/>
        </w:rPr>
        <w:t>金属导体腐蚀情况；</w:t>
      </w:r>
    </w:p>
    <w:p w14:paraId="394F5BFA">
      <w:pPr>
        <w:pStyle w:val="4"/>
        <w:ind w:firstLine="480" w:firstLineChars="200"/>
        <w:rPr>
          <w:color w:val="auto"/>
          <w:highlight w:val="none"/>
          <w:lang w:eastAsia="zh-CN"/>
        </w:rPr>
      </w:pPr>
      <w:r>
        <w:rPr>
          <w:rFonts w:hint="eastAsia"/>
          <w:color w:val="auto"/>
          <w:highlight w:val="none"/>
          <w:lang w:eastAsia="zh-CN"/>
        </w:rPr>
        <w:t>3</w:t>
      </w:r>
      <w:r>
        <w:rPr>
          <w:rFonts w:hint="eastAsia"/>
          <w:color w:val="auto"/>
          <w:highlight w:val="none"/>
          <w:lang w:eastAsia="zh-CN"/>
        </w:rPr>
        <w:tab/>
      </w:r>
      <w:r>
        <w:rPr>
          <w:rFonts w:hint="eastAsia"/>
          <w:color w:val="auto"/>
          <w:highlight w:val="none"/>
          <w:lang w:eastAsia="zh-CN"/>
        </w:rPr>
        <w:t>防雷装置的接地情况 。</w:t>
      </w:r>
    </w:p>
    <w:p w14:paraId="67660EEC">
      <w:pPr>
        <w:pStyle w:val="4"/>
        <w:rPr>
          <w:color w:val="auto"/>
          <w:highlight w:val="none"/>
          <w:lang w:eastAsia="zh-CN"/>
        </w:rPr>
      </w:pPr>
      <w:r>
        <w:rPr>
          <w:rFonts w:hint="eastAsia"/>
          <w:color w:val="auto"/>
          <w:highlight w:val="none"/>
        </w:rPr>
        <w:t>【条文说明】</w:t>
      </w:r>
      <w:r>
        <w:rPr>
          <w:rFonts w:hint="eastAsia"/>
          <w:color w:val="auto"/>
          <w:highlight w:val="none"/>
          <w:lang w:eastAsia="zh-CN"/>
        </w:rPr>
        <w:t>13.1.</w:t>
      </w:r>
      <w:bookmarkStart w:id="277" w:name="OLE_LINK1"/>
      <w:r>
        <w:rPr>
          <w:rFonts w:hint="eastAsia"/>
          <w:color w:val="auto"/>
          <w:highlight w:val="none"/>
          <w:lang w:eastAsia="zh-CN"/>
        </w:rPr>
        <w:t>5  木结构建筑</w:t>
      </w:r>
      <w:bookmarkEnd w:id="277"/>
      <w:r>
        <w:rPr>
          <w:rFonts w:hint="eastAsia"/>
          <w:color w:val="auto"/>
          <w:highlight w:val="none"/>
          <w:lang w:eastAsia="zh-CN"/>
        </w:rPr>
        <w:t>防雷分区的划分和防雷设计应符合现行国家标准 《建筑物防雷设计规范》 的相关规定，并应符合下列规定：</w:t>
      </w:r>
    </w:p>
    <w:p w14:paraId="020004DB">
      <w:pPr>
        <w:pStyle w:val="4"/>
        <w:rPr>
          <w:color w:val="auto"/>
          <w:highlight w:val="none"/>
          <w:lang w:eastAsia="zh-CN"/>
        </w:rPr>
      </w:pPr>
      <w:r>
        <w:rPr>
          <w:rFonts w:hint="eastAsia"/>
          <w:color w:val="auto"/>
          <w:highlight w:val="none"/>
          <w:lang w:eastAsia="zh-CN"/>
        </w:rPr>
        <w:t>1</w:t>
      </w:r>
      <w:r>
        <w:rPr>
          <w:rFonts w:hint="eastAsia"/>
          <w:color w:val="auto"/>
          <w:highlight w:val="none"/>
          <w:lang w:eastAsia="zh-CN"/>
        </w:rPr>
        <w:tab/>
      </w:r>
      <w:r>
        <w:rPr>
          <w:rFonts w:hint="eastAsia"/>
          <w:color w:val="auto"/>
          <w:highlight w:val="none"/>
          <w:lang w:eastAsia="zh-CN"/>
        </w:rPr>
        <w:t>建筑高度大于 15m 的纯木结构应采取相应的防雷措施；</w:t>
      </w:r>
    </w:p>
    <w:p w14:paraId="128023BF">
      <w:pPr>
        <w:pStyle w:val="4"/>
        <w:rPr>
          <w:color w:val="auto"/>
          <w:highlight w:val="none"/>
          <w:lang w:eastAsia="zh-CN"/>
        </w:rPr>
      </w:pPr>
      <w:r>
        <w:rPr>
          <w:rFonts w:hint="eastAsia"/>
          <w:color w:val="auto"/>
          <w:highlight w:val="none"/>
          <w:lang w:eastAsia="zh-CN"/>
        </w:rPr>
        <w:t>2</w:t>
      </w:r>
      <w:r>
        <w:rPr>
          <w:rFonts w:hint="eastAsia"/>
          <w:color w:val="auto"/>
          <w:highlight w:val="none"/>
          <w:lang w:eastAsia="zh-CN"/>
        </w:rPr>
        <w:tab/>
      </w:r>
      <w:r>
        <w:rPr>
          <w:rFonts w:hint="eastAsia"/>
          <w:color w:val="auto"/>
          <w:highlight w:val="none"/>
          <w:lang w:eastAsia="zh-CN"/>
        </w:rPr>
        <w:t>应设置防直击雷和防雷电感应的装置 ；</w:t>
      </w:r>
    </w:p>
    <w:p w14:paraId="605801BB">
      <w:pPr>
        <w:pStyle w:val="4"/>
        <w:rPr>
          <w:color w:val="auto"/>
          <w:highlight w:val="none"/>
          <w:lang w:eastAsia="zh-CN"/>
        </w:rPr>
      </w:pPr>
      <w:r>
        <w:rPr>
          <w:rFonts w:hint="eastAsia"/>
          <w:color w:val="auto"/>
          <w:highlight w:val="none"/>
          <w:lang w:eastAsia="zh-CN"/>
        </w:rPr>
        <w:t>3</w:t>
      </w:r>
      <w:r>
        <w:rPr>
          <w:rFonts w:hint="eastAsia"/>
          <w:color w:val="auto"/>
          <w:highlight w:val="none"/>
          <w:lang w:eastAsia="zh-CN"/>
        </w:rPr>
        <w:tab/>
      </w:r>
      <w:r>
        <w:rPr>
          <w:rFonts w:hint="eastAsia"/>
          <w:color w:val="auto"/>
          <w:highlight w:val="none"/>
          <w:lang w:eastAsia="zh-CN"/>
        </w:rPr>
        <w:t>应有效防止雷击时所产生的接触电压、跨步电压和对各 种架空线路的危害；</w:t>
      </w:r>
    </w:p>
    <w:p w14:paraId="275DA6D7">
      <w:pPr>
        <w:pStyle w:val="4"/>
        <w:rPr>
          <w:color w:val="auto"/>
          <w:highlight w:val="none"/>
          <w:lang w:eastAsia="zh-CN"/>
        </w:rPr>
      </w:pPr>
      <w:r>
        <w:rPr>
          <w:rFonts w:hint="eastAsia"/>
          <w:color w:val="auto"/>
          <w:highlight w:val="none"/>
          <w:lang w:eastAsia="zh-CN"/>
        </w:rPr>
        <w:t>4</w:t>
      </w:r>
      <w:r>
        <w:rPr>
          <w:rFonts w:hint="eastAsia"/>
          <w:color w:val="auto"/>
          <w:highlight w:val="none"/>
          <w:lang w:eastAsia="zh-CN"/>
        </w:rPr>
        <w:tab/>
      </w:r>
      <w:r>
        <w:rPr>
          <w:rFonts w:hint="eastAsia"/>
          <w:color w:val="auto"/>
          <w:highlight w:val="none"/>
          <w:lang w:eastAsia="zh-CN"/>
        </w:rPr>
        <w:t>每座建筑应单独接地，引下线不低于两根，接地电阻不小于10欧姆，其间距沿周长计算不宜大于18m。</w:t>
      </w:r>
    </w:p>
    <w:p w14:paraId="6AA57F0F">
      <w:pPr>
        <w:pStyle w:val="3"/>
        <w:spacing w:before="156" w:after="156"/>
        <w:rPr>
          <w:color w:val="auto"/>
          <w:highlight w:val="none"/>
          <w:lang w:eastAsia="zh-CN"/>
        </w:rPr>
      </w:pPr>
      <w:bookmarkStart w:id="278" w:name="_Toc17926"/>
      <w:bookmarkStart w:id="279" w:name="_Toc10037"/>
      <w:bookmarkStart w:id="280" w:name="_Toc23065"/>
      <w:r>
        <w:rPr>
          <w:color w:val="auto"/>
          <w:highlight w:val="none"/>
          <w:lang w:eastAsia="zh-CN"/>
        </w:rPr>
        <w:t>13.2</w:t>
      </w:r>
      <w:r>
        <w:rPr>
          <w:rFonts w:hint="eastAsia"/>
          <w:color w:val="auto"/>
          <w:highlight w:val="none"/>
          <w:lang w:eastAsia="zh-CN"/>
        </w:rPr>
        <w:t xml:space="preserve">  </w:t>
      </w:r>
      <w:r>
        <w:rPr>
          <w:color w:val="auto"/>
          <w:highlight w:val="none"/>
          <w:lang w:eastAsia="zh-CN"/>
        </w:rPr>
        <w:t>检查和监测</w:t>
      </w:r>
      <w:bookmarkEnd w:id="278"/>
      <w:bookmarkEnd w:id="279"/>
      <w:bookmarkEnd w:id="280"/>
    </w:p>
    <w:p w14:paraId="633FFA94">
      <w:pPr>
        <w:pStyle w:val="4"/>
        <w:rPr>
          <w:color w:val="auto"/>
          <w:highlight w:val="none"/>
          <w:lang w:eastAsia="zh-CN"/>
        </w:rPr>
      </w:pPr>
      <w:r>
        <w:rPr>
          <w:color w:val="auto"/>
          <w:highlight w:val="none"/>
          <w:lang w:eastAsia="zh-CN"/>
        </w:rPr>
        <w:t>13.2.1</w:t>
      </w:r>
      <w:r>
        <w:rPr>
          <w:rFonts w:hint="eastAsia"/>
          <w:color w:val="auto"/>
          <w:highlight w:val="none"/>
          <w:lang w:eastAsia="zh-CN"/>
        </w:rPr>
        <w:t xml:space="preserve">  罗列木结构建筑及其部件检查清单，用于确定维修、维护的要求、木结构建筑的内部、外部可能存在的隐患及位置。</w:t>
      </w:r>
      <w:r>
        <w:rPr>
          <w:rFonts w:hint="eastAsia"/>
          <w:color w:val="auto"/>
          <w:highlight w:val="none"/>
          <w:lang w:eastAsia="zh-CN"/>
        </w:rPr>
        <w:t>已检查过和不需要维护的项目需标注记号。需要维护的项目另行标注，并需要维护的项目单独列出清单。</w:t>
      </w:r>
    </w:p>
    <w:p w14:paraId="17847BFD">
      <w:pPr>
        <w:pStyle w:val="50"/>
        <w:ind w:firstLine="480"/>
        <w:rPr>
          <w:color w:val="auto"/>
          <w:highlight w:val="none"/>
        </w:rPr>
      </w:pPr>
      <w:r>
        <w:rPr>
          <w:rFonts w:hint="eastAsia"/>
          <w:color w:val="auto"/>
          <w:highlight w:val="none"/>
        </w:rPr>
        <w:t>【条文说明】13.2.1 要求建立详细的检查清单，通过定期检查这些关键部件，可以及时发现并解决潜在的安全隐患，确保建筑的安全性和耐久性。</w:t>
      </w:r>
    </w:p>
    <w:p w14:paraId="1FEFF5AD">
      <w:pPr>
        <w:rPr>
          <w:color w:val="auto"/>
          <w:highlight w:val="none"/>
        </w:rPr>
      </w:pPr>
    </w:p>
    <w:p w14:paraId="3F161F58">
      <w:pPr>
        <w:pStyle w:val="4"/>
        <w:rPr>
          <w:color w:val="auto"/>
          <w:highlight w:val="none"/>
          <w:lang w:eastAsia="zh-CN"/>
        </w:rPr>
      </w:pPr>
      <w:r>
        <w:rPr>
          <w:color w:val="auto"/>
          <w:highlight w:val="none"/>
          <w:lang w:eastAsia="zh-CN"/>
        </w:rPr>
        <w:t>13.2.2</w:t>
      </w:r>
      <w:r>
        <w:rPr>
          <w:rFonts w:hint="eastAsia"/>
          <w:color w:val="auto"/>
          <w:highlight w:val="none"/>
          <w:lang w:eastAsia="zh-CN"/>
        </w:rPr>
        <w:t xml:space="preserve">  应定期检查主/分配电板、断路器、漏电开关避免造成损坏和操作失误。主要服务面板控制着电气系统，它从外部电力源接收电能并供给整个建筑的电路和辅助面板。主断路器控制主要服务器的电源。关掉主开关会切断建筑的电源，关闭支路断路器会关闭支路的电源。断路器辅助面板（若存在）也会由断路器控制。 </w:t>
      </w:r>
    </w:p>
    <w:p w14:paraId="70786357">
      <w:pPr>
        <w:pStyle w:val="50"/>
        <w:ind w:firstLine="480"/>
        <w:rPr>
          <w:color w:val="auto"/>
          <w:highlight w:val="none"/>
        </w:rPr>
      </w:pPr>
      <w:r>
        <w:rPr>
          <w:rFonts w:hint="eastAsia"/>
          <w:color w:val="auto"/>
          <w:highlight w:val="none"/>
        </w:rPr>
        <w:t>【条文说明】13.2.2 检查电气系统关键部件，避免损坏和操作失误导致的电气故障。检查内容包括但不限于连接是否牢固、开关是否灵敏、是否有过热或烧焦的迹象等。</w:t>
      </w:r>
    </w:p>
    <w:p w14:paraId="33E2C127">
      <w:pPr>
        <w:rPr>
          <w:color w:val="auto"/>
          <w:highlight w:val="none"/>
        </w:rPr>
      </w:pPr>
    </w:p>
    <w:p w14:paraId="770BAE2A">
      <w:pPr>
        <w:pStyle w:val="4"/>
        <w:rPr>
          <w:color w:val="auto"/>
          <w:highlight w:val="none"/>
          <w:lang w:eastAsia="zh-CN"/>
        </w:rPr>
      </w:pPr>
      <w:r>
        <w:rPr>
          <w:color w:val="auto"/>
          <w:highlight w:val="none"/>
          <w:lang w:eastAsia="zh-CN"/>
        </w:rPr>
        <w:t>13.2.</w:t>
      </w:r>
      <w:r>
        <w:rPr>
          <w:rFonts w:hint="eastAsia"/>
          <w:color w:val="auto"/>
          <w:highlight w:val="none"/>
          <w:lang w:eastAsia="zh-CN"/>
        </w:rPr>
        <w:t>3  大量的天然气是极易燃易爆且具有毒性；任何气味或其它方式检测到的泄</w:t>
      </w:r>
      <w:r>
        <w:rPr>
          <w:rFonts w:hint="eastAsia"/>
          <w:color w:val="auto"/>
          <w:highlight w:val="none"/>
          <w:lang w:eastAsia="zh-CN"/>
        </w:rPr>
        <w:t>漏</w:t>
      </w:r>
      <w:r>
        <w:rPr>
          <w:rFonts w:hint="eastAsia"/>
          <w:color w:val="auto"/>
          <w:highlight w:val="none"/>
          <w:lang w:eastAsia="zh-CN"/>
        </w:rPr>
        <w:t>都应及时处理。</w:t>
      </w:r>
    </w:p>
    <w:p w14:paraId="644552A6">
      <w:pPr>
        <w:pStyle w:val="50"/>
        <w:ind w:firstLine="480"/>
        <w:rPr>
          <w:color w:val="auto"/>
          <w:highlight w:val="none"/>
        </w:rPr>
      </w:pPr>
      <w:r>
        <w:rPr>
          <w:rFonts w:hint="eastAsia"/>
          <w:color w:val="auto"/>
          <w:highlight w:val="none"/>
        </w:rPr>
        <w:t>【条文说明】13.2.3 检测到的天然气泄漏都必须立即处理，以防止火灾、爆炸或中毒事故的发生。定期检查燃气管道、阀门、连接件等部件的密封性和完好性，是预防天然气泄漏的重要措施。</w:t>
      </w:r>
    </w:p>
    <w:p w14:paraId="4616C716">
      <w:pPr>
        <w:rPr>
          <w:color w:val="auto"/>
          <w:highlight w:val="none"/>
        </w:rPr>
      </w:pPr>
    </w:p>
    <w:p w14:paraId="0D19B590">
      <w:pPr>
        <w:pStyle w:val="4"/>
        <w:rPr>
          <w:color w:val="auto"/>
          <w:highlight w:val="none"/>
          <w:lang w:eastAsia="zh-CN"/>
        </w:rPr>
      </w:pPr>
      <w:r>
        <w:rPr>
          <w:color w:val="auto"/>
          <w:highlight w:val="none"/>
          <w:lang w:eastAsia="zh-CN"/>
        </w:rPr>
        <w:t>13.2.</w:t>
      </w:r>
      <w:r>
        <w:rPr>
          <w:rFonts w:hint="eastAsia"/>
          <w:color w:val="auto"/>
          <w:highlight w:val="none"/>
          <w:lang w:eastAsia="zh-CN"/>
        </w:rPr>
        <w:t>4</w:t>
      </w:r>
      <w:r>
        <w:rPr>
          <w:color w:val="auto"/>
          <w:highlight w:val="none"/>
          <w:lang w:eastAsia="zh-CN"/>
        </w:rPr>
        <w:t xml:space="preserve"> </w:t>
      </w:r>
      <w:r>
        <w:rPr>
          <w:rFonts w:hint="eastAsia"/>
          <w:color w:val="auto"/>
          <w:highlight w:val="none"/>
          <w:lang w:eastAsia="zh-CN"/>
        </w:rPr>
        <w:t xml:space="preserve"> 避免在外墙或屋顶开洞孔 因为这会导致空气或水渗漏进入建筑围护结构避免屋内水分过高 ，可能会导致过多冷凝水从未引起发霉。有任何雨水或管道渗漏时请立即联系维护部门。</w:t>
      </w:r>
    </w:p>
    <w:p w14:paraId="49D18CC3">
      <w:pPr>
        <w:pStyle w:val="50"/>
        <w:ind w:firstLine="480"/>
        <w:rPr>
          <w:color w:val="auto"/>
          <w:highlight w:val="none"/>
        </w:rPr>
      </w:pPr>
      <w:r>
        <w:rPr>
          <w:rFonts w:hint="eastAsia"/>
          <w:color w:val="auto"/>
          <w:highlight w:val="none"/>
        </w:rPr>
        <w:t>【条文说明】13.2.4 对于已经存在的洞孔应及时进行修补和密封处理，以防止空气和水渗漏进入建筑内部，导致室内湿度过高、冷凝水积聚和发霉等问题。</w:t>
      </w:r>
    </w:p>
    <w:p w14:paraId="4E6F4BF7">
      <w:pPr>
        <w:rPr>
          <w:color w:val="auto"/>
          <w:highlight w:val="none"/>
        </w:rPr>
      </w:pPr>
    </w:p>
    <w:p w14:paraId="1C9D7C35">
      <w:pPr>
        <w:pStyle w:val="4"/>
        <w:rPr>
          <w:color w:val="auto"/>
          <w:highlight w:val="none"/>
          <w:lang w:eastAsia="zh-CN"/>
        </w:rPr>
      </w:pPr>
      <w:r>
        <w:rPr>
          <w:color w:val="auto"/>
          <w:highlight w:val="none"/>
          <w:lang w:eastAsia="zh-CN"/>
        </w:rPr>
        <w:t>13.2.5</w:t>
      </w:r>
      <w:r>
        <w:rPr>
          <w:rFonts w:hint="eastAsia"/>
          <w:color w:val="auto"/>
          <w:highlight w:val="none"/>
          <w:lang w:eastAsia="zh-CN"/>
        </w:rPr>
        <w:t xml:space="preserve">  住户应注意观察来自建筑内部的漏水。建筑外围结构漏雨或管道破裂漏水会损坏室内装修和家具，水可能会积存在墙体或屋盖的空腔里，导致各种建筑材料发霉，极端情况下会威胁到木构件的耐久性。 </w:t>
      </w:r>
    </w:p>
    <w:p w14:paraId="32CB0BB5">
      <w:pPr>
        <w:pStyle w:val="50"/>
        <w:ind w:firstLine="480"/>
        <w:rPr>
          <w:color w:val="auto"/>
          <w:highlight w:val="none"/>
        </w:rPr>
      </w:pPr>
      <w:r>
        <w:rPr>
          <w:rFonts w:hint="eastAsia"/>
          <w:color w:val="auto"/>
          <w:highlight w:val="none"/>
        </w:rPr>
        <w:t>【条文说明】13.2.5 住户一旦发现漏水应立即联系维护部门进行处理，注意检查墙体和屋盖空腔内的积水情况，及时清理以防止发霉和损坏。</w:t>
      </w:r>
    </w:p>
    <w:p w14:paraId="4DBEADF5">
      <w:pPr>
        <w:rPr>
          <w:color w:val="auto"/>
          <w:highlight w:val="none"/>
        </w:rPr>
      </w:pPr>
    </w:p>
    <w:p w14:paraId="0D980FBC">
      <w:pPr>
        <w:pStyle w:val="4"/>
        <w:rPr>
          <w:color w:val="auto"/>
          <w:highlight w:val="none"/>
          <w:lang w:eastAsia="zh-CN"/>
        </w:rPr>
      </w:pPr>
      <w:r>
        <w:rPr>
          <w:color w:val="auto"/>
          <w:highlight w:val="none"/>
          <w:lang w:eastAsia="zh-CN"/>
        </w:rPr>
        <w:t>13.2.</w:t>
      </w:r>
      <w:r>
        <w:rPr>
          <w:rFonts w:hint="eastAsia"/>
          <w:color w:val="auto"/>
          <w:highlight w:val="none"/>
          <w:lang w:eastAsia="zh-CN"/>
        </w:rPr>
        <w:t>6  住户应该注意观察暴露内装表面的漏水，尤其是浴室的淋浴和浴盆周围。表面材料的破坏可能导致漏水进入内部材料和构件。也可能导致如上结果。</w:t>
      </w:r>
    </w:p>
    <w:p w14:paraId="6310DFFC">
      <w:pPr>
        <w:pStyle w:val="50"/>
        <w:ind w:firstLine="480"/>
        <w:rPr>
          <w:color w:val="auto"/>
          <w:highlight w:val="none"/>
        </w:rPr>
      </w:pPr>
      <w:r>
        <w:rPr>
          <w:rFonts w:hint="eastAsia"/>
          <w:color w:val="auto"/>
          <w:highlight w:val="none"/>
        </w:rPr>
        <w:t>【条文说明】13.2.6 住户一旦发现表面材料破坏或漏水迹象，应立即采取措施进行处理以防止水分渗入内部材料和构件，保护室内装修和家具免受损坏，还可以避免木构件因长期受潮而腐朽。</w:t>
      </w:r>
    </w:p>
    <w:p w14:paraId="069637BC">
      <w:pPr>
        <w:rPr>
          <w:color w:val="auto"/>
          <w:highlight w:val="none"/>
        </w:rPr>
      </w:pPr>
    </w:p>
    <w:p w14:paraId="1D133793">
      <w:pPr>
        <w:pStyle w:val="4"/>
        <w:rPr>
          <w:color w:val="auto"/>
          <w:highlight w:val="none"/>
          <w:lang w:eastAsia="zh-CN"/>
        </w:rPr>
      </w:pPr>
      <w:r>
        <w:rPr>
          <w:color w:val="auto"/>
          <w:highlight w:val="none"/>
          <w:lang w:eastAsia="zh-CN"/>
        </w:rPr>
        <w:t>13.2.</w:t>
      </w:r>
      <w:r>
        <w:rPr>
          <w:rFonts w:hint="eastAsia"/>
          <w:color w:val="auto"/>
          <w:highlight w:val="none"/>
          <w:lang w:eastAsia="zh-CN"/>
        </w:rPr>
        <w:t>7  住户应注意警惕白蚁，对南方气候会造成严重损坏。定期投放白蚁药物或咨询白蚁防治专家。在白蚁高发区的木结构建筑，对建筑物内部各处任何有白蚁或昆虫害虫侵入的迹象，进行至少半年一次的例行检查。 如若发现白蚁迹象，应立即采取灭杀措施，还应找到蚁源并清除，然后修复遭到破坏的构件。延误处理白蚁侵入将会造成非常严重的经济损失。白蚁检查的重点位置在地下室、架空层等相对潮湿的地方。尤其应注意基础混凝土板上的裂缝与渗透。</w:t>
      </w:r>
    </w:p>
    <w:p w14:paraId="72BD9898">
      <w:pPr>
        <w:pStyle w:val="50"/>
        <w:ind w:firstLine="480"/>
        <w:rPr>
          <w:color w:val="auto"/>
          <w:highlight w:val="none"/>
        </w:rPr>
      </w:pPr>
      <w:r>
        <w:rPr>
          <w:rFonts w:hint="eastAsia"/>
          <w:color w:val="auto"/>
          <w:highlight w:val="none"/>
        </w:rPr>
        <w:t>【条文说明】13.2.7 住户应定期投放白蚁药物或咨询白蚁防治专家进行防治。一旦发现白蚁活动，应立即采取灭杀措施并找到蚁源进行清除然后修复受损构件。</w:t>
      </w:r>
    </w:p>
    <w:p w14:paraId="7A0251BA">
      <w:pPr>
        <w:pStyle w:val="50"/>
        <w:ind w:firstLine="480"/>
        <w:rPr>
          <w:color w:val="auto"/>
          <w:highlight w:val="none"/>
        </w:rPr>
      </w:pPr>
      <w:r>
        <w:rPr>
          <w:rFonts w:hint="eastAsia"/>
          <w:color w:val="auto"/>
          <w:highlight w:val="none"/>
        </w:rPr>
        <w:t xml:space="preserve">延误处理白蚁侵入将会导致严重的经济损失和结构损坏。延误处理白蚁侵入将会造成非常严重的经济损失。白蚁检查的重点位置在地下室、架空层等相对潮湿的地方。尤其应注意基础混凝土板上的裂缝与渗透。  </w:t>
      </w:r>
    </w:p>
    <w:p w14:paraId="729D56E2">
      <w:pPr>
        <w:pStyle w:val="50"/>
        <w:ind w:firstLine="480"/>
        <w:rPr>
          <w:color w:val="auto"/>
          <w:highlight w:val="none"/>
        </w:rPr>
      </w:pPr>
      <w:r>
        <w:rPr>
          <w:rFonts w:hint="eastAsia"/>
          <w:color w:val="auto"/>
          <w:highlight w:val="none"/>
        </w:rPr>
        <w:t>对于房屋可能有昆虫和害虫进入的地方也应进行检查，尤其应注意地下室和架空层。白蚁一般在潮湿的木头中筑巢，表现为咀嚼的声音和有蛀屑出现。老鼠和蝙蝠之类的害虫常会留下粪便。强烈建议由合格专家进行灭虫，同时应填补入口漏洞。</w:t>
      </w:r>
    </w:p>
    <w:p w14:paraId="08C9A5E1">
      <w:pPr>
        <w:rPr>
          <w:color w:val="auto"/>
          <w:highlight w:val="none"/>
        </w:rPr>
      </w:pPr>
    </w:p>
    <w:p w14:paraId="3C6A49D7">
      <w:pPr>
        <w:pStyle w:val="4"/>
        <w:rPr>
          <w:color w:val="auto"/>
          <w:highlight w:val="none"/>
          <w:lang w:eastAsia="zh-CN"/>
        </w:rPr>
      </w:pPr>
      <w:r>
        <w:rPr>
          <w:color w:val="auto"/>
          <w:highlight w:val="none"/>
          <w:lang w:eastAsia="zh-CN"/>
        </w:rPr>
        <w:t>13.2.</w:t>
      </w:r>
      <w:r>
        <w:rPr>
          <w:rFonts w:hint="eastAsia"/>
          <w:color w:val="auto"/>
          <w:highlight w:val="none"/>
          <w:lang w:eastAsia="zh-CN"/>
        </w:rPr>
        <w:t>8</w:t>
      </w:r>
      <w:r>
        <w:rPr>
          <w:color w:val="auto"/>
          <w:highlight w:val="none"/>
          <w:lang w:eastAsia="zh-CN"/>
        </w:rPr>
        <w:t xml:space="preserve"> </w:t>
      </w:r>
      <w:r>
        <w:rPr>
          <w:rFonts w:hint="eastAsia"/>
          <w:color w:val="auto"/>
          <w:highlight w:val="none"/>
          <w:lang w:eastAsia="zh-CN"/>
        </w:rPr>
        <w:t xml:space="preserve"> 应将屋面检查作为最重要的检查项目。除了保持观察外，应至少每半年进行一次检查，以发现任何损坏或漏水迹象，漏水处一经发现应立即修复。在多风雨区，屋面漏水的后果会更严重。</w:t>
      </w:r>
    </w:p>
    <w:p w14:paraId="7DB04927">
      <w:pPr>
        <w:pStyle w:val="50"/>
        <w:ind w:firstLine="480"/>
        <w:rPr>
          <w:color w:val="auto"/>
          <w:highlight w:val="none"/>
        </w:rPr>
      </w:pPr>
      <w:r>
        <w:rPr>
          <w:rFonts w:hint="eastAsia"/>
          <w:color w:val="auto"/>
          <w:highlight w:val="none"/>
        </w:rPr>
        <w:t>【条文说明】13.2.8 屋面一旦发现漏水或损坏迹象应立即修复以防止问题扩大。特别是在多风雨区域更应加强对屋面的检查和维护工作。</w:t>
      </w:r>
    </w:p>
    <w:p w14:paraId="67EBEB69">
      <w:pPr>
        <w:rPr>
          <w:color w:val="auto"/>
          <w:highlight w:val="none"/>
          <w:lang w:eastAsia="zh-CN"/>
        </w:rPr>
      </w:pPr>
    </w:p>
    <w:p w14:paraId="0A81F444">
      <w:pPr>
        <w:pStyle w:val="4"/>
        <w:rPr>
          <w:color w:val="auto"/>
          <w:highlight w:val="none"/>
          <w:lang w:eastAsia="zh-CN"/>
        </w:rPr>
      </w:pPr>
      <w:r>
        <w:rPr>
          <w:color w:val="auto"/>
          <w:highlight w:val="none"/>
          <w:lang w:eastAsia="zh-CN"/>
        </w:rPr>
        <w:t>13.2.</w:t>
      </w:r>
      <w:r>
        <w:rPr>
          <w:rFonts w:hint="eastAsia"/>
          <w:color w:val="auto"/>
          <w:highlight w:val="none"/>
          <w:lang w:eastAsia="zh-CN"/>
        </w:rPr>
        <w:t>9  屋面排水系统包括天沟，落水槽以及落水管等，应至少每年进行一次检查，确保雨水能顺畅地排走。整个系统，包括屋面与泛水板，如有任何杂物应立即清理。如果落水管没有埋入地下，应确保雨水从基础中排走。应对排水系统中任何老化的部件进行更换。 屋面雨水处理系统的检查与维护要求是用梯子的高空作业，需非常小心和熟练。</w:t>
      </w:r>
    </w:p>
    <w:p w14:paraId="3C604B77">
      <w:pPr>
        <w:pStyle w:val="50"/>
        <w:ind w:firstLine="480"/>
        <w:rPr>
          <w:color w:val="auto"/>
          <w:highlight w:val="none"/>
        </w:rPr>
      </w:pPr>
      <w:r>
        <w:rPr>
          <w:rFonts w:hint="eastAsia"/>
          <w:color w:val="auto"/>
          <w:highlight w:val="none"/>
        </w:rPr>
        <w:t>【条文说明】13.2.9 屋面排水系统检查内容包括清理杂物防止堵塞、检查排水管道是否老化或破损以及确保雨水能够顺畅地从基础中排走等。对于没有埋入地下的落水管还需特别注意其固定情况以防止因风吹雨打而脱落或损坏。</w:t>
      </w:r>
    </w:p>
    <w:p w14:paraId="25488887">
      <w:pPr>
        <w:rPr>
          <w:color w:val="auto"/>
          <w:highlight w:val="none"/>
        </w:rPr>
      </w:pPr>
    </w:p>
    <w:p w14:paraId="437F059F">
      <w:pPr>
        <w:pStyle w:val="4"/>
        <w:rPr>
          <w:color w:val="auto"/>
          <w:highlight w:val="none"/>
          <w:lang w:eastAsia="zh-CN"/>
        </w:rPr>
      </w:pPr>
      <w:r>
        <w:rPr>
          <w:color w:val="auto"/>
          <w:highlight w:val="none"/>
          <w:lang w:eastAsia="zh-CN"/>
        </w:rPr>
        <w:t>13.2.1</w:t>
      </w:r>
      <w:r>
        <w:rPr>
          <w:rFonts w:hint="eastAsia"/>
          <w:color w:val="auto"/>
          <w:highlight w:val="none"/>
          <w:lang w:eastAsia="zh-CN"/>
        </w:rPr>
        <w:t>0  所有在门窗周围的区域都应进行年度检查，以确保雨水渗透建筑外围的表层。特别应注意门窗和外墙交界处的渗漏问题。填缝剂发生任何裂缝或者老化，都应该更换质量合格的产品，以确保正常使用寿命。应针对所有门窗进行定期检查，防止出现损坏和失效，尤其是窗户构件之间可能出现的漏水问题。窗户设计和施工中预留的排水系统应保持畅通，确保窗户构件达到最大排水能力。这些项目应定期检查和清理。</w:t>
      </w:r>
    </w:p>
    <w:p w14:paraId="277E7D26">
      <w:pPr>
        <w:pStyle w:val="50"/>
        <w:ind w:firstLine="480"/>
        <w:rPr>
          <w:color w:val="auto"/>
          <w:highlight w:val="none"/>
        </w:rPr>
      </w:pPr>
      <w:r>
        <w:rPr>
          <w:rFonts w:hint="eastAsia"/>
          <w:color w:val="auto"/>
          <w:highlight w:val="none"/>
        </w:rPr>
        <w:t>【条文说明】13.2.10 每年应对这些区域进行至少一次的全面检查以确保雨水不会渗透进入建筑内部。对于窗户设计中预留的排水系统，应保持其畅通无阻，以确保在雨水天气中窗户构件能够正常排水，防止水分积聚导致漏水问题。</w:t>
      </w:r>
    </w:p>
    <w:p w14:paraId="7B869C38">
      <w:pPr>
        <w:rPr>
          <w:color w:val="auto"/>
          <w:highlight w:val="none"/>
        </w:rPr>
      </w:pPr>
    </w:p>
    <w:p w14:paraId="610D3497">
      <w:pPr>
        <w:pStyle w:val="4"/>
        <w:rPr>
          <w:color w:val="auto"/>
          <w:highlight w:val="none"/>
          <w:lang w:eastAsia="zh-CN"/>
        </w:rPr>
      </w:pPr>
      <w:r>
        <w:rPr>
          <w:color w:val="auto"/>
          <w:highlight w:val="none"/>
          <w:lang w:eastAsia="zh-CN"/>
        </w:rPr>
        <w:t>13.2.1</w:t>
      </w:r>
      <w:r>
        <w:rPr>
          <w:rFonts w:hint="eastAsia"/>
          <w:color w:val="auto"/>
          <w:highlight w:val="none"/>
          <w:lang w:eastAsia="zh-CN"/>
        </w:rPr>
        <w:t>1   每年应对基础外部设施进行检查，尤其是基础上有较大裂缝部分。这些裂缝应根据实际需要进行修补，以防止漏水。小的裂缝可能是由混凝土施工过程中的沉降引起的。</w:t>
      </w:r>
    </w:p>
    <w:p w14:paraId="7941899E">
      <w:pPr>
        <w:pStyle w:val="50"/>
        <w:ind w:firstLine="480"/>
        <w:rPr>
          <w:color w:val="auto"/>
          <w:highlight w:val="none"/>
        </w:rPr>
      </w:pPr>
      <w:r>
        <w:rPr>
          <w:rFonts w:hint="eastAsia"/>
          <w:color w:val="auto"/>
          <w:highlight w:val="none"/>
        </w:rPr>
        <w:t>【条文说明】13.2.11 对于较大的裂缝，应根据实际情况采取修补措施，以防止水分渗入基础内部导致地基沉降或进一步损坏，还应确保雨水能够顺畅排出，避免积水对基础造成不利影响。</w:t>
      </w:r>
    </w:p>
    <w:p w14:paraId="23DF7DA6">
      <w:pPr>
        <w:rPr>
          <w:color w:val="auto"/>
          <w:highlight w:val="none"/>
        </w:rPr>
      </w:pPr>
    </w:p>
    <w:p w14:paraId="556F56AD">
      <w:pPr>
        <w:pStyle w:val="4"/>
        <w:rPr>
          <w:color w:val="auto"/>
          <w:highlight w:val="none"/>
          <w:lang w:eastAsia="zh-CN"/>
        </w:rPr>
      </w:pPr>
      <w:r>
        <w:rPr>
          <w:color w:val="auto"/>
          <w:highlight w:val="none"/>
          <w:lang w:eastAsia="zh-CN"/>
        </w:rPr>
        <w:t>13.2.1</w:t>
      </w:r>
      <w:r>
        <w:rPr>
          <w:rFonts w:hint="eastAsia"/>
          <w:color w:val="auto"/>
          <w:highlight w:val="none"/>
          <w:lang w:eastAsia="zh-CN"/>
        </w:rPr>
        <w:t>2</w:t>
      </w:r>
      <w:r>
        <w:rPr>
          <w:color w:val="auto"/>
          <w:highlight w:val="none"/>
          <w:lang w:eastAsia="zh-CN"/>
        </w:rPr>
        <w:t xml:space="preserve"> </w:t>
      </w:r>
      <w:r>
        <w:rPr>
          <w:rFonts w:hint="eastAsia"/>
          <w:color w:val="auto"/>
          <w:highlight w:val="none"/>
          <w:lang w:eastAsia="zh-CN"/>
        </w:rPr>
        <w:t xml:space="preserve"> 太靠近基础的枝叶和树木应清除。露台和楼梯表面应定期重做饰面，以延长使用寿命。装修材料应美观耐用。</w:t>
      </w:r>
    </w:p>
    <w:p w14:paraId="6486A227">
      <w:pPr>
        <w:pStyle w:val="50"/>
        <w:ind w:firstLine="480"/>
        <w:rPr>
          <w:color w:val="auto"/>
          <w:highlight w:val="none"/>
        </w:rPr>
      </w:pPr>
      <w:r>
        <w:rPr>
          <w:rFonts w:hint="eastAsia"/>
          <w:color w:val="auto"/>
          <w:highlight w:val="none"/>
        </w:rPr>
        <w:t>【条文说明】13.2.12 对于露台和楼梯等室外活动区域，应定期重做饰面以延长其使用寿命，并确保使用的装修材料既美观又耐用。</w:t>
      </w:r>
    </w:p>
    <w:p w14:paraId="682986CA">
      <w:pPr>
        <w:rPr>
          <w:color w:val="auto"/>
          <w:highlight w:val="none"/>
        </w:rPr>
      </w:pPr>
    </w:p>
    <w:p w14:paraId="1A016E22">
      <w:pPr>
        <w:pStyle w:val="4"/>
        <w:rPr>
          <w:color w:val="auto"/>
          <w:highlight w:val="none"/>
        </w:rPr>
      </w:pPr>
      <w:r>
        <w:rPr>
          <w:rFonts w:hint="eastAsia"/>
          <w:color w:val="auto"/>
          <w:highlight w:val="none"/>
        </w:rPr>
        <w:t>13.2.</w:t>
      </w:r>
      <w:r>
        <w:rPr>
          <w:rFonts w:hint="eastAsia"/>
          <w:color w:val="auto"/>
          <w:highlight w:val="none"/>
          <w:lang w:eastAsia="zh-CN"/>
        </w:rPr>
        <w:t>13</w:t>
      </w:r>
      <w:r>
        <w:rPr>
          <w:rFonts w:hint="eastAsia"/>
          <w:color w:val="auto"/>
          <w:highlight w:val="none"/>
        </w:rPr>
        <w:t xml:space="preserve">  木结构建筑的常规检查宜采用非破坏性检查方法。常规检查应符合下列规定：</w:t>
      </w:r>
    </w:p>
    <w:p w14:paraId="6CDC23F8">
      <w:pPr>
        <w:pStyle w:val="4"/>
        <w:ind w:firstLine="480" w:firstLineChars="200"/>
        <w:rPr>
          <w:color w:val="auto"/>
          <w:highlight w:val="none"/>
        </w:rPr>
      </w:pPr>
      <w:r>
        <w:rPr>
          <w:rFonts w:hint="eastAsia"/>
          <w:color w:val="auto"/>
          <w:highlight w:val="none"/>
        </w:rPr>
        <w:t>l 工程竣工使用1年时，应对木结构工程进行一次全面检查；此后，应根据当地气候特点，宜每隔3、5年进行一次常规检查。</w:t>
      </w:r>
    </w:p>
    <w:p w14:paraId="65A1D9A3">
      <w:pPr>
        <w:pStyle w:val="4"/>
        <w:ind w:firstLine="480" w:firstLineChars="20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常规检查应按下列项目进行：</w:t>
      </w:r>
    </w:p>
    <w:p w14:paraId="58BAD415">
      <w:pPr>
        <w:pStyle w:val="4"/>
        <w:ind w:firstLine="480" w:firstLineChars="200"/>
        <w:rPr>
          <w:color w:val="auto"/>
          <w:highlight w:val="none"/>
        </w:rPr>
      </w:pPr>
      <w:r>
        <w:rPr>
          <w:rFonts w:hint="eastAsia"/>
          <w:color w:val="auto"/>
          <w:highlight w:val="none"/>
          <w:lang w:eastAsia="zh-CN"/>
        </w:rPr>
        <w:t>1</w:t>
      </w:r>
      <w:r>
        <w:rPr>
          <w:rFonts w:hint="eastAsia"/>
          <w:color w:val="auto"/>
          <w:highlight w:val="none"/>
        </w:rPr>
        <w:t>） 木结构墙面变形、开裂和损坏的情况 ；</w:t>
      </w:r>
    </w:p>
    <w:p w14:paraId="2F28FCF7">
      <w:pPr>
        <w:pStyle w:val="4"/>
        <w:ind w:firstLine="480" w:firstLineChars="200"/>
        <w:rPr>
          <w:color w:val="auto"/>
          <w:highlight w:val="none"/>
        </w:rPr>
      </w:pPr>
      <w:r>
        <w:rPr>
          <w:rFonts w:hint="eastAsia"/>
          <w:color w:val="auto"/>
          <w:highlight w:val="none"/>
        </w:rPr>
        <w:t>2） 结构构件之间的连接松动情况 ，以及连接件破损或缺失情况 ；</w:t>
      </w:r>
    </w:p>
    <w:p w14:paraId="7CD2CC31">
      <w:pPr>
        <w:pStyle w:val="4"/>
        <w:ind w:firstLine="480" w:firstLineChars="200"/>
        <w:rPr>
          <w:color w:val="auto"/>
          <w:highlight w:val="none"/>
        </w:rPr>
      </w:pPr>
      <w:r>
        <w:rPr>
          <w:rFonts w:hint="eastAsia"/>
          <w:color w:val="auto"/>
          <w:highlight w:val="none"/>
        </w:rPr>
        <w:t>3） 木结构墙体面板受潮情况；</w:t>
      </w:r>
    </w:p>
    <w:p w14:paraId="7E6840C8">
      <w:pPr>
        <w:pStyle w:val="4"/>
        <w:ind w:firstLine="480" w:firstLineChars="200"/>
        <w:rPr>
          <w:color w:val="auto"/>
          <w:highlight w:val="none"/>
        </w:rPr>
      </w:pPr>
      <w:r>
        <w:rPr>
          <w:rFonts w:hint="eastAsia"/>
          <w:color w:val="auto"/>
          <w:highlight w:val="none"/>
        </w:rPr>
        <w:t>4） 木结构外墙上门窗边框的密封胶或密封条开裂 、脱落、 老化等损坏现象；</w:t>
      </w:r>
    </w:p>
    <w:p w14:paraId="495E13C0">
      <w:pPr>
        <w:pStyle w:val="4"/>
        <w:ind w:firstLine="480" w:firstLineChars="200"/>
        <w:rPr>
          <w:color w:val="auto"/>
          <w:highlight w:val="none"/>
        </w:rPr>
      </w:pPr>
      <w:r>
        <w:rPr>
          <w:rFonts w:hint="eastAsia"/>
          <w:color w:val="auto"/>
          <w:highlight w:val="none"/>
        </w:rPr>
        <w:t>5） 木结构墙体面极的固定螺钉松动和脱落情况 ；</w:t>
      </w:r>
    </w:p>
    <w:p w14:paraId="4BBB029F">
      <w:pPr>
        <w:pStyle w:val="4"/>
        <w:ind w:firstLine="480" w:firstLineChars="200"/>
        <w:rPr>
          <w:color w:val="auto"/>
          <w:highlight w:val="none"/>
        </w:rPr>
      </w:pPr>
      <w:r>
        <w:rPr>
          <w:rFonts w:hint="eastAsia"/>
          <w:color w:val="auto"/>
          <w:highlight w:val="none"/>
        </w:rPr>
        <w:t>6） 消防设备有效性和可操控性。</w:t>
      </w:r>
    </w:p>
    <w:p w14:paraId="5E891A46">
      <w:pPr>
        <w:pStyle w:val="50"/>
        <w:ind w:firstLine="480"/>
        <w:rPr>
          <w:color w:val="auto"/>
          <w:highlight w:val="none"/>
        </w:rPr>
      </w:pPr>
      <w:r>
        <w:rPr>
          <w:rFonts w:hint="eastAsia"/>
          <w:color w:val="auto"/>
          <w:highlight w:val="none"/>
        </w:rPr>
        <w:t>【条文说明】13.2.13 特别是要注意内部装修的性能，如卫生间，长期处于潮湿环境更容易受到潮气的破坏。例如地砖松动、裂缝，以及淋浴、浴缸及浴室地板附近的灰缝失效等，都是可能发生的情况。如果细小的泄漏不能及时得到处理，可能会损坏。木结构构件和其它饰面层。可使用螺丝刀柄轻轻敲打瓷砖边缘以判断是否发生了松动，如果确实有松动，应立即进行修缮。有时候重铺浴室地砖或更换其中的几块是必要的，裂缝有时也不得不重做灰浆。同时可能需要在转角处、水龙头和水管管件附近使用防霉密封剂。</w:t>
      </w:r>
    </w:p>
    <w:p w14:paraId="19A99D6E">
      <w:pPr>
        <w:pStyle w:val="50"/>
        <w:ind w:firstLine="480"/>
        <w:rPr>
          <w:color w:val="auto"/>
          <w:highlight w:val="none"/>
        </w:rPr>
      </w:pPr>
      <w:r>
        <w:rPr>
          <w:rFonts w:hint="eastAsia"/>
          <w:color w:val="auto"/>
          <w:highlight w:val="none"/>
        </w:rPr>
        <w:t xml:space="preserve">应对建筑物内部各处（包括窗、外门、墙、楼板、阁楼、地下室和架空层）进行至少半年一次的例行检查，冷凝和发霉问题可能由以下原因引起：  </w:t>
      </w:r>
    </w:p>
    <w:p w14:paraId="41DAB155">
      <w:pPr>
        <w:pStyle w:val="50"/>
        <w:ind w:firstLine="480"/>
        <w:rPr>
          <w:color w:val="auto"/>
          <w:highlight w:val="none"/>
        </w:rPr>
      </w:pPr>
      <w:r>
        <w:rPr>
          <w:rFonts w:hint="eastAsia"/>
          <w:color w:val="auto"/>
          <w:highlight w:val="none"/>
        </w:rPr>
        <w:t xml:space="preserve">1  室内过多的冷凝水或高湿度环境  </w:t>
      </w:r>
    </w:p>
    <w:p w14:paraId="2F3C9DD7">
      <w:pPr>
        <w:pStyle w:val="50"/>
        <w:ind w:firstLine="480"/>
        <w:rPr>
          <w:color w:val="auto"/>
          <w:highlight w:val="none"/>
        </w:rPr>
      </w:pPr>
      <w:r>
        <w:rPr>
          <w:rFonts w:hint="eastAsia"/>
          <w:color w:val="auto"/>
          <w:highlight w:val="none"/>
        </w:rPr>
        <w:t xml:space="preserve">2  围护结构空腔中滞留了过多的水汽并形成了冷凝， 浴室、厨房、设备间属于冷凝高发区域。窗户和外门会使窗台和门周围的地板产生冷凝。  </w:t>
      </w:r>
    </w:p>
    <w:p w14:paraId="354E75E2">
      <w:pPr>
        <w:pStyle w:val="50"/>
        <w:ind w:firstLine="480"/>
        <w:rPr>
          <w:color w:val="auto"/>
          <w:highlight w:val="none"/>
        </w:rPr>
      </w:pPr>
      <w:r>
        <w:rPr>
          <w:rFonts w:hint="eastAsia"/>
          <w:color w:val="auto"/>
          <w:highlight w:val="none"/>
        </w:rPr>
        <w:t>阁楼、地下室和架空层也易形成高湿度环境并形成冷凝。便携式湿度计可以方便测量湿度。出现黑霉或有霉味是高度潮湿形成冷凝的标志。变色，褪色和黑霉或是霉味都是湿度过高和可能产生冷凝的迹象。合适的湿度计可以测定高湿度水平。对已经发生的问题，应该尽快查清原因，并在合理的时间内进行修缮。如果不及时处理，过多的冷凝水会造成进一步的不易察觉的发霉，在极端情况下，会引起滋生细菌和白蚁，这些均会对健康造成危害。如果出现发霉现象，说明高湿度情况存在时间过长。尤其应检查浴室的通风系统，可以增加排气扇和除湿设备。</w:t>
      </w:r>
    </w:p>
    <w:p w14:paraId="34816F78">
      <w:pPr>
        <w:rPr>
          <w:color w:val="auto"/>
          <w:highlight w:val="none"/>
        </w:rPr>
      </w:pPr>
    </w:p>
    <w:p w14:paraId="595C9387">
      <w:pPr>
        <w:pStyle w:val="4"/>
        <w:rPr>
          <w:color w:val="auto"/>
          <w:highlight w:val="none"/>
        </w:rPr>
      </w:pPr>
      <w:r>
        <w:rPr>
          <w:rFonts w:hint="eastAsia"/>
          <w:color w:val="auto"/>
          <w:highlight w:val="none"/>
        </w:rPr>
        <w:t>13.2.</w:t>
      </w:r>
      <w:r>
        <w:rPr>
          <w:rFonts w:hint="eastAsia"/>
          <w:color w:val="auto"/>
          <w:highlight w:val="none"/>
          <w:lang w:eastAsia="zh-CN"/>
        </w:rPr>
        <w:t>14</w:t>
      </w:r>
      <w:r>
        <w:rPr>
          <w:rFonts w:hint="eastAsia"/>
          <w:color w:val="auto"/>
          <w:highlight w:val="none"/>
        </w:rPr>
        <w:t xml:space="preserve">  极端强风或强震发生后，应对木结构建筑立即进行检查。在风暴过后，应对所有外墙和屋面进行彻底目测检查，确认屋面和外饰面未出现松动移位或穿透。如果必要应立即进行维修。</w:t>
      </w:r>
    </w:p>
    <w:p w14:paraId="72BB0324">
      <w:pPr>
        <w:pStyle w:val="4"/>
        <w:ind w:firstLine="480" w:firstLineChars="200"/>
        <w:rPr>
          <w:color w:val="auto"/>
          <w:highlight w:val="none"/>
        </w:rPr>
      </w:pPr>
      <w:r>
        <w:rPr>
          <w:rFonts w:hint="eastAsia"/>
          <w:color w:val="auto"/>
          <w:highlight w:val="none"/>
        </w:rPr>
        <w:t xml:space="preserve">地震发生后，应彻底检查的地方包括：  </w:t>
      </w:r>
    </w:p>
    <w:p w14:paraId="3D81B635">
      <w:pPr>
        <w:pStyle w:val="4"/>
        <w:ind w:firstLine="480" w:firstLineChars="200"/>
        <w:rPr>
          <w:color w:val="auto"/>
          <w:highlight w:val="none"/>
        </w:rPr>
      </w:pPr>
      <w:r>
        <w:rPr>
          <w:rFonts w:hint="eastAsia"/>
          <w:color w:val="auto"/>
          <w:highlight w:val="none"/>
        </w:rPr>
        <w:t>1  混凝土基础损坏；</w:t>
      </w:r>
    </w:p>
    <w:p w14:paraId="13A117A4">
      <w:pPr>
        <w:pStyle w:val="4"/>
        <w:ind w:firstLine="480" w:firstLineChars="200"/>
        <w:rPr>
          <w:color w:val="auto"/>
          <w:highlight w:val="none"/>
        </w:rPr>
      </w:pPr>
      <w:r>
        <w:rPr>
          <w:rFonts w:hint="eastAsia"/>
          <w:color w:val="auto"/>
          <w:highlight w:val="none"/>
        </w:rPr>
        <w:t>2  木结构框架在基础上发生偏移；</w:t>
      </w:r>
    </w:p>
    <w:p w14:paraId="3E7FB387">
      <w:pPr>
        <w:pStyle w:val="4"/>
        <w:ind w:firstLine="480" w:firstLineChars="200"/>
        <w:rPr>
          <w:color w:val="auto"/>
          <w:highlight w:val="none"/>
        </w:rPr>
      </w:pPr>
      <w:r>
        <w:rPr>
          <w:rFonts w:hint="eastAsia"/>
          <w:color w:val="auto"/>
          <w:highlight w:val="none"/>
        </w:rPr>
        <w:t>3  建筑物外围一般性损坏；</w:t>
      </w:r>
    </w:p>
    <w:p w14:paraId="78B90D81">
      <w:pPr>
        <w:pStyle w:val="4"/>
        <w:ind w:firstLine="480" w:firstLineChars="200"/>
        <w:rPr>
          <w:color w:val="auto"/>
          <w:highlight w:val="none"/>
        </w:rPr>
      </w:pPr>
      <w:r>
        <w:rPr>
          <w:rFonts w:hint="eastAsia"/>
          <w:color w:val="auto"/>
          <w:highlight w:val="none"/>
        </w:rPr>
        <w:t>4  外墙开口周围的斜向裂缝或材料位移；</w:t>
      </w:r>
    </w:p>
    <w:p w14:paraId="1C7CFD8B">
      <w:pPr>
        <w:pStyle w:val="4"/>
        <w:ind w:firstLine="480" w:firstLineChars="200"/>
        <w:rPr>
          <w:color w:val="auto"/>
          <w:highlight w:val="none"/>
        </w:rPr>
      </w:pPr>
      <w:r>
        <w:rPr>
          <w:rFonts w:hint="eastAsia"/>
          <w:color w:val="auto"/>
          <w:highlight w:val="none"/>
        </w:rPr>
        <w:t>5  窗户玻璃破裂。</w:t>
      </w:r>
    </w:p>
    <w:p w14:paraId="1D4DA993">
      <w:pPr>
        <w:pStyle w:val="4"/>
        <w:ind w:firstLine="480" w:firstLineChars="200"/>
        <w:rPr>
          <w:color w:val="auto"/>
          <w:highlight w:val="none"/>
        </w:rPr>
      </w:pPr>
      <w:r>
        <w:rPr>
          <w:rFonts w:hint="eastAsia"/>
          <w:color w:val="auto"/>
          <w:highlight w:val="none"/>
        </w:rPr>
        <w:t>以上任何损坏都应尽快修理。如果出现结构损坏或者进水，应立即由合格专家进行适合的维修。凡遇到此类问题应直接让熟悉木结构系统和混凝土结构系统的结构工程师介入解决。</w:t>
      </w:r>
    </w:p>
    <w:p w14:paraId="4234B5EF">
      <w:pPr>
        <w:pStyle w:val="3"/>
        <w:spacing w:before="156" w:after="156"/>
        <w:rPr>
          <w:color w:val="auto"/>
          <w:highlight w:val="none"/>
          <w:lang w:eastAsia="zh-CN"/>
        </w:rPr>
      </w:pPr>
      <w:bookmarkStart w:id="281" w:name="_Toc22956"/>
      <w:bookmarkStart w:id="282" w:name="_Toc10705"/>
      <w:bookmarkStart w:id="283" w:name="_Toc13506"/>
      <w:r>
        <w:rPr>
          <w:color w:val="auto"/>
          <w:highlight w:val="none"/>
          <w:lang w:eastAsia="zh-CN"/>
        </w:rPr>
        <w:t>13.3</w:t>
      </w:r>
      <w:r>
        <w:rPr>
          <w:rFonts w:hint="eastAsia"/>
          <w:color w:val="auto"/>
          <w:highlight w:val="none"/>
          <w:lang w:eastAsia="zh-CN"/>
        </w:rPr>
        <w:t xml:space="preserve">  </w:t>
      </w:r>
      <w:r>
        <w:rPr>
          <w:color w:val="auto"/>
          <w:highlight w:val="none"/>
          <w:lang w:eastAsia="zh-CN"/>
        </w:rPr>
        <w:t>维护要求</w:t>
      </w:r>
      <w:bookmarkEnd w:id="281"/>
      <w:bookmarkEnd w:id="282"/>
      <w:bookmarkEnd w:id="283"/>
    </w:p>
    <w:p w14:paraId="2D441624">
      <w:pPr>
        <w:pStyle w:val="4"/>
        <w:rPr>
          <w:color w:val="auto"/>
          <w:highlight w:val="none"/>
          <w:lang w:eastAsia="zh-CN"/>
        </w:rPr>
      </w:pPr>
      <w:r>
        <w:rPr>
          <w:color w:val="auto"/>
          <w:highlight w:val="none"/>
          <w:lang w:eastAsia="zh-CN"/>
        </w:rPr>
        <w:t xml:space="preserve">13.3.1 </w:t>
      </w:r>
      <w:r>
        <w:rPr>
          <w:rFonts w:hint="eastAsia"/>
          <w:color w:val="auto"/>
          <w:highlight w:val="none"/>
          <w:lang w:eastAsia="zh-CN"/>
        </w:rPr>
        <w:t xml:space="preserve"> 根据《建设工程质量管理条例》国务院第 279 号令强调项目竣工后的质量保证。根据中国建筑法律，设置相应目标来加强建设质量管理，以确保工程质量并保证中国人民生命和财产安全。</w:t>
      </w:r>
    </w:p>
    <w:p w14:paraId="00EE04AD">
      <w:pPr>
        <w:pStyle w:val="50"/>
        <w:ind w:firstLine="480"/>
        <w:rPr>
          <w:color w:val="auto"/>
          <w:highlight w:val="none"/>
        </w:rPr>
      </w:pPr>
      <w:r>
        <w:rPr>
          <w:rFonts w:hint="eastAsia"/>
          <w:color w:val="auto"/>
          <w:highlight w:val="none"/>
        </w:rPr>
        <w:t>【条文说明】</w:t>
      </w:r>
      <w:r>
        <w:rPr>
          <w:color w:val="auto"/>
          <w:highlight w:val="none"/>
        </w:rPr>
        <w:t>13.3.1</w:t>
      </w:r>
      <w:r>
        <w:rPr>
          <w:rFonts w:hint="eastAsia"/>
          <w:color w:val="auto"/>
          <w:highlight w:val="none"/>
        </w:rPr>
        <w:t xml:space="preserve"> 通过设置相应的质量保证目标和加强建设质量管理，可以确保工程在建设过程中符合设计标准和规范要求，从而在竣工后能够稳定、安全地运行。</w:t>
      </w:r>
    </w:p>
    <w:p w14:paraId="7EF6EB5B">
      <w:pPr>
        <w:rPr>
          <w:color w:val="auto"/>
          <w:highlight w:val="none"/>
        </w:rPr>
      </w:pPr>
    </w:p>
    <w:p w14:paraId="1D45A95C">
      <w:pPr>
        <w:pStyle w:val="4"/>
        <w:rPr>
          <w:color w:val="auto"/>
          <w:highlight w:val="none"/>
          <w:lang w:eastAsia="zh-CN"/>
        </w:rPr>
      </w:pPr>
      <w:r>
        <w:rPr>
          <w:color w:val="auto"/>
          <w:highlight w:val="none"/>
          <w:lang w:eastAsia="zh-CN"/>
        </w:rPr>
        <w:t>13.3.2</w:t>
      </w:r>
      <w:r>
        <w:rPr>
          <w:rFonts w:hint="eastAsia"/>
          <w:color w:val="auto"/>
          <w:highlight w:val="none"/>
          <w:lang w:eastAsia="zh-CN"/>
        </w:rPr>
        <w:t xml:space="preserve">  根据建筑质量安全保障，质量维护条款如下：</w:t>
      </w:r>
    </w:p>
    <w:p w14:paraId="6112EB51">
      <w:pPr>
        <w:pStyle w:val="4"/>
        <w:ind w:firstLine="480" w:firstLineChars="200"/>
        <w:rPr>
          <w:color w:val="auto"/>
          <w:highlight w:val="none"/>
          <w:lang w:eastAsia="zh-CN"/>
        </w:rPr>
      </w:pPr>
      <w:r>
        <w:rPr>
          <w:rFonts w:hint="eastAsia"/>
          <w:color w:val="auto"/>
          <w:highlight w:val="none"/>
          <w:lang w:eastAsia="zh-CN"/>
        </w:rPr>
        <w:t>1  按设计规定建造的主体建筑平均生命周期的基础构架，基础和结构</w:t>
      </w:r>
      <w:r>
        <w:rPr>
          <w:rFonts w:hint="eastAsia"/>
          <w:color w:val="auto"/>
          <w:highlight w:val="none"/>
          <w:lang w:eastAsia="zh-CN"/>
        </w:rPr>
        <w:t>；</w:t>
      </w:r>
    </w:p>
    <w:p w14:paraId="2ABB5398">
      <w:pPr>
        <w:pStyle w:val="4"/>
        <w:ind w:firstLine="480" w:firstLineChars="200"/>
        <w:rPr>
          <w:color w:val="auto"/>
          <w:highlight w:val="none"/>
          <w:lang w:eastAsia="zh-CN"/>
        </w:rPr>
      </w:pPr>
      <w:r>
        <w:rPr>
          <w:rFonts w:hint="eastAsia"/>
          <w:color w:val="auto"/>
          <w:highlight w:val="none"/>
          <w:lang w:eastAsia="zh-CN"/>
        </w:rPr>
        <w:t>2  屋面和外墙漏水，卫生间和内墙漏水：5年</w:t>
      </w:r>
      <w:r>
        <w:rPr>
          <w:rFonts w:hint="eastAsia"/>
          <w:color w:val="auto"/>
          <w:highlight w:val="none"/>
          <w:lang w:eastAsia="zh-CN"/>
        </w:rPr>
        <w:t>；</w:t>
      </w:r>
    </w:p>
    <w:p w14:paraId="36F36034">
      <w:pPr>
        <w:pStyle w:val="4"/>
        <w:ind w:firstLine="480" w:firstLineChars="200"/>
        <w:rPr>
          <w:color w:val="auto"/>
          <w:highlight w:val="none"/>
          <w:lang w:eastAsia="zh-CN"/>
        </w:rPr>
      </w:pPr>
      <w:r>
        <w:rPr>
          <w:rFonts w:hint="eastAsia"/>
          <w:color w:val="auto"/>
          <w:highlight w:val="none"/>
          <w:lang w:eastAsia="zh-CN"/>
        </w:rPr>
        <w:t>3  热力和空调系统：2年</w:t>
      </w:r>
      <w:r>
        <w:rPr>
          <w:rFonts w:hint="eastAsia"/>
          <w:color w:val="auto"/>
          <w:highlight w:val="none"/>
          <w:lang w:eastAsia="zh-CN"/>
        </w:rPr>
        <w:t>；</w:t>
      </w:r>
    </w:p>
    <w:p w14:paraId="1D5B33B4">
      <w:pPr>
        <w:pStyle w:val="4"/>
        <w:ind w:firstLine="480" w:firstLineChars="200"/>
        <w:rPr>
          <w:color w:val="auto"/>
          <w:highlight w:val="none"/>
          <w:lang w:eastAsia="zh-CN"/>
        </w:rPr>
      </w:pPr>
      <w:r>
        <w:rPr>
          <w:rFonts w:hint="eastAsia"/>
          <w:color w:val="auto"/>
          <w:highlight w:val="none"/>
          <w:lang w:eastAsia="zh-CN"/>
        </w:rPr>
        <w:t>4  电力，燃气，管道，设备安装和装修（如果有）：2年</w:t>
      </w:r>
      <w:r>
        <w:rPr>
          <w:rFonts w:hint="eastAsia"/>
          <w:color w:val="auto"/>
          <w:highlight w:val="none"/>
          <w:lang w:eastAsia="zh-CN"/>
        </w:rPr>
        <w:t>；</w:t>
      </w:r>
    </w:p>
    <w:bookmarkEnd w:id="258"/>
    <w:p w14:paraId="1550D69E">
      <w:pPr>
        <w:pStyle w:val="50"/>
        <w:ind w:firstLine="480"/>
        <w:rPr>
          <w:color w:val="auto"/>
          <w:highlight w:val="none"/>
        </w:rPr>
      </w:pPr>
      <w:r>
        <w:rPr>
          <w:rFonts w:hint="eastAsia"/>
          <w:color w:val="auto"/>
          <w:highlight w:val="none"/>
        </w:rPr>
        <w:t>【条文说明】</w:t>
      </w:r>
      <w:r>
        <w:rPr>
          <w:color w:val="auto"/>
          <w:highlight w:val="none"/>
        </w:rPr>
        <w:t>13.3.2</w:t>
      </w:r>
      <w:r>
        <w:rPr>
          <w:rFonts w:hint="eastAsia"/>
          <w:color w:val="auto"/>
          <w:highlight w:val="none"/>
        </w:rPr>
        <w:t xml:space="preserve"> 建筑的质量安全保障和维护通过制定详细的维护计划、建立有效的管理机制、加强日常巡查和保养等措施的实施，可以确保建筑在使用过程中的安全、稳定、舒适和耐久。 </w:t>
      </w:r>
    </w:p>
    <w:p w14:paraId="4AC2F502">
      <w:pPr>
        <w:rPr>
          <w:color w:val="auto"/>
          <w:highlight w:val="none"/>
          <w:lang w:eastAsia="zh-CN"/>
        </w:rPr>
      </w:pPr>
    </w:p>
    <w:p w14:paraId="4C6F4C4A">
      <w:pPr>
        <w:pStyle w:val="4"/>
        <w:rPr>
          <w:color w:val="auto"/>
          <w:highlight w:val="none"/>
          <w:lang w:eastAsia="zh-CN"/>
        </w:rPr>
      </w:pPr>
      <w:bookmarkStart w:id="284" w:name="OLE_LINK9"/>
      <w:r>
        <w:rPr>
          <w:color w:val="auto"/>
          <w:highlight w:val="none"/>
          <w:lang w:eastAsia="zh-CN"/>
        </w:rPr>
        <w:t>13.3.</w:t>
      </w:r>
      <w:r>
        <w:rPr>
          <w:rFonts w:hint="eastAsia"/>
          <w:color w:val="auto"/>
          <w:highlight w:val="none"/>
          <w:lang w:eastAsia="zh-CN"/>
        </w:rPr>
        <w:t xml:space="preserve">3 </w:t>
      </w:r>
      <w:bookmarkEnd w:id="284"/>
      <w:r>
        <w:rPr>
          <w:rFonts w:hint="eastAsia"/>
          <w:color w:val="auto"/>
          <w:highlight w:val="none"/>
          <w:lang w:eastAsia="zh-CN"/>
        </w:rPr>
        <w:t xml:space="preserve"> 对于常规检查项目中不符合要求的内容，应负责组织实 施一般维修。一般维修应包括下列内容：</w:t>
      </w:r>
    </w:p>
    <w:p w14:paraId="56C57F68">
      <w:pPr>
        <w:pStyle w:val="4"/>
        <w:ind w:firstLine="480" w:firstLineChars="200"/>
        <w:rPr>
          <w:color w:val="auto"/>
          <w:highlight w:val="none"/>
          <w:lang w:eastAsia="zh-CN"/>
        </w:rPr>
      </w:pPr>
      <w:r>
        <w:rPr>
          <w:rFonts w:hint="eastAsia"/>
          <w:color w:val="auto"/>
          <w:highlight w:val="none"/>
          <w:lang w:eastAsia="zh-CN"/>
        </w:rPr>
        <w:t>1</w:t>
      </w:r>
      <w:r>
        <w:rPr>
          <w:rFonts w:hint="eastAsia"/>
          <w:color w:val="auto"/>
          <w:highlight w:val="none"/>
          <w:lang w:eastAsia="zh-CN"/>
        </w:rPr>
        <w:tab/>
      </w:r>
      <w:r>
        <w:rPr>
          <w:rFonts w:hint="eastAsia"/>
          <w:color w:val="auto"/>
          <w:highlight w:val="none"/>
          <w:lang w:eastAsia="zh-CN"/>
        </w:rPr>
        <w:t>修复异常连接件；</w:t>
      </w:r>
    </w:p>
    <w:p w14:paraId="29210B2F">
      <w:pPr>
        <w:pStyle w:val="4"/>
        <w:ind w:firstLine="480" w:firstLineChars="200"/>
        <w:rPr>
          <w:color w:val="auto"/>
          <w:highlight w:val="none"/>
          <w:lang w:eastAsia="zh-CN"/>
        </w:rPr>
      </w:pPr>
      <w:r>
        <w:rPr>
          <w:rFonts w:hint="eastAsia"/>
          <w:color w:val="auto"/>
          <w:highlight w:val="none"/>
          <w:lang w:eastAsia="zh-CN"/>
        </w:rPr>
        <w:t>2</w:t>
      </w:r>
      <w:r>
        <w:rPr>
          <w:rFonts w:hint="eastAsia"/>
          <w:color w:val="auto"/>
          <w:highlight w:val="none"/>
          <w:lang w:eastAsia="zh-CN"/>
        </w:rPr>
        <w:tab/>
      </w:r>
      <w:r>
        <w:rPr>
          <w:rFonts w:hint="eastAsia"/>
          <w:color w:val="auto"/>
          <w:highlight w:val="none"/>
          <w:lang w:eastAsia="zh-CN"/>
        </w:rPr>
        <w:t>修复受损木结构屋盖板，并清理屋面排水系统；</w:t>
      </w:r>
    </w:p>
    <w:p w14:paraId="12C936EA">
      <w:pPr>
        <w:pStyle w:val="4"/>
        <w:ind w:firstLine="480" w:firstLineChars="200"/>
        <w:rPr>
          <w:color w:val="auto"/>
          <w:highlight w:val="none"/>
          <w:lang w:eastAsia="zh-CN"/>
        </w:rPr>
      </w:pPr>
      <w:r>
        <w:rPr>
          <w:rFonts w:hint="eastAsia"/>
          <w:color w:val="auto"/>
          <w:highlight w:val="none"/>
          <w:lang w:eastAsia="zh-CN"/>
        </w:rPr>
        <w:t>3</w:t>
      </w:r>
      <w:r>
        <w:rPr>
          <w:rFonts w:hint="eastAsia"/>
          <w:color w:val="auto"/>
          <w:highlight w:val="none"/>
          <w:lang w:eastAsia="zh-CN"/>
        </w:rPr>
        <w:tab/>
      </w:r>
      <w:r>
        <w:rPr>
          <w:rFonts w:hint="eastAsia"/>
          <w:color w:val="auto"/>
          <w:highlight w:val="none"/>
          <w:lang w:eastAsia="zh-CN"/>
        </w:rPr>
        <w:t>修复受损墙面、顶棚；</w:t>
      </w:r>
    </w:p>
    <w:p w14:paraId="47364ACD">
      <w:pPr>
        <w:pStyle w:val="4"/>
        <w:ind w:firstLine="480" w:firstLineChars="200"/>
        <w:rPr>
          <w:color w:val="auto"/>
          <w:highlight w:val="none"/>
          <w:lang w:eastAsia="zh-CN"/>
        </w:rPr>
      </w:pPr>
      <w:r>
        <w:rPr>
          <w:rFonts w:hint="eastAsia"/>
          <w:color w:val="auto"/>
          <w:highlight w:val="none"/>
          <w:lang w:eastAsia="zh-CN"/>
        </w:rPr>
        <w:t>4</w:t>
      </w:r>
      <w:r>
        <w:rPr>
          <w:rFonts w:hint="eastAsia"/>
          <w:color w:val="auto"/>
          <w:highlight w:val="none"/>
          <w:lang w:eastAsia="zh-CN"/>
        </w:rPr>
        <w:tab/>
      </w:r>
      <w:r>
        <w:rPr>
          <w:rFonts w:hint="eastAsia"/>
          <w:color w:val="auto"/>
          <w:highlight w:val="none"/>
          <w:lang w:eastAsia="zh-CN"/>
        </w:rPr>
        <w:t>修复外墙围护结构渗水；</w:t>
      </w:r>
    </w:p>
    <w:p w14:paraId="02C99734">
      <w:pPr>
        <w:pStyle w:val="4"/>
        <w:ind w:firstLine="480" w:firstLineChars="200"/>
        <w:rPr>
          <w:color w:val="auto"/>
          <w:highlight w:val="none"/>
          <w:lang w:eastAsia="zh-CN"/>
        </w:rPr>
      </w:pPr>
      <w:r>
        <w:rPr>
          <w:rFonts w:hint="eastAsia"/>
          <w:color w:val="auto"/>
          <w:highlight w:val="none"/>
          <w:lang w:eastAsia="zh-CN"/>
        </w:rPr>
        <w:t>5</w:t>
      </w:r>
      <w:r>
        <w:rPr>
          <w:rFonts w:hint="eastAsia"/>
          <w:color w:val="auto"/>
          <w:highlight w:val="none"/>
          <w:lang w:eastAsia="zh-CN"/>
        </w:rPr>
        <w:tab/>
      </w:r>
      <w:r>
        <w:rPr>
          <w:rFonts w:hint="eastAsia"/>
          <w:color w:val="auto"/>
          <w:highlight w:val="none"/>
          <w:lang w:eastAsia="zh-CN"/>
        </w:rPr>
        <w:t>更换或修复已损坏或已老化零部件；</w:t>
      </w:r>
    </w:p>
    <w:p w14:paraId="02B16082">
      <w:pPr>
        <w:pStyle w:val="4"/>
        <w:ind w:firstLine="480" w:firstLineChars="200"/>
        <w:rPr>
          <w:color w:val="auto"/>
          <w:highlight w:val="none"/>
          <w:lang w:eastAsia="zh-CN"/>
        </w:rPr>
      </w:pPr>
      <w:r>
        <w:rPr>
          <w:rFonts w:hint="eastAsia"/>
          <w:color w:val="auto"/>
          <w:highlight w:val="none"/>
          <w:lang w:eastAsia="zh-CN"/>
        </w:rPr>
        <w:t>6</w:t>
      </w:r>
      <w:r>
        <w:rPr>
          <w:rFonts w:hint="eastAsia"/>
          <w:color w:val="auto"/>
          <w:highlight w:val="none"/>
          <w:lang w:eastAsia="zh-CN"/>
        </w:rPr>
        <w:tab/>
      </w:r>
      <w:r>
        <w:rPr>
          <w:rFonts w:hint="eastAsia"/>
          <w:color w:val="auto"/>
          <w:highlight w:val="none"/>
          <w:lang w:eastAsia="zh-CN"/>
        </w:rPr>
        <w:t>处理和修复室内卫生间、厨房的渗漏水和受潮；</w:t>
      </w:r>
    </w:p>
    <w:p w14:paraId="639390D6">
      <w:pPr>
        <w:pStyle w:val="4"/>
        <w:ind w:firstLine="480" w:firstLineChars="200"/>
        <w:rPr>
          <w:color w:val="auto"/>
          <w:highlight w:val="none"/>
          <w:lang w:eastAsia="zh-CN"/>
        </w:rPr>
      </w:pPr>
      <w:r>
        <w:rPr>
          <w:rFonts w:hint="eastAsia"/>
          <w:color w:val="auto"/>
          <w:highlight w:val="none"/>
          <w:lang w:eastAsia="zh-CN"/>
        </w:rPr>
        <w:t>7</w:t>
      </w:r>
      <w:r>
        <w:rPr>
          <w:rFonts w:hint="eastAsia"/>
          <w:color w:val="auto"/>
          <w:highlight w:val="none"/>
          <w:lang w:eastAsia="zh-CN"/>
        </w:rPr>
        <w:tab/>
      </w:r>
      <w:r>
        <w:rPr>
          <w:rFonts w:hint="eastAsia"/>
          <w:color w:val="auto"/>
          <w:highlight w:val="none"/>
          <w:lang w:eastAsia="zh-CN"/>
        </w:rPr>
        <w:t>更换异常消防设备。</w:t>
      </w:r>
    </w:p>
    <w:p w14:paraId="18930CD6">
      <w:pPr>
        <w:rPr>
          <w:color w:val="auto"/>
          <w:highlight w:val="none"/>
          <w:lang w:eastAsia="zh-CN"/>
        </w:rPr>
      </w:pPr>
    </w:p>
    <w:p w14:paraId="5F740A13">
      <w:pPr>
        <w:pStyle w:val="4"/>
        <w:rPr>
          <w:color w:val="auto"/>
          <w:highlight w:val="none"/>
          <w:lang w:eastAsia="zh-CN"/>
        </w:rPr>
      </w:pPr>
      <w:r>
        <w:rPr>
          <w:color w:val="auto"/>
          <w:highlight w:val="none"/>
          <w:lang w:eastAsia="zh-CN"/>
        </w:rPr>
        <w:t>13.3.</w:t>
      </w:r>
      <w:r>
        <w:rPr>
          <w:rFonts w:hint="eastAsia"/>
          <w:color w:val="auto"/>
          <w:highlight w:val="none"/>
          <w:lang w:eastAsia="zh-CN"/>
        </w:rPr>
        <w:t>4 对于一般维修无法完成的项目，宜组织专业维修单位进行维修、加固和修复。</w:t>
      </w:r>
    </w:p>
    <w:p w14:paraId="2FA3224F">
      <w:pPr>
        <w:spacing w:line="324" w:lineRule="auto"/>
        <w:rPr>
          <w:rFonts w:ascii="宋体" w:hAnsi="宋体"/>
          <w:color w:val="auto"/>
          <w:szCs w:val="21"/>
          <w:highlight w:val="none"/>
        </w:rPr>
      </w:pPr>
    </w:p>
    <w:p w14:paraId="5D4973FE">
      <w:pPr>
        <w:spacing w:line="220" w:lineRule="atLeast"/>
        <w:rPr>
          <w:color w:val="auto"/>
          <w:highlight w:val="none"/>
        </w:rPr>
      </w:pPr>
      <w:r>
        <w:rPr>
          <w:color w:val="auto"/>
          <w:highlight w:val="none"/>
        </w:rPr>
        <w:br w:type="page"/>
      </w:r>
    </w:p>
    <w:p w14:paraId="17F767A1">
      <w:pPr>
        <w:pStyle w:val="2"/>
        <w:spacing w:before="312"/>
        <w:rPr>
          <w:color w:val="auto"/>
          <w:highlight w:val="none"/>
        </w:rPr>
        <w:sectPr>
          <w:footerReference r:id="rId11" w:type="default"/>
          <w:pgSz w:w="11906" w:h="16838"/>
          <w:pgMar w:top="1134" w:right="1020" w:bottom="1134" w:left="1020" w:header="851" w:footer="992" w:gutter="0"/>
          <w:pgNumType w:start="1"/>
          <w:cols w:space="720" w:num="1"/>
          <w:docGrid w:type="lines" w:linePitch="312" w:charSpace="0"/>
        </w:sectPr>
      </w:pPr>
      <w:bookmarkStart w:id="285" w:name="_Toc58592763"/>
    </w:p>
    <w:bookmarkEnd w:id="285"/>
    <w:p w14:paraId="732AE465">
      <w:pPr>
        <w:pStyle w:val="2"/>
        <w:spacing w:before="312"/>
        <w:rPr>
          <w:color w:val="auto"/>
          <w:highlight w:val="none"/>
        </w:rPr>
      </w:pPr>
      <w:bookmarkStart w:id="286" w:name="_Toc27507"/>
      <w:bookmarkStart w:id="287" w:name="_Toc12610"/>
      <w:bookmarkStart w:id="288" w:name="_Toc28365"/>
      <w:bookmarkStart w:id="289" w:name="_Toc7064"/>
      <w:bookmarkStart w:id="290" w:name="_Toc18320"/>
      <w:bookmarkStart w:id="291" w:name="_Toc24614"/>
      <w:bookmarkStart w:id="292" w:name="_Toc13040"/>
      <w:bookmarkStart w:id="293" w:name="_Toc9005"/>
      <w:bookmarkStart w:id="294" w:name="_Toc13471"/>
      <w:bookmarkStart w:id="295" w:name="_Toc12034"/>
      <w:bookmarkStart w:id="296" w:name="_Toc5151"/>
      <w:bookmarkStart w:id="297" w:name="_Toc17660"/>
      <w:r>
        <w:rPr>
          <w:rFonts w:hint="eastAsia"/>
          <w:color w:val="auto"/>
          <w:highlight w:val="none"/>
        </w:rPr>
        <w:t>附录</w:t>
      </w:r>
      <w:r>
        <w:rPr>
          <w:rFonts w:hint="eastAsia"/>
          <w:color w:val="auto"/>
          <w:highlight w:val="none"/>
          <w:lang w:val="en-US" w:eastAsia="zh-CN"/>
        </w:rPr>
        <w:t>A</w:t>
      </w:r>
      <w:r>
        <w:rPr>
          <w:rFonts w:hint="eastAsia"/>
          <w:color w:val="auto"/>
          <w:highlight w:val="none"/>
          <w:lang w:eastAsia="zh-CN"/>
        </w:rPr>
        <w:t xml:space="preserve">  </w:t>
      </w:r>
      <w:r>
        <w:rPr>
          <w:rFonts w:hint="eastAsia"/>
          <w:color w:val="auto"/>
          <w:highlight w:val="none"/>
        </w:rPr>
        <w:t>广西木材材料性能参数表</w:t>
      </w:r>
      <w:bookmarkEnd w:id="286"/>
      <w:bookmarkEnd w:id="287"/>
      <w:bookmarkEnd w:id="288"/>
      <w:bookmarkEnd w:id="289"/>
    </w:p>
    <w:p w14:paraId="5C448883">
      <w:pPr>
        <w:pStyle w:val="4"/>
        <w:rPr>
          <w:rFonts w:hint="eastAsia"/>
          <w:color w:val="auto"/>
          <w:highlight w:val="none"/>
        </w:rPr>
      </w:pPr>
      <w:r>
        <w:rPr>
          <w:rFonts w:hint="eastAsia"/>
          <w:b/>
          <w:bCs/>
          <w:color w:val="auto"/>
          <w:highlight w:val="none"/>
          <w:lang w:val="en-US" w:eastAsia="zh-CN"/>
        </w:rPr>
        <w:t>A</w:t>
      </w:r>
      <w:r>
        <w:rPr>
          <w:rFonts w:hint="eastAsia"/>
          <w:b/>
          <w:bCs/>
          <w:color w:val="auto"/>
          <w:highlight w:val="none"/>
        </w:rPr>
        <w:t>.</w:t>
      </w:r>
      <w:r>
        <w:rPr>
          <w:rFonts w:hint="eastAsia"/>
          <w:b/>
          <w:bCs/>
          <w:color w:val="auto"/>
          <w:highlight w:val="none"/>
          <w:lang w:val="en-US" w:eastAsia="zh-CN"/>
        </w:rPr>
        <w:t>0</w:t>
      </w:r>
      <w:r>
        <w:rPr>
          <w:rFonts w:hint="eastAsia"/>
          <w:b/>
          <w:bCs/>
          <w:color w:val="auto"/>
          <w:highlight w:val="none"/>
        </w:rPr>
        <w:t>.1</w:t>
      </w:r>
      <w:r>
        <w:rPr>
          <w:rFonts w:hint="eastAsia"/>
          <w:b/>
          <w:bCs/>
          <w:color w:val="auto"/>
          <w:highlight w:val="none"/>
          <w:lang w:eastAsia="zh-CN"/>
        </w:rPr>
        <w:t xml:space="preserve">  </w:t>
      </w:r>
      <w:r>
        <w:rPr>
          <w:rFonts w:hint="eastAsia"/>
          <w:color w:val="auto"/>
          <w:highlight w:val="none"/>
        </w:rPr>
        <w:t>广西主要木材材料性能应符合</w:t>
      </w:r>
      <w:r>
        <w:rPr>
          <w:rFonts w:hint="eastAsia"/>
          <w:color w:val="auto"/>
          <w:highlight w:val="none"/>
          <w:lang w:eastAsia="zh-CN"/>
        </w:rPr>
        <w:t>表</w:t>
      </w:r>
      <w:r>
        <w:rPr>
          <w:rFonts w:hint="eastAsia"/>
          <w:color w:val="auto"/>
          <w:highlight w:val="none"/>
          <w:lang w:val="en-US" w:eastAsia="zh-CN"/>
        </w:rPr>
        <w:t>A</w:t>
      </w:r>
      <w:r>
        <w:rPr>
          <w:rFonts w:hint="eastAsia"/>
          <w:color w:val="auto"/>
          <w:highlight w:val="none"/>
        </w:rPr>
        <w:t>.</w:t>
      </w:r>
      <w:r>
        <w:rPr>
          <w:rFonts w:hint="eastAsia"/>
          <w:color w:val="auto"/>
          <w:highlight w:val="none"/>
          <w:lang w:val="en-US" w:eastAsia="zh-CN"/>
        </w:rPr>
        <w:t>0</w:t>
      </w:r>
      <w:r>
        <w:rPr>
          <w:rFonts w:hint="eastAsia"/>
          <w:color w:val="auto"/>
          <w:highlight w:val="none"/>
        </w:rPr>
        <w:t>.1</w:t>
      </w:r>
      <w:r>
        <w:rPr>
          <w:rFonts w:hint="eastAsia"/>
          <w:color w:val="auto"/>
          <w:highlight w:val="none"/>
          <w:lang w:val="en-US" w:eastAsia="zh-CN"/>
        </w:rPr>
        <w:t>和A.0.2</w:t>
      </w:r>
      <w:r>
        <w:rPr>
          <w:rFonts w:hint="eastAsia"/>
          <w:color w:val="auto"/>
          <w:highlight w:val="none"/>
        </w:rPr>
        <w:t>的规定取值。</w:t>
      </w:r>
    </w:p>
    <w:p w14:paraId="786178FC">
      <w:pPr>
        <w:pStyle w:val="40"/>
        <w:jc w:val="center"/>
        <w:rPr>
          <w:color w:val="auto"/>
          <w:highlight w:val="none"/>
        </w:rPr>
      </w:pPr>
      <w:r>
        <w:rPr>
          <w:rFonts w:hint="eastAsia"/>
          <w:color w:val="auto"/>
          <w:highlight w:val="none"/>
          <w:lang w:eastAsia="zh-CN"/>
        </w:rPr>
        <w:t>表</w:t>
      </w:r>
      <w:r>
        <w:rPr>
          <w:rFonts w:hint="eastAsia"/>
          <w:color w:val="auto"/>
          <w:highlight w:val="none"/>
          <w:lang w:val="en-US" w:eastAsia="zh-CN"/>
        </w:rPr>
        <w:t>A</w:t>
      </w:r>
      <w:r>
        <w:rPr>
          <w:rFonts w:hint="eastAsia"/>
          <w:color w:val="auto"/>
          <w:highlight w:val="none"/>
        </w:rPr>
        <w:t>.</w:t>
      </w:r>
      <w:r>
        <w:rPr>
          <w:rFonts w:hint="eastAsia"/>
          <w:color w:val="auto"/>
          <w:highlight w:val="none"/>
          <w:lang w:val="en-US" w:eastAsia="zh-CN"/>
        </w:rPr>
        <w:t>0</w:t>
      </w:r>
      <w:r>
        <w:rPr>
          <w:rFonts w:hint="eastAsia"/>
          <w:color w:val="auto"/>
          <w:highlight w:val="none"/>
        </w:rPr>
        <w:t>.1</w:t>
      </w:r>
      <w:r>
        <w:rPr>
          <w:rFonts w:hint="eastAsia"/>
          <w:color w:val="auto"/>
          <w:highlight w:val="none"/>
          <w:lang w:eastAsia="zh-CN"/>
        </w:rPr>
        <w:t xml:space="preserve">  </w:t>
      </w:r>
      <w:r>
        <w:rPr>
          <w:rFonts w:hint="eastAsia"/>
          <w:color w:val="auto"/>
          <w:highlight w:val="none"/>
        </w:rPr>
        <w:t>广西主要针叶树材材料性能参数</w:t>
      </w:r>
    </w:p>
    <w:tbl>
      <w:tblPr>
        <w:tblStyle w:val="17"/>
        <w:tblW w:w="50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08"/>
        <w:gridCol w:w="1125"/>
        <w:gridCol w:w="962"/>
        <w:gridCol w:w="988"/>
        <w:gridCol w:w="795"/>
        <w:gridCol w:w="795"/>
        <w:gridCol w:w="797"/>
        <w:gridCol w:w="975"/>
        <w:gridCol w:w="1100"/>
        <w:gridCol w:w="950"/>
        <w:gridCol w:w="738"/>
        <w:gridCol w:w="800"/>
        <w:gridCol w:w="3441"/>
      </w:tblGrid>
      <w:tr w14:paraId="3FDD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blHeader/>
          <w:jc w:val="center"/>
        </w:trPr>
        <w:tc>
          <w:tcPr>
            <w:tcW w:w="194" w:type="pct"/>
            <w:vMerge w:val="restart"/>
            <w:noWrap/>
            <w:vAlign w:val="center"/>
          </w:tcPr>
          <w:p w14:paraId="09100297">
            <w:pPr>
              <w:jc w:val="center"/>
              <w:rPr>
                <w:rFonts w:hint="default"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lang w:val="en-US" w:eastAsia="zh-CN"/>
              </w:rPr>
              <w:t>科别</w:t>
            </w:r>
          </w:p>
        </w:tc>
        <w:tc>
          <w:tcPr>
            <w:tcW w:w="334" w:type="pct"/>
            <w:vMerge w:val="restart"/>
            <w:noWrap/>
            <w:vAlign w:val="center"/>
          </w:tcPr>
          <w:p w14:paraId="7FF25941">
            <w:pPr>
              <w:jc w:val="center"/>
              <w:rPr>
                <w:rFonts w:hint="default" w:ascii="Times New Roman" w:hAnsi="Times New Roman" w:cs="Times New Roman" w:eastAsiaTheme="minorEastAsia"/>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木材名称</w:t>
            </w:r>
          </w:p>
        </w:tc>
        <w:tc>
          <w:tcPr>
            <w:tcW w:w="373" w:type="pct"/>
            <w:vMerge w:val="restart"/>
            <w:noWrap/>
            <w:vAlign w:val="center"/>
          </w:tcPr>
          <w:p w14:paraId="46CBD958">
            <w:pPr>
              <w:jc w:val="center"/>
              <w:rPr>
                <w:rFonts w:hint="default" w:ascii="Times New Roman" w:hAnsi="Times New Roman" w:cs="Times New Roman" w:eastAsiaTheme="minorEastAsia"/>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树种名称</w:t>
            </w:r>
          </w:p>
        </w:tc>
        <w:tc>
          <w:tcPr>
            <w:tcW w:w="319" w:type="pct"/>
            <w:vMerge w:val="restart"/>
            <w:noWrap/>
            <w:vAlign w:val="center"/>
          </w:tcPr>
          <w:p w14:paraId="066EF573">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采集地/属地</w:t>
            </w:r>
          </w:p>
        </w:tc>
        <w:tc>
          <w:tcPr>
            <w:tcW w:w="328" w:type="pct"/>
            <w:vMerge w:val="restart"/>
            <w:vAlign w:val="center"/>
          </w:tcPr>
          <w:p w14:paraId="69F3AE97">
            <w:pPr>
              <w:jc w:val="center"/>
              <w:rPr>
                <w:rFonts w:hint="eastAsia"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rPr>
              <w:t>气干密度（</w:t>
            </w:r>
            <w:r>
              <w:rPr>
                <w:rFonts w:hint="default" w:ascii="Times New Roman" w:hAnsi="Times New Roman" w:cs="Times New Roman"/>
                <w:b/>
                <w:bCs/>
                <w:color w:val="auto"/>
                <w:sz w:val="18"/>
                <w:szCs w:val="18"/>
                <w:highlight w:val="none"/>
                <w:lang w:val="en-US" w:eastAsia="zh-CN"/>
              </w:rPr>
              <w:t>g</w:t>
            </w:r>
            <w:r>
              <w:rPr>
                <w:rFonts w:hint="default" w:ascii="Times New Roman" w:hAnsi="Times New Roman" w:cs="Times New Roman"/>
                <w:b/>
                <w:bCs/>
                <w:color w:val="auto"/>
                <w:sz w:val="18"/>
                <w:szCs w:val="18"/>
                <w:highlight w:val="none"/>
              </w:rPr>
              <w:t>/</w:t>
            </w:r>
            <w:r>
              <w:rPr>
                <w:rFonts w:hint="default" w:ascii="Times New Roman" w:hAnsi="Times New Roman" w:cs="Times New Roman"/>
                <w:b/>
                <w:bCs/>
                <w:color w:val="auto"/>
                <w:sz w:val="18"/>
                <w:szCs w:val="18"/>
                <w:highlight w:val="none"/>
                <w:lang w:val="en-US" w:eastAsia="zh-CN"/>
              </w:rPr>
              <w:t>c</w:t>
            </w:r>
            <w:r>
              <w:rPr>
                <w:rFonts w:hint="default" w:ascii="Times New Roman" w:hAnsi="Times New Roman" w:cs="Times New Roman"/>
                <w:b/>
                <w:bCs/>
                <w:color w:val="auto"/>
                <w:sz w:val="18"/>
                <w:szCs w:val="18"/>
                <w:highlight w:val="none"/>
              </w:rPr>
              <w:t>m</w:t>
            </w:r>
            <w:r>
              <w:rPr>
                <w:rFonts w:hint="default" w:ascii="Times New Roman" w:hAnsi="Times New Roman" w:cs="Times New Roman"/>
                <w:b/>
                <w:bCs/>
                <w:color w:val="auto"/>
                <w:sz w:val="18"/>
                <w:szCs w:val="18"/>
                <w:highlight w:val="none"/>
                <w:vertAlign w:val="superscript"/>
              </w:rPr>
              <w:t>3</w:t>
            </w:r>
            <w:r>
              <w:rPr>
                <w:rFonts w:hint="eastAsia" w:ascii="Times New Roman" w:hAnsi="Times New Roman" w:cs="Times New Roman"/>
                <w:b/>
                <w:bCs/>
                <w:color w:val="auto"/>
                <w:sz w:val="18"/>
                <w:szCs w:val="18"/>
                <w:highlight w:val="none"/>
                <w:lang w:eastAsia="zh-CN"/>
              </w:rPr>
              <w:t>）</w:t>
            </w:r>
          </w:p>
        </w:tc>
        <w:tc>
          <w:tcPr>
            <w:tcW w:w="792" w:type="pct"/>
            <w:gridSpan w:val="3"/>
            <w:vAlign w:val="center"/>
          </w:tcPr>
          <w:p w14:paraId="71BC3942">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干缩系数</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w:t>
            </w:r>
            <w:r>
              <w:rPr>
                <w:rFonts w:hint="default" w:ascii="Times New Roman" w:hAnsi="Times New Roman" w:cs="Times New Roman"/>
                <w:b/>
                <w:bCs/>
                <w:color w:val="auto"/>
                <w:sz w:val="18"/>
                <w:szCs w:val="18"/>
                <w:highlight w:val="none"/>
                <w:lang w:eastAsia="zh-CN"/>
              </w:rPr>
              <w:t>）</w:t>
            </w:r>
          </w:p>
        </w:tc>
        <w:tc>
          <w:tcPr>
            <w:tcW w:w="323" w:type="pct"/>
            <w:vMerge w:val="restart"/>
            <w:vAlign w:val="center"/>
          </w:tcPr>
          <w:p w14:paraId="447BE5D1">
            <w:pPr>
              <w:jc w:val="center"/>
              <w:rPr>
                <w:rFonts w:hint="eastAsia"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rPr>
              <w:t>顺纹抗压强度（MPa</w:t>
            </w:r>
            <w:r>
              <w:rPr>
                <w:rFonts w:hint="eastAsia" w:ascii="Times New Roman" w:hAnsi="Times New Roman" w:cs="Times New Roman"/>
                <w:b/>
                <w:bCs/>
                <w:color w:val="auto"/>
                <w:sz w:val="18"/>
                <w:szCs w:val="18"/>
                <w:highlight w:val="none"/>
                <w:lang w:eastAsia="zh-CN"/>
              </w:rPr>
              <w:t>）</w:t>
            </w:r>
          </w:p>
        </w:tc>
        <w:tc>
          <w:tcPr>
            <w:tcW w:w="365" w:type="pct"/>
            <w:vMerge w:val="restart"/>
            <w:vAlign w:val="center"/>
          </w:tcPr>
          <w:p w14:paraId="6A594049">
            <w:pPr>
              <w:jc w:val="center"/>
              <w:rPr>
                <w:rFonts w:hint="eastAsia"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rPr>
              <w:t>顺纹抗拉强度（MPa</w:t>
            </w:r>
            <w:r>
              <w:rPr>
                <w:rFonts w:hint="eastAsia" w:ascii="Times New Roman" w:hAnsi="Times New Roman" w:cs="Times New Roman"/>
                <w:b/>
                <w:bCs/>
                <w:color w:val="auto"/>
                <w:sz w:val="18"/>
                <w:szCs w:val="18"/>
                <w:highlight w:val="none"/>
                <w:lang w:eastAsia="zh-CN"/>
              </w:rPr>
              <w:t>）</w:t>
            </w:r>
          </w:p>
        </w:tc>
        <w:tc>
          <w:tcPr>
            <w:tcW w:w="315" w:type="pct"/>
            <w:vMerge w:val="restart"/>
            <w:vAlign w:val="center"/>
          </w:tcPr>
          <w:p w14:paraId="2FAA8B4E">
            <w:pPr>
              <w:jc w:val="center"/>
              <w:rPr>
                <w:rFonts w:hint="eastAsia"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rPr>
              <w:t>抗弯强度（MPa</w:t>
            </w:r>
            <w:r>
              <w:rPr>
                <w:rFonts w:hint="eastAsia" w:ascii="Times New Roman" w:hAnsi="Times New Roman" w:cs="Times New Roman"/>
                <w:b/>
                <w:bCs/>
                <w:color w:val="auto"/>
                <w:sz w:val="18"/>
                <w:szCs w:val="18"/>
                <w:highlight w:val="none"/>
                <w:lang w:eastAsia="zh-CN"/>
              </w:rPr>
              <w:t>）</w:t>
            </w:r>
          </w:p>
        </w:tc>
        <w:tc>
          <w:tcPr>
            <w:tcW w:w="510" w:type="pct"/>
            <w:gridSpan w:val="2"/>
            <w:vAlign w:val="center"/>
          </w:tcPr>
          <w:p w14:paraId="355854CA">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顺纹抗剪强度</w:t>
            </w:r>
          </w:p>
          <w:p w14:paraId="24773E7C">
            <w:pPr>
              <w:jc w:val="center"/>
              <w:rPr>
                <w:rFonts w:hint="eastAsia"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rPr>
              <w:t>（MPa</w:t>
            </w:r>
            <w:r>
              <w:rPr>
                <w:rFonts w:hint="eastAsia" w:ascii="Times New Roman" w:hAnsi="Times New Roman" w:cs="Times New Roman"/>
                <w:b/>
                <w:bCs/>
                <w:color w:val="auto"/>
                <w:sz w:val="18"/>
                <w:szCs w:val="18"/>
                <w:highlight w:val="none"/>
                <w:lang w:eastAsia="zh-CN"/>
              </w:rPr>
              <w:t>）</w:t>
            </w:r>
          </w:p>
        </w:tc>
        <w:tc>
          <w:tcPr>
            <w:tcW w:w="1142" w:type="pct"/>
            <w:vMerge w:val="restart"/>
            <w:noWrap/>
            <w:vAlign w:val="center"/>
          </w:tcPr>
          <w:p w14:paraId="7FCC5AC2">
            <w:pPr>
              <w:jc w:val="center"/>
              <w:rPr>
                <w:rFonts w:hint="default" w:ascii="Times New Roman" w:hAnsi="Times New Roman" w:cs="Times New Roman" w:eastAsiaTheme="minorEastAsia"/>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性能及用途</w:t>
            </w:r>
          </w:p>
        </w:tc>
      </w:tr>
      <w:tr w14:paraId="2897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blHeader/>
          <w:jc w:val="center"/>
        </w:trPr>
        <w:tc>
          <w:tcPr>
            <w:tcW w:w="194" w:type="pct"/>
            <w:vMerge w:val="continue"/>
            <w:noWrap/>
            <w:vAlign w:val="center"/>
          </w:tcPr>
          <w:p w14:paraId="04C00E3A">
            <w:pPr>
              <w:jc w:val="center"/>
              <w:rPr>
                <w:rFonts w:hint="default" w:ascii="Times New Roman" w:hAnsi="Times New Roman" w:cs="Times New Roman"/>
                <w:b/>
                <w:bCs/>
                <w:color w:val="auto"/>
                <w:sz w:val="18"/>
                <w:szCs w:val="18"/>
                <w:highlight w:val="none"/>
              </w:rPr>
            </w:pPr>
          </w:p>
        </w:tc>
        <w:tc>
          <w:tcPr>
            <w:tcW w:w="334" w:type="pct"/>
            <w:vMerge w:val="continue"/>
            <w:noWrap/>
            <w:vAlign w:val="center"/>
          </w:tcPr>
          <w:p w14:paraId="7BB09728">
            <w:pPr>
              <w:jc w:val="center"/>
              <w:rPr>
                <w:rFonts w:hint="default" w:ascii="Times New Roman" w:hAnsi="Times New Roman" w:cs="Times New Roman"/>
                <w:b/>
                <w:bCs/>
                <w:color w:val="auto"/>
                <w:sz w:val="18"/>
                <w:szCs w:val="18"/>
                <w:highlight w:val="none"/>
              </w:rPr>
            </w:pPr>
          </w:p>
        </w:tc>
        <w:tc>
          <w:tcPr>
            <w:tcW w:w="373" w:type="pct"/>
            <w:vMerge w:val="continue"/>
            <w:noWrap/>
            <w:vAlign w:val="center"/>
          </w:tcPr>
          <w:p w14:paraId="028464D5">
            <w:pPr>
              <w:jc w:val="center"/>
              <w:rPr>
                <w:rFonts w:hint="default" w:ascii="Times New Roman" w:hAnsi="Times New Roman" w:cs="Times New Roman"/>
                <w:b/>
                <w:bCs/>
                <w:color w:val="auto"/>
                <w:sz w:val="18"/>
                <w:szCs w:val="18"/>
                <w:highlight w:val="none"/>
              </w:rPr>
            </w:pPr>
          </w:p>
        </w:tc>
        <w:tc>
          <w:tcPr>
            <w:tcW w:w="319" w:type="pct"/>
            <w:vMerge w:val="continue"/>
            <w:noWrap/>
            <w:vAlign w:val="center"/>
          </w:tcPr>
          <w:p w14:paraId="234ADC05">
            <w:pPr>
              <w:jc w:val="center"/>
              <w:rPr>
                <w:rFonts w:hint="default" w:ascii="Times New Roman" w:hAnsi="Times New Roman" w:cs="Times New Roman"/>
                <w:b/>
                <w:bCs/>
                <w:color w:val="auto"/>
                <w:sz w:val="18"/>
                <w:szCs w:val="18"/>
                <w:highlight w:val="none"/>
              </w:rPr>
            </w:pPr>
          </w:p>
        </w:tc>
        <w:tc>
          <w:tcPr>
            <w:tcW w:w="328" w:type="pct"/>
            <w:vMerge w:val="continue"/>
            <w:noWrap/>
            <w:vAlign w:val="center"/>
          </w:tcPr>
          <w:p w14:paraId="0C2655CB">
            <w:pPr>
              <w:jc w:val="center"/>
              <w:rPr>
                <w:rFonts w:hint="default" w:ascii="Times New Roman" w:hAnsi="Times New Roman" w:cs="Times New Roman"/>
                <w:b/>
                <w:bCs/>
                <w:color w:val="auto"/>
                <w:sz w:val="18"/>
                <w:szCs w:val="18"/>
                <w:highlight w:val="none"/>
              </w:rPr>
            </w:pPr>
          </w:p>
        </w:tc>
        <w:tc>
          <w:tcPr>
            <w:tcW w:w="263" w:type="pct"/>
            <w:noWrap/>
            <w:vAlign w:val="center"/>
          </w:tcPr>
          <w:p w14:paraId="103D9255">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径向</w:t>
            </w:r>
          </w:p>
        </w:tc>
        <w:tc>
          <w:tcPr>
            <w:tcW w:w="263" w:type="pct"/>
            <w:noWrap/>
            <w:vAlign w:val="center"/>
          </w:tcPr>
          <w:p w14:paraId="3EDC1B68">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弦向</w:t>
            </w:r>
          </w:p>
        </w:tc>
        <w:tc>
          <w:tcPr>
            <w:tcW w:w="264" w:type="pct"/>
            <w:noWrap/>
            <w:vAlign w:val="center"/>
          </w:tcPr>
          <w:p w14:paraId="63128D63">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体积</w:t>
            </w:r>
          </w:p>
        </w:tc>
        <w:tc>
          <w:tcPr>
            <w:tcW w:w="323" w:type="pct"/>
            <w:vMerge w:val="continue"/>
            <w:noWrap/>
            <w:vAlign w:val="center"/>
          </w:tcPr>
          <w:p w14:paraId="14288170">
            <w:pPr>
              <w:jc w:val="center"/>
              <w:rPr>
                <w:rFonts w:hint="default" w:ascii="Times New Roman" w:hAnsi="Times New Roman" w:cs="Times New Roman"/>
                <w:b/>
                <w:bCs/>
                <w:color w:val="auto"/>
                <w:sz w:val="18"/>
                <w:szCs w:val="18"/>
                <w:highlight w:val="none"/>
              </w:rPr>
            </w:pPr>
          </w:p>
        </w:tc>
        <w:tc>
          <w:tcPr>
            <w:tcW w:w="365" w:type="pct"/>
            <w:vMerge w:val="continue"/>
            <w:noWrap/>
            <w:vAlign w:val="center"/>
          </w:tcPr>
          <w:p w14:paraId="4AF1FC45">
            <w:pPr>
              <w:jc w:val="center"/>
              <w:rPr>
                <w:rFonts w:hint="default" w:ascii="Times New Roman" w:hAnsi="Times New Roman" w:cs="Times New Roman"/>
                <w:b/>
                <w:bCs/>
                <w:color w:val="auto"/>
                <w:sz w:val="18"/>
                <w:szCs w:val="18"/>
                <w:highlight w:val="none"/>
              </w:rPr>
            </w:pPr>
          </w:p>
        </w:tc>
        <w:tc>
          <w:tcPr>
            <w:tcW w:w="315" w:type="pct"/>
            <w:vMerge w:val="continue"/>
            <w:noWrap/>
            <w:vAlign w:val="center"/>
          </w:tcPr>
          <w:p w14:paraId="4C99094F">
            <w:pPr>
              <w:jc w:val="center"/>
              <w:rPr>
                <w:rFonts w:hint="default" w:ascii="Times New Roman" w:hAnsi="Times New Roman" w:cs="Times New Roman"/>
                <w:b/>
                <w:bCs/>
                <w:color w:val="auto"/>
                <w:sz w:val="18"/>
                <w:szCs w:val="18"/>
                <w:highlight w:val="none"/>
              </w:rPr>
            </w:pPr>
          </w:p>
        </w:tc>
        <w:tc>
          <w:tcPr>
            <w:tcW w:w="245" w:type="pct"/>
            <w:noWrap/>
            <w:vAlign w:val="center"/>
          </w:tcPr>
          <w:p w14:paraId="293DC47F">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径面</w:t>
            </w:r>
          </w:p>
        </w:tc>
        <w:tc>
          <w:tcPr>
            <w:tcW w:w="265" w:type="pct"/>
            <w:noWrap/>
            <w:vAlign w:val="center"/>
          </w:tcPr>
          <w:p w14:paraId="16AA8FBC">
            <w:pPr>
              <w:jc w:val="center"/>
              <w:rPr>
                <w:rFonts w:hint="default" w:ascii="Times New Roman" w:hAnsi="Times New Roman" w:cs="Times New Roman" w:eastAsiaTheme="minorEastAsia"/>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弦面</w:t>
            </w:r>
          </w:p>
        </w:tc>
        <w:tc>
          <w:tcPr>
            <w:tcW w:w="1142" w:type="pct"/>
            <w:vMerge w:val="continue"/>
            <w:noWrap/>
            <w:vAlign w:val="center"/>
          </w:tcPr>
          <w:p w14:paraId="311F1276">
            <w:pPr>
              <w:jc w:val="center"/>
              <w:rPr>
                <w:rFonts w:hint="default" w:ascii="Times New Roman" w:hAnsi="Times New Roman" w:cs="Times New Roman"/>
                <w:color w:val="auto"/>
                <w:sz w:val="18"/>
                <w:szCs w:val="18"/>
                <w:highlight w:val="none"/>
              </w:rPr>
            </w:pPr>
          </w:p>
        </w:tc>
      </w:tr>
      <w:tr w14:paraId="1C2C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94" w:type="pct"/>
            <w:vMerge w:val="restart"/>
            <w:noWrap/>
            <w:vAlign w:val="center"/>
          </w:tcPr>
          <w:p w14:paraId="40C9AFC9">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松科</w:t>
            </w:r>
          </w:p>
        </w:tc>
        <w:tc>
          <w:tcPr>
            <w:tcW w:w="334" w:type="pct"/>
            <w:noWrap/>
            <w:vAlign w:val="center"/>
          </w:tcPr>
          <w:p w14:paraId="69B7125D">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油杉</w:t>
            </w:r>
          </w:p>
          <w:p w14:paraId="109455A7">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Keteleeria</w:t>
            </w:r>
            <w:r>
              <w:rPr>
                <w:rFonts w:hint="eastAsia" w:ascii="Times New Roman" w:hAnsi="Times New Roman" w:cs="Times New Roman"/>
                <w:b w:val="0"/>
                <w:bCs w:val="0"/>
                <w:color w:val="auto"/>
                <w:sz w:val="18"/>
                <w:szCs w:val="18"/>
                <w:highlight w:val="none"/>
                <w:lang w:val="en-US" w:eastAsia="zh-CN"/>
              </w:rPr>
              <w:t xml:space="preserve"> spp.</w:t>
            </w:r>
          </w:p>
        </w:tc>
        <w:tc>
          <w:tcPr>
            <w:tcW w:w="373" w:type="pct"/>
            <w:noWrap/>
            <w:vAlign w:val="center"/>
          </w:tcPr>
          <w:p w14:paraId="770FA3F9">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油杉</w:t>
            </w:r>
          </w:p>
          <w:p w14:paraId="000AB5CC">
            <w:pPr>
              <w:numPr>
                <w:ilvl w:val="0"/>
                <w:numId w:val="0"/>
              </w:num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eastAsiaTheme="minorEastAsia"/>
                <w:b w:val="0"/>
                <w:bCs w:val="0"/>
                <w:i/>
                <w:iCs/>
                <w:color w:val="auto"/>
                <w:kern w:val="2"/>
                <w:sz w:val="18"/>
                <w:szCs w:val="18"/>
                <w:highlight w:val="none"/>
                <w:lang w:val="en-US" w:eastAsia="zh-CN" w:bidi="ar-SA"/>
              </w:rPr>
              <w:t>K.</w:t>
            </w:r>
            <w:r>
              <w:rPr>
                <w:rFonts w:hint="eastAsia" w:ascii="Times New Roman" w:hAnsi="Times New Roman" w:cs="Times New Roman"/>
                <w:b w:val="0"/>
                <w:bCs w:val="0"/>
                <w:i/>
                <w:iCs/>
                <w:color w:val="auto"/>
                <w:kern w:val="2"/>
                <w:sz w:val="18"/>
                <w:szCs w:val="18"/>
                <w:highlight w:val="none"/>
                <w:lang w:val="en-US" w:eastAsia="zh-CN" w:bidi="ar-SA"/>
              </w:rPr>
              <w:t xml:space="preserve"> </w:t>
            </w:r>
            <w:r>
              <w:rPr>
                <w:rFonts w:hint="default" w:ascii="Times New Roman" w:hAnsi="Times New Roman" w:cs="Times New Roman"/>
                <w:b w:val="0"/>
                <w:bCs w:val="0"/>
                <w:i/>
                <w:iCs/>
                <w:color w:val="auto"/>
                <w:sz w:val="18"/>
                <w:szCs w:val="18"/>
                <w:highlight w:val="none"/>
                <w:lang w:val="en-US" w:eastAsia="zh-CN"/>
              </w:rPr>
              <w:t>fortunei</w:t>
            </w:r>
          </w:p>
        </w:tc>
        <w:tc>
          <w:tcPr>
            <w:tcW w:w="319" w:type="pct"/>
            <w:noWrap/>
            <w:vAlign w:val="center"/>
          </w:tcPr>
          <w:p w14:paraId="47D3EDD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大瑶山</w:t>
            </w:r>
          </w:p>
        </w:tc>
        <w:tc>
          <w:tcPr>
            <w:tcW w:w="328" w:type="pct"/>
            <w:noWrap/>
            <w:vAlign w:val="center"/>
          </w:tcPr>
          <w:p w14:paraId="78552AF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0.551</w:t>
            </w:r>
          </w:p>
        </w:tc>
        <w:tc>
          <w:tcPr>
            <w:tcW w:w="263" w:type="pct"/>
            <w:noWrap/>
            <w:vAlign w:val="center"/>
          </w:tcPr>
          <w:p w14:paraId="251A9E85">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0.151</w:t>
            </w:r>
          </w:p>
        </w:tc>
        <w:tc>
          <w:tcPr>
            <w:tcW w:w="263" w:type="pct"/>
            <w:noWrap/>
            <w:vAlign w:val="center"/>
          </w:tcPr>
          <w:p w14:paraId="3A479D69">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0.242</w:t>
            </w:r>
          </w:p>
        </w:tc>
        <w:tc>
          <w:tcPr>
            <w:tcW w:w="264" w:type="pct"/>
            <w:noWrap/>
            <w:vAlign w:val="center"/>
          </w:tcPr>
          <w:p w14:paraId="4D4AD1E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0.418</w:t>
            </w:r>
          </w:p>
        </w:tc>
        <w:tc>
          <w:tcPr>
            <w:tcW w:w="323" w:type="pct"/>
            <w:noWrap/>
            <w:vAlign w:val="center"/>
          </w:tcPr>
          <w:p w14:paraId="35C521B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41.8</w:t>
            </w:r>
          </w:p>
        </w:tc>
        <w:tc>
          <w:tcPr>
            <w:tcW w:w="365" w:type="pct"/>
            <w:noWrap/>
            <w:vAlign w:val="center"/>
          </w:tcPr>
          <w:p w14:paraId="1B420081">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5" w:type="pct"/>
            <w:noWrap/>
            <w:vAlign w:val="center"/>
          </w:tcPr>
          <w:p w14:paraId="50B56A80">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84.7</w:t>
            </w:r>
          </w:p>
        </w:tc>
        <w:tc>
          <w:tcPr>
            <w:tcW w:w="245" w:type="pct"/>
            <w:noWrap/>
            <w:vAlign w:val="center"/>
          </w:tcPr>
          <w:p w14:paraId="5471C5DB">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12.4</w:t>
            </w:r>
          </w:p>
        </w:tc>
        <w:tc>
          <w:tcPr>
            <w:tcW w:w="265" w:type="pct"/>
            <w:noWrap/>
            <w:vAlign w:val="center"/>
          </w:tcPr>
          <w:p w14:paraId="56614B0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12.7</w:t>
            </w:r>
          </w:p>
        </w:tc>
        <w:tc>
          <w:tcPr>
            <w:tcW w:w="1142" w:type="pct"/>
            <w:noWrap/>
            <w:vAlign w:val="center"/>
          </w:tcPr>
          <w:p w14:paraId="648D5C7B">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心边材区别不明显，边材浅红或红褐色，纹理直、结构粗，干燥不开裂、稍变形，耐腐性、抗虫性中等。用于建筑、优良家具、桥梁、地板、枕木、胶合板等。</w:t>
            </w:r>
          </w:p>
        </w:tc>
      </w:tr>
      <w:tr w14:paraId="43B2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94" w:type="pct"/>
            <w:vMerge w:val="continue"/>
            <w:noWrap/>
            <w:vAlign w:val="center"/>
          </w:tcPr>
          <w:p w14:paraId="2E1FC79E">
            <w:pPr>
              <w:jc w:val="center"/>
              <w:rPr>
                <w:rFonts w:hint="default" w:ascii="Times New Roman" w:hAnsi="Times New Roman" w:cs="Times New Roman" w:eastAsiaTheme="minorEastAsia"/>
                <w:b w:val="0"/>
                <w:bCs w:val="0"/>
                <w:color w:val="auto"/>
                <w:sz w:val="18"/>
                <w:szCs w:val="18"/>
                <w:highlight w:val="none"/>
                <w:lang w:val="en-US" w:eastAsia="zh-CN"/>
              </w:rPr>
            </w:pPr>
          </w:p>
        </w:tc>
        <w:tc>
          <w:tcPr>
            <w:tcW w:w="334" w:type="pct"/>
            <w:vMerge w:val="restart"/>
            <w:noWrap/>
            <w:vAlign w:val="center"/>
          </w:tcPr>
          <w:p w14:paraId="2809AB25">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硬木松</w:t>
            </w:r>
          </w:p>
          <w:p w14:paraId="21ECCBCA">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Pinus</w:t>
            </w:r>
            <w:r>
              <w:rPr>
                <w:rFonts w:hint="default" w:ascii="Times New Roman" w:hAnsi="Times New Roman" w:cs="Times New Roman"/>
                <w:b w:val="0"/>
                <w:bCs w:val="0"/>
                <w:color w:val="auto"/>
                <w:sz w:val="18"/>
                <w:szCs w:val="18"/>
                <w:highlight w:val="none"/>
                <w:lang w:val="en-US" w:eastAsia="zh-CN"/>
              </w:rPr>
              <w:t xml:space="preserve"> spp.</w:t>
            </w:r>
          </w:p>
        </w:tc>
        <w:tc>
          <w:tcPr>
            <w:tcW w:w="373" w:type="pct"/>
            <w:noWrap/>
            <w:vAlign w:val="center"/>
          </w:tcPr>
          <w:p w14:paraId="682EFA5B">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湿地松</w:t>
            </w:r>
          </w:p>
          <w:p w14:paraId="5C3846EA">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P.</w:t>
            </w:r>
            <w:r>
              <w:rPr>
                <w:rFonts w:hint="eastAsia" w:ascii="Times New Roman" w:hAnsi="Times New Roman" w:cs="Times New Roman"/>
                <w:b w:val="0"/>
                <w:bCs w:val="0"/>
                <w:i/>
                <w:iCs/>
                <w:color w:val="auto"/>
                <w:sz w:val="18"/>
                <w:szCs w:val="18"/>
                <w:highlight w:val="none"/>
                <w:lang w:val="en-US" w:eastAsia="zh-CN"/>
              </w:rPr>
              <w:t xml:space="preserve"> </w:t>
            </w:r>
            <w:r>
              <w:rPr>
                <w:rFonts w:hint="default" w:ascii="Times New Roman" w:hAnsi="Times New Roman" w:cs="Times New Roman"/>
                <w:b w:val="0"/>
                <w:bCs w:val="0"/>
                <w:i/>
                <w:iCs/>
                <w:color w:val="auto"/>
                <w:sz w:val="18"/>
                <w:szCs w:val="18"/>
                <w:highlight w:val="none"/>
                <w:lang w:val="en-US" w:eastAsia="zh-CN"/>
              </w:rPr>
              <w:t>elliottii</w:t>
            </w:r>
          </w:p>
        </w:tc>
        <w:tc>
          <w:tcPr>
            <w:tcW w:w="319" w:type="pct"/>
            <w:noWrap/>
            <w:vAlign w:val="center"/>
          </w:tcPr>
          <w:p w14:paraId="5BC0C80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柳州沙塘</w:t>
            </w:r>
          </w:p>
        </w:tc>
        <w:tc>
          <w:tcPr>
            <w:tcW w:w="328" w:type="pct"/>
            <w:noWrap/>
            <w:vAlign w:val="center"/>
          </w:tcPr>
          <w:p w14:paraId="4968FEF9">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0.621</w:t>
            </w:r>
          </w:p>
        </w:tc>
        <w:tc>
          <w:tcPr>
            <w:tcW w:w="263" w:type="pct"/>
            <w:noWrap/>
            <w:vAlign w:val="center"/>
          </w:tcPr>
          <w:p w14:paraId="50EC29E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0.235</w:t>
            </w:r>
          </w:p>
        </w:tc>
        <w:tc>
          <w:tcPr>
            <w:tcW w:w="263" w:type="pct"/>
            <w:noWrap/>
            <w:vAlign w:val="center"/>
          </w:tcPr>
          <w:p w14:paraId="2FF2C80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0.256</w:t>
            </w:r>
          </w:p>
        </w:tc>
        <w:tc>
          <w:tcPr>
            <w:tcW w:w="264" w:type="pct"/>
            <w:noWrap/>
            <w:vAlign w:val="center"/>
          </w:tcPr>
          <w:p w14:paraId="324B570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0.516</w:t>
            </w:r>
          </w:p>
        </w:tc>
        <w:tc>
          <w:tcPr>
            <w:tcW w:w="323" w:type="pct"/>
            <w:noWrap/>
            <w:vAlign w:val="center"/>
          </w:tcPr>
          <w:p w14:paraId="6A4288C0">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49.0</w:t>
            </w:r>
          </w:p>
        </w:tc>
        <w:tc>
          <w:tcPr>
            <w:tcW w:w="365" w:type="pct"/>
            <w:noWrap/>
            <w:vAlign w:val="center"/>
          </w:tcPr>
          <w:p w14:paraId="294948C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94.6</w:t>
            </w:r>
          </w:p>
        </w:tc>
        <w:tc>
          <w:tcPr>
            <w:tcW w:w="315" w:type="pct"/>
            <w:noWrap/>
            <w:vAlign w:val="center"/>
          </w:tcPr>
          <w:p w14:paraId="7D4FA27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74.1</w:t>
            </w:r>
          </w:p>
        </w:tc>
        <w:tc>
          <w:tcPr>
            <w:tcW w:w="245" w:type="pct"/>
            <w:noWrap/>
            <w:vAlign w:val="center"/>
          </w:tcPr>
          <w:p w14:paraId="5468054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12.3</w:t>
            </w:r>
          </w:p>
        </w:tc>
        <w:tc>
          <w:tcPr>
            <w:tcW w:w="265" w:type="pct"/>
            <w:noWrap/>
            <w:vAlign w:val="center"/>
          </w:tcPr>
          <w:p w14:paraId="5117AC1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8.8</w:t>
            </w:r>
          </w:p>
        </w:tc>
        <w:tc>
          <w:tcPr>
            <w:tcW w:w="1142" w:type="pct"/>
            <w:noWrap/>
            <w:vAlign w:val="center"/>
          </w:tcPr>
          <w:p w14:paraId="3AAAF9EB">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心材微黄淡红色，边材淡黄色，纹理直、结构粗，干燥稍变形、耐腐。用于坑木、枕木、车辆维修、桥梁、造船、火柴、造纸、胶合板等。</w:t>
            </w:r>
          </w:p>
        </w:tc>
      </w:tr>
      <w:tr w14:paraId="5388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94" w:type="pct"/>
            <w:vMerge w:val="continue"/>
            <w:noWrap/>
            <w:vAlign w:val="center"/>
          </w:tcPr>
          <w:p w14:paraId="789129C5">
            <w:pPr>
              <w:jc w:val="center"/>
              <w:rPr>
                <w:rFonts w:hint="default" w:ascii="Times New Roman" w:hAnsi="Times New Roman" w:cs="Times New Roman"/>
                <w:b w:val="0"/>
                <w:bCs w:val="0"/>
                <w:color w:val="auto"/>
                <w:sz w:val="18"/>
                <w:szCs w:val="18"/>
                <w:highlight w:val="none"/>
              </w:rPr>
            </w:pPr>
          </w:p>
        </w:tc>
        <w:tc>
          <w:tcPr>
            <w:tcW w:w="334" w:type="pct"/>
            <w:vMerge w:val="continue"/>
            <w:noWrap/>
            <w:vAlign w:val="center"/>
          </w:tcPr>
          <w:p w14:paraId="4C63A031">
            <w:pPr>
              <w:jc w:val="center"/>
              <w:rPr>
                <w:rFonts w:hint="default" w:ascii="Times New Roman" w:hAnsi="Times New Roman" w:cs="Times New Roman"/>
                <w:b w:val="0"/>
                <w:bCs w:val="0"/>
                <w:color w:val="auto"/>
                <w:sz w:val="18"/>
                <w:szCs w:val="18"/>
                <w:highlight w:val="none"/>
              </w:rPr>
            </w:pPr>
          </w:p>
        </w:tc>
        <w:tc>
          <w:tcPr>
            <w:tcW w:w="373" w:type="pct"/>
            <w:noWrap/>
            <w:vAlign w:val="center"/>
          </w:tcPr>
          <w:p w14:paraId="036042E6">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马尾松</w:t>
            </w:r>
          </w:p>
          <w:p w14:paraId="500959A3">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P</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massoniana</w:t>
            </w:r>
          </w:p>
        </w:tc>
        <w:tc>
          <w:tcPr>
            <w:tcW w:w="319" w:type="pct"/>
            <w:noWrap/>
            <w:vAlign w:val="center"/>
          </w:tcPr>
          <w:p w14:paraId="7855F288">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宁明桐棉</w:t>
            </w:r>
          </w:p>
        </w:tc>
        <w:tc>
          <w:tcPr>
            <w:tcW w:w="328" w:type="pct"/>
            <w:noWrap/>
            <w:vAlign w:val="center"/>
          </w:tcPr>
          <w:p w14:paraId="69F8377C">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0.487</w:t>
            </w:r>
          </w:p>
        </w:tc>
        <w:tc>
          <w:tcPr>
            <w:tcW w:w="263" w:type="pct"/>
            <w:noWrap/>
            <w:vAlign w:val="center"/>
          </w:tcPr>
          <w:p w14:paraId="66E3EEF5">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0.141</w:t>
            </w:r>
          </w:p>
        </w:tc>
        <w:tc>
          <w:tcPr>
            <w:tcW w:w="263" w:type="pct"/>
            <w:noWrap/>
            <w:vAlign w:val="center"/>
          </w:tcPr>
          <w:p w14:paraId="209D9DCA">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0.304</w:t>
            </w:r>
          </w:p>
        </w:tc>
        <w:tc>
          <w:tcPr>
            <w:tcW w:w="264" w:type="pct"/>
            <w:noWrap/>
            <w:vAlign w:val="center"/>
          </w:tcPr>
          <w:p w14:paraId="3C9B5144">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0.417</w:t>
            </w:r>
          </w:p>
        </w:tc>
        <w:tc>
          <w:tcPr>
            <w:tcW w:w="323" w:type="pct"/>
            <w:noWrap/>
            <w:vAlign w:val="center"/>
          </w:tcPr>
          <w:p w14:paraId="1103E328">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37.6</w:t>
            </w:r>
          </w:p>
        </w:tc>
        <w:tc>
          <w:tcPr>
            <w:tcW w:w="365" w:type="pct"/>
            <w:noWrap/>
            <w:vAlign w:val="center"/>
          </w:tcPr>
          <w:p w14:paraId="58E0D9BA">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74.9</w:t>
            </w:r>
          </w:p>
        </w:tc>
        <w:tc>
          <w:tcPr>
            <w:tcW w:w="315" w:type="pct"/>
            <w:noWrap/>
            <w:vAlign w:val="center"/>
          </w:tcPr>
          <w:p w14:paraId="1C70591B">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75.3</w:t>
            </w:r>
          </w:p>
        </w:tc>
        <w:tc>
          <w:tcPr>
            <w:tcW w:w="245" w:type="pct"/>
            <w:noWrap/>
            <w:vAlign w:val="center"/>
          </w:tcPr>
          <w:p w14:paraId="62A97B31">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9.3</w:t>
            </w:r>
          </w:p>
        </w:tc>
        <w:tc>
          <w:tcPr>
            <w:tcW w:w="265" w:type="pct"/>
            <w:noWrap/>
            <w:vAlign w:val="center"/>
          </w:tcPr>
          <w:p w14:paraId="7AA022EA">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9.1</w:t>
            </w:r>
          </w:p>
        </w:tc>
        <w:tc>
          <w:tcPr>
            <w:tcW w:w="1142" w:type="pct"/>
            <w:noWrap/>
            <w:vAlign w:val="center"/>
          </w:tcPr>
          <w:p w14:paraId="78BECB69">
            <w:pPr>
              <w:jc w:val="center"/>
              <w:rPr>
                <w:rFonts w:hint="default"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心材淡红黄色，边材淡黄，纹理、结构粗，干燥易裂、变形，不耐腐。用于坑木、枕木、车辆维修、桥梁、造船、火柴、造纸、胶合板等。</w:t>
            </w:r>
          </w:p>
        </w:tc>
      </w:tr>
      <w:tr w14:paraId="0CD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94" w:type="pct"/>
            <w:vMerge w:val="restart"/>
            <w:noWrap/>
            <w:vAlign w:val="center"/>
          </w:tcPr>
          <w:p w14:paraId="7E7B51E3">
            <w:pPr>
              <w:jc w:val="center"/>
              <w:rPr>
                <w:rFonts w:hint="default" w:ascii="Times New Roman" w:hAnsi="Times New Roman" w:cs="Times New Roman" w:eastAsiaTheme="minorEastAsia"/>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杉科</w:t>
            </w:r>
          </w:p>
        </w:tc>
        <w:tc>
          <w:tcPr>
            <w:tcW w:w="334" w:type="pct"/>
            <w:noWrap/>
            <w:vAlign w:val="center"/>
          </w:tcPr>
          <w:p w14:paraId="0D677B12">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柳杉</w:t>
            </w:r>
          </w:p>
          <w:p w14:paraId="048425E1">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Cryptomeria</w:t>
            </w:r>
            <w:r>
              <w:rPr>
                <w:rFonts w:hint="eastAsia" w:ascii="Times New Roman" w:hAnsi="Times New Roman" w:cs="Times New Roman"/>
                <w:b w:val="0"/>
                <w:bCs w:val="0"/>
                <w:color w:val="auto"/>
                <w:sz w:val="18"/>
                <w:szCs w:val="18"/>
                <w:highlight w:val="none"/>
                <w:lang w:val="en-US" w:eastAsia="zh-CN"/>
              </w:rPr>
              <w:t xml:space="preserve"> spp.</w:t>
            </w:r>
          </w:p>
        </w:tc>
        <w:tc>
          <w:tcPr>
            <w:tcW w:w="373" w:type="pct"/>
            <w:noWrap/>
            <w:vAlign w:val="center"/>
          </w:tcPr>
          <w:p w14:paraId="1211434F">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柳杉</w:t>
            </w:r>
          </w:p>
          <w:p w14:paraId="4DEF1E83">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w:t>
            </w:r>
            <w:r>
              <w:rPr>
                <w:rFonts w:hint="eastAsia" w:ascii="Times New Roman" w:hAnsi="Times New Roman" w:cs="Times New Roman"/>
                <w:b w:val="0"/>
                <w:bCs w:val="0"/>
                <w:i/>
                <w:iCs/>
                <w:color w:val="auto"/>
                <w:sz w:val="18"/>
                <w:szCs w:val="18"/>
                <w:highlight w:val="none"/>
                <w:lang w:val="en-US" w:eastAsia="zh-CN"/>
              </w:rPr>
              <w:t xml:space="preserve">. </w:t>
            </w:r>
            <w:r>
              <w:rPr>
                <w:rFonts w:hint="default" w:ascii="Times New Roman" w:hAnsi="Times New Roman" w:cs="Times New Roman"/>
                <w:b w:val="0"/>
                <w:bCs w:val="0"/>
                <w:i/>
                <w:iCs/>
                <w:color w:val="auto"/>
                <w:sz w:val="18"/>
                <w:szCs w:val="18"/>
                <w:highlight w:val="none"/>
                <w:lang w:val="en-US" w:eastAsia="zh-CN"/>
              </w:rPr>
              <w:t>fortunei</w:t>
            </w:r>
          </w:p>
        </w:tc>
        <w:tc>
          <w:tcPr>
            <w:tcW w:w="319" w:type="pct"/>
            <w:noWrap/>
            <w:vAlign w:val="center"/>
          </w:tcPr>
          <w:p w14:paraId="0066C71A">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南丹大塘山</w:t>
            </w:r>
          </w:p>
        </w:tc>
        <w:tc>
          <w:tcPr>
            <w:tcW w:w="328" w:type="pct"/>
            <w:noWrap/>
            <w:vAlign w:val="center"/>
          </w:tcPr>
          <w:p w14:paraId="3CA9C37A">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0.339</w:t>
            </w:r>
          </w:p>
        </w:tc>
        <w:tc>
          <w:tcPr>
            <w:tcW w:w="263" w:type="pct"/>
            <w:noWrap/>
            <w:vAlign w:val="center"/>
          </w:tcPr>
          <w:p w14:paraId="30464F50">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0.116</w:t>
            </w:r>
          </w:p>
        </w:tc>
        <w:tc>
          <w:tcPr>
            <w:tcW w:w="263" w:type="pct"/>
            <w:noWrap/>
            <w:vAlign w:val="center"/>
          </w:tcPr>
          <w:p w14:paraId="0677D90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0.281</w:t>
            </w:r>
          </w:p>
        </w:tc>
        <w:tc>
          <w:tcPr>
            <w:tcW w:w="264" w:type="pct"/>
            <w:noWrap/>
            <w:vAlign w:val="center"/>
          </w:tcPr>
          <w:p w14:paraId="760D0756">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0.420</w:t>
            </w:r>
          </w:p>
        </w:tc>
        <w:tc>
          <w:tcPr>
            <w:tcW w:w="323" w:type="pct"/>
            <w:noWrap/>
            <w:vAlign w:val="center"/>
          </w:tcPr>
          <w:p w14:paraId="43224075">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22.4</w:t>
            </w:r>
          </w:p>
        </w:tc>
        <w:tc>
          <w:tcPr>
            <w:tcW w:w="365" w:type="pct"/>
            <w:noWrap/>
            <w:vAlign w:val="center"/>
          </w:tcPr>
          <w:p w14:paraId="023A8AEF">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5" w:type="pct"/>
            <w:noWrap/>
            <w:vAlign w:val="center"/>
          </w:tcPr>
          <w:p w14:paraId="0233ACB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50.6</w:t>
            </w:r>
          </w:p>
        </w:tc>
        <w:tc>
          <w:tcPr>
            <w:tcW w:w="245" w:type="pct"/>
            <w:noWrap/>
            <w:vAlign w:val="center"/>
          </w:tcPr>
          <w:p w14:paraId="5D19922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5.0</w:t>
            </w:r>
          </w:p>
        </w:tc>
        <w:tc>
          <w:tcPr>
            <w:tcW w:w="265" w:type="pct"/>
            <w:noWrap/>
            <w:vAlign w:val="center"/>
          </w:tcPr>
          <w:p w14:paraId="5129BEB5">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4.7</w:t>
            </w:r>
          </w:p>
        </w:tc>
        <w:tc>
          <w:tcPr>
            <w:tcW w:w="1142" w:type="pct"/>
            <w:noWrap/>
            <w:vAlign w:val="center"/>
          </w:tcPr>
          <w:p w14:paraId="3891D3B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心材棕红色，边材黄白色，纹理直，结构粗，干燥少变形，略耐腐。用于筛框、蒸笼、木模片等。</w:t>
            </w:r>
          </w:p>
        </w:tc>
      </w:tr>
      <w:tr w14:paraId="632D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94" w:type="pct"/>
            <w:vMerge w:val="continue"/>
            <w:noWrap/>
            <w:vAlign w:val="center"/>
          </w:tcPr>
          <w:p w14:paraId="14CE38FA">
            <w:pPr>
              <w:jc w:val="center"/>
              <w:rPr>
                <w:rFonts w:hint="default" w:ascii="Times New Roman" w:hAnsi="Times New Roman" w:cs="Times New Roman"/>
                <w:b w:val="0"/>
                <w:bCs w:val="0"/>
                <w:color w:val="auto"/>
                <w:sz w:val="18"/>
                <w:szCs w:val="18"/>
                <w:highlight w:val="none"/>
              </w:rPr>
            </w:pPr>
          </w:p>
        </w:tc>
        <w:tc>
          <w:tcPr>
            <w:tcW w:w="334" w:type="pct"/>
            <w:noWrap/>
            <w:vAlign w:val="center"/>
          </w:tcPr>
          <w:p w14:paraId="3E307A66">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杉木</w:t>
            </w:r>
          </w:p>
          <w:p w14:paraId="041A077A">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Cunninghamia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73" w:type="pct"/>
            <w:noWrap/>
            <w:vAlign w:val="center"/>
          </w:tcPr>
          <w:p w14:paraId="6923684F">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杉木</w:t>
            </w:r>
          </w:p>
          <w:p w14:paraId="6F318513">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lanceolata</w:t>
            </w:r>
          </w:p>
        </w:tc>
        <w:tc>
          <w:tcPr>
            <w:tcW w:w="319" w:type="pct"/>
            <w:noWrap/>
            <w:vAlign w:val="center"/>
          </w:tcPr>
          <w:p w14:paraId="361BDF7F">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大苗山</w:t>
            </w:r>
          </w:p>
        </w:tc>
        <w:tc>
          <w:tcPr>
            <w:tcW w:w="328" w:type="pct"/>
            <w:noWrap/>
            <w:vAlign w:val="center"/>
          </w:tcPr>
          <w:p w14:paraId="3F831B3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0.372</w:t>
            </w:r>
          </w:p>
        </w:tc>
        <w:tc>
          <w:tcPr>
            <w:tcW w:w="263" w:type="pct"/>
            <w:noWrap/>
            <w:vAlign w:val="center"/>
          </w:tcPr>
          <w:p w14:paraId="5BD241F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0.124</w:t>
            </w:r>
          </w:p>
        </w:tc>
        <w:tc>
          <w:tcPr>
            <w:tcW w:w="263" w:type="pct"/>
            <w:noWrap/>
            <w:vAlign w:val="center"/>
          </w:tcPr>
          <w:p w14:paraId="17811ED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0.274</w:t>
            </w:r>
          </w:p>
        </w:tc>
        <w:tc>
          <w:tcPr>
            <w:tcW w:w="264" w:type="pct"/>
            <w:noWrap/>
            <w:vAlign w:val="center"/>
          </w:tcPr>
          <w:p w14:paraId="0E99016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0.418</w:t>
            </w:r>
          </w:p>
        </w:tc>
        <w:tc>
          <w:tcPr>
            <w:tcW w:w="323" w:type="pct"/>
            <w:noWrap/>
            <w:vAlign w:val="center"/>
          </w:tcPr>
          <w:p w14:paraId="7188703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41.8</w:t>
            </w:r>
          </w:p>
        </w:tc>
        <w:tc>
          <w:tcPr>
            <w:tcW w:w="365" w:type="pct"/>
            <w:noWrap/>
            <w:vAlign w:val="center"/>
          </w:tcPr>
          <w:p w14:paraId="56DFB245">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71.8</w:t>
            </w:r>
          </w:p>
        </w:tc>
        <w:tc>
          <w:tcPr>
            <w:tcW w:w="315" w:type="pct"/>
            <w:noWrap/>
            <w:vAlign w:val="center"/>
          </w:tcPr>
          <w:p w14:paraId="40F547C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76.7</w:t>
            </w:r>
          </w:p>
        </w:tc>
        <w:tc>
          <w:tcPr>
            <w:tcW w:w="245" w:type="pct"/>
            <w:noWrap/>
            <w:vAlign w:val="center"/>
          </w:tcPr>
          <w:p w14:paraId="4B56D75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5.6</w:t>
            </w:r>
          </w:p>
        </w:tc>
        <w:tc>
          <w:tcPr>
            <w:tcW w:w="265" w:type="pct"/>
            <w:noWrap/>
            <w:vAlign w:val="center"/>
          </w:tcPr>
          <w:p w14:paraId="614C3D2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7.6</w:t>
            </w:r>
          </w:p>
        </w:tc>
        <w:tc>
          <w:tcPr>
            <w:tcW w:w="1142" w:type="pct"/>
            <w:noWrap/>
            <w:vAlign w:val="center"/>
          </w:tcPr>
          <w:p w14:paraId="2BC28D4B">
            <w:pPr>
              <w:jc w:val="center"/>
              <w:rPr>
                <w:rFonts w:hint="default"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心材褐红色，边材黄白色，纹理直，结构细，干燥不开裂、不变形，耐腐、抗虫。用于建筑、电杆、桥梁、船舶、车辆、门窗、机模、家具、农具等。</w:t>
            </w:r>
          </w:p>
        </w:tc>
      </w:tr>
      <w:tr w14:paraId="526F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194" w:type="pct"/>
            <w:vMerge w:val="continue"/>
            <w:noWrap/>
            <w:vAlign w:val="center"/>
          </w:tcPr>
          <w:p w14:paraId="29010E45">
            <w:pPr>
              <w:jc w:val="center"/>
              <w:rPr>
                <w:rFonts w:hint="default" w:ascii="Times New Roman" w:hAnsi="Times New Roman" w:cs="Times New Roman"/>
                <w:b w:val="0"/>
                <w:bCs w:val="0"/>
                <w:color w:val="auto"/>
                <w:sz w:val="18"/>
                <w:szCs w:val="18"/>
                <w:highlight w:val="none"/>
              </w:rPr>
            </w:pPr>
          </w:p>
        </w:tc>
        <w:tc>
          <w:tcPr>
            <w:tcW w:w="334" w:type="pct"/>
            <w:noWrap/>
            <w:vAlign w:val="center"/>
          </w:tcPr>
          <w:p w14:paraId="7805908B">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台湾杉</w:t>
            </w:r>
          </w:p>
          <w:p w14:paraId="3E737393">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Taiwania</w:t>
            </w:r>
            <w:r>
              <w:rPr>
                <w:rFonts w:hint="eastAsia" w:ascii="Times New Roman" w:hAnsi="Times New Roman" w:cs="Times New Roman"/>
                <w:b w:val="0"/>
                <w:bCs w:val="0"/>
                <w:color w:val="auto"/>
                <w:sz w:val="18"/>
                <w:szCs w:val="18"/>
                <w:highlight w:val="none"/>
                <w:lang w:val="en-US" w:eastAsia="zh-CN"/>
              </w:rPr>
              <w:t xml:space="preserve"> spp.</w:t>
            </w:r>
          </w:p>
        </w:tc>
        <w:tc>
          <w:tcPr>
            <w:tcW w:w="373" w:type="pct"/>
            <w:noWrap/>
            <w:vAlign w:val="center"/>
          </w:tcPr>
          <w:p w14:paraId="05C48B4D">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秃杉</w:t>
            </w:r>
          </w:p>
          <w:p w14:paraId="0512BBDB">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i/>
                <w:iCs/>
                <w:color w:val="auto"/>
                <w:sz w:val="18"/>
                <w:szCs w:val="18"/>
                <w:highlight w:val="none"/>
                <w:lang w:val="en-US" w:eastAsia="zh-CN"/>
              </w:rPr>
              <w:t>T. flousiana</w:t>
            </w:r>
          </w:p>
        </w:tc>
        <w:tc>
          <w:tcPr>
            <w:tcW w:w="319" w:type="pct"/>
            <w:noWrap/>
            <w:vAlign w:val="center"/>
          </w:tcPr>
          <w:p w14:paraId="79892620">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南丹山口</w:t>
            </w:r>
          </w:p>
        </w:tc>
        <w:tc>
          <w:tcPr>
            <w:tcW w:w="328" w:type="pct"/>
            <w:noWrap/>
            <w:vAlign w:val="center"/>
          </w:tcPr>
          <w:p w14:paraId="4AA87F9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0.309</w:t>
            </w:r>
          </w:p>
        </w:tc>
        <w:tc>
          <w:tcPr>
            <w:tcW w:w="263" w:type="pct"/>
            <w:noWrap/>
            <w:vAlign w:val="center"/>
          </w:tcPr>
          <w:p w14:paraId="14E8A4E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0.122</w:t>
            </w:r>
          </w:p>
        </w:tc>
        <w:tc>
          <w:tcPr>
            <w:tcW w:w="263" w:type="pct"/>
            <w:noWrap/>
            <w:vAlign w:val="center"/>
          </w:tcPr>
          <w:p w14:paraId="123B0896">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0.256</w:t>
            </w:r>
          </w:p>
        </w:tc>
        <w:tc>
          <w:tcPr>
            <w:tcW w:w="264" w:type="pct"/>
            <w:noWrap/>
            <w:vAlign w:val="center"/>
          </w:tcPr>
          <w:p w14:paraId="438BD54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0.392</w:t>
            </w:r>
          </w:p>
        </w:tc>
        <w:tc>
          <w:tcPr>
            <w:tcW w:w="323" w:type="pct"/>
            <w:noWrap/>
            <w:vAlign w:val="center"/>
          </w:tcPr>
          <w:p w14:paraId="65975DC9">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30.91</w:t>
            </w:r>
          </w:p>
        </w:tc>
        <w:tc>
          <w:tcPr>
            <w:tcW w:w="365" w:type="pct"/>
            <w:noWrap/>
            <w:vAlign w:val="center"/>
          </w:tcPr>
          <w:p w14:paraId="628A0042">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5" w:type="pct"/>
            <w:noWrap/>
            <w:vAlign w:val="center"/>
          </w:tcPr>
          <w:p w14:paraId="5282A2F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60.19</w:t>
            </w:r>
          </w:p>
        </w:tc>
        <w:tc>
          <w:tcPr>
            <w:tcW w:w="245" w:type="pct"/>
            <w:noWrap/>
            <w:vAlign w:val="center"/>
          </w:tcPr>
          <w:p w14:paraId="7275AB1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3.5</w:t>
            </w:r>
          </w:p>
        </w:tc>
        <w:tc>
          <w:tcPr>
            <w:tcW w:w="265" w:type="pct"/>
            <w:noWrap/>
            <w:vAlign w:val="center"/>
          </w:tcPr>
          <w:p w14:paraId="62E792B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4.7</w:t>
            </w:r>
          </w:p>
        </w:tc>
        <w:tc>
          <w:tcPr>
            <w:tcW w:w="1142" w:type="pct"/>
            <w:noWrap/>
            <w:vAlign w:val="center"/>
          </w:tcPr>
          <w:p w14:paraId="6F962DF6">
            <w:pPr>
              <w:jc w:val="center"/>
              <w:rPr>
                <w:rFonts w:hint="eastAsia" w:ascii="Times New Roman" w:hAnsi="Times New Roman" w:cs="Times New Roman" w:eastAsiaTheme="minorEastAsia"/>
                <w:b w:val="0"/>
                <w:bCs w:val="0"/>
                <w:color w:val="auto"/>
                <w:sz w:val="18"/>
                <w:szCs w:val="18"/>
                <w:highlight w:val="none"/>
                <w:lang w:eastAsia="zh-CN"/>
              </w:rPr>
            </w:pPr>
            <w:r>
              <w:rPr>
                <w:rFonts w:hint="eastAsia" w:ascii="Times New Roman" w:hAnsi="Times New Roman" w:cs="Times New Roman" w:eastAsiaTheme="minorEastAsia"/>
                <w:b w:val="0"/>
                <w:bCs w:val="0"/>
                <w:color w:val="auto"/>
                <w:sz w:val="18"/>
                <w:szCs w:val="18"/>
                <w:highlight w:val="none"/>
                <w:lang w:eastAsia="zh-CN"/>
              </w:rPr>
              <w:t>心材紫红褐色，边材深黄褐色带红，纹理直，结构细</w:t>
            </w:r>
            <w:r>
              <w:rPr>
                <w:rFonts w:hint="eastAsia" w:ascii="Times New Roman" w:hAnsi="Times New Roman" w:cs="Times New Roman"/>
                <w:b w:val="0"/>
                <w:bCs w:val="0"/>
                <w:color w:val="auto"/>
                <w:sz w:val="18"/>
                <w:szCs w:val="18"/>
                <w:highlight w:val="none"/>
                <w:lang w:eastAsia="zh-CN"/>
              </w:rPr>
              <w:t>，</w:t>
            </w:r>
            <w:r>
              <w:rPr>
                <w:rFonts w:hint="eastAsia" w:ascii="Times New Roman" w:hAnsi="Times New Roman" w:cs="Times New Roman"/>
                <w:b w:val="0"/>
                <w:bCs w:val="0"/>
                <w:color w:val="auto"/>
                <w:sz w:val="18"/>
                <w:szCs w:val="18"/>
                <w:highlight w:val="none"/>
                <w:lang w:val="en-US" w:eastAsia="zh-CN"/>
              </w:rPr>
              <w:t>干燥不开裂、不变形</w:t>
            </w:r>
            <w:r>
              <w:rPr>
                <w:rFonts w:hint="eastAsia" w:ascii="Times New Roman" w:hAnsi="Times New Roman" w:cs="Times New Roman" w:eastAsiaTheme="minorEastAsia"/>
                <w:b w:val="0"/>
                <w:bCs w:val="0"/>
                <w:color w:val="auto"/>
                <w:sz w:val="18"/>
                <w:szCs w:val="18"/>
                <w:highlight w:val="none"/>
                <w:lang w:eastAsia="zh-CN"/>
              </w:rPr>
              <w:t>。</w:t>
            </w:r>
            <w:r>
              <w:rPr>
                <w:rFonts w:hint="eastAsia" w:ascii="Times New Roman" w:hAnsi="Times New Roman" w:cs="Times New Roman"/>
                <w:b w:val="0"/>
                <w:bCs w:val="0"/>
                <w:color w:val="auto"/>
                <w:sz w:val="18"/>
                <w:szCs w:val="18"/>
                <w:highlight w:val="none"/>
                <w:lang w:val="en-US" w:eastAsia="zh-CN"/>
              </w:rPr>
              <w:t>用于</w:t>
            </w:r>
            <w:r>
              <w:rPr>
                <w:rFonts w:hint="eastAsia" w:ascii="Times New Roman" w:hAnsi="Times New Roman" w:cs="Times New Roman" w:eastAsiaTheme="minorEastAsia"/>
                <w:b w:val="0"/>
                <w:bCs w:val="0"/>
                <w:color w:val="auto"/>
                <w:sz w:val="18"/>
                <w:szCs w:val="18"/>
                <w:highlight w:val="none"/>
                <w:lang w:eastAsia="zh-CN"/>
              </w:rPr>
              <w:t>建筑、桥梁、电杆、舟车、家具、板材及造纸原料等。</w:t>
            </w:r>
          </w:p>
        </w:tc>
      </w:tr>
    </w:tbl>
    <w:p w14:paraId="5C4B47CB">
      <w:pPr>
        <w:spacing w:line="220" w:lineRule="atLeast"/>
        <w:rPr>
          <w:rFonts w:ascii="宋体" w:hAnsi="宋体"/>
          <w:color w:val="auto"/>
          <w:szCs w:val="21"/>
          <w:highlight w:val="none"/>
        </w:rPr>
      </w:pPr>
    </w:p>
    <w:p w14:paraId="26EA7B66">
      <w:pPr>
        <w:rPr>
          <w:rFonts w:hint="eastAsia"/>
          <w:b/>
          <w:bCs/>
          <w:color w:val="auto"/>
          <w:highlight w:val="none"/>
          <w:lang w:eastAsia="zh-CN"/>
        </w:rPr>
      </w:pPr>
      <w:r>
        <w:rPr>
          <w:rFonts w:hint="eastAsia"/>
          <w:b/>
          <w:bCs/>
          <w:color w:val="auto"/>
          <w:highlight w:val="none"/>
          <w:lang w:eastAsia="zh-CN"/>
        </w:rPr>
        <w:br w:type="page"/>
      </w:r>
    </w:p>
    <w:p w14:paraId="1615D5AA">
      <w:pPr>
        <w:pStyle w:val="40"/>
        <w:spacing w:line="220" w:lineRule="atLeast"/>
        <w:jc w:val="center"/>
        <w:rPr>
          <w:color w:val="auto"/>
          <w:highlight w:val="none"/>
        </w:rPr>
      </w:pPr>
      <w:r>
        <w:rPr>
          <w:rFonts w:hint="eastAsia"/>
          <w:color w:val="auto"/>
          <w:highlight w:val="none"/>
          <w:lang w:eastAsia="zh-CN"/>
        </w:rPr>
        <w:t>表</w:t>
      </w:r>
      <w:r>
        <w:rPr>
          <w:rFonts w:hint="eastAsia"/>
          <w:color w:val="auto"/>
          <w:highlight w:val="none"/>
          <w:lang w:val="en-US" w:eastAsia="zh-CN"/>
        </w:rPr>
        <w:t>A</w:t>
      </w:r>
      <w:r>
        <w:rPr>
          <w:rFonts w:hint="eastAsia"/>
          <w:color w:val="auto"/>
          <w:highlight w:val="none"/>
        </w:rPr>
        <w:t>.</w:t>
      </w:r>
      <w:r>
        <w:rPr>
          <w:rFonts w:hint="eastAsia"/>
          <w:color w:val="auto"/>
          <w:highlight w:val="none"/>
          <w:lang w:val="en-US" w:eastAsia="zh-CN"/>
        </w:rPr>
        <w:t xml:space="preserve">0.2  </w:t>
      </w:r>
      <w:r>
        <w:rPr>
          <w:rFonts w:hint="eastAsia"/>
          <w:color w:val="auto"/>
          <w:highlight w:val="none"/>
        </w:rPr>
        <w:t>广西主要阔叶树材材料性能参数</w:t>
      </w:r>
    </w:p>
    <w:tbl>
      <w:tblPr>
        <w:tblStyle w:val="17"/>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958"/>
        <w:gridCol w:w="1099"/>
        <w:gridCol w:w="920"/>
        <w:gridCol w:w="980"/>
        <w:gridCol w:w="838"/>
        <w:gridCol w:w="800"/>
        <w:gridCol w:w="762"/>
        <w:gridCol w:w="1075"/>
        <w:gridCol w:w="1075"/>
        <w:gridCol w:w="966"/>
        <w:gridCol w:w="773"/>
        <w:gridCol w:w="750"/>
        <w:gridCol w:w="3472"/>
      </w:tblGrid>
      <w:tr w14:paraId="0DD4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212" w:type="pct"/>
            <w:vMerge w:val="restart"/>
            <w:noWrap/>
            <w:vAlign w:val="center"/>
          </w:tcPr>
          <w:p w14:paraId="7167D9BD">
            <w:pPr>
              <w:jc w:val="center"/>
              <w:rPr>
                <w:rFonts w:hint="default" w:ascii="Times New Roman" w:hAnsi="Times New Roman" w:cs="Times New Roman" w:eastAsiaTheme="minorEastAsia"/>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科别</w:t>
            </w:r>
          </w:p>
        </w:tc>
        <w:tc>
          <w:tcPr>
            <w:tcW w:w="317" w:type="pct"/>
            <w:vMerge w:val="restart"/>
            <w:noWrap/>
            <w:vAlign w:val="center"/>
          </w:tcPr>
          <w:p w14:paraId="71246CD2">
            <w:pPr>
              <w:jc w:val="center"/>
              <w:rPr>
                <w:rFonts w:hint="default" w:ascii="Times New Roman" w:hAnsi="Times New Roman" w:cs="Times New Roman" w:eastAsiaTheme="minorEastAsia"/>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木材名称</w:t>
            </w:r>
          </w:p>
        </w:tc>
        <w:tc>
          <w:tcPr>
            <w:tcW w:w="363" w:type="pct"/>
            <w:vMerge w:val="restart"/>
            <w:noWrap/>
            <w:vAlign w:val="center"/>
          </w:tcPr>
          <w:p w14:paraId="51FDE206">
            <w:pPr>
              <w:jc w:val="center"/>
              <w:rPr>
                <w:rFonts w:hint="default" w:ascii="Times New Roman" w:hAnsi="Times New Roman" w:cs="Times New Roman" w:eastAsiaTheme="minorEastAsia"/>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树种名称</w:t>
            </w:r>
          </w:p>
        </w:tc>
        <w:tc>
          <w:tcPr>
            <w:tcW w:w="304" w:type="pct"/>
            <w:vMerge w:val="restart"/>
            <w:noWrap/>
            <w:vAlign w:val="center"/>
          </w:tcPr>
          <w:p w14:paraId="7FF8622D">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采集地/属地</w:t>
            </w:r>
          </w:p>
        </w:tc>
        <w:tc>
          <w:tcPr>
            <w:tcW w:w="324" w:type="pct"/>
            <w:vMerge w:val="restart"/>
            <w:vAlign w:val="center"/>
          </w:tcPr>
          <w:p w14:paraId="3645516D">
            <w:pPr>
              <w:jc w:val="center"/>
              <w:rPr>
                <w:rFonts w:hint="eastAsia" w:ascii="Times New Roman" w:hAnsi="Times New Roman" w:cs="Times New Roman" w:eastAsiaTheme="minorEastAsia"/>
                <w:b/>
                <w:bCs/>
                <w:color w:val="auto"/>
                <w:sz w:val="18"/>
                <w:szCs w:val="18"/>
                <w:highlight w:val="none"/>
                <w:lang w:eastAsia="zh-CN"/>
              </w:rPr>
            </w:pPr>
            <w:r>
              <w:rPr>
                <w:rFonts w:hint="default" w:ascii="Times New Roman" w:hAnsi="Times New Roman" w:cs="Times New Roman"/>
                <w:b/>
                <w:bCs/>
                <w:color w:val="auto"/>
                <w:sz w:val="18"/>
                <w:szCs w:val="18"/>
                <w:highlight w:val="none"/>
              </w:rPr>
              <w:t>气干密度（</w:t>
            </w:r>
            <w:r>
              <w:rPr>
                <w:rFonts w:hint="default" w:ascii="Times New Roman" w:hAnsi="Times New Roman" w:cs="Times New Roman"/>
                <w:b/>
                <w:bCs/>
                <w:color w:val="auto"/>
                <w:sz w:val="18"/>
                <w:szCs w:val="18"/>
                <w:highlight w:val="none"/>
                <w:lang w:val="en-US" w:eastAsia="zh-CN"/>
              </w:rPr>
              <w:t>g</w:t>
            </w:r>
            <w:r>
              <w:rPr>
                <w:rFonts w:hint="default" w:ascii="Times New Roman" w:hAnsi="Times New Roman" w:cs="Times New Roman"/>
                <w:b/>
                <w:bCs/>
                <w:color w:val="auto"/>
                <w:sz w:val="18"/>
                <w:szCs w:val="18"/>
                <w:highlight w:val="none"/>
              </w:rPr>
              <w:t>/</w:t>
            </w:r>
            <w:r>
              <w:rPr>
                <w:rFonts w:hint="default" w:ascii="Times New Roman" w:hAnsi="Times New Roman" w:cs="Times New Roman"/>
                <w:b/>
                <w:bCs/>
                <w:color w:val="auto"/>
                <w:sz w:val="18"/>
                <w:szCs w:val="18"/>
                <w:highlight w:val="none"/>
                <w:lang w:val="en-US" w:eastAsia="zh-CN"/>
              </w:rPr>
              <w:t>c</w:t>
            </w:r>
            <w:r>
              <w:rPr>
                <w:rFonts w:hint="default" w:ascii="Times New Roman" w:hAnsi="Times New Roman" w:cs="Times New Roman"/>
                <w:b/>
                <w:bCs/>
                <w:color w:val="auto"/>
                <w:sz w:val="18"/>
                <w:szCs w:val="18"/>
                <w:highlight w:val="none"/>
              </w:rPr>
              <w:t>m</w:t>
            </w:r>
            <w:r>
              <w:rPr>
                <w:rFonts w:hint="default" w:ascii="Times New Roman" w:hAnsi="Times New Roman" w:cs="Times New Roman"/>
                <w:b/>
                <w:bCs/>
                <w:color w:val="auto"/>
                <w:sz w:val="18"/>
                <w:szCs w:val="18"/>
                <w:highlight w:val="none"/>
                <w:vertAlign w:val="superscript"/>
              </w:rPr>
              <w:t>3</w:t>
            </w:r>
            <w:r>
              <w:rPr>
                <w:rFonts w:hint="eastAsia" w:ascii="Times New Roman" w:hAnsi="Times New Roman" w:cs="Times New Roman"/>
                <w:b/>
                <w:bCs/>
                <w:color w:val="auto"/>
                <w:sz w:val="18"/>
                <w:szCs w:val="18"/>
                <w:highlight w:val="none"/>
                <w:lang w:eastAsia="zh-CN"/>
              </w:rPr>
              <w:t>）</w:t>
            </w:r>
          </w:p>
        </w:tc>
        <w:tc>
          <w:tcPr>
            <w:tcW w:w="794" w:type="pct"/>
            <w:gridSpan w:val="3"/>
            <w:vAlign w:val="center"/>
          </w:tcPr>
          <w:p w14:paraId="2C46647B">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干缩系数</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w:t>
            </w:r>
            <w:r>
              <w:rPr>
                <w:rFonts w:hint="default" w:ascii="Times New Roman" w:hAnsi="Times New Roman" w:cs="Times New Roman"/>
                <w:b/>
                <w:bCs/>
                <w:color w:val="auto"/>
                <w:sz w:val="18"/>
                <w:szCs w:val="18"/>
                <w:highlight w:val="none"/>
                <w:lang w:eastAsia="zh-CN"/>
              </w:rPr>
              <w:t>）</w:t>
            </w:r>
          </w:p>
        </w:tc>
        <w:tc>
          <w:tcPr>
            <w:tcW w:w="355" w:type="pct"/>
            <w:vMerge w:val="restart"/>
            <w:vAlign w:val="center"/>
          </w:tcPr>
          <w:p w14:paraId="7AE555C7">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顺纹抗压强度（MPa</w:t>
            </w:r>
            <w:r>
              <w:rPr>
                <w:rFonts w:hint="eastAsia" w:ascii="Times New Roman" w:hAnsi="Times New Roman" w:cs="Times New Roman"/>
                <w:b/>
                <w:bCs/>
                <w:color w:val="auto"/>
                <w:sz w:val="18"/>
                <w:szCs w:val="18"/>
                <w:highlight w:val="none"/>
                <w:lang w:eastAsia="zh-CN"/>
              </w:rPr>
              <w:t>）</w:t>
            </w:r>
          </w:p>
        </w:tc>
        <w:tc>
          <w:tcPr>
            <w:tcW w:w="355" w:type="pct"/>
            <w:vMerge w:val="restart"/>
            <w:vAlign w:val="center"/>
          </w:tcPr>
          <w:p w14:paraId="07F29B38">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顺纹抗拉强度（MPa</w:t>
            </w:r>
            <w:r>
              <w:rPr>
                <w:rFonts w:hint="eastAsia" w:ascii="Times New Roman" w:hAnsi="Times New Roman" w:cs="Times New Roman"/>
                <w:b/>
                <w:bCs/>
                <w:color w:val="auto"/>
                <w:sz w:val="18"/>
                <w:szCs w:val="18"/>
                <w:highlight w:val="none"/>
                <w:lang w:eastAsia="zh-CN"/>
              </w:rPr>
              <w:t>）</w:t>
            </w:r>
          </w:p>
        </w:tc>
        <w:tc>
          <w:tcPr>
            <w:tcW w:w="319" w:type="pct"/>
            <w:vMerge w:val="restart"/>
            <w:vAlign w:val="center"/>
          </w:tcPr>
          <w:p w14:paraId="72F2A12F">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抗弯强度（MPa</w:t>
            </w:r>
            <w:r>
              <w:rPr>
                <w:rFonts w:hint="eastAsia" w:ascii="Times New Roman" w:hAnsi="Times New Roman" w:cs="Times New Roman"/>
                <w:b/>
                <w:bCs/>
                <w:color w:val="auto"/>
                <w:sz w:val="18"/>
                <w:szCs w:val="18"/>
                <w:highlight w:val="none"/>
                <w:lang w:eastAsia="zh-CN"/>
              </w:rPr>
              <w:t>）</w:t>
            </w:r>
          </w:p>
        </w:tc>
        <w:tc>
          <w:tcPr>
            <w:tcW w:w="503" w:type="pct"/>
            <w:gridSpan w:val="2"/>
            <w:vAlign w:val="center"/>
          </w:tcPr>
          <w:p w14:paraId="4863861B">
            <w:pPr>
              <w:jc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顺纹抗剪强度（MPa</w:t>
            </w:r>
            <w:r>
              <w:rPr>
                <w:rFonts w:hint="eastAsia" w:ascii="Times New Roman" w:hAnsi="Times New Roman" w:cs="Times New Roman"/>
                <w:b/>
                <w:bCs/>
                <w:color w:val="auto"/>
                <w:sz w:val="18"/>
                <w:szCs w:val="18"/>
                <w:highlight w:val="none"/>
                <w:lang w:eastAsia="zh-CN"/>
              </w:rPr>
              <w:t>）</w:t>
            </w:r>
          </w:p>
        </w:tc>
        <w:tc>
          <w:tcPr>
            <w:tcW w:w="1148" w:type="pct"/>
            <w:vMerge w:val="restart"/>
            <w:noWrap/>
            <w:vAlign w:val="center"/>
          </w:tcPr>
          <w:p w14:paraId="3831B218">
            <w:pPr>
              <w:jc w:val="center"/>
              <w:rPr>
                <w:rFonts w:hint="default" w:ascii="Times New Roman" w:hAnsi="Times New Roman" w:cs="Times New Roman"/>
                <w:b/>
                <w:bCs/>
                <w:color w:val="auto"/>
                <w:sz w:val="18"/>
                <w:szCs w:val="18"/>
                <w:highlight w:val="none"/>
              </w:rPr>
            </w:pPr>
            <w:r>
              <w:rPr>
                <w:rFonts w:hint="eastAsia" w:ascii="Times New Roman" w:hAnsi="Times New Roman" w:cs="Times New Roman"/>
                <w:b/>
                <w:bCs/>
                <w:color w:val="auto"/>
                <w:sz w:val="18"/>
                <w:szCs w:val="18"/>
                <w:highlight w:val="none"/>
                <w:lang w:val="en-US" w:eastAsia="zh-CN"/>
              </w:rPr>
              <w:t>性能及用途</w:t>
            </w:r>
          </w:p>
        </w:tc>
      </w:tr>
      <w:tr w14:paraId="02FE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212" w:type="pct"/>
            <w:vMerge w:val="continue"/>
            <w:noWrap/>
          </w:tcPr>
          <w:p w14:paraId="72021476">
            <w:pPr>
              <w:jc w:val="both"/>
              <w:rPr>
                <w:rFonts w:hint="default" w:ascii="Times New Roman" w:hAnsi="Times New Roman" w:cs="Times New Roman"/>
                <w:b/>
                <w:bCs/>
                <w:color w:val="auto"/>
                <w:sz w:val="18"/>
                <w:szCs w:val="18"/>
                <w:highlight w:val="none"/>
              </w:rPr>
            </w:pPr>
          </w:p>
        </w:tc>
        <w:tc>
          <w:tcPr>
            <w:tcW w:w="317" w:type="pct"/>
            <w:vMerge w:val="continue"/>
            <w:noWrap/>
          </w:tcPr>
          <w:p w14:paraId="05F3227C">
            <w:pPr>
              <w:jc w:val="both"/>
              <w:rPr>
                <w:rFonts w:hint="default" w:ascii="Times New Roman" w:hAnsi="Times New Roman" w:cs="Times New Roman"/>
                <w:b/>
                <w:bCs/>
                <w:color w:val="auto"/>
                <w:sz w:val="18"/>
                <w:szCs w:val="18"/>
                <w:highlight w:val="none"/>
              </w:rPr>
            </w:pPr>
          </w:p>
        </w:tc>
        <w:tc>
          <w:tcPr>
            <w:tcW w:w="363" w:type="pct"/>
            <w:vMerge w:val="continue"/>
            <w:noWrap/>
          </w:tcPr>
          <w:p w14:paraId="32F57588">
            <w:pPr>
              <w:jc w:val="both"/>
              <w:rPr>
                <w:rFonts w:hint="default" w:ascii="Times New Roman" w:hAnsi="Times New Roman" w:cs="Times New Roman"/>
                <w:b/>
                <w:bCs/>
                <w:color w:val="auto"/>
                <w:sz w:val="18"/>
                <w:szCs w:val="18"/>
                <w:highlight w:val="none"/>
              </w:rPr>
            </w:pPr>
          </w:p>
        </w:tc>
        <w:tc>
          <w:tcPr>
            <w:tcW w:w="304" w:type="pct"/>
            <w:vMerge w:val="continue"/>
            <w:noWrap/>
          </w:tcPr>
          <w:p w14:paraId="459CFDC5">
            <w:pPr>
              <w:jc w:val="both"/>
              <w:rPr>
                <w:rFonts w:hint="default" w:ascii="Times New Roman" w:hAnsi="Times New Roman" w:cs="Times New Roman"/>
                <w:b/>
                <w:bCs/>
                <w:color w:val="auto"/>
                <w:sz w:val="18"/>
                <w:szCs w:val="18"/>
                <w:highlight w:val="none"/>
              </w:rPr>
            </w:pPr>
          </w:p>
        </w:tc>
        <w:tc>
          <w:tcPr>
            <w:tcW w:w="324" w:type="pct"/>
            <w:vMerge w:val="continue"/>
            <w:noWrap/>
          </w:tcPr>
          <w:p w14:paraId="40C7A04A">
            <w:pPr>
              <w:jc w:val="both"/>
              <w:rPr>
                <w:rFonts w:hint="default" w:ascii="Times New Roman" w:hAnsi="Times New Roman" w:cs="Times New Roman"/>
                <w:b/>
                <w:bCs/>
                <w:color w:val="auto"/>
                <w:sz w:val="18"/>
                <w:szCs w:val="18"/>
                <w:highlight w:val="none"/>
              </w:rPr>
            </w:pPr>
          </w:p>
        </w:tc>
        <w:tc>
          <w:tcPr>
            <w:tcW w:w="277" w:type="pct"/>
            <w:noWrap/>
            <w:vAlign w:val="center"/>
          </w:tcPr>
          <w:p w14:paraId="57AA48E3">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径向</w:t>
            </w:r>
          </w:p>
        </w:tc>
        <w:tc>
          <w:tcPr>
            <w:tcW w:w="264" w:type="pct"/>
            <w:noWrap/>
            <w:vAlign w:val="center"/>
          </w:tcPr>
          <w:p w14:paraId="0483DC96">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弦向</w:t>
            </w:r>
          </w:p>
        </w:tc>
        <w:tc>
          <w:tcPr>
            <w:tcW w:w="252" w:type="pct"/>
            <w:noWrap/>
            <w:vAlign w:val="center"/>
          </w:tcPr>
          <w:p w14:paraId="1F5AEE5E">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体积</w:t>
            </w:r>
          </w:p>
        </w:tc>
        <w:tc>
          <w:tcPr>
            <w:tcW w:w="355" w:type="pct"/>
            <w:vMerge w:val="continue"/>
            <w:noWrap/>
            <w:vAlign w:val="center"/>
          </w:tcPr>
          <w:p w14:paraId="70E05429">
            <w:pPr>
              <w:jc w:val="center"/>
              <w:rPr>
                <w:rFonts w:hint="default" w:ascii="Times New Roman" w:hAnsi="Times New Roman" w:cs="Times New Roman"/>
                <w:b/>
                <w:bCs/>
                <w:color w:val="auto"/>
                <w:sz w:val="18"/>
                <w:szCs w:val="18"/>
                <w:highlight w:val="none"/>
              </w:rPr>
            </w:pPr>
          </w:p>
        </w:tc>
        <w:tc>
          <w:tcPr>
            <w:tcW w:w="355" w:type="pct"/>
            <w:vMerge w:val="continue"/>
            <w:noWrap/>
            <w:vAlign w:val="center"/>
          </w:tcPr>
          <w:p w14:paraId="2ECBFCF6">
            <w:pPr>
              <w:jc w:val="center"/>
              <w:rPr>
                <w:rFonts w:hint="default" w:ascii="Times New Roman" w:hAnsi="Times New Roman" w:cs="Times New Roman"/>
                <w:b/>
                <w:bCs/>
                <w:color w:val="auto"/>
                <w:sz w:val="18"/>
                <w:szCs w:val="18"/>
                <w:highlight w:val="none"/>
              </w:rPr>
            </w:pPr>
          </w:p>
        </w:tc>
        <w:tc>
          <w:tcPr>
            <w:tcW w:w="319" w:type="pct"/>
            <w:vMerge w:val="continue"/>
            <w:noWrap/>
            <w:vAlign w:val="center"/>
          </w:tcPr>
          <w:p w14:paraId="6ACB537B">
            <w:pPr>
              <w:jc w:val="center"/>
              <w:rPr>
                <w:rFonts w:hint="default" w:ascii="Times New Roman" w:hAnsi="Times New Roman" w:cs="Times New Roman"/>
                <w:b/>
                <w:bCs/>
                <w:color w:val="auto"/>
                <w:sz w:val="18"/>
                <w:szCs w:val="18"/>
                <w:highlight w:val="none"/>
              </w:rPr>
            </w:pPr>
          </w:p>
        </w:tc>
        <w:tc>
          <w:tcPr>
            <w:tcW w:w="255" w:type="pct"/>
            <w:noWrap/>
            <w:vAlign w:val="center"/>
          </w:tcPr>
          <w:p w14:paraId="71BC0402">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径面</w:t>
            </w:r>
          </w:p>
        </w:tc>
        <w:tc>
          <w:tcPr>
            <w:tcW w:w="248" w:type="pct"/>
            <w:noWrap/>
            <w:vAlign w:val="center"/>
          </w:tcPr>
          <w:p w14:paraId="4C914812">
            <w:pPr>
              <w:jc w:val="center"/>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弦面</w:t>
            </w:r>
          </w:p>
        </w:tc>
        <w:tc>
          <w:tcPr>
            <w:tcW w:w="1148" w:type="pct"/>
            <w:vMerge w:val="continue"/>
            <w:noWrap/>
          </w:tcPr>
          <w:p w14:paraId="7F56F9DC">
            <w:pPr>
              <w:jc w:val="both"/>
              <w:rPr>
                <w:rFonts w:hint="default" w:ascii="Times New Roman" w:hAnsi="Times New Roman" w:cs="Times New Roman"/>
                <w:color w:val="auto"/>
                <w:sz w:val="18"/>
                <w:szCs w:val="18"/>
                <w:highlight w:val="none"/>
              </w:rPr>
            </w:pPr>
          </w:p>
        </w:tc>
      </w:tr>
      <w:tr w14:paraId="3162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shd w:val="clear" w:color="auto" w:fill="auto"/>
            <w:noWrap/>
            <w:vAlign w:val="center"/>
          </w:tcPr>
          <w:p w14:paraId="79B1353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桦木科</w:t>
            </w:r>
          </w:p>
        </w:tc>
        <w:tc>
          <w:tcPr>
            <w:tcW w:w="317" w:type="pct"/>
            <w:shd w:val="clear" w:color="auto" w:fill="auto"/>
            <w:noWrap/>
            <w:vAlign w:val="center"/>
          </w:tcPr>
          <w:p w14:paraId="1DB51FC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桦木</w:t>
            </w:r>
          </w:p>
          <w:p w14:paraId="1D9AA8AE">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i/>
                <w:iCs/>
                <w:color w:val="auto"/>
                <w:sz w:val="18"/>
                <w:szCs w:val="18"/>
                <w:highlight w:val="none"/>
                <w:lang w:val="en-US" w:eastAsia="zh-CN"/>
              </w:rPr>
              <w:t>Betula</w:t>
            </w:r>
            <w:r>
              <w:rPr>
                <w:rFonts w:hint="default" w:ascii="Times New Roman" w:hAnsi="Times New Roman" w:cs="Times New Roman"/>
                <w:color w:val="auto"/>
                <w:sz w:val="18"/>
                <w:szCs w:val="18"/>
                <w:highlight w:val="none"/>
                <w:lang w:val="en-US" w:eastAsia="zh-CN"/>
              </w:rPr>
              <w:t xml:space="preserve"> spp.</w:t>
            </w:r>
          </w:p>
        </w:tc>
        <w:tc>
          <w:tcPr>
            <w:tcW w:w="363" w:type="pct"/>
            <w:noWrap/>
            <w:vAlign w:val="center"/>
          </w:tcPr>
          <w:p w14:paraId="68C89E8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光</w:t>
            </w:r>
            <w:r>
              <w:rPr>
                <w:rFonts w:hint="default" w:ascii="Times New Roman" w:hAnsi="Times New Roman" w:cs="Times New Roman"/>
                <w:color w:val="auto"/>
                <w:sz w:val="18"/>
                <w:szCs w:val="18"/>
                <w:highlight w:val="none"/>
              </w:rPr>
              <w:t>皮桦</w:t>
            </w:r>
          </w:p>
          <w:p w14:paraId="055EFE80">
            <w:pPr>
              <w:jc w:val="center"/>
              <w:rPr>
                <w:rFonts w:hint="default" w:ascii="Times New Roman" w:hAnsi="Times New Roman" w:cs="Times New Roman"/>
                <w:color w:val="auto"/>
                <w:sz w:val="18"/>
                <w:szCs w:val="18"/>
                <w:highlight w:val="none"/>
              </w:rPr>
            </w:pPr>
            <w:r>
              <w:rPr>
                <w:rFonts w:hint="default" w:ascii="Times New Roman" w:hAnsi="Times New Roman" w:cs="Times New Roman"/>
                <w:i/>
                <w:iCs/>
                <w:color w:val="auto"/>
                <w:sz w:val="18"/>
                <w:szCs w:val="18"/>
                <w:highlight w:val="none"/>
              </w:rPr>
              <w:t>B</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rPr>
              <w:t xml:space="preserve"> luminifera</w:t>
            </w:r>
          </w:p>
        </w:tc>
        <w:tc>
          <w:tcPr>
            <w:tcW w:w="304" w:type="pct"/>
            <w:noWrap/>
            <w:vAlign w:val="center"/>
          </w:tcPr>
          <w:p w14:paraId="0541BCDB">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融安</w:t>
            </w:r>
          </w:p>
        </w:tc>
        <w:tc>
          <w:tcPr>
            <w:tcW w:w="324" w:type="pct"/>
            <w:noWrap/>
            <w:vAlign w:val="center"/>
          </w:tcPr>
          <w:p w14:paraId="711A32B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0.696</w:t>
            </w:r>
          </w:p>
        </w:tc>
        <w:tc>
          <w:tcPr>
            <w:tcW w:w="277" w:type="pct"/>
            <w:noWrap/>
            <w:vAlign w:val="center"/>
          </w:tcPr>
          <w:p w14:paraId="78B487D6">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0.275</w:t>
            </w:r>
          </w:p>
        </w:tc>
        <w:tc>
          <w:tcPr>
            <w:tcW w:w="264" w:type="pct"/>
            <w:noWrap/>
            <w:vAlign w:val="center"/>
          </w:tcPr>
          <w:p w14:paraId="38A0204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0.294</w:t>
            </w:r>
          </w:p>
        </w:tc>
        <w:tc>
          <w:tcPr>
            <w:tcW w:w="252" w:type="pct"/>
            <w:noWrap/>
            <w:vAlign w:val="center"/>
          </w:tcPr>
          <w:p w14:paraId="7B89B07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0.534</w:t>
            </w:r>
          </w:p>
        </w:tc>
        <w:tc>
          <w:tcPr>
            <w:tcW w:w="355" w:type="pct"/>
            <w:noWrap/>
            <w:vAlign w:val="center"/>
          </w:tcPr>
          <w:p w14:paraId="528C146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63.9</w:t>
            </w:r>
          </w:p>
        </w:tc>
        <w:tc>
          <w:tcPr>
            <w:tcW w:w="355" w:type="pct"/>
            <w:noWrap/>
            <w:vAlign w:val="center"/>
          </w:tcPr>
          <w:p w14:paraId="3242CC71">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9" w:type="pct"/>
            <w:noWrap/>
            <w:vAlign w:val="center"/>
          </w:tcPr>
          <w:p w14:paraId="23F86B8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89.7</w:t>
            </w:r>
          </w:p>
        </w:tc>
        <w:tc>
          <w:tcPr>
            <w:tcW w:w="255" w:type="pct"/>
            <w:noWrap/>
            <w:vAlign w:val="center"/>
          </w:tcPr>
          <w:p w14:paraId="5C002F7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14.8</w:t>
            </w:r>
          </w:p>
        </w:tc>
        <w:tc>
          <w:tcPr>
            <w:tcW w:w="248" w:type="pct"/>
            <w:noWrap/>
            <w:vAlign w:val="center"/>
          </w:tcPr>
          <w:p w14:paraId="0A66891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16.8</w:t>
            </w:r>
          </w:p>
        </w:tc>
        <w:tc>
          <w:tcPr>
            <w:tcW w:w="1148" w:type="pct"/>
            <w:noWrap/>
            <w:vAlign w:val="center"/>
          </w:tcPr>
          <w:p w14:paraId="7B435CAC">
            <w:pPr>
              <w:jc w:val="center"/>
              <w:rPr>
                <w:rFonts w:hint="default"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散孔材，木材红黄色，纹理直、结构中，干燥不翘裂，抗虫力强、耐腐性中。用于地板、雕刻、枪托、胶合板、家具等。</w:t>
            </w:r>
          </w:p>
        </w:tc>
      </w:tr>
      <w:tr w14:paraId="4385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noWrap/>
            <w:vAlign w:val="center"/>
          </w:tcPr>
          <w:p w14:paraId="13830C61">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苏木科</w:t>
            </w:r>
          </w:p>
        </w:tc>
        <w:tc>
          <w:tcPr>
            <w:tcW w:w="317" w:type="pct"/>
            <w:noWrap/>
            <w:vAlign w:val="center"/>
          </w:tcPr>
          <w:p w14:paraId="524D5F9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翅荚木</w:t>
            </w:r>
          </w:p>
          <w:p w14:paraId="4077151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 xml:space="preserve">Zenia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1E048674">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翅荚木</w:t>
            </w:r>
          </w:p>
          <w:p w14:paraId="33D982D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Z</w:t>
            </w:r>
            <w:r>
              <w:rPr>
                <w:rFonts w:hint="eastAsia" w:ascii="Times New Roman" w:hAnsi="Times New Roman" w:cs="Times New Roman"/>
                <w:b w:val="0"/>
                <w:bCs w:val="0"/>
                <w:color w:val="auto"/>
                <w:sz w:val="18"/>
                <w:szCs w:val="18"/>
                <w:highlight w:val="none"/>
                <w:lang w:val="en-US" w:eastAsia="zh-CN"/>
              </w:rPr>
              <w:t>.</w:t>
            </w:r>
            <w:r>
              <w:rPr>
                <w:rFonts w:hint="default" w:ascii="Times New Roman" w:hAnsi="Times New Roman" w:cs="Times New Roman"/>
                <w:b w:val="0"/>
                <w:bCs w:val="0"/>
                <w:color w:val="auto"/>
                <w:sz w:val="18"/>
                <w:szCs w:val="18"/>
                <w:highlight w:val="none"/>
                <w:lang w:val="en-US" w:eastAsia="zh-CN"/>
              </w:rPr>
              <w:t xml:space="preserve"> insignis</w:t>
            </w:r>
          </w:p>
        </w:tc>
        <w:tc>
          <w:tcPr>
            <w:tcW w:w="304" w:type="pct"/>
            <w:noWrap/>
            <w:vAlign w:val="center"/>
          </w:tcPr>
          <w:p w14:paraId="5A58DB3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龙州</w:t>
            </w:r>
          </w:p>
        </w:tc>
        <w:tc>
          <w:tcPr>
            <w:tcW w:w="324" w:type="pct"/>
            <w:noWrap/>
            <w:vAlign w:val="center"/>
          </w:tcPr>
          <w:p w14:paraId="57A5DAB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0.422</w:t>
            </w:r>
          </w:p>
        </w:tc>
        <w:tc>
          <w:tcPr>
            <w:tcW w:w="277" w:type="pct"/>
            <w:noWrap/>
            <w:vAlign w:val="center"/>
          </w:tcPr>
          <w:p w14:paraId="6CFD673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0.159</w:t>
            </w:r>
          </w:p>
        </w:tc>
        <w:tc>
          <w:tcPr>
            <w:tcW w:w="264" w:type="pct"/>
            <w:noWrap/>
            <w:vAlign w:val="center"/>
          </w:tcPr>
          <w:p w14:paraId="423F4F51">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0.261</w:t>
            </w:r>
          </w:p>
        </w:tc>
        <w:tc>
          <w:tcPr>
            <w:tcW w:w="252" w:type="pct"/>
            <w:noWrap/>
            <w:vAlign w:val="center"/>
          </w:tcPr>
          <w:p w14:paraId="21580A75">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0.445</w:t>
            </w:r>
          </w:p>
        </w:tc>
        <w:tc>
          <w:tcPr>
            <w:tcW w:w="355" w:type="pct"/>
            <w:noWrap/>
            <w:vAlign w:val="center"/>
          </w:tcPr>
          <w:p w14:paraId="17A77180">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35.2</w:t>
            </w:r>
          </w:p>
        </w:tc>
        <w:tc>
          <w:tcPr>
            <w:tcW w:w="355" w:type="pct"/>
            <w:noWrap/>
            <w:vAlign w:val="center"/>
          </w:tcPr>
          <w:p w14:paraId="3C3943E4">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319" w:type="pct"/>
            <w:noWrap/>
            <w:vAlign w:val="center"/>
          </w:tcPr>
          <w:p w14:paraId="5D2BB931">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78.8</w:t>
            </w:r>
          </w:p>
        </w:tc>
        <w:tc>
          <w:tcPr>
            <w:tcW w:w="255" w:type="pct"/>
            <w:noWrap/>
            <w:vAlign w:val="center"/>
          </w:tcPr>
          <w:p w14:paraId="21A23C0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7.3</w:t>
            </w:r>
          </w:p>
        </w:tc>
        <w:tc>
          <w:tcPr>
            <w:tcW w:w="248" w:type="pct"/>
            <w:noWrap/>
            <w:vAlign w:val="center"/>
          </w:tcPr>
          <w:p w14:paraId="47F7636C">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8.1</w:t>
            </w:r>
          </w:p>
        </w:tc>
        <w:tc>
          <w:tcPr>
            <w:tcW w:w="1148" w:type="pct"/>
            <w:noWrap/>
            <w:vAlign w:val="center"/>
          </w:tcPr>
          <w:p w14:paraId="07A1495B">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散孔与半环孔混合，心材淡红色，边材淡黄褐色，干燥不开裂、不变形，边材易变色、易腐朽。用于桁、梁、门、窗、家具等。</w:t>
            </w:r>
          </w:p>
        </w:tc>
      </w:tr>
      <w:tr w14:paraId="23E8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restart"/>
            <w:noWrap/>
            <w:vAlign w:val="center"/>
          </w:tcPr>
          <w:p w14:paraId="4E59662A">
            <w:pPr>
              <w:jc w:val="center"/>
              <w:rPr>
                <w:rFonts w:hint="eastAsia" w:ascii="Times New Roman" w:hAnsi="Times New Roman" w:cs="Times New Roman" w:eastAsiaTheme="minorEastAsia"/>
                <w:b/>
                <w:bCs/>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壳斗科</w:t>
            </w:r>
          </w:p>
        </w:tc>
        <w:tc>
          <w:tcPr>
            <w:tcW w:w="317" w:type="pct"/>
            <w:noWrap/>
            <w:vAlign w:val="center"/>
          </w:tcPr>
          <w:p w14:paraId="0D34E022">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白锥</w:t>
            </w:r>
          </w:p>
          <w:p w14:paraId="072397EF">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Castanopsis</w:t>
            </w:r>
            <w:r>
              <w:rPr>
                <w:rFonts w:hint="eastAsia" w:ascii="Times New Roman" w:hAnsi="Times New Roman" w:cs="Times New Roman"/>
                <w:b w:val="0"/>
                <w:bCs w:val="0"/>
                <w:i/>
                <w:iCs/>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shd w:val="clear" w:color="auto" w:fill="auto"/>
            <w:noWrap/>
            <w:vAlign w:val="center"/>
          </w:tcPr>
          <w:p w14:paraId="23D9C1BB">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罗浮锥</w:t>
            </w:r>
          </w:p>
          <w:p w14:paraId="3F603CFE">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C</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fabri</w:t>
            </w:r>
          </w:p>
        </w:tc>
        <w:tc>
          <w:tcPr>
            <w:tcW w:w="304" w:type="pct"/>
            <w:shd w:val="clear" w:color="auto" w:fill="auto"/>
            <w:noWrap/>
            <w:vAlign w:val="center"/>
          </w:tcPr>
          <w:p w14:paraId="34F7A275">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金秀</w:t>
            </w:r>
          </w:p>
        </w:tc>
        <w:tc>
          <w:tcPr>
            <w:tcW w:w="324" w:type="pct"/>
            <w:shd w:val="clear" w:color="auto" w:fill="auto"/>
            <w:noWrap/>
            <w:vAlign w:val="center"/>
          </w:tcPr>
          <w:p w14:paraId="6CB8D68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0.634</w:t>
            </w:r>
          </w:p>
        </w:tc>
        <w:tc>
          <w:tcPr>
            <w:tcW w:w="277" w:type="pct"/>
            <w:shd w:val="clear" w:color="auto" w:fill="auto"/>
            <w:noWrap/>
            <w:vAlign w:val="center"/>
          </w:tcPr>
          <w:p w14:paraId="09A2AC06">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0.167</w:t>
            </w:r>
          </w:p>
        </w:tc>
        <w:tc>
          <w:tcPr>
            <w:tcW w:w="264" w:type="pct"/>
            <w:shd w:val="clear" w:color="auto" w:fill="auto"/>
            <w:noWrap/>
            <w:vAlign w:val="center"/>
          </w:tcPr>
          <w:p w14:paraId="51439D14">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0.301</w:t>
            </w:r>
          </w:p>
        </w:tc>
        <w:tc>
          <w:tcPr>
            <w:tcW w:w="252" w:type="pct"/>
            <w:shd w:val="clear" w:color="auto" w:fill="auto"/>
            <w:noWrap/>
            <w:vAlign w:val="center"/>
          </w:tcPr>
          <w:p w14:paraId="3EB5CF0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0.482</w:t>
            </w:r>
          </w:p>
        </w:tc>
        <w:tc>
          <w:tcPr>
            <w:tcW w:w="355" w:type="pct"/>
            <w:shd w:val="clear" w:color="auto" w:fill="auto"/>
            <w:noWrap/>
            <w:vAlign w:val="center"/>
          </w:tcPr>
          <w:p w14:paraId="5A91C81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47.0</w:t>
            </w:r>
          </w:p>
        </w:tc>
        <w:tc>
          <w:tcPr>
            <w:tcW w:w="355" w:type="pct"/>
            <w:shd w:val="clear" w:color="auto" w:fill="auto"/>
            <w:noWrap/>
            <w:vAlign w:val="center"/>
          </w:tcPr>
          <w:p w14:paraId="4029EC9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319" w:type="pct"/>
            <w:shd w:val="clear" w:color="auto" w:fill="auto"/>
            <w:noWrap/>
            <w:vAlign w:val="center"/>
          </w:tcPr>
          <w:p w14:paraId="2C2802F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103.0</w:t>
            </w:r>
          </w:p>
        </w:tc>
        <w:tc>
          <w:tcPr>
            <w:tcW w:w="255" w:type="pct"/>
            <w:shd w:val="clear" w:color="auto" w:fill="auto"/>
            <w:noWrap/>
            <w:vAlign w:val="center"/>
          </w:tcPr>
          <w:p w14:paraId="46A8C7CE">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10.8</w:t>
            </w:r>
          </w:p>
        </w:tc>
        <w:tc>
          <w:tcPr>
            <w:tcW w:w="248" w:type="pct"/>
            <w:shd w:val="clear" w:color="auto" w:fill="auto"/>
            <w:noWrap/>
            <w:vAlign w:val="center"/>
          </w:tcPr>
          <w:p w14:paraId="304CCFE4">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13.6</w:t>
            </w:r>
          </w:p>
        </w:tc>
        <w:tc>
          <w:tcPr>
            <w:tcW w:w="1148" w:type="pct"/>
            <w:shd w:val="clear" w:color="auto" w:fill="auto"/>
            <w:noWrap/>
            <w:vAlign w:val="center"/>
          </w:tcPr>
          <w:p w14:paraId="178333D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半环孔材，淡红黄色，纹理直、结构粗，干燥稍开裂，抗虫、不耐腐。用于枕木、坑木、桥梁、车辆、家具、胶合板等。</w:t>
            </w:r>
          </w:p>
        </w:tc>
      </w:tr>
      <w:tr w14:paraId="12FA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4B18FB88">
            <w:pPr>
              <w:jc w:val="center"/>
              <w:rPr>
                <w:rFonts w:hint="default" w:ascii="Times New Roman" w:hAnsi="Times New Roman" w:cs="Times New Roman"/>
                <w:b/>
                <w:bCs/>
                <w:color w:val="auto"/>
                <w:sz w:val="18"/>
                <w:szCs w:val="18"/>
                <w:highlight w:val="none"/>
              </w:rPr>
            </w:pPr>
          </w:p>
        </w:tc>
        <w:tc>
          <w:tcPr>
            <w:tcW w:w="317" w:type="pct"/>
            <w:noWrap/>
            <w:vAlign w:val="center"/>
          </w:tcPr>
          <w:p w14:paraId="49967D05">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红锥</w:t>
            </w:r>
          </w:p>
          <w:p w14:paraId="19A366C7">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Castanopsis</w:t>
            </w:r>
            <w:r>
              <w:rPr>
                <w:rFonts w:hint="eastAsia" w:ascii="Times New Roman" w:hAnsi="Times New Roman" w:cs="Times New Roman"/>
                <w:b w:val="0"/>
                <w:bCs w:val="0"/>
                <w:i/>
                <w:iCs/>
                <w:color w:val="auto"/>
                <w:sz w:val="18"/>
                <w:szCs w:val="18"/>
                <w:highlight w:val="none"/>
                <w:lang w:val="en-US" w:eastAsia="zh-CN"/>
              </w:rPr>
              <w:t xml:space="preserve"> </w:t>
            </w:r>
            <w:r>
              <w:rPr>
                <w:rFonts w:hint="eastAsia" w:ascii="Times New Roman" w:hAnsi="Times New Roman" w:cs="Times New Roman"/>
                <w:b w:val="0"/>
                <w:bCs w:val="0"/>
                <w:i w:val="0"/>
                <w:iCs w:val="0"/>
                <w:color w:val="auto"/>
                <w:sz w:val="18"/>
                <w:szCs w:val="18"/>
                <w:highlight w:val="none"/>
                <w:lang w:val="en-US" w:eastAsia="zh-CN"/>
              </w:rPr>
              <w:t>spp.</w:t>
            </w:r>
          </w:p>
        </w:tc>
        <w:tc>
          <w:tcPr>
            <w:tcW w:w="363" w:type="pct"/>
            <w:noWrap/>
            <w:vAlign w:val="center"/>
          </w:tcPr>
          <w:p w14:paraId="5646A520">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红锥</w:t>
            </w:r>
          </w:p>
          <w:p w14:paraId="1E3F6F23">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i/>
                <w:iCs/>
                <w:color w:val="auto"/>
                <w:sz w:val="18"/>
                <w:szCs w:val="18"/>
                <w:highlight w:val="none"/>
                <w:lang w:val="en-US" w:eastAsia="zh-CN"/>
              </w:rPr>
              <w:t>C</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hystrix</w:t>
            </w:r>
          </w:p>
        </w:tc>
        <w:tc>
          <w:tcPr>
            <w:tcW w:w="304" w:type="pct"/>
            <w:noWrap/>
            <w:vAlign w:val="center"/>
          </w:tcPr>
          <w:p w14:paraId="64AF8CD3">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浦北</w:t>
            </w:r>
          </w:p>
        </w:tc>
        <w:tc>
          <w:tcPr>
            <w:tcW w:w="324" w:type="pct"/>
            <w:noWrap/>
            <w:vAlign w:val="center"/>
          </w:tcPr>
          <w:p w14:paraId="3AA5CEFB">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0.710</w:t>
            </w:r>
          </w:p>
        </w:tc>
        <w:tc>
          <w:tcPr>
            <w:tcW w:w="277" w:type="pct"/>
            <w:noWrap/>
            <w:vAlign w:val="center"/>
          </w:tcPr>
          <w:p w14:paraId="40737E9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0.196</w:t>
            </w:r>
          </w:p>
        </w:tc>
        <w:tc>
          <w:tcPr>
            <w:tcW w:w="264" w:type="pct"/>
            <w:noWrap/>
            <w:vAlign w:val="center"/>
          </w:tcPr>
          <w:p w14:paraId="1BC63DDB">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0.331</w:t>
            </w:r>
          </w:p>
        </w:tc>
        <w:tc>
          <w:tcPr>
            <w:tcW w:w="252" w:type="pct"/>
            <w:noWrap/>
            <w:vAlign w:val="center"/>
          </w:tcPr>
          <w:p w14:paraId="46264A8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0.550</w:t>
            </w:r>
          </w:p>
        </w:tc>
        <w:tc>
          <w:tcPr>
            <w:tcW w:w="355" w:type="pct"/>
            <w:noWrap/>
            <w:vAlign w:val="center"/>
          </w:tcPr>
          <w:p w14:paraId="757F4CC9">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60.1</w:t>
            </w:r>
          </w:p>
        </w:tc>
        <w:tc>
          <w:tcPr>
            <w:tcW w:w="355" w:type="pct"/>
            <w:noWrap/>
            <w:vAlign w:val="center"/>
          </w:tcPr>
          <w:p w14:paraId="65CF72C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129</w:t>
            </w:r>
          </w:p>
        </w:tc>
        <w:tc>
          <w:tcPr>
            <w:tcW w:w="319" w:type="pct"/>
            <w:noWrap/>
            <w:vAlign w:val="center"/>
          </w:tcPr>
          <w:p w14:paraId="7FE6F371">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132.3</w:t>
            </w:r>
          </w:p>
        </w:tc>
        <w:tc>
          <w:tcPr>
            <w:tcW w:w="255" w:type="pct"/>
            <w:noWrap/>
            <w:vAlign w:val="center"/>
          </w:tcPr>
          <w:p w14:paraId="1A3ADD4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13.4</w:t>
            </w:r>
          </w:p>
        </w:tc>
        <w:tc>
          <w:tcPr>
            <w:tcW w:w="248" w:type="pct"/>
            <w:noWrap/>
            <w:vAlign w:val="center"/>
          </w:tcPr>
          <w:p w14:paraId="3923008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16.5</w:t>
            </w:r>
          </w:p>
        </w:tc>
        <w:tc>
          <w:tcPr>
            <w:tcW w:w="1148" w:type="pct"/>
            <w:noWrap/>
            <w:vAlign w:val="center"/>
          </w:tcPr>
          <w:p w14:paraId="1D24F803">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环孔、半环孔材，心材红褐色，边材淡红黄色，纹理直、结构粗，干燥少变形，抗虫力强、耐腐。用于家具、船舶维修、体育器具枕木、车辆木等。</w:t>
            </w:r>
          </w:p>
        </w:tc>
      </w:tr>
      <w:tr w14:paraId="141B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48147198">
            <w:pPr>
              <w:jc w:val="center"/>
              <w:rPr>
                <w:rFonts w:hint="default" w:ascii="Times New Roman" w:hAnsi="Times New Roman" w:cs="Times New Roman"/>
                <w:b/>
                <w:bCs/>
                <w:color w:val="auto"/>
                <w:sz w:val="18"/>
                <w:szCs w:val="18"/>
                <w:highlight w:val="none"/>
              </w:rPr>
            </w:pPr>
          </w:p>
        </w:tc>
        <w:tc>
          <w:tcPr>
            <w:tcW w:w="317" w:type="pct"/>
            <w:noWrap/>
            <w:vAlign w:val="center"/>
          </w:tcPr>
          <w:p w14:paraId="6ED7BB7A">
            <w:pPr>
              <w:jc w:val="center"/>
              <w:rPr>
                <w:rFonts w:hint="default" w:ascii="Times New Roman" w:hAnsi="Times New Roman"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kern w:val="2"/>
                <w:sz w:val="18"/>
                <w:szCs w:val="18"/>
                <w:highlight w:val="none"/>
                <w:lang w:val="en-US" w:eastAsia="zh-CN" w:bidi="ar-SA"/>
              </w:rPr>
              <w:t>苦槠</w:t>
            </w:r>
          </w:p>
          <w:p w14:paraId="3E31AF0F">
            <w:pPr>
              <w:jc w:val="center"/>
              <w:rPr>
                <w:rFonts w:hint="default" w:ascii="Times New Roman" w:hAnsi="Times New Roman" w:cs="Times New Roman"/>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Castanopsis</w:t>
            </w:r>
            <w:r>
              <w:rPr>
                <w:rFonts w:hint="eastAsia" w:ascii="Times New Roman" w:hAnsi="Times New Roman" w:cs="Times New Roman"/>
                <w:b w:val="0"/>
                <w:bCs w:val="0"/>
                <w:i/>
                <w:iCs/>
                <w:color w:val="auto"/>
                <w:sz w:val="18"/>
                <w:szCs w:val="18"/>
                <w:highlight w:val="none"/>
                <w:lang w:val="en-US" w:eastAsia="zh-CN"/>
              </w:rPr>
              <w:t xml:space="preserve"> </w:t>
            </w:r>
            <w:r>
              <w:rPr>
                <w:rFonts w:hint="eastAsia" w:ascii="Times New Roman" w:hAnsi="Times New Roman" w:cs="Times New Roman"/>
                <w:b w:val="0"/>
                <w:bCs w:val="0"/>
                <w:i w:val="0"/>
                <w:iCs w:val="0"/>
                <w:color w:val="auto"/>
                <w:sz w:val="18"/>
                <w:szCs w:val="18"/>
                <w:highlight w:val="none"/>
                <w:lang w:val="en-US" w:eastAsia="zh-CN"/>
              </w:rPr>
              <w:t>spp.</w:t>
            </w:r>
          </w:p>
        </w:tc>
        <w:tc>
          <w:tcPr>
            <w:tcW w:w="363" w:type="pct"/>
            <w:noWrap/>
            <w:vAlign w:val="center"/>
          </w:tcPr>
          <w:p w14:paraId="74B99C4E">
            <w:pPr>
              <w:jc w:val="center"/>
              <w:rPr>
                <w:rFonts w:hint="default" w:ascii="Times New Roman" w:hAnsi="Times New Roman"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kern w:val="2"/>
                <w:sz w:val="18"/>
                <w:szCs w:val="18"/>
                <w:highlight w:val="none"/>
                <w:lang w:val="en-US" w:eastAsia="zh-CN" w:bidi="ar-SA"/>
              </w:rPr>
              <w:t>甜槠</w:t>
            </w:r>
          </w:p>
          <w:p w14:paraId="1F55C89C">
            <w:pPr>
              <w:jc w:val="center"/>
              <w:rPr>
                <w:rFonts w:hint="default" w:ascii="Times New Roman" w:hAnsi="Times New Roman" w:cs="Times New Roman"/>
                <w:b w:val="0"/>
                <w:bCs w:val="0"/>
                <w:color w:val="auto"/>
                <w:kern w:val="2"/>
                <w:sz w:val="18"/>
                <w:szCs w:val="18"/>
                <w:highlight w:val="none"/>
                <w:lang w:val="en-US" w:eastAsia="zh-CN" w:bidi="ar-SA"/>
              </w:rPr>
            </w:pPr>
            <w:r>
              <w:rPr>
                <w:rFonts w:hint="default" w:ascii="Times New Roman" w:hAnsi="Times New Roman" w:cs="Times New Roman"/>
                <w:b w:val="0"/>
                <w:bCs w:val="0"/>
                <w:i/>
                <w:iCs/>
                <w:color w:val="auto"/>
                <w:kern w:val="2"/>
                <w:sz w:val="18"/>
                <w:szCs w:val="18"/>
                <w:highlight w:val="none"/>
                <w:lang w:val="en-US" w:eastAsia="zh-CN" w:bidi="ar-SA"/>
              </w:rPr>
              <w:t>C</w:t>
            </w:r>
            <w:r>
              <w:rPr>
                <w:rFonts w:hint="eastAsia" w:ascii="Times New Roman" w:hAnsi="Times New Roman" w:cs="Times New Roman"/>
                <w:b w:val="0"/>
                <w:bCs w:val="0"/>
                <w:i/>
                <w:iCs/>
                <w:color w:val="auto"/>
                <w:kern w:val="2"/>
                <w:sz w:val="18"/>
                <w:szCs w:val="18"/>
                <w:highlight w:val="none"/>
                <w:lang w:val="en-US" w:eastAsia="zh-CN" w:bidi="ar-SA"/>
              </w:rPr>
              <w:t>.</w:t>
            </w:r>
            <w:r>
              <w:rPr>
                <w:rFonts w:hint="default" w:ascii="Times New Roman" w:hAnsi="Times New Roman" w:cs="Times New Roman"/>
                <w:b w:val="0"/>
                <w:bCs w:val="0"/>
                <w:i/>
                <w:iCs/>
                <w:color w:val="auto"/>
                <w:kern w:val="2"/>
                <w:sz w:val="18"/>
                <w:szCs w:val="18"/>
                <w:highlight w:val="none"/>
                <w:lang w:val="en-US" w:eastAsia="zh-CN" w:bidi="ar-SA"/>
              </w:rPr>
              <w:t xml:space="preserve"> eyrei</w:t>
            </w:r>
          </w:p>
        </w:tc>
        <w:tc>
          <w:tcPr>
            <w:tcW w:w="304" w:type="pct"/>
            <w:noWrap/>
            <w:vAlign w:val="center"/>
          </w:tcPr>
          <w:p w14:paraId="6413BD1A">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姑婆山</w:t>
            </w:r>
          </w:p>
        </w:tc>
        <w:tc>
          <w:tcPr>
            <w:tcW w:w="324" w:type="pct"/>
            <w:noWrap/>
            <w:vAlign w:val="center"/>
          </w:tcPr>
          <w:p w14:paraId="79516166">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0.619</w:t>
            </w:r>
          </w:p>
        </w:tc>
        <w:tc>
          <w:tcPr>
            <w:tcW w:w="277" w:type="pct"/>
            <w:noWrap/>
            <w:vAlign w:val="center"/>
          </w:tcPr>
          <w:p w14:paraId="766FD9B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0.164</w:t>
            </w:r>
          </w:p>
        </w:tc>
        <w:tc>
          <w:tcPr>
            <w:tcW w:w="264" w:type="pct"/>
            <w:noWrap/>
            <w:vAlign w:val="center"/>
          </w:tcPr>
          <w:p w14:paraId="6347FA6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0.256</w:t>
            </w:r>
          </w:p>
        </w:tc>
        <w:tc>
          <w:tcPr>
            <w:tcW w:w="252" w:type="pct"/>
            <w:noWrap/>
            <w:vAlign w:val="center"/>
          </w:tcPr>
          <w:p w14:paraId="58B139F6">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0.444</w:t>
            </w:r>
          </w:p>
        </w:tc>
        <w:tc>
          <w:tcPr>
            <w:tcW w:w="355" w:type="pct"/>
            <w:noWrap/>
            <w:vAlign w:val="center"/>
          </w:tcPr>
          <w:p w14:paraId="64D67511">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51.7</w:t>
            </w:r>
          </w:p>
        </w:tc>
        <w:tc>
          <w:tcPr>
            <w:tcW w:w="355" w:type="pct"/>
            <w:noWrap/>
            <w:vAlign w:val="center"/>
          </w:tcPr>
          <w:p w14:paraId="35FFEDAE">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106</w:t>
            </w:r>
          </w:p>
        </w:tc>
        <w:tc>
          <w:tcPr>
            <w:tcW w:w="319" w:type="pct"/>
            <w:noWrap/>
            <w:vAlign w:val="center"/>
          </w:tcPr>
          <w:p w14:paraId="41662DA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109.5</w:t>
            </w:r>
          </w:p>
        </w:tc>
        <w:tc>
          <w:tcPr>
            <w:tcW w:w="255" w:type="pct"/>
            <w:noWrap/>
            <w:vAlign w:val="center"/>
          </w:tcPr>
          <w:p w14:paraId="12C8F62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10.4</w:t>
            </w:r>
          </w:p>
        </w:tc>
        <w:tc>
          <w:tcPr>
            <w:tcW w:w="248" w:type="pct"/>
            <w:noWrap/>
            <w:vAlign w:val="center"/>
          </w:tcPr>
          <w:p w14:paraId="6E565BA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12.0</w:t>
            </w:r>
          </w:p>
        </w:tc>
        <w:tc>
          <w:tcPr>
            <w:tcW w:w="1148" w:type="pct"/>
            <w:noWrap/>
            <w:vAlign w:val="center"/>
          </w:tcPr>
          <w:p w14:paraId="3D8CAED0">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半环孔材，微黄灰色，纹理直、结构粗，干燥易翘裂，抗虫力中等，略耐腐。</w:t>
            </w:r>
            <w:r>
              <w:rPr>
                <w:rFonts w:hint="eastAsia" w:ascii="Times New Roman" w:hAnsi="Times New Roman" w:cs="Times New Roman"/>
                <w:color w:val="auto"/>
                <w:sz w:val="18"/>
                <w:szCs w:val="18"/>
                <w:highlight w:val="none"/>
                <w:lang w:val="en-US" w:eastAsia="zh-CN"/>
              </w:rPr>
              <w:t>用于枕木、坑木、桥梁、车辆、家具、胶合板等。</w:t>
            </w:r>
          </w:p>
        </w:tc>
      </w:tr>
      <w:tr w14:paraId="6855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5DF97A53">
            <w:pPr>
              <w:jc w:val="center"/>
              <w:rPr>
                <w:rFonts w:hint="default" w:ascii="Times New Roman" w:hAnsi="Times New Roman" w:cs="Times New Roman"/>
                <w:b/>
                <w:bCs/>
                <w:color w:val="auto"/>
                <w:sz w:val="18"/>
                <w:szCs w:val="18"/>
                <w:highlight w:val="none"/>
              </w:rPr>
            </w:pPr>
          </w:p>
        </w:tc>
        <w:tc>
          <w:tcPr>
            <w:tcW w:w="317" w:type="pct"/>
            <w:noWrap/>
            <w:vAlign w:val="center"/>
          </w:tcPr>
          <w:p w14:paraId="5AA460B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水青冈</w:t>
            </w:r>
          </w:p>
          <w:p w14:paraId="23F85F75">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Fagus</w:t>
            </w:r>
            <w:r>
              <w:rPr>
                <w:rFonts w:hint="eastAsia" w:ascii="Times New Roman" w:hAnsi="Times New Roman" w:cs="Times New Roman"/>
                <w:color w:val="auto"/>
                <w:sz w:val="18"/>
                <w:szCs w:val="18"/>
                <w:highlight w:val="none"/>
                <w:lang w:val="en-US" w:eastAsia="zh-CN"/>
              </w:rPr>
              <w:t xml:space="preserve"> spp.</w:t>
            </w:r>
          </w:p>
        </w:tc>
        <w:tc>
          <w:tcPr>
            <w:tcW w:w="363" w:type="pct"/>
            <w:noWrap/>
            <w:vAlign w:val="center"/>
          </w:tcPr>
          <w:p w14:paraId="1E5B87B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水青冈</w:t>
            </w:r>
          </w:p>
          <w:p w14:paraId="6BA398B4">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F</w:t>
            </w:r>
            <w:r>
              <w:rPr>
                <w:rFonts w:hint="eastAsia" w:ascii="Times New Roman" w:hAnsi="Times New Roman" w:cs="Times New Roman"/>
                <w:i/>
                <w:iCs/>
                <w:color w:val="auto"/>
                <w:sz w:val="18"/>
                <w:szCs w:val="18"/>
                <w:highlight w:val="none"/>
                <w:lang w:val="en-US" w:eastAsia="zh-CN"/>
              </w:rPr>
              <w:t xml:space="preserve">. </w:t>
            </w:r>
            <w:r>
              <w:rPr>
                <w:rFonts w:hint="default" w:ascii="Times New Roman" w:hAnsi="Times New Roman" w:cs="Times New Roman"/>
                <w:i/>
                <w:iCs/>
                <w:color w:val="auto"/>
                <w:sz w:val="18"/>
                <w:szCs w:val="18"/>
                <w:highlight w:val="none"/>
                <w:lang w:val="en-US" w:eastAsia="zh-CN"/>
              </w:rPr>
              <w:t>longipetiolata</w:t>
            </w:r>
          </w:p>
        </w:tc>
        <w:tc>
          <w:tcPr>
            <w:tcW w:w="304" w:type="pct"/>
            <w:noWrap/>
            <w:vAlign w:val="center"/>
          </w:tcPr>
          <w:p w14:paraId="228A9D3C">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大瑶山</w:t>
            </w:r>
          </w:p>
        </w:tc>
        <w:tc>
          <w:tcPr>
            <w:tcW w:w="324" w:type="pct"/>
            <w:noWrap/>
            <w:vAlign w:val="center"/>
          </w:tcPr>
          <w:p w14:paraId="6ABB138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0.704</w:t>
            </w:r>
          </w:p>
        </w:tc>
        <w:tc>
          <w:tcPr>
            <w:tcW w:w="277" w:type="pct"/>
            <w:noWrap/>
            <w:vAlign w:val="center"/>
          </w:tcPr>
          <w:p w14:paraId="601DB68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0.174</w:t>
            </w:r>
          </w:p>
        </w:tc>
        <w:tc>
          <w:tcPr>
            <w:tcW w:w="264" w:type="pct"/>
            <w:noWrap/>
            <w:vAlign w:val="center"/>
          </w:tcPr>
          <w:p w14:paraId="6AEEACBA">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0.361</w:t>
            </w:r>
          </w:p>
        </w:tc>
        <w:tc>
          <w:tcPr>
            <w:tcW w:w="252" w:type="pct"/>
            <w:noWrap/>
            <w:vAlign w:val="center"/>
          </w:tcPr>
          <w:p w14:paraId="700F4EA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0.556</w:t>
            </w:r>
          </w:p>
        </w:tc>
        <w:tc>
          <w:tcPr>
            <w:tcW w:w="355" w:type="pct"/>
            <w:noWrap/>
            <w:vAlign w:val="center"/>
          </w:tcPr>
          <w:p w14:paraId="48413BAE">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62.7</w:t>
            </w:r>
          </w:p>
        </w:tc>
        <w:tc>
          <w:tcPr>
            <w:tcW w:w="355" w:type="pct"/>
            <w:noWrap/>
            <w:vAlign w:val="center"/>
          </w:tcPr>
          <w:p w14:paraId="74B7F520">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9" w:type="pct"/>
            <w:noWrap/>
            <w:vAlign w:val="center"/>
          </w:tcPr>
          <w:p w14:paraId="0562F67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109.9</w:t>
            </w:r>
          </w:p>
        </w:tc>
        <w:tc>
          <w:tcPr>
            <w:tcW w:w="255" w:type="pct"/>
            <w:noWrap/>
            <w:vAlign w:val="center"/>
          </w:tcPr>
          <w:p w14:paraId="093B14E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15.0</w:t>
            </w:r>
          </w:p>
        </w:tc>
        <w:tc>
          <w:tcPr>
            <w:tcW w:w="248" w:type="pct"/>
            <w:noWrap/>
            <w:vAlign w:val="center"/>
          </w:tcPr>
          <w:p w14:paraId="581D77E1">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18.5</w:t>
            </w:r>
          </w:p>
        </w:tc>
        <w:tc>
          <w:tcPr>
            <w:tcW w:w="1148" w:type="pct"/>
            <w:noWrap/>
            <w:vAlign w:val="center"/>
          </w:tcPr>
          <w:p w14:paraId="2619C477">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散孔、半环孔材，木材淡红色，纹理直、结构粗，干燥易翘裂、耐腐性中。用于船舶、车辆、文具、高级家具、乐器、箱盆、胶合板等。</w:t>
            </w:r>
          </w:p>
        </w:tc>
      </w:tr>
      <w:tr w14:paraId="680D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612E01F6">
            <w:pPr>
              <w:jc w:val="center"/>
              <w:rPr>
                <w:rFonts w:hint="default" w:ascii="Times New Roman" w:hAnsi="Times New Roman" w:cs="Times New Roman"/>
                <w:b/>
                <w:bCs/>
                <w:color w:val="auto"/>
                <w:sz w:val="18"/>
                <w:szCs w:val="18"/>
                <w:highlight w:val="none"/>
              </w:rPr>
            </w:pPr>
          </w:p>
        </w:tc>
        <w:tc>
          <w:tcPr>
            <w:tcW w:w="317" w:type="pct"/>
            <w:vMerge w:val="restart"/>
            <w:noWrap/>
            <w:vAlign w:val="center"/>
          </w:tcPr>
          <w:p w14:paraId="1645454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麻栎</w:t>
            </w:r>
          </w:p>
          <w:p w14:paraId="428D3A6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 xml:space="preserve">Quercus </w:t>
            </w:r>
            <w:r>
              <w:rPr>
                <w:rFonts w:hint="eastAsia" w:ascii="Times New Roman" w:hAnsi="Times New Roman" w:cs="Times New Roman"/>
                <w:color w:val="auto"/>
                <w:sz w:val="18"/>
                <w:szCs w:val="18"/>
                <w:highlight w:val="none"/>
                <w:lang w:val="en-US" w:eastAsia="zh-CN"/>
              </w:rPr>
              <w:t>spp.</w:t>
            </w:r>
          </w:p>
        </w:tc>
        <w:tc>
          <w:tcPr>
            <w:tcW w:w="363" w:type="pct"/>
            <w:noWrap/>
            <w:vAlign w:val="center"/>
          </w:tcPr>
          <w:p w14:paraId="2C99142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麻栎</w:t>
            </w:r>
          </w:p>
          <w:p w14:paraId="6B4D5B2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Q</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acutissima</w:t>
            </w:r>
          </w:p>
        </w:tc>
        <w:tc>
          <w:tcPr>
            <w:tcW w:w="304" w:type="pct"/>
            <w:noWrap/>
            <w:vAlign w:val="center"/>
          </w:tcPr>
          <w:p w14:paraId="3D988C3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百色龙州</w:t>
            </w:r>
          </w:p>
        </w:tc>
        <w:tc>
          <w:tcPr>
            <w:tcW w:w="324" w:type="pct"/>
            <w:noWrap/>
            <w:vAlign w:val="center"/>
          </w:tcPr>
          <w:p w14:paraId="3BF0DC5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0.935</w:t>
            </w:r>
          </w:p>
        </w:tc>
        <w:tc>
          <w:tcPr>
            <w:tcW w:w="277" w:type="pct"/>
            <w:noWrap/>
            <w:vAlign w:val="center"/>
          </w:tcPr>
          <w:p w14:paraId="4222B12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0.221</w:t>
            </w:r>
          </w:p>
        </w:tc>
        <w:tc>
          <w:tcPr>
            <w:tcW w:w="264" w:type="pct"/>
            <w:noWrap/>
            <w:vAlign w:val="center"/>
          </w:tcPr>
          <w:p w14:paraId="3C79401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0.459</w:t>
            </w:r>
          </w:p>
        </w:tc>
        <w:tc>
          <w:tcPr>
            <w:tcW w:w="252" w:type="pct"/>
            <w:noWrap/>
            <w:vAlign w:val="center"/>
          </w:tcPr>
          <w:p w14:paraId="161035D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0.704</w:t>
            </w:r>
          </w:p>
        </w:tc>
        <w:tc>
          <w:tcPr>
            <w:tcW w:w="355" w:type="pct"/>
            <w:noWrap/>
            <w:vAlign w:val="center"/>
          </w:tcPr>
          <w:p w14:paraId="1B21F01E">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79.1</w:t>
            </w:r>
          </w:p>
        </w:tc>
        <w:tc>
          <w:tcPr>
            <w:tcW w:w="355" w:type="pct"/>
            <w:noWrap/>
            <w:vAlign w:val="center"/>
          </w:tcPr>
          <w:p w14:paraId="7AA97878">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166.0</w:t>
            </w:r>
          </w:p>
        </w:tc>
        <w:tc>
          <w:tcPr>
            <w:tcW w:w="319" w:type="pct"/>
            <w:noWrap/>
            <w:vAlign w:val="center"/>
          </w:tcPr>
          <w:p w14:paraId="4E78EF1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172.0</w:t>
            </w:r>
          </w:p>
        </w:tc>
        <w:tc>
          <w:tcPr>
            <w:tcW w:w="255" w:type="pct"/>
            <w:noWrap/>
            <w:vAlign w:val="center"/>
          </w:tcPr>
          <w:p w14:paraId="51DEAC40">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15.4</w:t>
            </w:r>
          </w:p>
        </w:tc>
        <w:tc>
          <w:tcPr>
            <w:tcW w:w="248" w:type="pct"/>
            <w:noWrap/>
            <w:vAlign w:val="center"/>
          </w:tcPr>
          <w:p w14:paraId="3D4301A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23.1</w:t>
            </w:r>
          </w:p>
        </w:tc>
        <w:tc>
          <w:tcPr>
            <w:tcW w:w="1148" w:type="pct"/>
            <w:noWrap/>
            <w:vAlign w:val="center"/>
          </w:tcPr>
          <w:p w14:paraId="2E38DC4C">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环孔材，心材微褐红色，边材淡褐色，纹理直、结构粗，干燥易变形、耐腐。用于体育器具、纺织机械部件、船舶维修、枕木、机台木、胶合板等。</w:t>
            </w:r>
          </w:p>
        </w:tc>
      </w:tr>
      <w:tr w14:paraId="1835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21E7CC34">
            <w:pPr>
              <w:jc w:val="center"/>
              <w:rPr>
                <w:rFonts w:hint="default" w:ascii="Times New Roman" w:hAnsi="Times New Roman" w:cs="Times New Roman"/>
                <w:b/>
                <w:bCs/>
                <w:color w:val="auto"/>
                <w:sz w:val="18"/>
                <w:szCs w:val="18"/>
                <w:highlight w:val="none"/>
              </w:rPr>
            </w:pPr>
          </w:p>
        </w:tc>
        <w:tc>
          <w:tcPr>
            <w:tcW w:w="317" w:type="pct"/>
            <w:vMerge w:val="continue"/>
            <w:noWrap/>
            <w:vAlign w:val="center"/>
          </w:tcPr>
          <w:p w14:paraId="11B34743">
            <w:pPr>
              <w:jc w:val="center"/>
              <w:rPr>
                <w:rFonts w:hint="default" w:ascii="Times New Roman" w:hAnsi="Times New Roman" w:cs="Times New Roman"/>
                <w:color w:val="auto"/>
                <w:sz w:val="18"/>
                <w:szCs w:val="18"/>
                <w:highlight w:val="none"/>
              </w:rPr>
            </w:pPr>
          </w:p>
        </w:tc>
        <w:tc>
          <w:tcPr>
            <w:tcW w:w="363" w:type="pct"/>
            <w:noWrap/>
            <w:vAlign w:val="center"/>
          </w:tcPr>
          <w:p w14:paraId="0AE5098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栓皮栎</w:t>
            </w:r>
          </w:p>
          <w:p w14:paraId="07F35C1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Q</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variabilis</w:t>
            </w:r>
          </w:p>
        </w:tc>
        <w:tc>
          <w:tcPr>
            <w:tcW w:w="304" w:type="pct"/>
            <w:noWrap/>
            <w:vAlign w:val="center"/>
          </w:tcPr>
          <w:p w14:paraId="6A4E434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田林八渡</w:t>
            </w:r>
          </w:p>
        </w:tc>
        <w:tc>
          <w:tcPr>
            <w:tcW w:w="324" w:type="pct"/>
            <w:noWrap/>
            <w:vAlign w:val="center"/>
          </w:tcPr>
          <w:p w14:paraId="28BC57E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0.963</w:t>
            </w:r>
          </w:p>
        </w:tc>
        <w:tc>
          <w:tcPr>
            <w:tcW w:w="277" w:type="pct"/>
            <w:noWrap/>
            <w:vAlign w:val="center"/>
          </w:tcPr>
          <w:p w14:paraId="3EB68560">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0.215</w:t>
            </w:r>
          </w:p>
        </w:tc>
        <w:tc>
          <w:tcPr>
            <w:tcW w:w="264" w:type="pct"/>
            <w:noWrap/>
            <w:vAlign w:val="center"/>
          </w:tcPr>
          <w:p w14:paraId="469CA00E">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0.430</w:t>
            </w:r>
          </w:p>
        </w:tc>
        <w:tc>
          <w:tcPr>
            <w:tcW w:w="252" w:type="pct"/>
            <w:noWrap/>
            <w:vAlign w:val="center"/>
          </w:tcPr>
          <w:p w14:paraId="4021BF59">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0.667</w:t>
            </w:r>
          </w:p>
        </w:tc>
        <w:tc>
          <w:tcPr>
            <w:tcW w:w="355" w:type="pct"/>
            <w:noWrap/>
            <w:vAlign w:val="center"/>
          </w:tcPr>
          <w:p w14:paraId="4E5A75DD">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80.9</w:t>
            </w:r>
          </w:p>
        </w:tc>
        <w:tc>
          <w:tcPr>
            <w:tcW w:w="355" w:type="pct"/>
            <w:noWrap/>
            <w:vAlign w:val="center"/>
          </w:tcPr>
          <w:p w14:paraId="64A81F0B">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146</w:t>
            </w:r>
          </w:p>
        </w:tc>
        <w:tc>
          <w:tcPr>
            <w:tcW w:w="319" w:type="pct"/>
            <w:noWrap/>
            <w:vAlign w:val="center"/>
          </w:tcPr>
          <w:p w14:paraId="1C5C13A6">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145.9</w:t>
            </w:r>
          </w:p>
        </w:tc>
        <w:tc>
          <w:tcPr>
            <w:tcW w:w="255" w:type="pct"/>
            <w:noWrap/>
            <w:vAlign w:val="center"/>
          </w:tcPr>
          <w:p w14:paraId="770A1F7F">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14.8</w:t>
            </w:r>
          </w:p>
        </w:tc>
        <w:tc>
          <w:tcPr>
            <w:tcW w:w="248" w:type="pct"/>
            <w:noWrap/>
            <w:vAlign w:val="center"/>
          </w:tcPr>
          <w:p w14:paraId="2899957C">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18.8</w:t>
            </w:r>
          </w:p>
        </w:tc>
        <w:tc>
          <w:tcPr>
            <w:tcW w:w="1148" w:type="pct"/>
            <w:noWrap/>
            <w:vAlign w:val="center"/>
          </w:tcPr>
          <w:p w14:paraId="67D65D86">
            <w:pPr>
              <w:jc w:val="center"/>
              <w:rPr>
                <w:rFonts w:hint="eastAsia" w:ascii="Times New Roman" w:hAnsi="Times New Roman" w:cs="Times New Roman"/>
                <w:b w:val="0"/>
                <w:bCs w:val="0"/>
                <w:color w:val="auto"/>
                <w:sz w:val="18"/>
                <w:szCs w:val="18"/>
                <w:highlight w:val="none"/>
                <w:lang w:eastAsia="zh-CN"/>
              </w:rPr>
            </w:pPr>
            <w:r>
              <w:rPr>
                <w:rFonts w:hint="eastAsia" w:ascii="Times New Roman" w:hAnsi="Times New Roman" w:cs="Times New Roman"/>
                <w:b w:val="0"/>
                <w:bCs w:val="0"/>
                <w:color w:val="auto"/>
                <w:sz w:val="18"/>
                <w:szCs w:val="18"/>
                <w:highlight w:val="none"/>
                <w:lang w:val="en-US" w:eastAsia="zh-CN"/>
              </w:rPr>
              <w:t>环孔材，心材淡褐红色，边材淡褐色，纹理直、结构粗，干燥开裂、变形严重，极耐腐、抗虫性较强。用于体育器具、纺织机械部件、船舶维修、枕木、机台木、胶合板等。</w:t>
            </w:r>
          </w:p>
        </w:tc>
      </w:tr>
      <w:tr w14:paraId="4A8D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restart"/>
            <w:noWrap/>
            <w:vAlign w:val="center"/>
          </w:tcPr>
          <w:p w14:paraId="042728F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金缕梅科</w:t>
            </w:r>
          </w:p>
        </w:tc>
        <w:tc>
          <w:tcPr>
            <w:tcW w:w="317" w:type="pct"/>
            <w:noWrap/>
            <w:vAlign w:val="center"/>
          </w:tcPr>
          <w:p w14:paraId="6E84F007">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枫香</w:t>
            </w:r>
          </w:p>
          <w:p w14:paraId="7458DDD8">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 xml:space="preserve">Liquidambar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46E8FE67">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枫香</w:t>
            </w:r>
          </w:p>
          <w:p w14:paraId="77782BE6">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L</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formosana</w:t>
            </w:r>
          </w:p>
        </w:tc>
        <w:tc>
          <w:tcPr>
            <w:tcW w:w="304" w:type="pct"/>
            <w:noWrap/>
            <w:vAlign w:val="center"/>
          </w:tcPr>
          <w:p w14:paraId="5F17469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扶绥</w:t>
            </w:r>
          </w:p>
        </w:tc>
        <w:tc>
          <w:tcPr>
            <w:tcW w:w="324" w:type="pct"/>
            <w:noWrap/>
            <w:vAlign w:val="center"/>
          </w:tcPr>
          <w:p w14:paraId="32E033A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0.565</w:t>
            </w:r>
          </w:p>
        </w:tc>
        <w:tc>
          <w:tcPr>
            <w:tcW w:w="277" w:type="pct"/>
            <w:noWrap/>
            <w:vAlign w:val="center"/>
          </w:tcPr>
          <w:p w14:paraId="2AD0761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0.168</w:t>
            </w:r>
          </w:p>
        </w:tc>
        <w:tc>
          <w:tcPr>
            <w:tcW w:w="264" w:type="pct"/>
            <w:noWrap/>
            <w:vAlign w:val="center"/>
          </w:tcPr>
          <w:p w14:paraId="5FF2C5CB">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0.329</w:t>
            </w:r>
          </w:p>
        </w:tc>
        <w:tc>
          <w:tcPr>
            <w:tcW w:w="252" w:type="pct"/>
            <w:noWrap/>
            <w:vAlign w:val="center"/>
          </w:tcPr>
          <w:p w14:paraId="453032A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0.516</w:t>
            </w:r>
          </w:p>
        </w:tc>
        <w:tc>
          <w:tcPr>
            <w:tcW w:w="355" w:type="pct"/>
            <w:noWrap/>
            <w:vAlign w:val="center"/>
          </w:tcPr>
          <w:p w14:paraId="6D0E2851">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49.0</w:t>
            </w:r>
          </w:p>
        </w:tc>
        <w:tc>
          <w:tcPr>
            <w:tcW w:w="355" w:type="pct"/>
            <w:noWrap/>
            <w:vAlign w:val="center"/>
          </w:tcPr>
          <w:p w14:paraId="4D036B9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89.5</w:t>
            </w:r>
          </w:p>
        </w:tc>
        <w:tc>
          <w:tcPr>
            <w:tcW w:w="319" w:type="pct"/>
            <w:noWrap/>
            <w:vAlign w:val="center"/>
          </w:tcPr>
          <w:p w14:paraId="668B00B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86.6</w:t>
            </w:r>
          </w:p>
        </w:tc>
        <w:tc>
          <w:tcPr>
            <w:tcW w:w="255" w:type="pct"/>
            <w:noWrap/>
            <w:vAlign w:val="center"/>
          </w:tcPr>
          <w:p w14:paraId="73DCDBC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10.9</w:t>
            </w:r>
          </w:p>
        </w:tc>
        <w:tc>
          <w:tcPr>
            <w:tcW w:w="248" w:type="pct"/>
            <w:noWrap/>
            <w:vAlign w:val="center"/>
          </w:tcPr>
          <w:p w14:paraId="075EC1A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14.0</w:t>
            </w:r>
          </w:p>
        </w:tc>
        <w:tc>
          <w:tcPr>
            <w:tcW w:w="1148" w:type="pct"/>
            <w:noWrap/>
            <w:vAlign w:val="center"/>
          </w:tcPr>
          <w:p w14:paraId="7BDC54E8">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散孔材，木材淡红褐色，纹理斜、结构细，干燥易翘裂，易腐朽。用于家具、包装、胶合板、枕木等。</w:t>
            </w:r>
          </w:p>
        </w:tc>
      </w:tr>
      <w:tr w14:paraId="5687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097F5913">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p>
        </w:tc>
        <w:tc>
          <w:tcPr>
            <w:tcW w:w="317" w:type="pct"/>
            <w:noWrap/>
            <w:vAlign w:val="center"/>
          </w:tcPr>
          <w:p w14:paraId="6B77B9D8">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米老排</w:t>
            </w:r>
          </w:p>
          <w:p w14:paraId="7AE4601A">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Mytilaria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2FF89A8A">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米老排</w:t>
            </w:r>
          </w:p>
          <w:p w14:paraId="3896EAFC">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M</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laosensis</w:t>
            </w:r>
          </w:p>
        </w:tc>
        <w:tc>
          <w:tcPr>
            <w:tcW w:w="304" w:type="pct"/>
            <w:noWrap/>
            <w:vAlign w:val="center"/>
          </w:tcPr>
          <w:p w14:paraId="36921F34">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大青山</w:t>
            </w:r>
          </w:p>
        </w:tc>
        <w:tc>
          <w:tcPr>
            <w:tcW w:w="324" w:type="pct"/>
            <w:noWrap/>
            <w:vAlign w:val="center"/>
          </w:tcPr>
          <w:p w14:paraId="58FEB438">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0.562</w:t>
            </w:r>
          </w:p>
        </w:tc>
        <w:tc>
          <w:tcPr>
            <w:tcW w:w="277" w:type="pct"/>
            <w:noWrap/>
            <w:vAlign w:val="center"/>
          </w:tcPr>
          <w:p w14:paraId="75AC28EE">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0.157</w:t>
            </w:r>
          </w:p>
        </w:tc>
        <w:tc>
          <w:tcPr>
            <w:tcW w:w="264" w:type="pct"/>
            <w:noWrap/>
            <w:vAlign w:val="center"/>
          </w:tcPr>
          <w:p w14:paraId="6DAB3CB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0.261</w:t>
            </w:r>
          </w:p>
        </w:tc>
        <w:tc>
          <w:tcPr>
            <w:tcW w:w="252" w:type="pct"/>
            <w:noWrap/>
            <w:vAlign w:val="center"/>
          </w:tcPr>
          <w:p w14:paraId="51A6F77B">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0.443</w:t>
            </w:r>
          </w:p>
        </w:tc>
        <w:tc>
          <w:tcPr>
            <w:tcW w:w="355" w:type="pct"/>
            <w:noWrap/>
            <w:vAlign w:val="center"/>
          </w:tcPr>
          <w:p w14:paraId="5BDC0B21">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41.5</w:t>
            </w:r>
          </w:p>
        </w:tc>
        <w:tc>
          <w:tcPr>
            <w:tcW w:w="355" w:type="pct"/>
            <w:noWrap/>
            <w:vAlign w:val="center"/>
          </w:tcPr>
          <w:p w14:paraId="0D231B1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95.5</w:t>
            </w:r>
          </w:p>
        </w:tc>
        <w:tc>
          <w:tcPr>
            <w:tcW w:w="319" w:type="pct"/>
            <w:noWrap/>
            <w:vAlign w:val="center"/>
          </w:tcPr>
          <w:p w14:paraId="2112FBC4">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92.2</w:t>
            </w:r>
          </w:p>
        </w:tc>
        <w:tc>
          <w:tcPr>
            <w:tcW w:w="255" w:type="pct"/>
            <w:noWrap/>
            <w:vAlign w:val="center"/>
          </w:tcPr>
          <w:p w14:paraId="4F094971">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10.8</w:t>
            </w:r>
          </w:p>
        </w:tc>
        <w:tc>
          <w:tcPr>
            <w:tcW w:w="248" w:type="pct"/>
            <w:noWrap/>
            <w:vAlign w:val="center"/>
          </w:tcPr>
          <w:p w14:paraId="1969E698">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11.6</w:t>
            </w:r>
          </w:p>
        </w:tc>
        <w:tc>
          <w:tcPr>
            <w:tcW w:w="1148" w:type="pct"/>
            <w:noWrap/>
            <w:vAlign w:val="center"/>
          </w:tcPr>
          <w:p w14:paraId="2B718D4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散孔材，木材淡红褐色，纹理斜、结构细，干燥有翘裂，抗虫力中等，耐腐。用于家具、车厢、仪器盒、建筑、造纸、胶合板等。</w:t>
            </w:r>
          </w:p>
        </w:tc>
      </w:tr>
      <w:tr w14:paraId="2FD3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47B7AA5F">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p>
        </w:tc>
        <w:tc>
          <w:tcPr>
            <w:tcW w:w="317" w:type="pct"/>
            <w:noWrap/>
            <w:vAlign w:val="center"/>
          </w:tcPr>
          <w:p w14:paraId="4DEE4884">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白兰</w:t>
            </w:r>
          </w:p>
          <w:p w14:paraId="1AB06EA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Michelia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3725E3A1">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火力</w:t>
            </w:r>
            <w:r>
              <w:rPr>
                <w:rFonts w:hint="eastAsia" w:ascii="Times New Roman" w:hAnsi="Times New Roman" w:cs="Times New Roman"/>
                <w:b w:val="0"/>
                <w:bCs w:val="0"/>
                <w:color w:val="auto"/>
                <w:sz w:val="18"/>
                <w:szCs w:val="18"/>
                <w:highlight w:val="none"/>
                <w:lang w:val="en-US" w:eastAsia="zh-CN"/>
              </w:rPr>
              <w:t>兰</w:t>
            </w:r>
          </w:p>
          <w:p w14:paraId="344F183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M</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macclurei</w:t>
            </w:r>
          </w:p>
        </w:tc>
        <w:tc>
          <w:tcPr>
            <w:tcW w:w="304" w:type="pct"/>
            <w:noWrap/>
            <w:vAlign w:val="center"/>
          </w:tcPr>
          <w:p w14:paraId="06DE6FA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容县</w:t>
            </w:r>
          </w:p>
        </w:tc>
        <w:tc>
          <w:tcPr>
            <w:tcW w:w="324" w:type="pct"/>
            <w:noWrap/>
            <w:vAlign w:val="center"/>
          </w:tcPr>
          <w:p w14:paraId="22CFE179">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0.636</w:t>
            </w:r>
          </w:p>
        </w:tc>
        <w:tc>
          <w:tcPr>
            <w:tcW w:w="277" w:type="pct"/>
            <w:noWrap/>
            <w:vAlign w:val="center"/>
          </w:tcPr>
          <w:p w14:paraId="5E0FC93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0.195</w:t>
            </w:r>
          </w:p>
        </w:tc>
        <w:tc>
          <w:tcPr>
            <w:tcW w:w="264" w:type="pct"/>
            <w:noWrap/>
            <w:vAlign w:val="center"/>
          </w:tcPr>
          <w:p w14:paraId="03B802F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0.289</w:t>
            </w:r>
          </w:p>
        </w:tc>
        <w:tc>
          <w:tcPr>
            <w:tcW w:w="252" w:type="pct"/>
            <w:noWrap/>
            <w:vAlign w:val="center"/>
          </w:tcPr>
          <w:p w14:paraId="6F28B718">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0.506</w:t>
            </w:r>
          </w:p>
        </w:tc>
        <w:tc>
          <w:tcPr>
            <w:tcW w:w="355" w:type="pct"/>
            <w:noWrap/>
            <w:vAlign w:val="center"/>
          </w:tcPr>
          <w:p w14:paraId="1CEC7138">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59.2</w:t>
            </w:r>
          </w:p>
        </w:tc>
        <w:tc>
          <w:tcPr>
            <w:tcW w:w="355" w:type="pct"/>
            <w:noWrap/>
            <w:vAlign w:val="center"/>
          </w:tcPr>
          <w:p w14:paraId="16A0F3D5">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144</w:t>
            </w:r>
          </w:p>
        </w:tc>
        <w:tc>
          <w:tcPr>
            <w:tcW w:w="319" w:type="pct"/>
            <w:noWrap/>
            <w:vAlign w:val="center"/>
          </w:tcPr>
          <w:p w14:paraId="30A3C3FE">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118.1</w:t>
            </w:r>
          </w:p>
        </w:tc>
        <w:tc>
          <w:tcPr>
            <w:tcW w:w="255" w:type="pct"/>
            <w:noWrap/>
            <w:vAlign w:val="center"/>
          </w:tcPr>
          <w:p w14:paraId="2DC638DA">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15.0</w:t>
            </w:r>
          </w:p>
        </w:tc>
        <w:tc>
          <w:tcPr>
            <w:tcW w:w="248" w:type="pct"/>
            <w:noWrap/>
            <w:vAlign w:val="center"/>
          </w:tcPr>
          <w:p w14:paraId="1097AC03">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15.4</w:t>
            </w:r>
          </w:p>
        </w:tc>
        <w:tc>
          <w:tcPr>
            <w:tcW w:w="1148" w:type="pct"/>
            <w:noWrap/>
            <w:vAlign w:val="center"/>
          </w:tcPr>
          <w:p w14:paraId="5D6584D4">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散孔材，心材微绿黄色，边材灰白色，纹理直、结构细，干燥少开裂，心材耐腐性强。用于门窗、桥梁、家居、车辆、环器、雕刻、胶合板等。</w:t>
            </w:r>
          </w:p>
        </w:tc>
      </w:tr>
      <w:tr w14:paraId="1E2A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restart"/>
            <w:noWrap/>
            <w:vAlign w:val="center"/>
          </w:tcPr>
          <w:p w14:paraId="1602312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lang w:val="en-US" w:eastAsia="zh-CN"/>
              </w:rPr>
              <w:t>楝</w:t>
            </w:r>
            <w:r>
              <w:rPr>
                <w:rFonts w:hint="eastAsia" w:ascii="Times New Roman" w:hAnsi="Times New Roman" w:cs="Times New Roman"/>
                <w:b w:val="0"/>
                <w:bCs w:val="0"/>
                <w:color w:val="auto"/>
                <w:sz w:val="18"/>
                <w:szCs w:val="18"/>
                <w:highlight w:val="none"/>
                <w:lang w:val="en-US" w:eastAsia="zh-CN"/>
              </w:rPr>
              <w:t>科</w:t>
            </w:r>
          </w:p>
        </w:tc>
        <w:tc>
          <w:tcPr>
            <w:tcW w:w="317" w:type="pct"/>
            <w:noWrap/>
            <w:vAlign w:val="center"/>
          </w:tcPr>
          <w:p w14:paraId="28A32D64">
            <w:pPr>
              <w:jc w:val="center"/>
              <w:rPr>
                <w:rFonts w:hint="eastAsia" w:ascii="Times New Roman" w:hAnsi="Times New Roman" w:cs="Times New Roman"/>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楝木</w:t>
            </w:r>
          </w:p>
          <w:p w14:paraId="5F06ACD6">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Melia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3C4834E2">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苦楝</w:t>
            </w:r>
          </w:p>
          <w:p w14:paraId="2B6E6860">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M</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azedarach</w:t>
            </w:r>
          </w:p>
        </w:tc>
        <w:tc>
          <w:tcPr>
            <w:tcW w:w="304" w:type="pct"/>
            <w:noWrap/>
            <w:vAlign w:val="center"/>
          </w:tcPr>
          <w:p w14:paraId="441169BA">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柳州沙塘</w:t>
            </w:r>
          </w:p>
        </w:tc>
        <w:tc>
          <w:tcPr>
            <w:tcW w:w="324" w:type="pct"/>
            <w:noWrap/>
            <w:vAlign w:val="center"/>
          </w:tcPr>
          <w:p w14:paraId="2C3CC9D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0.448</w:t>
            </w:r>
          </w:p>
        </w:tc>
        <w:tc>
          <w:tcPr>
            <w:tcW w:w="277" w:type="pct"/>
            <w:noWrap/>
            <w:vAlign w:val="center"/>
          </w:tcPr>
          <w:p w14:paraId="235A7D83">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0.154</w:t>
            </w:r>
          </w:p>
        </w:tc>
        <w:tc>
          <w:tcPr>
            <w:tcW w:w="264" w:type="pct"/>
            <w:noWrap/>
            <w:vAlign w:val="center"/>
          </w:tcPr>
          <w:p w14:paraId="7BDAF2C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0.247</w:t>
            </w:r>
          </w:p>
        </w:tc>
        <w:tc>
          <w:tcPr>
            <w:tcW w:w="252" w:type="pct"/>
            <w:noWrap/>
            <w:vAlign w:val="center"/>
          </w:tcPr>
          <w:p w14:paraId="0FDE6F1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0.420</w:t>
            </w:r>
          </w:p>
        </w:tc>
        <w:tc>
          <w:tcPr>
            <w:tcW w:w="355" w:type="pct"/>
            <w:noWrap/>
            <w:vAlign w:val="center"/>
          </w:tcPr>
          <w:p w14:paraId="0D8A97B9">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41.5</w:t>
            </w:r>
          </w:p>
        </w:tc>
        <w:tc>
          <w:tcPr>
            <w:tcW w:w="355" w:type="pct"/>
            <w:noWrap/>
            <w:vAlign w:val="center"/>
          </w:tcPr>
          <w:p w14:paraId="6A29A1A8">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91.3</w:t>
            </w:r>
          </w:p>
        </w:tc>
        <w:tc>
          <w:tcPr>
            <w:tcW w:w="319" w:type="pct"/>
            <w:noWrap/>
            <w:vAlign w:val="center"/>
          </w:tcPr>
          <w:p w14:paraId="17E6ABBB">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76.9</w:t>
            </w:r>
          </w:p>
        </w:tc>
        <w:tc>
          <w:tcPr>
            <w:tcW w:w="255" w:type="pct"/>
            <w:noWrap/>
            <w:vAlign w:val="center"/>
          </w:tcPr>
          <w:p w14:paraId="57CD5BEF">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8.7</w:t>
            </w:r>
          </w:p>
        </w:tc>
        <w:tc>
          <w:tcPr>
            <w:tcW w:w="248" w:type="pct"/>
            <w:noWrap/>
            <w:vAlign w:val="center"/>
          </w:tcPr>
          <w:p w14:paraId="407DAB61">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7.8</w:t>
            </w:r>
          </w:p>
        </w:tc>
        <w:tc>
          <w:tcPr>
            <w:tcW w:w="1148" w:type="pct"/>
            <w:noWrap/>
            <w:vAlign w:val="center"/>
          </w:tcPr>
          <w:p w14:paraId="2D061A3D">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环孔材，心材淡黄红色，边材灰白色，纹理直、结构粗，干燥不翘裂，抗虫、耐腐。用于家具、箱盆、玩具、胶合板等。</w:t>
            </w:r>
          </w:p>
        </w:tc>
      </w:tr>
      <w:tr w14:paraId="18D4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3AC82BD8">
            <w:pPr>
              <w:jc w:val="center"/>
              <w:rPr>
                <w:rFonts w:hint="eastAsia" w:ascii="Times New Roman" w:hAnsi="Times New Roman" w:cs="Times New Roman"/>
                <w:b w:val="0"/>
                <w:bCs w:val="0"/>
                <w:color w:val="auto"/>
                <w:sz w:val="18"/>
                <w:szCs w:val="18"/>
                <w:highlight w:val="none"/>
                <w:lang w:val="en-US" w:eastAsia="zh-CN"/>
              </w:rPr>
            </w:pPr>
          </w:p>
        </w:tc>
        <w:tc>
          <w:tcPr>
            <w:tcW w:w="317" w:type="pct"/>
            <w:noWrap/>
            <w:vAlign w:val="center"/>
          </w:tcPr>
          <w:p w14:paraId="47DCA610">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红</w:t>
            </w:r>
            <w:r>
              <w:rPr>
                <w:rFonts w:hint="default" w:ascii="Times New Roman" w:hAnsi="Times New Roman" w:cs="Times New Roman"/>
                <w:b w:val="0"/>
                <w:bCs w:val="0"/>
                <w:color w:val="auto"/>
                <w:sz w:val="18"/>
                <w:szCs w:val="18"/>
                <w:highlight w:val="none"/>
                <w:lang w:val="en-US" w:eastAsia="zh-CN"/>
              </w:rPr>
              <w:t>椿</w:t>
            </w:r>
          </w:p>
          <w:p w14:paraId="2C24A235">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 xml:space="preserve">Toona </w:t>
            </w:r>
            <w:r>
              <w:rPr>
                <w:rFonts w:hint="eastAsia" w:ascii="Times New Roman" w:hAnsi="Times New Roman" w:cs="Times New Roman"/>
                <w:b w:val="0"/>
                <w:bCs w:val="0"/>
                <w:i w:val="0"/>
                <w:iCs w:val="0"/>
                <w:color w:val="auto"/>
                <w:sz w:val="18"/>
                <w:szCs w:val="18"/>
                <w:highlight w:val="none"/>
                <w:lang w:val="en-US" w:eastAsia="zh-CN"/>
              </w:rPr>
              <w:t>spp.</w:t>
            </w:r>
          </w:p>
        </w:tc>
        <w:tc>
          <w:tcPr>
            <w:tcW w:w="363" w:type="pct"/>
            <w:noWrap/>
            <w:vAlign w:val="center"/>
          </w:tcPr>
          <w:p w14:paraId="6D31BE9B">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红椿</w:t>
            </w:r>
          </w:p>
          <w:p w14:paraId="20E46EDE">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T</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w:t>
            </w:r>
            <w:r>
              <w:rPr>
                <w:rFonts w:hint="eastAsia" w:ascii="Times New Roman" w:hAnsi="Times New Roman" w:cs="Times New Roman"/>
                <w:b w:val="0"/>
                <w:bCs w:val="0"/>
                <w:i/>
                <w:iCs/>
                <w:color w:val="auto"/>
                <w:sz w:val="18"/>
                <w:szCs w:val="18"/>
                <w:highlight w:val="none"/>
                <w:lang w:val="en-US" w:eastAsia="zh-CN"/>
              </w:rPr>
              <w:t>sureni</w:t>
            </w:r>
          </w:p>
        </w:tc>
        <w:tc>
          <w:tcPr>
            <w:tcW w:w="304" w:type="pct"/>
            <w:noWrap/>
            <w:vAlign w:val="center"/>
          </w:tcPr>
          <w:p w14:paraId="7991CFB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大瑶山</w:t>
            </w:r>
          </w:p>
        </w:tc>
        <w:tc>
          <w:tcPr>
            <w:tcW w:w="324" w:type="pct"/>
            <w:noWrap/>
            <w:vAlign w:val="center"/>
          </w:tcPr>
          <w:p w14:paraId="21CE340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0.315</w:t>
            </w:r>
          </w:p>
        </w:tc>
        <w:tc>
          <w:tcPr>
            <w:tcW w:w="277" w:type="pct"/>
            <w:noWrap/>
            <w:vAlign w:val="center"/>
          </w:tcPr>
          <w:p w14:paraId="619BAC4C">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0.130</w:t>
            </w:r>
          </w:p>
        </w:tc>
        <w:tc>
          <w:tcPr>
            <w:tcW w:w="264" w:type="pct"/>
            <w:noWrap/>
            <w:vAlign w:val="center"/>
          </w:tcPr>
          <w:p w14:paraId="76FACCFD">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0.281</w:t>
            </w:r>
          </w:p>
        </w:tc>
        <w:tc>
          <w:tcPr>
            <w:tcW w:w="252" w:type="pct"/>
            <w:noWrap/>
            <w:vAlign w:val="center"/>
          </w:tcPr>
          <w:p w14:paraId="5D25DAF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0.451</w:t>
            </w:r>
          </w:p>
        </w:tc>
        <w:tc>
          <w:tcPr>
            <w:tcW w:w="355" w:type="pct"/>
            <w:noWrap/>
            <w:vAlign w:val="center"/>
          </w:tcPr>
          <w:p w14:paraId="3A80D32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26.1</w:t>
            </w:r>
          </w:p>
        </w:tc>
        <w:tc>
          <w:tcPr>
            <w:tcW w:w="355" w:type="pct"/>
            <w:noWrap/>
            <w:vAlign w:val="center"/>
          </w:tcPr>
          <w:p w14:paraId="79E0705C">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319" w:type="pct"/>
            <w:noWrap/>
            <w:vAlign w:val="center"/>
          </w:tcPr>
          <w:p w14:paraId="2B1070C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51.4</w:t>
            </w:r>
          </w:p>
        </w:tc>
        <w:tc>
          <w:tcPr>
            <w:tcW w:w="255" w:type="pct"/>
            <w:noWrap/>
            <w:vAlign w:val="center"/>
          </w:tcPr>
          <w:p w14:paraId="206D1EE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5.9</w:t>
            </w:r>
          </w:p>
        </w:tc>
        <w:tc>
          <w:tcPr>
            <w:tcW w:w="248" w:type="pct"/>
            <w:noWrap/>
            <w:vAlign w:val="center"/>
          </w:tcPr>
          <w:p w14:paraId="239B96A1">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7.2</w:t>
            </w:r>
          </w:p>
        </w:tc>
        <w:tc>
          <w:tcPr>
            <w:tcW w:w="1148" w:type="pct"/>
            <w:noWrap/>
            <w:vAlign w:val="center"/>
          </w:tcPr>
          <w:p w14:paraId="30413761">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环孔材，心材黄红色，边材会红黄色；纹理直、结构粗；干燥不翘裂，抗虫、耐腐性强。用于高级家具、机模、火车车厢，钢琴等。</w:t>
            </w:r>
          </w:p>
        </w:tc>
      </w:tr>
      <w:tr w14:paraId="4EFD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2" w:type="pct"/>
            <w:vMerge w:val="restart"/>
            <w:noWrap/>
            <w:vAlign w:val="center"/>
          </w:tcPr>
          <w:p w14:paraId="65BA262C">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含羞草科</w:t>
            </w:r>
          </w:p>
        </w:tc>
        <w:tc>
          <w:tcPr>
            <w:tcW w:w="317" w:type="pct"/>
            <w:noWrap/>
            <w:vAlign w:val="center"/>
          </w:tcPr>
          <w:p w14:paraId="64981C16">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黑木相思</w:t>
            </w:r>
          </w:p>
          <w:p w14:paraId="679BB20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Acacia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741A0347">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黑木相思</w:t>
            </w:r>
          </w:p>
          <w:p w14:paraId="62BC52C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A</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melanoxylon</w:t>
            </w:r>
          </w:p>
        </w:tc>
        <w:tc>
          <w:tcPr>
            <w:tcW w:w="304" w:type="pct"/>
            <w:noWrap/>
            <w:vAlign w:val="center"/>
          </w:tcPr>
          <w:p w14:paraId="54841BD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南宁</w:t>
            </w:r>
          </w:p>
        </w:tc>
        <w:tc>
          <w:tcPr>
            <w:tcW w:w="324" w:type="pct"/>
            <w:noWrap/>
            <w:vAlign w:val="center"/>
          </w:tcPr>
          <w:p w14:paraId="4E1DBA8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0.484</w:t>
            </w:r>
          </w:p>
        </w:tc>
        <w:tc>
          <w:tcPr>
            <w:tcW w:w="277" w:type="pct"/>
            <w:noWrap/>
            <w:vAlign w:val="center"/>
          </w:tcPr>
          <w:p w14:paraId="46A607A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0.052</w:t>
            </w:r>
          </w:p>
        </w:tc>
        <w:tc>
          <w:tcPr>
            <w:tcW w:w="264" w:type="pct"/>
            <w:noWrap/>
            <w:vAlign w:val="center"/>
          </w:tcPr>
          <w:p w14:paraId="5EAC9D98">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0.113</w:t>
            </w:r>
          </w:p>
        </w:tc>
        <w:tc>
          <w:tcPr>
            <w:tcW w:w="252" w:type="pct"/>
            <w:noWrap/>
            <w:vAlign w:val="center"/>
          </w:tcPr>
          <w:p w14:paraId="1CEE4B0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0.180</w:t>
            </w:r>
          </w:p>
        </w:tc>
        <w:tc>
          <w:tcPr>
            <w:tcW w:w="355" w:type="pct"/>
            <w:noWrap/>
            <w:vAlign w:val="center"/>
          </w:tcPr>
          <w:p w14:paraId="6940F5AE">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42.7</w:t>
            </w:r>
          </w:p>
        </w:tc>
        <w:tc>
          <w:tcPr>
            <w:tcW w:w="355" w:type="pct"/>
            <w:noWrap/>
            <w:vAlign w:val="center"/>
          </w:tcPr>
          <w:p w14:paraId="582F1322">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319" w:type="pct"/>
            <w:noWrap/>
            <w:vAlign w:val="center"/>
          </w:tcPr>
          <w:p w14:paraId="465402BD">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72.0</w:t>
            </w:r>
          </w:p>
        </w:tc>
        <w:tc>
          <w:tcPr>
            <w:tcW w:w="255" w:type="pct"/>
            <w:noWrap/>
            <w:vAlign w:val="center"/>
          </w:tcPr>
          <w:p w14:paraId="2B17B2C8">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248" w:type="pct"/>
            <w:noWrap/>
            <w:vAlign w:val="center"/>
          </w:tcPr>
          <w:p w14:paraId="1FAAD308">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1148" w:type="pct"/>
            <w:noWrap/>
            <w:vAlign w:val="center"/>
          </w:tcPr>
          <w:p w14:paraId="506AB5BA">
            <w:pPr>
              <w:jc w:val="center"/>
              <w:rPr>
                <w:rFonts w:hint="default"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散孔材，心材黑褐色，边材黄褐色，纹理直、结构粗，干燥少开裂变形、耐久性好。用于家具和建筑装饰等。</w:t>
            </w:r>
          </w:p>
        </w:tc>
      </w:tr>
      <w:tr w14:paraId="4B3F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56E5DD4A">
            <w:pPr>
              <w:jc w:val="center"/>
              <w:rPr>
                <w:rFonts w:hint="eastAsia" w:ascii="Times New Roman" w:hAnsi="Times New Roman" w:cs="Times New Roman"/>
                <w:b w:val="0"/>
                <w:bCs w:val="0"/>
                <w:color w:val="auto"/>
                <w:sz w:val="18"/>
                <w:szCs w:val="18"/>
                <w:highlight w:val="none"/>
                <w:lang w:val="en-US" w:eastAsia="zh-CN"/>
              </w:rPr>
            </w:pPr>
          </w:p>
        </w:tc>
        <w:tc>
          <w:tcPr>
            <w:tcW w:w="317" w:type="pct"/>
            <w:noWrap/>
            <w:vAlign w:val="center"/>
          </w:tcPr>
          <w:p w14:paraId="68CBA6C5">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马占相思</w:t>
            </w:r>
          </w:p>
          <w:p w14:paraId="2DFCD56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Acacia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3B36233C">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马占</w:t>
            </w:r>
            <w:r>
              <w:rPr>
                <w:rFonts w:hint="default" w:ascii="Times New Roman" w:hAnsi="Times New Roman" w:cs="Times New Roman"/>
                <w:b w:val="0"/>
                <w:bCs w:val="0"/>
                <w:color w:val="auto"/>
                <w:sz w:val="18"/>
                <w:szCs w:val="18"/>
                <w:highlight w:val="none"/>
                <w:lang w:val="en-US" w:eastAsia="zh-CN"/>
              </w:rPr>
              <w:t>相思</w:t>
            </w:r>
          </w:p>
          <w:p w14:paraId="2CFD78E9">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A</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mangium</w:t>
            </w:r>
          </w:p>
        </w:tc>
        <w:tc>
          <w:tcPr>
            <w:tcW w:w="304" w:type="pct"/>
            <w:noWrap/>
            <w:vAlign w:val="center"/>
          </w:tcPr>
          <w:p w14:paraId="0FAF2EDF">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崇左扶绥</w:t>
            </w:r>
          </w:p>
        </w:tc>
        <w:tc>
          <w:tcPr>
            <w:tcW w:w="324" w:type="pct"/>
            <w:noWrap/>
            <w:vAlign w:val="center"/>
          </w:tcPr>
          <w:p w14:paraId="473E087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0.49</w:t>
            </w:r>
          </w:p>
        </w:tc>
        <w:tc>
          <w:tcPr>
            <w:tcW w:w="277" w:type="pct"/>
            <w:noWrap/>
            <w:vAlign w:val="center"/>
          </w:tcPr>
          <w:p w14:paraId="7D4CDCC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0.120</w:t>
            </w:r>
          </w:p>
        </w:tc>
        <w:tc>
          <w:tcPr>
            <w:tcW w:w="264" w:type="pct"/>
            <w:noWrap/>
            <w:vAlign w:val="center"/>
          </w:tcPr>
          <w:p w14:paraId="732CA09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0.270</w:t>
            </w:r>
          </w:p>
        </w:tc>
        <w:tc>
          <w:tcPr>
            <w:tcW w:w="252" w:type="pct"/>
            <w:noWrap/>
            <w:vAlign w:val="center"/>
          </w:tcPr>
          <w:p w14:paraId="238DEB2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0.352</w:t>
            </w:r>
          </w:p>
        </w:tc>
        <w:tc>
          <w:tcPr>
            <w:tcW w:w="355" w:type="pct"/>
            <w:noWrap/>
            <w:vAlign w:val="center"/>
          </w:tcPr>
          <w:p w14:paraId="0A165B34">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42.4</w:t>
            </w:r>
          </w:p>
        </w:tc>
        <w:tc>
          <w:tcPr>
            <w:tcW w:w="355" w:type="pct"/>
            <w:noWrap/>
            <w:vAlign w:val="center"/>
          </w:tcPr>
          <w:p w14:paraId="174471A2">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319" w:type="pct"/>
            <w:noWrap/>
            <w:vAlign w:val="center"/>
          </w:tcPr>
          <w:p w14:paraId="11D458E5">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84.3</w:t>
            </w:r>
          </w:p>
        </w:tc>
        <w:tc>
          <w:tcPr>
            <w:tcW w:w="255" w:type="pct"/>
            <w:noWrap/>
            <w:vAlign w:val="center"/>
          </w:tcPr>
          <w:p w14:paraId="29F19BAA">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248" w:type="pct"/>
            <w:noWrap/>
            <w:vAlign w:val="center"/>
          </w:tcPr>
          <w:p w14:paraId="60EBC274">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1148" w:type="pct"/>
            <w:noWrap/>
            <w:vAlign w:val="center"/>
          </w:tcPr>
          <w:p w14:paraId="499FBBA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散孔材，心材黑褐色，边材浅黄褐色或黄褐色，纹理直、结构粗，干燥开裂不明显、耐久性好。用于家具、建筑和造船等。</w:t>
            </w:r>
          </w:p>
        </w:tc>
      </w:tr>
      <w:tr w14:paraId="0452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212" w:type="pct"/>
            <w:vMerge w:val="continue"/>
            <w:noWrap/>
            <w:vAlign w:val="center"/>
          </w:tcPr>
          <w:p w14:paraId="2201EA5E">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p>
        </w:tc>
        <w:tc>
          <w:tcPr>
            <w:tcW w:w="317" w:type="pct"/>
            <w:noWrap/>
            <w:vAlign w:val="center"/>
          </w:tcPr>
          <w:p w14:paraId="0E680F71">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合欢</w:t>
            </w:r>
          </w:p>
          <w:p w14:paraId="71C42F4C">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Albiz</w:t>
            </w:r>
            <w:r>
              <w:rPr>
                <w:rFonts w:hint="default" w:ascii="Times New Roman" w:hAnsi="Times New Roman" w:cs="Times New Roman"/>
                <w:b w:val="0"/>
                <w:bCs w:val="0"/>
                <w:i w:val="0"/>
                <w:iCs w:val="0"/>
                <w:color w:val="auto"/>
                <w:sz w:val="18"/>
                <w:szCs w:val="18"/>
                <w:highlight w:val="none"/>
                <w:lang w:val="en-US" w:eastAsia="zh-CN"/>
              </w:rPr>
              <w:t>ia</w:t>
            </w:r>
            <w:r>
              <w:rPr>
                <w:rFonts w:hint="eastAsia" w:ascii="Times New Roman" w:hAnsi="Times New Roman" w:cs="Times New Roman"/>
                <w:b w:val="0"/>
                <w:bCs w:val="0"/>
                <w:color w:val="auto"/>
                <w:sz w:val="18"/>
                <w:szCs w:val="18"/>
                <w:highlight w:val="none"/>
                <w:lang w:val="en-US" w:eastAsia="zh-CN"/>
              </w:rPr>
              <w:t xml:space="preserve"> spp.</w:t>
            </w:r>
          </w:p>
        </w:tc>
        <w:tc>
          <w:tcPr>
            <w:tcW w:w="363" w:type="pct"/>
            <w:noWrap/>
            <w:vAlign w:val="center"/>
          </w:tcPr>
          <w:p w14:paraId="2DE72327">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山合欢</w:t>
            </w:r>
          </w:p>
          <w:p w14:paraId="40117B58">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i/>
                <w:iCs/>
                <w:color w:val="auto"/>
                <w:sz w:val="18"/>
                <w:szCs w:val="18"/>
                <w:highlight w:val="none"/>
                <w:lang w:val="en-US" w:eastAsia="zh-CN"/>
              </w:rPr>
              <w:t>A.</w:t>
            </w:r>
            <w:r>
              <w:rPr>
                <w:rFonts w:hint="default" w:ascii="Times New Roman" w:hAnsi="Times New Roman" w:cs="Times New Roman"/>
                <w:b w:val="0"/>
                <w:bCs w:val="0"/>
                <w:i/>
                <w:iCs/>
                <w:color w:val="auto"/>
                <w:sz w:val="18"/>
                <w:szCs w:val="18"/>
                <w:highlight w:val="none"/>
                <w:lang w:val="en-US" w:eastAsia="zh-CN"/>
              </w:rPr>
              <w:t xml:space="preserve"> kalkora</w:t>
            </w:r>
          </w:p>
        </w:tc>
        <w:tc>
          <w:tcPr>
            <w:tcW w:w="304" w:type="pct"/>
            <w:noWrap/>
            <w:vAlign w:val="center"/>
          </w:tcPr>
          <w:p w14:paraId="25CC85F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大青山</w:t>
            </w:r>
          </w:p>
        </w:tc>
        <w:tc>
          <w:tcPr>
            <w:tcW w:w="324" w:type="pct"/>
            <w:noWrap/>
            <w:vAlign w:val="center"/>
          </w:tcPr>
          <w:p w14:paraId="02128F18">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0.700</w:t>
            </w:r>
          </w:p>
        </w:tc>
        <w:tc>
          <w:tcPr>
            <w:tcW w:w="277" w:type="pct"/>
            <w:noWrap/>
            <w:vAlign w:val="center"/>
          </w:tcPr>
          <w:p w14:paraId="45056A14">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0.168</w:t>
            </w:r>
          </w:p>
        </w:tc>
        <w:tc>
          <w:tcPr>
            <w:tcW w:w="264" w:type="pct"/>
            <w:noWrap/>
            <w:vAlign w:val="center"/>
          </w:tcPr>
          <w:p w14:paraId="46DA52BB">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0.285</w:t>
            </w:r>
          </w:p>
        </w:tc>
        <w:tc>
          <w:tcPr>
            <w:tcW w:w="252" w:type="pct"/>
            <w:noWrap/>
            <w:vAlign w:val="center"/>
          </w:tcPr>
          <w:p w14:paraId="0362118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0.474</w:t>
            </w:r>
          </w:p>
        </w:tc>
        <w:tc>
          <w:tcPr>
            <w:tcW w:w="355" w:type="pct"/>
            <w:noWrap/>
            <w:vAlign w:val="center"/>
          </w:tcPr>
          <w:p w14:paraId="17127B1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69.4</w:t>
            </w:r>
          </w:p>
        </w:tc>
        <w:tc>
          <w:tcPr>
            <w:tcW w:w="355" w:type="pct"/>
            <w:noWrap/>
            <w:vAlign w:val="center"/>
          </w:tcPr>
          <w:p w14:paraId="7BA6B9E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86.6</w:t>
            </w:r>
          </w:p>
        </w:tc>
        <w:tc>
          <w:tcPr>
            <w:tcW w:w="319" w:type="pct"/>
            <w:noWrap/>
            <w:vAlign w:val="center"/>
          </w:tcPr>
          <w:p w14:paraId="63AB5A13">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147.0</w:t>
            </w:r>
          </w:p>
        </w:tc>
        <w:tc>
          <w:tcPr>
            <w:tcW w:w="255" w:type="pct"/>
            <w:noWrap/>
            <w:vAlign w:val="center"/>
          </w:tcPr>
          <w:p w14:paraId="4ED8690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15.3</w:t>
            </w:r>
          </w:p>
        </w:tc>
        <w:tc>
          <w:tcPr>
            <w:tcW w:w="248" w:type="pct"/>
            <w:noWrap/>
            <w:vAlign w:val="center"/>
          </w:tcPr>
          <w:p w14:paraId="064F56AC">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16.6</w:t>
            </w:r>
          </w:p>
        </w:tc>
        <w:tc>
          <w:tcPr>
            <w:tcW w:w="1148" w:type="pct"/>
            <w:noWrap/>
            <w:vAlign w:val="center"/>
          </w:tcPr>
          <w:p w14:paraId="7FCF2E28">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环孔材，心材黄褐色，边材微红灰色，纹理斜、结构粗，干燥稍裂、耐久性强。用于高级家具、雕刻、坑木、车辆等。</w:t>
            </w:r>
          </w:p>
        </w:tc>
      </w:tr>
      <w:tr w14:paraId="56D8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restart"/>
            <w:noWrap/>
            <w:vAlign w:val="center"/>
          </w:tcPr>
          <w:p w14:paraId="4E5C1EE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姚金娘科</w:t>
            </w:r>
          </w:p>
        </w:tc>
        <w:tc>
          <w:tcPr>
            <w:tcW w:w="317" w:type="pct"/>
            <w:noWrap/>
            <w:vAlign w:val="center"/>
          </w:tcPr>
          <w:p w14:paraId="75CE4208">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红桉</w:t>
            </w:r>
          </w:p>
          <w:p w14:paraId="5773BD0C">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i/>
                <w:iCs/>
                <w:color w:val="auto"/>
                <w:sz w:val="18"/>
                <w:szCs w:val="18"/>
                <w:highlight w:val="none"/>
                <w:lang w:val="en-US" w:eastAsia="zh-CN"/>
              </w:rPr>
              <w:t>Eucalyptus</w:t>
            </w:r>
            <w:r>
              <w:rPr>
                <w:rFonts w:hint="default" w:ascii="Times New Roman" w:hAnsi="Times New Roman" w:cs="Times New Roman"/>
                <w:color w:val="auto"/>
                <w:sz w:val="18"/>
                <w:szCs w:val="18"/>
                <w:highlight w:val="none"/>
                <w:lang w:val="en-US" w:eastAsia="zh-CN"/>
              </w:rPr>
              <w:t xml:space="preserve"> </w:t>
            </w:r>
            <w:r>
              <w:rPr>
                <w:rFonts w:hint="eastAsia" w:ascii="Times New Roman" w:hAnsi="Times New Roman" w:cs="Times New Roman"/>
                <w:color w:val="auto"/>
                <w:sz w:val="18"/>
                <w:szCs w:val="18"/>
                <w:highlight w:val="none"/>
                <w:lang w:val="en-US" w:eastAsia="zh-CN"/>
              </w:rPr>
              <w:t>spp.</w:t>
            </w:r>
          </w:p>
        </w:tc>
        <w:tc>
          <w:tcPr>
            <w:tcW w:w="363" w:type="pct"/>
            <w:noWrap/>
            <w:vAlign w:val="center"/>
          </w:tcPr>
          <w:p w14:paraId="6DA1F9B0">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赤桉</w:t>
            </w:r>
          </w:p>
          <w:p w14:paraId="783E5461">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i/>
                <w:iCs/>
                <w:color w:val="auto"/>
                <w:sz w:val="18"/>
                <w:szCs w:val="18"/>
                <w:highlight w:val="none"/>
                <w:lang w:val="en-US" w:eastAsia="zh-CN"/>
              </w:rPr>
              <w:t>E</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camaldulensis</w:t>
            </w:r>
          </w:p>
        </w:tc>
        <w:tc>
          <w:tcPr>
            <w:tcW w:w="304" w:type="pct"/>
            <w:noWrap/>
            <w:vAlign w:val="center"/>
          </w:tcPr>
          <w:p w14:paraId="2D47496A">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宜山</w:t>
            </w:r>
          </w:p>
        </w:tc>
        <w:tc>
          <w:tcPr>
            <w:tcW w:w="324" w:type="pct"/>
            <w:noWrap/>
            <w:vAlign w:val="center"/>
          </w:tcPr>
          <w:p w14:paraId="2BCCF1F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0.793</w:t>
            </w:r>
          </w:p>
        </w:tc>
        <w:tc>
          <w:tcPr>
            <w:tcW w:w="277" w:type="pct"/>
            <w:noWrap/>
            <w:vAlign w:val="center"/>
          </w:tcPr>
          <w:p w14:paraId="38AD03E5">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0.211</w:t>
            </w:r>
          </w:p>
        </w:tc>
        <w:tc>
          <w:tcPr>
            <w:tcW w:w="264" w:type="pct"/>
            <w:noWrap/>
            <w:vAlign w:val="center"/>
          </w:tcPr>
          <w:p w14:paraId="61BE7121">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0.294</w:t>
            </w:r>
          </w:p>
        </w:tc>
        <w:tc>
          <w:tcPr>
            <w:tcW w:w="252" w:type="pct"/>
            <w:noWrap/>
            <w:vAlign w:val="center"/>
          </w:tcPr>
          <w:p w14:paraId="6FFECFF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0.529</w:t>
            </w:r>
          </w:p>
        </w:tc>
        <w:tc>
          <w:tcPr>
            <w:tcW w:w="355" w:type="pct"/>
            <w:noWrap/>
            <w:vAlign w:val="center"/>
          </w:tcPr>
          <w:p w14:paraId="2613AE56">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69.1</w:t>
            </w:r>
          </w:p>
        </w:tc>
        <w:tc>
          <w:tcPr>
            <w:tcW w:w="355" w:type="pct"/>
            <w:noWrap/>
            <w:vAlign w:val="center"/>
          </w:tcPr>
          <w:p w14:paraId="185828E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99.6</w:t>
            </w:r>
          </w:p>
        </w:tc>
        <w:tc>
          <w:tcPr>
            <w:tcW w:w="319" w:type="pct"/>
            <w:noWrap/>
            <w:vAlign w:val="center"/>
          </w:tcPr>
          <w:p w14:paraId="1E1AE36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112.6</w:t>
            </w:r>
          </w:p>
        </w:tc>
        <w:tc>
          <w:tcPr>
            <w:tcW w:w="255" w:type="pct"/>
            <w:noWrap/>
            <w:vAlign w:val="center"/>
          </w:tcPr>
          <w:p w14:paraId="6264A90F">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14.8</w:t>
            </w:r>
          </w:p>
        </w:tc>
        <w:tc>
          <w:tcPr>
            <w:tcW w:w="248" w:type="pct"/>
            <w:noWrap/>
            <w:vAlign w:val="center"/>
          </w:tcPr>
          <w:p w14:paraId="43A72B1A">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16.8</w:t>
            </w:r>
          </w:p>
        </w:tc>
        <w:tc>
          <w:tcPr>
            <w:tcW w:w="1148" w:type="pct"/>
            <w:noWrap/>
            <w:vAlign w:val="center"/>
          </w:tcPr>
          <w:p w14:paraId="0EB10A9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散孔材，木材浅红黄色，纹理略斜、结构中，干燥稍开裂、少变形，耐腐性中等。用于门窗、包装箱、家具等。</w:t>
            </w:r>
          </w:p>
        </w:tc>
      </w:tr>
      <w:tr w14:paraId="0E24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2C78B869">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p>
        </w:tc>
        <w:tc>
          <w:tcPr>
            <w:tcW w:w="317" w:type="pct"/>
            <w:vMerge w:val="restart"/>
            <w:noWrap/>
            <w:vAlign w:val="center"/>
          </w:tcPr>
          <w:p w14:paraId="5E74D2FE">
            <w:pPr>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白桉</w:t>
            </w:r>
          </w:p>
          <w:p w14:paraId="0741D400">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i/>
                <w:iCs/>
                <w:color w:val="auto"/>
                <w:sz w:val="18"/>
                <w:szCs w:val="18"/>
                <w:highlight w:val="none"/>
                <w:lang w:val="en-US" w:eastAsia="zh-CN"/>
              </w:rPr>
              <w:t>Eucalyptus</w:t>
            </w:r>
            <w:r>
              <w:rPr>
                <w:rFonts w:hint="default" w:ascii="Times New Roman" w:hAnsi="Times New Roman" w:cs="Times New Roman"/>
                <w:color w:val="auto"/>
                <w:sz w:val="18"/>
                <w:szCs w:val="18"/>
                <w:highlight w:val="none"/>
                <w:lang w:val="en-US" w:eastAsia="zh-CN"/>
              </w:rPr>
              <w:t xml:space="preserve"> </w:t>
            </w:r>
            <w:r>
              <w:rPr>
                <w:rFonts w:hint="eastAsia" w:ascii="Times New Roman" w:hAnsi="Times New Roman" w:cs="Times New Roman"/>
                <w:color w:val="auto"/>
                <w:sz w:val="18"/>
                <w:szCs w:val="18"/>
                <w:highlight w:val="none"/>
                <w:lang w:val="en-US" w:eastAsia="zh-CN"/>
              </w:rPr>
              <w:t>spp.</w:t>
            </w:r>
          </w:p>
        </w:tc>
        <w:tc>
          <w:tcPr>
            <w:tcW w:w="363" w:type="pct"/>
            <w:noWrap/>
            <w:vAlign w:val="center"/>
          </w:tcPr>
          <w:p w14:paraId="01F807B2">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柠檬桉</w:t>
            </w:r>
          </w:p>
          <w:p w14:paraId="3A6C2889">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i/>
                <w:iCs/>
                <w:color w:val="auto"/>
                <w:sz w:val="18"/>
                <w:szCs w:val="18"/>
                <w:highlight w:val="none"/>
                <w:lang w:val="en-US" w:eastAsia="zh-CN"/>
              </w:rPr>
              <w:t>E</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citriodora</w:t>
            </w:r>
          </w:p>
        </w:tc>
        <w:tc>
          <w:tcPr>
            <w:tcW w:w="304" w:type="pct"/>
            <w:noWrap/>
            <w:vAlign w:val="center"/>
          </w:tcPr>
          <w:p w14:paraId="286CDB7A">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宜山</w:t>
            </w:r>
          </w:p>
        </w:tc>
        <w:tc>
          <w:tcPr>
            <w:tcW w:w="324" w:type="pct"/>
            <w:noWrap/>
            <w:vAlign w:val="center"/>
          </w:tcPr>
          <w:p w14:paraId="55E3ECFF">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0.960</w:t>
            </w:r>
          </w:p>
        </w:tc>
        <w:tc>
          <w:tcPr>
            <w:tcW w:w="277" w:type="pct"/>
            <w:noWrap/>
            <w:vAlign w:val="center"/>
          </w:tcPr>
          <w:p w14:paraId="078E8534">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0.317</w:t>
            </w:r>
          </w:p>
        </w:tc>
        <w:tc>
          <w:tcPr>
            <w:tcW w:w="264" w:type="pct"/>
            <w:noWrap/>
            <w:vAlign w:val="center"/>
          </w:tcPr>
          <w:p w14:paraId="357B9E67">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0.388</w:t>
            </w:r>
          </w:p>
        </w:tc>
        <w:tc>
          <w:tcPr>
            <w:tcW w:w="252" w:type="pct"/>
            <w:noWrap/>
            <w:vAlign w:val="center"/>
          </w:tcPr>
          <w:p w14:paraId="2308780E">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0.732</w:t>
            </w:r>
          </w:p>
        </w:tc>
        <w:tc>
          <w:tcPr>
            <w:tcW w:w="355" w:type="pct"/>
            <w:noWrap/>
            <w:vAlign w:val="center"/>
          </w:tcPr>
          <w:p w14:paraId="7E656E04">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73.0</w:t>
            </w:r>
          </w:p>
        </w:tc>
        <w:tc>
          <w:tcPr>
            <w:tcW w:w="355" w:type="pct"/>
            <w:noWrap/>
            <w:vAlign w:val="center"/>
          </w:tcPr>
          <w:p w14:paraId="39C44321">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166</w:t>
            </w:r>
          </w:p>
        </w:tc>
        <w:tc>
          <w:tcPr>
            <w:tcW w:w="319" w:type="pct"/>
            <w:noWrap/>
            <w:vAlign w:val="center"/>
          </w:tcPr>
          <w:p w14:paraId="45457BF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255" w:type="pct"/>
            <w:noWrap/>
            <w:vAlign w:val="center"/>
          </w:tcPr>
          <w:p w14:paraId="7724AC56">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14.0</w:t>
            </w:r>
          </w:p>
        </w:tc>
        <w:tc>
          <w:tcPr>
            <w:tcW w:w="248" w:type="pct"/>
            <w:noWrap/>
            <w:vAlign w:val="center"/>
          </w:tcPr>
          <w:p w14:paraId="1D39A043">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16.9</w:t>
            </w:r>
          </w:p>
        </w:tc>
        <w:tc>
          <w:tcPr>
            <w:tcW w:w="1148" w:type="pct"/>
            <w:noWrap/>
            <w:vAlign w:val="center"/>
          </w:tcPr>
          <w:p w14:paraId="6FFC474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辐射孔材，心材暗黄褐色，纹理斜、结构中，干燥难、易开裂变形，耐腐。用于家具、胶合板、造船材等。</w:t>
            </w:r>
          </w:p>
        </w:tc>
      </w:tr>
      <w:tr w14:paraId="78C2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2560EA4E">
            <w:pPr>
              <w:jc w:val="center"/>
              <w:rPr>
                <w:rFonts w:hint="eastAsia" w:ascii="Times New Roman" w:hAnsi="Times New Roman" w:cs="Times New Roman"/>
                <w:b w:val="0"/>
                <w:bCs w:val="0"/>
                <w:color w:val="auto"/>
                <w:sz w:val="18"/>
                <w:szCs w:val="18"/>
                <w:highlight w:val="none"/>
                <w:lang w:val="en-US" w:eastAsia="zh-CN"/>
              </w:rPr>
            </w:pPr>
          </w:p>
        </w:tc>
        <w:tc>
          <w:tcPr>
            <w:tcW w:w="317" w:type="pct"/>
            <w:vMerge w:val="continue"/>
            <w:noWrap/>
            <w:vAlign w:val="center"/>
          </w:tcPr>
          <w:p w14:paraId="78A9174D">
            <w:pPr>
              <w:jc w:val="center"/>
              <w:rPr>
                <w:rFonts w:hint="default" w:ascii="Times New Roman" w:hAnsi="Times New Roman" w:cs="Times New Roman"/>
                <w:i/>
                <w:iCs/>
                <w:color w:val="auto"/>
                <w:sz w:val="18"/>
                <w:szCs w:val="18"/>
                <w:highlight w:val="none"/>
                <w:lang w:val="en-US" w:eastAsia="zh-CN"/>
              </w:rPr>
            </w:pPr>
          </w:p>
        </w:tc>
        <w:tc>
          <w:tcPr>
            <w:tcW w:w="363" w:type="pct"/>
            <w:noWrap/>
            <w:vAlign w:val="center"/>
          </w:tcPr>
          <w:p w14:paraId="737AD097">
            <w:pPr>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隆</w:t>
            </w:r>
            <w:r>
              <w:rPr>
                <w:rFonts w:hint="default" w:ascii="Times New Roman" w:hAnsi="Times New Roman" w:cs="Times New Roman"/>
                <w:color w:val="auto"/>
                <w:sz w:val="18"/>
                <w:szCs w:val="18"/>
                <w:highlight w:val="none"/>
              </w:rPr>
              <w:t>缘桉</w:t>
            </w:r>
          </w:p>
          <w:p w14:paraId="5CEF9DD1">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i/>
                <w:iCs/>
                <w:color w:val="auto"/>
                <w:sz w:val="18"/>
                <w:szCs w:val="18"/>
                <w:highlight w:val="none"/>
              </w:rPr>
              <w:t>E</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rPr>
              <w:t xml:space="preserve"> Exserta</w:t>
            </w:r>
          </w:p>
        </w:tc>
        <w:tc>
          <w:tcPr>
            <w:tcW w:w="304" w:type="pct"/>
            <w:noWrap/>
            <w:vAlign w:val="center"/>
          </w:tcPr>
          <w:p w14:paraId="37B1795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南宁</w:t>
            </w:r>
          </w:p>
        </w:tc>
        <w:tc>
          <w:tcPr>
            <w:tcW w:w="324" w:type="pct"/>
            <w:noWrap/>
            <w:vAlign w:val="center"/>
          </w:tcPr>
          <w:p w14:paraId="2AAF6705">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0.833</w:t>
            </w:r>
          </w:p>
        </w:tc>
        <w:tc>
          <w:tcPr>
            <w:tcW w:w="277" w:type="pct"/>
            <w:noWrap/>
            <w:vAlign w:val="center"/>
          </w:tcPr>
          <w:p w14:paraId="6521ABB4">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0.245</w:t>
            </w:r>
          </w:p>
        </w:tc>
        <w:tc>
          <w:tcPr>
            <w:tcW w:w="264" w:type="pct"/>
            <w:noWrap/>
            <w:vAlign w:val="center"/>
          </w:tcPr>
          <w:p w14:paraId="3F151ACE">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0.343</w:t>
            </w:r>
          </w:p>
        </w:tc>
        <w:tc>
          <w:tcPr>
            <w:tcW w:w="252" w:type="pct"/>
            <w:noWrap/>
            <w:vAlign w:val="center"/>
          </w:tcPr>
          <w:p w14:paraId="7BE988F2">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0.608</w:t>
            </w:r>
          </w:p>
        </w:tc>
        <w:tc>
          <w:tcPr>
            <w:tcW w:w="355" w:type="pct"/>
            <w:noWrap/>
            <w:vAlign w:val="center"/>
          </w:tcPr>
          <w:p w14:paraId="1E87E3EF">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89.9</w:t>
            </w:r>
          </w:p>
        </w:tc>
        <w:tc>
          <w:tcPr>
            <w:tcW w:w="355" w:type="pct"/>
            <w:noWrap/>
            <w:vAlign w:val="center"/>
          </w:tcPr>
          <w:p w14:paraId="0C140F91">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112</w:t>
            </w:r>
          </w:p>
        </w:tc>
        <w:tc>
          <w:tcPr>
            <w:tcW w:w="319" w:type="pct"/>
            <w:noWrap/>
            <w:vAlign w:val="center"/>
          </w:tcPr>
          <w:p w14:paraId="301D3000">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27.2</w:t>
            </w:r>
          </w:p>
        </w:tc>
        <w:tc>
          <w:tcPr>
            <w:tcW w:w="255" w:type="pct"/>
            <w:noWrap/>
            <w:vAlign w:val="center"/>
          </w:tcPr>
          <w:p w14:paraId="24F88373">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15.1</w:t>
            </w:r>
          </w:p>
        </w:tc>
        <w:tc>
          <w:tcPr>
            <w:tcW w:w="248" w:type="pct"/>
            <w:noWrap/>
            <w:vAlign w:val="center"/>
          </w:tcPr>
          <w:p w14:paraId="6CFBFE00">
            <w:pPr>
              <w:jc w:val="center"/>
              <w:rPr>
                <w:rFonts w:hint="eastAsia"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15.1</w:t>
            </w:r>
          </w:p>
        </w:tc>
        <w:tc>
          <w:tcPr>
            <w:tcW w:w="1148" w:type="pct"/>
            <w:noWrap/>
            <w:vAlign w:val="center"/>
          </w:tcPr>
          <w:p w14:paraId="1B7A3148">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辐射孔材，木材淡黄褐色，纹理直、结构细，干燥后少开裂、少变形。用于门窗、包装箱、家具等。</w:t>
            </w:r>
          </w:p>
        </w:tc>
      </w:tr>
      <w:tr w14:paraId="68F4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vMerge w:val="continue"/>
            <w:noWrap/>
            <w:vAlign w:val="center"/>
          </w:tcPr>
          <w:p w14:paraId="20EB93BF">
            <w:pPr>
              <w:jc w:val="center"/>
              <w:rPr>
                <w:rFonts w:hint="eastAsia" w:ascii="Times New Roman" w:hAnsi="Times New Roman" w:cs="Times New Roman"/>
                <w:b w:val="0"/>
                <w:bCs w:val="0"/>
                <w:color w:val="auto"/>
                <w:sz w:val="18"/>
                <w:szCs w:val="18"/>
                <w:highlight w:val="none"/>
                <w:lang w:val="en-US" w:eastAsia="zh-CN"/>
              </w:rPr>
            </w:pPr>
          </w:p>
        </w:tc>
        <w:tc>
          <w:tcPr>
            <w:tcW w:w="317" w:type="pct"/>
            <w:noWrap/>
            <w:vAlign w:val="center"/>
          </w:tcPr>
          <w:p w14:paraId="1BD9790B">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大花序桉</w:t>
            </w:r>
          </w:p>
          <w:p w14:paraId="53E3A5F7">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Eucalyptus</w:t>
            </w:r>
            <w:r>
              <w:rPr>
                <w:rFonts w:hint="eastAsia" w:ascii="Times New Roman" w:hAnsi="Times New Roman" w:cs="Times New Roman"/>
                <w:b w:val="0"/>
                <w:bCs w:val="0"/>
                <w:color w:val="auto"/>
                <w:sz w:val="18"/>
                <w:szCs w:val="18"/>
                <w:highlight w:val="none"/>
                <w:lang w:val="en-US" w:eastAsia="zh-CN"/>
              </w:rPr>
              <w:t xml:space="preserve"> spp.</w:t>
            </w:r>
          </w:p>
        </w:tc>
        <w:tc>
          <w:tcPr>
            <w:tcW w:w="363" w:type="pct"/>
            <w:noWrap/>
            <w:vAlign w:val="center"/>
          </w:tcPr>
          <w:p w14:paraId="663BD752">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大花序桉</w:t>
            </w:r>
          </w:p>
          <w:p w14:paraId="481A7B06">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E</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cloeziana</w:t>
            </w:r>
          </w:p>
        </w:tc>
        <w:tc>
          <w:tcPr>
            <w:tcW w:w="304" w:type="pct"/>
            <w:noWrap/>
            <w:vAlign w:val="center"/>
          </w:tcPr>
          <w:p w14:paraId="5807A19A">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崇左扶绥</w:t>
            </w:r>
          </w:p>
        </w:tc>
        <w:tc>
          <w:tcPr>
            <w:tcW w:w="324" w:type="pct"/>
            <w:noWrap/>
            <w:vAlign w:val="center"/>
          </w:tcPr>
          <w:p w14:paraId="02F7F6B9">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0.860</w:t>
            </w:r>
          </w:p>
        </w:tc>
        <w:tc>
          <w:tcPr>
            <w:tcW w:w="277" w:type="pct"/>
            <w:noWrap/>
            <w:vAlign w:val="center"/>
          </w:tcPr>
          <w:p w14:paraId="73E7BECA">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0.237</w:t>
            </w:r>
          </w:p>
        </w:tc>
        <w:tc>
          <w:tcPr>
            <w:tcW w:w="264" w:type="pct"/>
            <w:noWrap/>
            <w:vAlign w:val="center"/>
          </w:tcPr>
          <w:p w14:paraId="1B1C2B1F">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0.364</w:t>
            </w:r>
          </w:p>
        </w:tc>
        <w:tc>
          <w:tcPr>
            <w:tcW w:w="252" w:type="pct"/>
            <w:noWrap/>
            <w:vAlign w:val="center"/>
          </w:tcPr>
          <w:p w14:paraId="481CA4CD">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0.586</w:t>
            </w:r>
          </w:p>
        </w:tc>
        <w:tc>
          <w:tcPr>
            <w:tcW w:w="355" w:type="pct"/>
            <w:noWrap/>
            <w:vAlign w:val="center"/>
          </w:tcPr>
          <w:p w14:paraId="2BBB107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78.1</w:t>
            </w:r>
          </w:p>
        </w:tc>
        <w:tc>
          <w:tcPr>
            <w:tcW w:w="355" w:type="pct"/>
            <w:noWrap/>
            <w:vAlign w:val="center"/>
          </w:tcPr>
          <w:p w14:paraId="49BA1509">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9" w:type="pct"/>
            <w:noWrap/>
            <w:vAlign w:val="center"/>
          </w:tcPr>
          <w:p w14:paraId="5E1FD692">
            <w:pPr>
              <w:jc w:val="center"/>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151.8</w:t>
            </w:r>
          </w:p>
        </w:tc>
        <w:tc>
          <w:tcPr>
            <w:tcW w:w="255" w:type="pct"/>
            <w:noWrap/>
            <w:vAlign w:val="center"/>
          </w:tcPr>
          <w:p w14:paraId="798BED87">
            <w:pPr>
              <w:jc w:val="center"/>
              <w:rPr>
                <w:rFonts w:hint="eastAsia" w:ascii="Times New Roman" w:hAnsi="Times New Roman" w:cs="Times New Roman"/>
                <w:b w:val="0"/>
                <w:bCs w:val="0"/>
                <w:color w:val="auto"/>
                <w:sz w:val="18"/>
                <w:szCs w:val="18"/>
                <w:highlight w:val="none"/>
                <w:lang w:val="en-US" w:eastAsia="zh-CN"/>
              </w:rPr>
            </w:pPr>
          </w:p>
        </w:tc>
        <w:tc>
          <w:tcPr>
            <w:tcW w:w="248" w:type="pct"/>
            <w:noWrap/>
            <w:vAlign w:val="center"/>
          </w:tcPr>
          <w:p w14:paraId="3DFD69E4">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1148" w:type="pct"/>
            <w:noWrap/>
            <w:vAlign w:val="center"/>
          </w:tcPr>
          <w:p w14:paraId="7830E0FD">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散孔材，心材黄褐色至浅红褐色，边材黄褐色，纹理直、结构细，干燥后少开裂、少变形。用于家具、建筑装饰等。</w:t>
            </w:r>
          </w:p>
        </w:tc>
      </w:tr>
      <w:tr w14:paraId="2B51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212" w:type="pct"/>
            <w:vMerge w:val="continue"/>
            <w:noWrap/>
            <w:vAlign w:val="center"/>
          </w:tcPr>
          <w:p w14:paraId="13202B47">
            <w:pPr>
              <w:jc w:val="center"/>
              <w:rPr>
                <w:rFonts w:hint="eastAsia" w:ascii="Times New Roman" w:hAnsi="Times New Roman" w:cs="Times New Roman"/>
                <w:b w:val="0"/>
                <w:bCs w:val="0"/>
                <w:color w:val="auto"/>
                <w:sz w:val="18"/>
                <w:szCs w:val="18"/>
                <w:highlight w:val="none"/>
                <w:lang w:val="en-US" w:eastAsia="zh-CN"/>
              </w:rPr>
            </w:pPr>
          </w:p>
        </w:tc>
        <w:tc>
          <w:tcPr>
            <w:tcW w:w="317" w:type="pct"/>
            <w:noWrap/>
            <w:vAlign w:val="center"/>
          </w:tcPr>
          <w:p w14:paraId="3F4362B9">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尾巨</w:t>
            </w:r>
            <w:r>
              <w:rPr>
                <w:rFonts w:hint="default" w:ascii="Times New Roman" w:hAnsi="Times New Roman" w:cs="Times New Roman"/>
                <w:color w:val="auto"/>
                <w:sz w:val="18"/>
                <w:szCs w:val="18"/>
                <w:highlight w:val="none"/>
                <w:lang w:val="en-US" w:eastAsia="zh-CN"/>
              </w:rPr>
              <w:t>桉</w:t>
            </w:r>
          </w:p>
          <w:p w14:paraId="4ED027A1">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Eucalyptus</w:t>
            </w:r>
            <w:r>
              <w:rPr>
                <w:rFonts w:hint="eastAsia" w:ascii="Times New Roman" w:hAnsi="Times New Roman" w:cs="Times New Roman"/>
                <w:b w:val="0"/>
                <w:bCs w:val="0"/>
                <w:color w:val="auto"/>
                <w:sz w:val="18"/>
                <w:szCs w:val="18"/>
                <w:highlight w:val="none"/>
                <w:lang w:val="en-US" w:eastAsia="zh-CN"/>
              </w:rPr>
              <w:t xml:space="preserve"> spp.</w:t>
            </w:r>
          </w:p>
        </w:tc>
        <w:tc>
          <w:tcPr>
            <w:tcW w:w="363" w:type="pct"/>
            <w:noWrap/>
            <w:vAlign w:val="center"/>
          </w:tcPr>
          <w:p w14:paraId="30B42439">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尾巨</w:t>
            </w:r>
            <w:r>
              <w:rPr>
                <w:rFonts w:hint="default" w:ascii="Times New Roman" w:hAnsi="Times New Roman" w:cs="Times New Roman"/>
                <w:color w:val="auto"/>
                <w:sz w:val="18"/>
                <w:szCs w:val="18"/>
                <w:highlight w:val="none"/>
                <w:lang w:val="en-US" w:eastAsia="zh-CN"/>
              </w:rPr>
              <w:t>桉</w:t>
            </w:r>
          </w:p>
          <w:p w14:paraId="01289754">
            <w:pPr>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i/>
                <w:iCs/>
                <w:color w:val="auto"/>
                <w:sz w:val="18"/>
                <w:szCs w:val="18"/>
                <w:highlight w:val="none"/>
                <w:lang w:val="en-US" w:eastAsia="zh-CN"/>
              </w:rPr>
              <w:t xml:space="preserve">E. </w:t>
            </w:r>
            <w:r>
              <w:rPr>
                <w:rFonts w:hint="default" w:ascii="Times New Roman" w:hAnsi="Times New Roman" w:cs="Times New Roman"/>
                <w:i/>
                <w:iCs/>
                <w:color w:val="auto"/>
                <w:sz w:val="18"/>
                <w:szCs w:val="18"/>
                <w:highlight w:val="none"/>
                <w:lang w:val="en-US" w:eastAsia="zh-CN"/>
              </w:rPr>
              <w:t xml:space="preserve">urophylla </w:t>
            </w:r>
            <w:r>
              <w:rPr>
                <w:rFonts w:hint="eastAsia" w:ascii="Times New Roman" w:hAnsi="Times New Roman" w:cs="Times New Roman"/>
                <w:i w:val="0"/>
                <w:iCs w:val="0"/>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E</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grandis</w:t>
            </w:r>
          </w:p>
        </w:tc>
        <w:tc>
          <w:tcPr>
            <w:tcW w:w="304" w:type="pct"/>
            <w:noWrap/>
            <w:vAlign w:val="center"/>
          </w:tcPr>
          <w:p w14:paraId="42DF85FD">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贵港平天山</w:t>
            </w:r>
          </w:p>
        </w:tc>
        <w:tc>
          <w:tcPr>
            <w:tcW w:w="324" w:type="pct"/>
            <w:noWrap/>
            <w:vAlign w:val="center"/>
          </w:tcPr>
          <w:p w14:paraId="7201D2E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0.590</w:t>
            </w:r>
          </w:p>
        </w:tc>
        <w:tc>
          <w:tcPr>
            <w:tcW w:w="277" w:type="pct"/>
            <w:noWrap/>
            <w:vAlign w:val="center"/>
          </w:tcPr>
          <w:p w14:paraId="753DDA51">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0.180</w:t>
            </w:r>
          </w:p>
        </w:tc>
        <w:tc>
          <w:tcPr>
            <w:tcW w:w="264" w:type="pct"/>
            <w:noWrap/>
            <w:vAlign w:val="center"/>
          </w:tcPr>
          <w:p w14:paraId="179C5BA7">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0.333</w:t>
            </w:r>
          </w:p>
        </w:tc>
        <w:tc>
          <w:tcPr>
            <w:tcW w:w="252" w:type="pct"/>
            <w:noWrap/>
            <w:vAlign w:val="center"/>
          </w:tcPr>
          <w:p w14:paraId="3344FC5F">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0.507</w:t>
            </w:r>
          </w:p>
        </w:tc>
        <w:tc>
          <w:tcPr>
            <w:tcW w:w="355" w:type="pct"/>
            <w:noWrap/>
            <w:vAlign w:val="center"/>
          </w:tcPr>
          <w:p w14:paraId="776BA7C5">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51.4</w:t>
            </w:r>
          </w:p>
        </w:tc>
        <w:tc>
          <w:tcPr>
            <w:tcW w:w="355" w:type="pct"/>
            <w:noWrap/>
            <w:vAlign w:val="center"/>
          </w:tcPr>
          <w:p w14:paraId="2F11F497">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9" w:type="pct"/>
            <w:noWrap/>
            <w:vAlign w:val="center"/>
          </w:tcPr>
          <w:p w14:paraId="3DA028F6">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111.0</w:t>
            </w:r>
          </w:p>
        </w:tc>
        <w:tc>
          <w:tcPr>
            <w:tcW w:w="255" w:type="pct"/>
            <w:noWrap/>
            <w:vAlign w:val="center"/>
          </w:tcPr>
          <w:p w14:paraId="0B69E200">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8.51</w:t>
            </w:r>
          </w:p>
        </w:tc>
        <w:tc>
          <w:tcPr>
            <w:tcW w:w="248" w:type="pct"/>
            <w:noWrap/>
            <w:vAlign w:val="center"/>
          </w:tcPr>
          <w:p w14:paraId="13062654">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10.2</w:t>
            </w:r>
          </w:p>
        </w:tc>
        <w:tc>
          <w:tcPr>
            <w:tcW w:w="1148" w:type="pct"/>
            <w:noWrap/>
            <w:vAlign w:val="center"/>
          </w:tcPr>
          <w:p w14:paraId="55798BE9">
            <w:pPr>
              <w:jc w:val="center"/>
              <w:rPr>
                <w:rFonts w:hint="default" w:ascii="Times New Roman" w:hAnsi="Times New Roman" w:cs="Times New Roman"/>
                <w:b w:val="0"/>
                <w:bCs w:val="0"/>
                <w:color w:val="auto"/>
                <w:sz w:val="18"/>
                <w:szCs w:val="18"/>
                <w:highlight w:val="none"/>
                <w:lang w:val="en-US"/>
              </w:rPr>
            </w:pPr>
            <w:r>
              <w:rPr>
                <w:rFonts w:hint="eastAsia" w:ascii="Times New Roman" w:hAnsi="Times New Roman" w:cs="Times New Roman"/>
                <w:b w:val="0"/>
                <w:bCs w:val="0"/>
                <w:color w:val="auto"/>
                <w:sz w:val="18"/>
                <w:szCs w:val="18"/>
                <w:highlight w:val="none"/>
                <w:lang w:val="en-US" w:eastAsia="zh-CN"/>
              </w:rPr>
              <w:t>散孔材，心材暗黄褐色，边材黄色、黄褐色，纹理斜、结构细，干燥后易开裂变形。用于胶合板、家具、结构材等</w:t>
            </w:r>
          </w:p>
        </w:tc>
      </w:tr>
      <w:tr w14:paraId="2375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noWrap/>
            <w:vAlign w:val="center"/>
          </w:tcPr>
          <w:p w14:paraId="683FA4B0">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山茶科</w:t>
            </w:r>
          </w:p>
        </w:tc>
        <w:tc>
          <w:tcPr>
            <w:tcW w:w="317" w:type="pct"/>
            <w:noWrap/>
            <w:vAlign w:val="center"/>
          </w:tcPr>
          <w:p w14:paraId="304EB2F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荷木</w:t>
            </w:r>
          </w:p>
          <w:p w14:paraId="31BB58B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Schima</w:t>
            </w:r>
            <w:r>
              <w:rPr>
                <w:rFonts w:hint="default" w:ascii="Times New Roman" w:hAnsi="Times New Roman" w:cs="Times New Roman"/>
                <w:color w:val="auto"/>
                <w:sz w:val="18"/>
                <w:szCs w:val="18"/>
                <w:highlight w:val="none"/>
                <w:lang w:val="en-US" w:eastAsia="zh-CN"/>
              </w:rPr>
              <w:t xml:space="preserve"> </w:t>
            </w:r>
            <w:r>
              <w:rPr>
                <w:rFonts w:hint="eastAsia" w:ascii="Times New Roman" w:hAnsi="Times New Roman" w:cs="Times New Roman"/>
                <w:color w:val="auto"/>
                <w:sz w:val="18"/>
                <w:szCs w:val="18"/>
                <w:highlight w:val="none"/>
                <w:lang w:val="en-US" w:eastAsia="zh-CN"/>
              </w:rPr>
              <w:t>spp.</w:t>
            </w:r>
          </w:p>
        </w:tc>
        <w:tc>
          <w:tcPr>
            <w:tcW w:w="363" w:type="pct"/>
            <w:noWrap/>
            <w:vAlign w:val="center"/>
          </w:tcPr>
          <w:p w14:paraId="48091B4F">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荷木</w:t>
            </w:r>
          </w:p>
          <w:p w14:paraId="4B36346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iCs/>
                <w:color w:val="auto"/>
                <w:sz w:val="18"/>
                <w:szCs w:val="18"/>
                <w:highlight w:val="none"/>
                <w:lang w:val="en-US" w:eastAsia="zh-CN"/>
              </w:rPr>
              <w:t>S</w:t>
            </w:r>
            <w:r>
              <w:rPr>
                <w:rFonts w:hint="eastAsia" w:ascii="Times New Roman" w:hAnsi="Times New Roman" w:cs="Times New Roman"/>
                <w:i/>
                <w:iCs/>
                <w:color w:val="auto"/>
                <w:sz w:val="18"/>
                <w:szCs w:val="18"/>
                <w:highlight w:val="none"/>
                <w:lang w:val="en-US" w:eastAsia="zh-CN"/>
              </w:rPr>
              <w:t>.</w:t>
            </w:r>
            <w:r>
              <w:rPr>
                <w:rFonts w:hint="default" w:ascii="Times New Roman" w:hAnsi="Times New Roman" w:cs="Times New Roman"/>
                <w:i/>
                <w:iCs/>
                <w:color w:val="auto"/>
                <w:sz w:val="18"/>
                <w:szCs w:val="18"/>
                <w:highlight w:val="none"/>
                <w:lang w:val="en-US" w:eastAsia="zh-CN"/>
              </w:rPr>
              <w:t xml:space="preserve"> superba</w:t>
            </w:r>
          </w:p>
        </w:tc>
        <w:tc>
          <w:tcPr>
            <w:tcW w:w="304" w:type="pct"/>
            <w:noWrap/>
            <w:vAlign w:val="center"/>
          </w:tcPr>
          <w:p w14:paraId="544A0617">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融安</w:t>
            </w:r>
          </w:p>
        </w:tc>
        <w:tc>
          <w:tcPr>
            <w:tcW w:w="324" w:type="pct"/>
            <w:noWrap/>
            <w:vAlign w:val="center"/>
          </w:tcPr>
          <w:p w14:paraId="30A82344">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0.633</w:t>
            </w:r>
          </w:p>
        </w:tc>
        <w:tc>
          <w:tcPr>
            <w:tcW w:w="277" w:type="pct"/>
            <w:noWrap/>
            <w:vAlign w:val="center"/>
          </w:tcPr>
          <w:p w14:paraId="6F718761">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0.169</w:t>
            </w:r>
          </w:p>
        </w:tc>
        <w:tc>
          <w:tcPr>
            <w:tcW w:w="264" w:type="pct"/>
            <w:noWrap/>
            <w:vAlign w:val="center"/>
          </w:tcPr>
          <w:p w14:paraId="6834C41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0.307</w:t>
            </w:r>
          </w:p>
        </w:tc>
        <w:tc>
          <w:tcPr>
            <w:tcW w:w="252" w:type="pct"/>
            <w:noWrap/>
            <w:vAlign w:val="center"/>
          </w:tcPr>
          <w:p w14:paraId="4BC642B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0.425</w:t>
            </w:r>
          </w:p>
        </w:tc>
        <w:tc>
          <w:tcPr>
            <w:tcW w:w="355" w:type="pct"/>
            <w:noWrap/>
            <w:vAlign w:val="center"/>
          </w:tcPr>
          <w:p w14:paraId="364D9833">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56.9</w:t>
            </w:r>
          </w:p>
        </w:tc>
        <w:tc>
          <w:tcPr>
            <w:tcW w:w="355" w:type="pct"/>
            <w:noWrap/>
            <w:vAlign w:val="center"/>
          </w:tcPr>
          <w:p w14:paraId="3CB73253">
            <w:pPr>
              <w:jc w:val="center"/>
              <w:rPr>
                <w:rFonts w:hint="eastAsia"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w:t>
            </w:r>
          </w:p>
        </w:tc>
        <w:tc>
          <w:tcPr>
            <w:tcW w:w="319" w:type="pct"/>
            <w:noWrap/>
            <w:vAlign w:val="center"/>
          </w:tcPr>
          <w:p w14:paraId="1A3E15E1">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72.7</w:t>
            </w:r>
          </w:p>
        </w:tc>
        <w:tc>
          <w:tcPr>
            <w:tcW w:w="255" w:type="pct"/>
            <w:noWrap/>
            <w:vAlign w:val="center"/>
          </w:tcPr>
          <w:p w14:paraId="76697597">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12.3</w:t>
            </w:r>
          </w:p>
        </w:tc>
        <w:tc>
          <w:tcPr>
            <w:tcW w:w="248" w:type="pct"/>
            <w:noWrap/>
            <w:vAlign w:val="center"/>
          </w:tcPr>
          <w:p w14:paraId="1AD395E2">
            <w:pPr>
              <w:jc w:val="center"/>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15.8</w:t>
            </w:r>
          </w:p>
        </w:tc>
        <w:tc>
          <w:tcPr>
            <w:tcW w:w="1148" w:type="pct"/>
            <w:noWrap/>
            <w:vAlign w:val="center"/>
          </w:tcPr>
          <w:p w14:paraId="089982F9">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散孔材，心材褐色，边材淡黄褐色，纹理斜、结构细，干燥翘裂，耐腐性中等。用于胶合板、文具、家具、房屋维修、内河船舶，牙签等。</w:t>
            </w:r>
          </w:p>
        </w:tc>
      </w:tr>
      <w:tr w14:paraId="040D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12" w:type="pct"/>
            <w:noWrap/>
            <w:vAlign w:val="center"/>
          </w:tcPr>
          <w:p w14:paraId="4D5EC566">
            <w:pPr>
              <w:jc w:val="center"/>
              <w:rPr>
                <w:rFonts w:hint="default" w:ascii="Times New Roman" w:hAnsi="Times New Roman" w:cs="Times New Roman" w:eastAsiaTheme="minorEastAsia"/>
                <w:b/>
                <w:bCs/>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马鞭草科</w:t>
            </w:r>
          </w:p>
        </w:tc>
        <w:tc>
          <w:tcPr>
            <w:tcW w:w="317" w:type="pct"/>
            <w:noWrap/>
            <w:vAlign w:val="center"/>
          </w:tcPr>
          <w:p w14:paraId="76471F53">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柚木</w:t>
            </w:r>
          </w:p>
          <w:p w14:paraId="12689AC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Tectona</w:t>
            </w:r>
            <w:r>
              <w:rPr>
                <w:rFonts w:hint="default" w:ascii="Times New Roman" w:hAnsi="Times New Roman" w:cs="Times New Roman"/>
                <w:b w:val="0"/>
                <w:bCs w:val="0"/>
                <w:color w:val="auto"/>
                <w:sz w:val="18"/>
                <w:szCs w:val="18"/>
                <w:highlight w:val="none"/>
                <w:lang w:val="en-US" w:eastAsia="zh-CN"/>
              </w:rPr>
              <w:t xml:space="preserve"> </w:t>
            </w:r>
            <w:r>
              <w:rPr>
                <w:rFonts w:hint="eastAsia" w:ascii="Times New Roman" w:hAnsi="Times New Roman" w:cs="Times New Roman"/>
                <w:b w:val="0"/>
                <w:bCs w:val="0"/>
                <w:color w:val="auto"/>
                <w:sz w:val="18"/>
                <w:szCs w:val="18"/>
                <w:highlight w:val="none"/>
                <w:lang w:val="en-US" w:eastAsia="zh-CN"/>
              </w:rPr>
              <w:t>spp.</w:t>
            </w:r>
          </w:p>
        </w:tc>
        <w:tc>
          <w:tcPr>
            <w:tcW w:w="363" w:type="pct"/>
            <w:noWrap/>
            <w:vAlign w:val="center"/>
          </w:tcPr>
          <w:p w14:paraId="588D1A7A">
            <w:pPr>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柚木</w:t>
            </w:r>
          </w:p>
          <w:p w14:paraId="1C801A8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default" w:ascii="Times New Roman" w:hAnsi="Times New Roman" w:cs="Times New Roman"/>
                <w:b w:val="0"/>
                <w:bCs w:val="0"/>
                <w:i/>
                <w:iCs/>
                <w:color w:val="auto"/>
                <w:sz w:val="18"/>
                <w:szCs w:val="18"/>
                <w:highlight w:val="none"/>
                <w:lang w:val="en-US" w:eastAsia="zh-CN"/>
              </w:rPr>
              <w:t>T</w:t>
            </w:r>
            <w:r>
              <w:rPr>
                <w:rFonts w:hint="eastAsia" w:ascii="Times New Roman" w:hAnsi="Times New Roman" w:cs="Times New Roman"/>
                <w:b w:val="0"/>
                <w:bCs w:val="0"/>
                <w:i/>
                <w:iCs/>
                <w:color w:val="auto"/>
                <w:sz w:val="18"/>
                <w:szCs w:val="18"/>
                <w:highlight w:val="none"/>
                <w:lang w:val="en-US" w:eastAsia="zh-CN"/>
              </w:rPr>
              <w:t>.</w:t>
            </w:r>
            <w:r>
              <w:rPr>
                <w:rFonts w:hint="default" w:ascii="Times New Roman" w:hAnsi="Times New Roman" w:cs="Times New Roman"/>
                <w:b w:val="0"/>
                <w:bCs w:val="0"/>
                <w:i/>
                <w:iCs/>
                <w:color w:val="auto"/>
                <w:sz w:val="18"/>
                <w:szCs w:val="18"/>
                <w:highlight w:val="none"/>
                <w:lang w:val="en-US" w:eastAsia="zh-CN"/>
              </w:rPr>
              <w:t xml:space="preserve"> grandis</w:t>
            </w:r>
          </w:p>
        </w:tc>
        <w:tc>
          <w:tcPr>
            <w:tcW w:w="304" w:type="pct"/>
            <w:noWrap/>
            <w:vAlign w:val="center"/>
          </w:tcPr>
          <w:p w14:paraId="794BA743">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大青山</w:t>
            </w:r>
          </w:p>
        </w:tc>
        <w:tc>
          <w:tcPr>
            <w:tcW w:w="324" w:type="pct"/>
            <w:noWrap/>
            <w:vAlign w:val="center"/>
          </w:tcPr>
          <w:p w14:paraId="7A106EB2">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0.663</w:t>
            </w:r>
          </w:p>
        </w:tc>
        <w:tc>
          <w:tcPr>
            <w:tcW w:w="277" w:type="pct"/>
            <w:noWrap/>
            <w:vAlign w:val="center"/>
          </w:tcPr>
          <w:p w14:paraId="282B8717">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0.115</w:t>
            </w:r>
          </w:p>
        </w:tc>
        <w:tc>
          <w:tcPr>
            <w:tcW w:w="264" w:type="pct"/>
            <w:noWrap/>
            <w:vAlign w:val="center"/>
          </w:tcPr>
          <w:p w14:paraId="3CA238ED">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0.190</w:t>
            </w:r>
          </w:p>
        </w:tc>
        <w:tc>
          <w:tcPr>
            <w:tcW w:w="252" w:type="pct"/>
            <w:noWrap/>
            <w:vAlign w:val="center"/>
          </w:tcPr>
          <w:p w14:paraId="1FA10C66">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0.322</w:t>
            </w:r>
          </w:p>
        </w:tc>
        <w:tc>
          <w:tcPr>
            <w:tcW w:w="355" w:type="pct"/>
            <w:noWrap/>
            <w:vAlign w:val="center"/>
          </w:tcPr>
          <w:p w14:paraId="5F39A0EC">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61.3</w:t>
            </w:r>
          </w:p>
        </w:tc>
        <w:tc>
          <w:tcPr>
            <w:tcW w:w="355" w:type="pct"/>
            <w:noWrap/>
            <w:vAlign w:val="center"/>
          </w:tcPr>
          <w:p w14:paraId="6DE87F5A">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2"/>
                <w:sz w:val="18"/>
                <w:szCs w:val="18"/>
                <w:highlight w:val="none"/>
                <w:lang w:val="en-US" w:eastAsia="zh-CN" w:bidi="ar-SA"/>
              </w:rPr>
              <w:t>/</w:t>
            </w:r>
          </w:p>
        </w:tc>
        <w:tc>
          <w:tcPr>
            <w:tcW w:w="319" w:type="pct"/>
            <w:noWrap/>
            <w:vAlign w:val="center"/>
          </w:tcPr>
          <w:p w14:paraId="14C38CAB">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124.7</w:t>
            </w:r>
          </w:p>
        </w:tc>
        <w:tc>
          <w:tcPr>
            <w:tcW w:w="255" w:type="pct"/>
            <w:noWrap/>
            <w:vAlign w:val="center"/>
          </w:tcPr>
          <w:p w14:paraId="30132141">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11.4</w:t>
            </w:r>
          </w:p>
        </w:tc>
        <w:tc>
          <w:tcPr>
            <w:tcW w:w="248" w:type="pct"/>
            <w:noWrap/>
            <w:vAlign w:val="center"/>
          </w:tcPr>
          <w:p w14:paraId="70E4C954">
            <w:pPr>
              <w:jc w:val="center"/>
              <w:rPr>
                <w:rFonts w:hint="default" w:ascii="Times New Roman" w:hAnsi="Times New Roman" w:cs="Times New Roman" w:eastAsiaTheme="minorEastAsia"/>
                <w:b w:val="0"/>
                <w:bCs w:val="0"/>
                <w:color w:val="auto"/>
                <w:kern w:val="2"/>
                <w:sz w:val="18"/>
                <w:szCs w:val="18"/>
                <w:highlight w:val="none"/>
                <w:lang w:val="en-US" w:eastAsia="zh-CN" w:bidi="ar-SA"/>
              </w:rPr>
            </w:pPr>
            <w:r>
              <w:rPr>
                <w:rFonts w:hint="eastAsia" w:ascii="Times New Roman" w:hAnsi="Times New Roman" w:cs="Times New Roman"/>
                <w:b w:val="0"/>
                <w:bCs w:val="0"/>
                <w:color w:val="auto"/>
                <w:sz w:val="18"/>
                <w:szCs w:val="18"/>
                <w:highlight w:val="none"/>
                <w:lang w:val="en-US" w:eastAsia="zh-CN"/>
              </w:rPr>
              <w:t>14.3</w:t>
            </w:r>
          </w:p>
        </w:tc>
        <w:tc>
          <w:tcPr>
            <w:tcW w:w="1148" w:type="pct"/>
            <w:noWrap/>
            <w:vAlign w:val="center"/>
          </w:tcPr>
          <w:p w14:paraId="49659F7E">
            <w:pPr>
              <w:jc w:val="center"/>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环孔材，木材淡黄红色，纹理直、结构粗，干燥不翘裂，抗虫、耐腐，用于船舶，门、窗、房架，车辆、高级家具、机模，仪器、地板等。</w:t>
            </w:r>
          </w:p>
        </w:tc>
      </w:tr>
    </w:tbl>
    <w:p w14:paraId="30561D2C">
      <w:pPr>
        <w:spacing w:line="220" w:lineRule="atLeast"/>
        <w:rPr>
          <w:rFonts w:ascii="宋体" w:hAnsi="宋体"/>
          <w:color w:val="auto"/>
          <w:szCs w:val="21"/>
          <w:highlight w:val="none"/>
        </w:rPr>
      </w:pPr>
    </w:p>
    <w:p w14:paraId="13177D7C">
      <w:pPr>
        <w:spacing w:line="220" w:lineRule="atLeast"/>
        <w:rPr>
          <w:rFonts w:ascii="宋体" w:hAnsi="宋体"/>
          <w:color w:val="auto"/>
          <w:szCs w:val="21"/>
          <w:highlight w:val="none"/>
        </w:rPr>
        <w:sectPr>
          <w:pgSz w:w="16838" w:h="11906" w:orient="landscape"/>
          <w:pgMar w:top="1020" w:right="1134" w:bottom="1020" w:left="1134" w:header="851" w:footer="992" w:gutter="0"/>
          <w:cols w:space="720" w:num="1"/>
          <w:docGrid w:type="lines" w:linePitch="312" w:charSpace="0"/>
        </w:sectPr>
      </w:pPr>
    </w:p>
    <w:p w14:paraId="7A990994">
      <w:pPr>
        <w:pStyle w:val="2"/>
        <w:spacing w:before="312"/>
        <w:rPr>
          <w:color w:val="auto"/>
          <w:highlight w:val="none"/>
        </w:rPr>
      </w:pPr>
      <w:bookmarkStart w:id="298" w:name="_Toc10587"/>
      <w:bookmarkStart w:id="299" w:name="_Toc58592764"/>
      <w:bookmarkStart w:id="300" w:name="_Toc21589"/>
      <w:bookmarkStart w:id="301" w:name="_Toc21410"/>
      <w:bookmarkStart w:id="302" w:name="_Toc23764"/>
      <w:r>
        <w:rPr>
          <w:rFonts w:hint="eastAsia"/>
          <w:color w:val="auto"/>
          <w:highlight w:val="none"/>
        </w:rPr>
        <w:t>附录</w:t>
      </w:r>
      <w:r>
        <w:rPr>
          <w:rFonts w:hint="eastAsia"/>
          <w:color w:val="auto"/>
          <w:highlight w:val="none"/>
          <w:lang w:val="en-US" w:eastAsia="zh-CN"/>
        </w:rPr>
        <w:t>B</w:t>
      </w:r>
      <w:r>
        <w:rPr>
          <w:rFonts w:hint="eastAsia"/>
          <w:color w:val="auto"/>
          <w:highlight w:val="none"/>
          <w:lang w:eastAsia="zh-CN"/>
        </w:rPr>
        <w:t xml:space="preserve">  </w:t>
      </w:r>
      <w:r>
        <w:rPr>
          <w:rFonts w:hint="eastAsia"/>
          <w:color w:val="auto"/>
          <w:highlight w:val="none"/>
        </w:rPr>
        <w:t>广西适用于木结构建筑用木材的热工性能参数表</w:t>
      </w:r>
      <w:bookmarkEnd w:id="298"/>
      <w:bookmarkEnd w:id="299"/>
      <w:bookmarkEnd w:id="300"/>
      <w:bookmarkEnd w:id="301"/>
      <w:bookmarkEnd w:id="302"/>
    </w:p>
    <w:p w14:paraId="23507DB3">
      <w:pPr>
        <w:spacing w:line="324" w:lineRule="auto"/>
        <w:jc w:val="both"/>
        <w:rPr>
          <w:rFonts w:ascii="宋体" w:hAnsi="宋体"/>
          <w:color w:val="auto"/>
          <w:szCs w:val="21"/>
          <w:highlight w:val="none"/>
        </w:rPr>
      </w:pPr>
    </w:p>
    <w:p w14:paraId="630547A0">
      <w:pPr>
        <w:pStyle w:val="4"/>
        <w:rPr>
          <w:color w:val="auto"/>
          <w:highlight w:val="none"/>
        </w:rPr>
      </w:pPr>
      <w:r>
        <w:rPr>
          <w:rFonts w:hint="eastAsia"/>
          <w:b/>
          <w:bCs/>
          <w:color w:val="auto"/>
          <w:highlight w:val="none"/>
          <w:lang w:val="en-US" w:eastAsia="zh-CN"/>
        </w:rPr>
        <w:t>B</w:t>
      </w:r>
      <w:r>
        <w:rPr>
          <w:rFonts w:hint="eastAsia"/>
          <w:b/>
          <w:bCs/>
          <w:color w:val="auto"/>
          <w:highlight w:val="none"/>
        </w:rPr>
        <w:t>.</w:t>
      </w:r>
      <w:r>
        <w:rPr>
          <w:rFonts w:hint="eastAsia"/>
          <w:b/>
          <w:bCs/>
          <w:color w:val="auto"/>
          <w:highlight w:val="none"/>
          <w:lang w:val="en-US" w:eastAsia="zh-CN"/>
        </w:rPr>
        <w:t>0</w:t>
      </w:r>
      <w:r>
        <w:rPr>
          <w:rFonts w:hint="eastAsia"/>
          <w:b/>
          <w:bCs/>
          <w:color w:val="auto"/>
          <w:highlight w:val="none"/>
        </w:rPr>
        <w:t>.1</w:t>
      </w:r>
      <w:r>
        <w:rPr>
          <w:rFonts w:hint="eastAsia"/>
          <w:b/>
          <w:bCs/>
          <w:color w:val="auto"/>
          <w:highlight w:val="none"/>
          <w:lang w:eastAsia="zh-CN"/>
        </w:rPr>
        <w:t xml:space="preserve">  </w:t>
      </w:r>
      <w:r>
        <w:rPr>
          <w:rFonts w:hint="eastAsia"/>
          <w:color w:val="auto"/>
          <w:highlight w:val="none"/>
        </w:rPr>
        <w:t>广西</w:t>
      </w:r>
      <w:r>
        <w:rPr>
          <w:rFonts w:hint="eastAsia"/>
          <w:color w:val="auto"/>
          <w:highlight w:val="none"/>
          <w:lang w:val="en-US" w:eastAsia="zh-CN"/>
        </w:rPr>
        <w:t>常见</w:t>
      </w:r>
      <w:r>
        <w:rPr>
          <w:rFonts w:hint="eastAsia"/>
          <w:color w:val="auto"/>
          <w:highlight w:val="none"/>
        </w:rPr>
        <w:t>适用于木结构建筑用木材的热工性能可按</w:t>
      </w:r>
      <w:r>
        <w:rPr>
          <w:rFonts w:hint="eastAsia"/>
          <w:color w:val="auto"/>
          <w:highlight w:val="none"/>
          <w:lang w:eastAsia="zh-CN"/>
        </w:rPr>
        <w:t>表</w:t>
      </w:r>
      <w:r>
        <w:rPr>
          <w:rFonts w:hint="eastAsia"/>
          <w:color w:val="auto"/>
          <w:highlight w:val="none"/>
          <w:lang w:val="en-US" w:eastAsia="zh-CN"/>
        </w:rPr>
        <w:t>B</w:t>
      </w:r>
      <w:r>
        <w:rPr>
          <w:rFonts w:hint="eastAsia"/>
          <w:color w:val="auto"/>
          <w:highlight w:val="none"/>
        </w:rPr>
        <w:t>.1.1</w:t>
      </w:r>
      <w:r>
        <w:rPr>
          <w:rFonts w:hint="eastAsia"/>
          <w:color w:val="auto"/>
          <w:highlight w:val="none"/>
          <w:lang w:eastAsia="zh-CN"/>
        </w:rPr>
        <w:t xml:space="preserve"> </w:t>
      </w:r>
      <w:r>
        <w:rPr>
          <w:rFonts w:hint="eastAsia"/>
          <w:color w:val="auto"/>
          <w:highlight w:val="none"/>
        </w:rPr>
        <w:t>取值。</w:t>
      </w:r>
    </w:p>
    <w:p w14:paraId="6D7B7310">
      <w:pPr>
        <w:pStyle w:val="40"/>
        <w:bidi w:val="0"/>
        <w:rPr>
          <w:color w:val="auto"/>
          <w:highlight w:val="none"/>
        </w:rPr>
      </w:pPr>
      <w:r>
        <w:rPr>
          <w:rFonts w:hint="eastAsia"/>
          <w:color w:val="auto"/>
          <w:highlight w:val="none"/>
          <w:lang w:eastAsia="zh-CN"/>
        </w:rPr>
        <w:t>表</w:t>
      </w:r>
      <w:r>
        <w:rPr>
          <w:rFonts w:hint="eastAsia"/>
          <w:color w:val="auto"/>
          <w:highlight w:val="none"/>
          <w:lang w:val="en-US" w:eastAsia="zh-CN"/>
        </w:rPr>
        <w:t>B</w:t>
      </w:r>
      <w:r>
        <w:rPr>
          <w:rFonts w:hint="eastAsia"/>
          <w:color w:val="auto"/>
          <w:highlight w:val="none"/>
        </w:rPr>
        <w:t>.1.1</w:t>
      </w:r>
      <w:r>
        <w:rPr>
          <w:rFonts w:hint="eastAsia"/>
          <w:color w:val="auto"/>
          <w:highlight w:val="none"/>
          <w:lang w:eastAsia="zh-CN"/>
        </w:rPr>
        <w:t xml:space="preserve">  </w:t>
      </w:r>
      <w:r>
        <w:rPr>
          <w:rFonts w:hint="eastAsia"/>
          <w:color w:val="auto"/>
          <w:highlight w:val="none"/>
        </w:rPr>
        <w:t>木材的热工性能参数表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0"/>
        <w:gridCol w:w="1659"/>
        <w:gridCol w:w="1653"/>
        <w:gridCol w:w="2017"/>
        <w:gridCol w:w="2019"/>
      </w:tblGrid>
      <w:tr w14:paraId="672B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pct"/>
            <w:vAlign w:val="center"/>
          </w:tcPr>
          <w:p w14:paraId="7BB06FDD">
            <w:pPr>
              <w:pStyle w:val="43"/>
              <w:bidi w:val="0"/>
              <w:rPr>
                <w:color w:val="auto"/>
                <w:highlight w:val="none"/>
              </w:rPr>
            </w:pPr>
            <w:r>
              <w:rPr>
                <w:rFonts w:hint="eastAsia"/>
                <w:color w:val="auto"/>
                <w:highlight w:val="none"/>
              </w:rPr>
              <w:t>材料名称</w:t>
            </w:r>
          </w:p>
        </w:tc>
        <w:tc>
          <w:tcPr>
            <w:tcW w:w="823" w:type="pct"/>
            <w:vAlign w:val="center"/>
          </w:tcPr>
          <w:p w14:paraId="56EF304A">
            <w:pPr>
              <w:pStyle w:val="43"/>
              <w:bidi w:val="0"/>
              <w:rPr>
                <w:color w:val="auto"/>
                <w:highlight w:val="none"/>
              </w:rPr>
            </w:pPr>
            <w:r>
              <w:rPr>
                <w:rFonts w:hint="eastAsia"/>
                <w:color w:val="auto"/>
                <w:highlight w:val="none"/>
              </w:rPr>
              <w:t>干密度</w:t>
            </w:r>
          </w:p>
          <w:p w14:paraId="44379097">
            <w:pPr>
              <w:pStyle w:val="43"/>
              <w:bidi w:val="0"/>
              <w:rPr>
                <w:color w:val="auto"/>
                <w:highlight w:val="none"/>
              </w:rPr>
            </w:pPr>
            <w:r>
              <w:rPr>
                <w:rFonts w:hint="eastAsia"/>
                <w:color w:val="auto"/>
                <w:highlight w:val="none"/>
              </w:rPr>
              <w:t>（kg/m</w:t>
            </w:r>
            <w:r>
              <w:rPr>
                <w:rFonts w:hint="eastAsia"/>
                <w:color w:val="auto"/>
                <w:highlight w:val="none"/>
                <w:vertAlign w:val="superscript"/>
              </w:rPr>
              <w:t>3</w:t>
            </w:r>
            <w:r>
              <w:rPr>
                <w:rFonts w:hint="eastAsia"/>
                <w:color w:val="auto"/>
                <w:highlight w:val="none"/>
              </w:rPr>
              <w:t>）</w:t>
            </w:r>
          </w:p>
        </w:tc>
        <w:tc>
          <w:tcPr>
            <w:tcW w:w="820" w:type="pct"/>
            <w:vAlign w:val="center"/>
          </w:tcPr>
          <w:p w14:paraId="46639C98">
            <w:pPr>
              <w:pStyle w:val="43"/>
              <w:bidi w:val="0"/>
              <w:rPr>
                <w:color w:val="auto"/>
                <w:highlight w:val="none"/>
              </w:rPr>
            </w:pPr>
            <w:r>
              <w:rPr>
                <w:rFonts w:hint="eastAsia"/>
                <w:color w:val="auto"/>
                <w:highlight w:val="none"/>
              </w:rPr>
              <w:t>导热系数[W/</w:t>
            </w:r>
            <w:r>
              <w:rPr>
                <w:rFonts w:hint="eastAsia"/>
                <w:color w:val="auto"/>
                <w:highlight w:val="none"/>
                <w:lang w:eastAsia="zh-CN"/>
              </w:rPr>
              <w:t>（</w:t>
            </w:r>
            <w:r>
              <w:rPr>
                <w:rFonts w:hint="eastAsia"/>
                <w:color w:val="auto"/>
                <w:highlight w:val="none"/>
              </w:rPr>
              <w:t>m</w:t>
            </w:r>
            <w:r>
              <w:rPr>
                <w:rFonts w:hint="eastAsia"/>
                <w:color w:val="auto"/>
                <w:highlight w:val="none"/>
                <w:vertAlign w:val="superscript"/>
                <w:lang w:val="en-US" w:eastAsia="zh-CN"/>
              </w:rPr>
              <w:t>2</w:t>
            </w:r>
            <w:r>
              <w:rPr>
                <w:rFonts w:hint="eastAsia"/>
                <w:color w:val="auto"/>
                <w:highlight w:val="none"/>
              </w:rPr>
              <w:t>·K</w:t>
            </w:r>
            <w:r>
              <w:rPr>
                <w:rFonts w:hint="eastAsia"/>
                <w:color w:val="auto"/>
                <w:highlight w:val="none"/>
                <w:lang w:eastAsia="zh-CN"/>
              </w:rPr>
              <w:t>）</w:t>
            </w:r>
            <w:r>
              <w:rPr>
                <w:rFonts w:hint="eastAsia"/>
                <w:color w:val="auto"/>
                <w:highlight w:val="none"/>
              </w:rPr>
              <w:t>]</w:t>
            </w:r>
          </w:p>
        </w:tc>
        <w:tc>
          <w:tcPr>
            <w:tcW w:w="1000" w:type="pct"/>
            <w:vAlign w:val="center"/>
          </w:tcPr>
          <w:p w14:paraId="0FC381E7">
            <w:pPr>
              <w:pStyle w:val="43"/>
              <w:bidi w:val="0"/>
              <w:rPr>
                <w:color w:val="auto"/>
                <w:highlight w:val="none"/>
              </w:rPr>
            </w:pPr>
            <w:r>
              <w:rPr>
                <w:rFonts w:hint="eastAsia"/>
                <w:color w:val="auto"/>
                <w:highlight w:val="none"/>
              </w:rPr>
              <w:t>蓄热系数</w:t>
            </w:r>
          </w:p>
          <w:p w14:paraId="6670A709">
            <w:pPr>
              <w:pStyle w:val="43"/>
              <w:bidi w:val="0"/>
              <w:rPr>
                <w:color w:val="auto"/>
                <w:highlight w:val="none"/>
              </w:rPr>
            </w:pPr>
            <w:r>
              <w:rPr>
                <w:rFonts w:hint="eastAsia"/>
                <w:color w:val="auto"/>
                <w:highlight w:val="none"/>
              </w:rPr>
              <w:t>（周期24h）[W/</w:t>
            </w:r>
            <w:r>
              <w:rPr>
                <w:rFonts w:hint="eastAsia"/>
                <w:color w:val="auto"/>
                <w:highlight w:val="none"/>
                <w:lang w:eastAsia="zh-CN"/>
              </w:rPr>
              <w:t>（</w:t>
            </w:r>
            <w:r>
              <w:rPr>
                <w:rFonts w:hint="eastAsia"/>
                <w:color w:val="auto"/>
                <w:highlight w:val="none"/>
              </w:rPr>
              <w:t>m</w:t>
            </w:r>
            <w:r>
              <w:rPr>
                <w:rFonts w:hint="eastAsia"/>
                <w:color w:val="auto"/>
                <w:highlight w:val="none"/>
                <w:vertAlign w:val="superscript"/>
                <w:lang w:val="en-US" w:eastAsia="zh-CN"/>
              </w:rPr>
              <w:t>2</w:t>
            </w:r>
            <w:r>
              <w:rPr>
                <w:rFonts w:hint="eastAsia"/>
                <w:color w:val="auto"/>
                <w:highlight w:val="none"/>
              </w:rPr>
              <w:t>·K</w:t>
            </w:r>
            <w:r>
              <w:rPr>
                <w:rFonts w:hint="eastAsia"/>
                <w:color w:val="auto"/>
                <w:highlight w:val="none"/>
                <w:lang w:eastAsia="zh-CN"/>
              </w:rPr>
              <w:t>）</w:t>
            </w:r>
            <w:r>
              <w:rPr>
                <w:rFonts w:hint="eastAsia"/>
                <w:color w:val="auto"/>
                <w:highlight w:val="none"/>
              </w:rPr>
              <w:t>]</w:t>
            </w:r>
          </w:p>
        </w:tc>
        <w:tc>
          <w:tcPr>
            <w:tcW w:w="1001" w:type="pct"/>
            <w:vAlign w:val="center"/>
          </w:tcPr>
          <w:p w14:paraId="793A4F57">
            <w:pPr>
              <w:pStyle w:val="43"/>
              <w:bidi w:val="0"/>
              <w:rPr>
                <w:color w:val="auto"/>
                <w:highlight w:val="none"/>
              </w:rPr>
            </w:pPr>
            <w:r>
              <w:rPr>
                <w:rFonts w:hint="eastAsia"/>
                <w:color w:val="auto"/>
                <w:highlight w:val="none"/>
              </w:rPr>
              <w:t>比热容</w:t>
            </w:r>
          </w:p>
          <w:p w14:paraId="586FB693">
            <w:pPr>
              <w:pStyle w:val="43"/>
              <w:bidi w:val="0"/>
              <w:rPr>
                <w:color w:val="auto"/>
                <w:highlight w:val="none"/>
              </w:rPr>
            </w:pPr>
            <w:r>
              <w:rPr>
                <w:rFonts w:hint="eastAsia"/>
                <w:color w:val="auto"/>
                <w:highlight w:val="none"/>
              </w:rPr>
              <w:t>[kJ/</w:t>
            </w:r>
            <w:r>
              <w:rPr>
                <w:rFonts w:hint="eastAsia"/>
                <w:color w:val="auto"/>
                <w:highlight w:val="none"/>
                <w:lang w:eastAsia="zh-CN"/>
              </w:rPr>
              <w:t>（</w:t>
            </w:r>
            <w:r>
              <w:rPr>
                <w:rFonts w:hint="eastAsia"/>
                <w:color w:val="auto"/>
                <w:highlight w:val="none"/>
              </w:rPr>
              <w:t>kg·K</w:t>
            </w:r>
            <w:r>
              <w:rPr>
                <w:rFonts w:hint="eastAsia"/>
                <w:color w:val="auto"/>
                <w:highlight w:val="none"/>
                <w:lang w:eastAsia="zh-CN"/>
              </w:rPr>
              <w:t>）</w:t>
            </w:r>
            <w:r>
              <w:rPr>
                <w:rFonts w:hint="eastAsia"/>
                <w:color w:val="auto"/>
                <w:highlight w:val="none"/>
              </w:rPr>
              <w:t>]</w:t>
            </w:r>
          </w:p>
        </w:tc>
      </w:tr>
      <w:tr w14:paraId="059A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pct"/>
            <w:vAlign w:val="center"/>
          </w:tcPr>
          <w:p w14:paraId="317A5B2D">
            <w:pPr>
              <w:pStyle w:val="43"/>
              <w:bidi w:val="0"/>
              <w:rPr>
                <w:color w:val="auto"/>
                <w:highlight w:val="none"/>
              </w:rPr>
            </w:pPr>
            <w:r>
              <w:rPr>
                <w:rFonts w:hint="eastAsia"/>
                <w:color w:val="auto"/>
                <w:highlight w:val="none"/>
              </w:rPr>
              <w:t>橡木、枫树</w:t>
            </w:r>
          </w:p>
          <w:p w14:paraId="6DBE4546">
            <w:pPr>
              <w:pStyle w:val="43"/>
              <w:bidi w:val="0"/>
              <w:rPr>
                <w:color w:val="auto"/>
                <w:highlight w:val="none"/>
              </w:rPr>
            </w:pPr>
            <w:r>
              <w:rPr>
                <w:rFonts w:hint="eastAsia"/>
                <w:color w:val="auto"/>
                <w:highlight w:val="none"/>
              </w:rPr>
              <w:t>（热流方向垂直木纹）</w:t>
            </w:r>
          </w:p>
        </w:tc>
        <w:tc>
          <w:tcPr>
            <w:tcW w:w="823" w:type="pct"/>
            <w:vAlign w:val="center"/>
          </w:tcPr>
          <w:p w14:paraId="65288E6F">
            <w:pPr>
              <w:pStyle w:val="43"/>
              <w:bidi w:val="0"/>
              <w:rPr>
                <w:color w:val="auto"/>
                <w:highlight w:val="none"/>
              </w:rPr>
            </w:pPr>
            <w:r>
              <w:rPr>
                <w:rFonts w:hint="eastAsia"/>
                <w:color w:val="auto"/>
                <w:highlight w:val="none"/>
              </w:rPr>
              <w:t>700</w:t>
            </w:r>
          </w:p>
        </w:tc>
        <w:tc>
          <w:tcPr>
            <w:tcW w:w="820" w:type="pct"/>
            <w:vAlign w:val="center"/>
          </w:tcPr>
          <w:p w14:paraId="10F8B804">
            <w:pPr>
              <w:pStyle w:val="43"/>
              <w:bidi w:val="0"/>
              <w:rPr>
                <w:color w:val="auto"/>
                <w:highlight w:val="none"/>
              </w:rPr>
            </w:pPr>
            <w:r>
              <w:rPr>
                <w:rFonts w:hint="eastAsia"/>
                <w:color w:val="auto"/>
                <w:highlight w:val="none"/>
              </w:rPr>
              <w:t>0.17</w:t>
            </w:r>
          </w:p>
        </w:tc>
        <w:tc>
          <w:tcPr>
            <w:tcW w:w="1000" w:type="pct"/>
            <w:vAlign w:val="center"/>
          </w:tcPr>
          <w:p w14:paraId="0884A1A2">
            <w:pPr>
              <w:pStyle w:val="43"/>
              <w:bidi w:val="0"/>
              <w:rPr>
                <w:color w:val="auto"/>
                <w:highlight w:val="none"/>
              </w:rPr>
            </w:pPr>
            <w:r>
              <w:rPr>
                <w:rFonts w:hint="eastAsia"/>
                <w:color w:val="auto"/>
                <w:highlight w:val="none"/>
              </w:rPr>
              <w:t>4.90</w:t>
            </w:r>
          </w:p>
        </w:tc>
        <w:tc>
          <w:tcPr>
            <w:tcW w:w="1001" w:type="pct"/>
            <w:vAlign w:val="center"/>
          </w:tcPr>
          <w:p w14:paraId="15411EBD">
            <w:pPr>
              <w:pStyle w:val="43"/>
              <w:bidi w:val="0"/>
              <w:rPr>
                <w:color w:val="auto"/>
                <w:highlight w:val="none"/>
              </w:rPr>
            </w:pPr>
            <w:r>
              <w:rPr>
                <w:rFonts w:hint="eastAsia"/>
                <w:color w:val="auto"/>
                <w:highlight w:val="none"/>
              </w:rPr>
              <w:t>2.51</w:t>
            </w:r>
          </w:p>
        </w:tc>
      </w:tr>
      <w:tr w14:paraId="3971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pct"/>
            <w:vAlign w:val="center"/>
          </w:tcPr>
          <w:p w14:paraId="50FFCCA3">
            <w:pPr>
              <w:pStyle w:val="43"/>
              <w:bidi w:val="0"/>
              <w:rPr>
                <w:color w:val="auto"/>
                <w:highlight w:val="none"/>
              </w:rPr>
            </w:pPr>
            <w:r>
              <w:rPr>
                <w:rFonts w:hint="eastAsia"/>
                <w:color w:val="auto"/>
                <w:highlight w:val="none"/>
              </w:rPr>
              <w:t>橡木、枫树</w:t>
            </w:r>
          </w:p>
          <w:p w14:paraId="345D3FDE">
            <w:pPr>
              <w:pStyle w:val="43"/>
              <w:bidi w:val="0"/>
              <w:rPr>
                <w:color w:val="auto"/>
                <w:highlight w:val="none"/>
              </w:rPr>
            </w:pPr>
            <w:r>
              <w:rPr>
                <w:rFonts w:hint="eastAsia"/>
                <w:color w:val="auto"/>
                <w:highlight w:val="none"/>
              </w:rPr>
              <w:t>（热流方向顺木纹）</w:t>
            </w:r>
          </w:p>
        </w:tc>
        <w:tc>
          <w:tcPr>
            <w:tcW w:w="823" w:type="pct"/>
            <w:vAlign w:val="center"/>
          </w:tcPr>
          <w:p w14:paraId="0666F010">
            <w:pPr>
              <w:pStyle w:val="43"/>
              <w:bidi w:val="0"/>
              <w:rPr>
                <w:color w:val="auto"/>
                <w:highlight w:val="none"/>
              </w:rPr>
            </w:pPr>
            <w:r>
              <w:rPr>
                <w:rFonts w:hint="eastAsia"/>
                <w:color w:val="auto"/>
                <w:highlight w:val="none"/>
              </w:rPr>
              <w:t>700</w:t>
            </w:r>
          </w:p>
        </w:tc>
        <w:tc>
          <w:tcPr>
            <w:tcW w:w="820" w:type="pct"/>
            <w:vAlign w:val="center"/>
          </w:tcPr>
          <w:p w14:paraId="50B5C5F6">
            <w:pPr>
              <w:pStyle w:val="43"/>
              <w:bidi w:val="0"/>
              <w:rPr>
                <w:color w:val="auto"/>
                <w:highlight w:val="none"/>
              </w:rPr>
            </w:pPr>
            <w:r>
              <w:rPr>
                <w:rFonts w:hint="eastAsia"/>
                <w:color w:val="auto"/>
                <w:highlight w:val="none"/>
              </w:rPr>
              <w:t>0.35</w:t>
            </w:r>
          </w:p>
        </w:tc>
        <w:tc>
          <w:tcPr>
            <w:tcW w:w="1000" w:type="pct"/>
            <w:vAlign w:val="center"/>
          </w:tcPr>
          <w:p w14:paraId="0AE497AD">
            <w:pPr>
              <w:pStyle w:val="43"/>
              <w:bidi w:val="0"/>
              <w:rPr>
                <w:color w:val="auto"/>
                <w:highlight w:val="none"/>
              </w:rPr>
            </w:pPr>
            <w:r>
              <w:rPr>
                <w:rFonts w:hint="eastAsia"/>
                <w:color w:val="auto"/>
                <w:highlight w:val="none"/>
              </w:rPr>
              <w:t>6.93</w:t>
            </w:r>
          </w:p>
        </w:tc>
        <w:tc>
          <w:tcPr>
            <w:tcW w:w="1001" w:type="pct"/>
            <w:vAlign w:val="center"/>
          </w:tcPr>
          <w:p w14:paraId="4D212EDA">
            <w:pPr>
              <w:pStyle w:val="43"/>
              <w:bidi w:val="0"/>
              <w:rPr>
                <w:color w:val="auto"/>
                <w:highlight w:val="none"/>
              </w:rPr>
            </w:pPr>
            <w:r>
              <w:rPr>
                <w:rFonts w:hint="eastAsia"/>
                <w:color w:val="auto"/>
                <w:highlight w:val="none"/>
              </w:rPr>
              <w:t>2.51</w:t>
            </w:r>
          </w:p>
        </w:tc>
      </w:tr>
      <w:tr w14:paraId="35F5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pct"/>
            <w:vAlign w:val="center"/>
          </w:tcPr>
          <w:p w14:paraId="30122C7F">
            <w:pPr>
              <w:pStyle w:val="43"/>
              <w:bidi w:val="0"/>
              <w:rPr>
                <w:color w:val="auto"/>
                <w:highlight w:val="none"/>
              </w:rPr>
            </w:pPr>
            <w:r>
              <w:rPr>
                <w:rFonts w:hint="eastAsia"/>
                <w:color w:val="auto"/>
                <w:highlight w:val="none"/>
              </w:rPr>
              <w:t>松木、云杉</w:t>
            </w:r>
          </w:p>
          <w:p w14:paraId="6C0101A9">
            <w:pPr>
              <w:pStyle w:val="43"/>
              <w:bidi w:val="0"/>
              <w:rPr>
                <w:color w:val="auto"/>
                <w:highlight w:val="none"/>
              </w:rPr>
            </w:pPr>
            <w:r>
              <w:rPr>
                <w:rFonts w:hint="eastAsia"/>
                <w:color w:val="auto"/>
                <w:highlight w:val="none"/>
              </w:rPr>
              <w:t>（热流方向垂直木纹）</w:t>
            </w:r>
          </w:p>
        </w:tc>
        <w:tc>
          <w:tcPr>
            <w:tcW w:w="823" w:type="pct"/>
            <w:vAlign w:val="center"/>
          </w:tcPr>
          <w:p w14:paraId="6E92A494">
            <w:pPr>
              <w:pStyle w:val="43"/>
              <w:bidi w:val="0"/>
              <w:rPr>
                <w:color w:val="auto"/>
                <w:highlight w:val="none"/>
              </w:rPr>
            </w:pPr>
            <w:r>
              <w:rPr>
                <w:rFonts w:hint="eastAsia"/>
                <w:color w:val="auto"/>
                <w:highlight w:val="none"/>
              </w:rPr>
              <w:t>500</w:t>
            </w:r>
          </w:p>
        </w:tc>
        <w:tc>
          <w:tcPr>
            <w:tcW w:w="820" w:type="pct"/>
            <w:vAlign w:val="center"/>
          </w:tcPr>
          <w:p w14:paraId="27362515">
            <w:pPr>
              <w:pStyle w:val="43"/>
              <w:bidi w:val="0"/>
              <w:rPr>
                <w:color w:val="auto"/>
                <w:highlight w:val="none"/>
              </w:rPr>
            </w:pPr>
            <w:r>
              <w:rPr>
                <w:rFonts w:hint="eastAsia"/>
                <w:color w:val="auto"/>
                <w:highlight w:val="none"/>
              </w:rPr>
              <w:t>0.14</w:t>
            </w:r>
          </w:p>
        </w:tc>
        <w:tc>
          <w:tcPr>
            <w:tcW w:w="1000" w:type="pct"/>
            <w:vAlign w:val="center"/>
          </w:tcPr>
          <w:p w14:paraId="0D76648A">
            <w:pPr>
              <w:pStyle w:val="43"/>
              <w:bidi w:val="0"/>
              <w:rPr>
                <w:color w:val="auto"/>
                <w:highlight w:val="none"/>
              </w:rPr>
            </w:pPr>
            <w:r>
              <w:rPr>
                <w:rFonts w:hint="eastAsia"/>
                <w:color w:val="auto"/>
                <w:highlight w:val="none"/>
              </w:rPr>
              <w:t>3.85</w:t>
            </w:r>
          </w:p>
        </w:tc>
        <w:tc>
          <w:tcPr>
            <w:tcW w:w="1001" w:type="pct"/>
            <w:vAlign w:val="center"/>
          </w:tcPr>
          <w:p w14:paraId="6C6E5193">
            <w:pPr>
              <w:pStyle w:val="43"/>
              <w:bidi w:val="0"/>
              <w:rPr>
                <w:color w:val="auto"/>
                <w:highlight w:val="none"/>
              </w:rPr>
            </w:pPr>
            <w:r>
              <w:rPr>
                <w:rFonts w:hint="eastAsia"/>
                <w:color w:val="auto"/>
                <w:highlight w:val="none"/>
              </w:rPr>
              <w:t>2.51</w:t>
            </w:r>
          </w:p>
        </w:tc>
      </w:tr>
      <w:tr w14:paraId="7FBB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pct"/>
            <w:vAlign w:val="center"/>
          </w:tcPr>
          <w:p w14:paraId="1809604D">
            <w:pPr>
              <w:pStyle w:val="43"/>
              <w:bidi w:val="0"/>
              <w:rPr>
                <w:color w:val="auto"/>
                <w:highlight w:val="none"/>
              </w:rPr>
            </w:pPr>
            <w:r>
              <w:rPr>
                <w:rFonts w:hint="eastAsia"/>
                <w:color w:val="auto"/>
                <w:highlight w:val="none"/>
              </w:rPr>
              <w:t>松木、云杉</w:t>
            </w:r>
          </w:p>
          <w:p w14:paraId="2054C4D2">
            <w:pPr>
              <w:pStyle w:val="43"/>
              <w:bidi w:val="0"/>
              <w:rPr>
                <w:color w:val="auto"/>
                <w:highlight w:val="none"/>
              </w:rPr>
            </w:pPr>
            <w:r>
              <w:rPr>
                <w:rFonts w:hint="eastAsia"/>
                <w:color w:val="auto"/>
                <w:highlight w:val="none"/>
              </w:rPr>
              <w:t>（热流方向顺木纹）</w:t>
            </w:r>
          </w:p>
        </w:tc>
        <w:tc>
          <w:tcPr>
            <w:tcW w:w="823" w:type="pct"/>
            <w:vAlign w:val="center"/>
          </w:tcPr>
          <w:p w14:paraId="508D8635">
            <w:pPr>
              <w:pStyle w:val="43"/>
              <w:bidi w:val="0"/>
              <w:rPr>
                <w:color w:val="auto"/>
                <w:highlight w:val="none"/>
              </w:rPr>
            </w:pPr>
            <w:r>
              <w:rPr>
                <w:rFonts w:hint="eastAsia"/>
                <w:color w:val="auto"/>
                <w:highlight w:val="none"/>
              </w:rPr>
              <w:t>500</w:t>
            </w:r>
          </w:p>
        </w:tc>
        <w:tc>
          <w:tcPr>
            <w:tcW w:w="820" w:type="pct"/>
            <w:vAlign w:val="center"/>
          </w:tcPr>
          <w:p w14:paraId="11165DC0">
            <w:pPr>
              <w:pStyle w:val="43"/>
              <w:bidi w:val="0"/>
              <w:rPr>
                <w:color w:val="auto"/>
                <w:highlight w:val="none"/>
              </w:rPr>
            </w:pPr>
            <w:r>
              <w:rPr>
                <w:rFonts w:hint="eastAsia"/>
                <w:color w:val="auto"/>
                <w:highlight w:val="none"/>
              </w:rPr>
              <w:t>0.29</w:t>
            </w:r>
          </w:p>
        </w:tc>
        <w:tc>
          <w:tcPr>
            <w:tcW w:w="1000" w:type="pct"/>
            <w:vAlign w:val="center"/>
          </w:tcPr>
          <w:p w14:paraId="627DDB1F">
            <w:pPr>
              <w:pStyle w:val="43"/>
              <w:bidi w:val="0"/>
              <w:rPr>
                <w:color w:val="auto"/>
                <w:highlight w:val="none"/>
              </w:rPr>
            </w:pPr>
            <w:r>
              <w:rPr>
                <w:rFonts w:hint="eastAsia"/>
                <w:color w:val="auto"/>
                <w:highlight w:val="none"/>
              </w:rPr>
              <w:t>5.55</w:t>
            </w:r>
          </w:p>
        </w:tc>
        <w:tc>
          <w:tcPr>
            <w:tcW w:w="1001" w:type="pct"/>
            <w:vAlign w:val="center"/>
          </w:tcPr>
          <w:p w14:paraId="6C25A8C0">
            <w:pPr>
              <w:pStyle w:val="43"/>
              <w:bidi w:val="0"/>
              <w:rPr>
                <w:color w:val="auto"/>
                <w:highlight w:val="none"/>
              </w:rPr>
            </w:pPr>
            <w:r>
              <w:rPr>
                <w:rFonts w:hint="eastAsia"/>
                <w:color w:val="auto"/>
                <w:highlight w:val="none"/>
              </w:rPr>
              <w:t>2.51</w:t>
            </w:r>
          </w:p>
        </w:tc>
      </w:tr>
    </w:tbl>
    <w:p w14:paraId="5A216903">
      <w:pPr>
        <w:pStyle w:val="4"/>
        <w:rPr>
          <w:color w:val="auto"/>
          <w:highlight w:val="none"/>
        </w:rPr>
      </w:pPr>
      <w:r>
        <w:rPr>
          <w:rFonts w:hint="eastAsia"/>
          <w:b/>
          <w:bCs/>
          <w:color w:val="auto"/>
          <w:highlight w:val="none"/>
          <w:lang w:val="en-US" w:eastAsia="zh-CN"/>
        </w:rPr>
        <w:t>B</w:t>
      </w:r>
      <w:r>
        <w:rPr>
          <w:rFonts w:hint="eastAsia"/>
          <w:b/>
          <w:bCs/>
          <w:color w:val="auto"/>
          <w:highlight w:val="none"/>
        </w:rPr>
        <w:t>.</w:t>
      </w:r>
      <w:r>
        <w:rPr>
          <w:rFonts w:hint="eastAsia"/>
          <w:b/>
          <w:bCs/>
          <w:color w:val="auto"/>
          <w:highlight w:val="none"/>
          <w:lang w:val="en-US" w:eastAsia="zh-CN"/>
        </w:rPr>
        <w:t>0</w:t>
      </w:r>
      <w:r>
        <w:rPr>
          <w:rFonts w:hint="eastAsia"/>
          <w:b/>
          <w:bCs/>
          <w:color w:val="auto"/>
          <w:highlight w:val="none"/>
        </w:rPr>
        <w:t>.2</w:t>
      </w:r>
      <w:r>
        <w:rPr>
          <w:rFonts w:hint="eastAsia"/>
          <w:b/>
          <w:bCs/>
          <w:color w:val="auto"/>
          <w:highlight w:val="none"/>
          <w:lang w:eastAsia="zh-CN"/>
        </w:rPr>
        <w:t xml:space="preserve">  </w:t>
      </w:r>
      <w:r>
        <w:rPr>
          <w:rFonts w:hint="eastAsia"/>
          <w:color w:val="auto"/>
          <w:highlight w:val="none"/>
        </w:rPr>
        <w:t>广西</w:t>
      </w:r>
      <w:r>
        <w:rPr>
          <w:rFonts w:hint="eastAsia"/>
          <w:color w:val="auto"/>
          <w:highlight w:val="none"/>
          <w:lang w:val="en-US" w:eastAsia="zh-CN"/>
        </w:rPr>
        <w:t>常见</w:t>
      </w:r>
      <w:r>
        <w:rPr>
          <w:rFonts w:hint="eastAsia"/>
          <w:color w:val="auto"/>
          <w:highlight w:val="none"/>
        </w:rPr>
        <w:t>适用于木结构建筑用板材的热工性能可按</w:t>
      </w:r>
      <w:r>
        <w:rPr>
          <w:rFonts w:hint="eastAsia"/>
          <w:color w:val="auto"/>
          <w:highlight w:val="none"/>
          <w:lang w:eastAsia="zh-CN"/>
        </w:rPr>
        <w:t>表</w:t>
      </w:r>
      <w:r>
        <w:rPr>
          <w:rFonts w:hint="eastAsia"/>
          <w:color w:val="auto"/>
          <w:highlight w:val="none"/>
          <w:lang w:val="en-US" w:eastAsia="zh-CN"/>
        </w:rPr>
        <w:t>B</w:t>
      </w:r>
      <w:r>
        <w:rPr>
          <w:rFonts w:hint="eastAsia"/>
          <w:color w:val="auto"/>
          <w:highlight w:val="none"/>
        </w:rPr>
        <w:t>.1.2</w:t>
      </w:r>
      <w:r>
        <w:rPr>
          <w:rFonts w:hint="eastAsia"/>
          <w:color w:val="auto"/>
          <w:highlight w:val="none"/>
          <w:lang w:eastAsia="zh-CN"/>
        </w:rPr>
        <w:t xml:space="preserve"> </w:t>
      </w:r>
      <w:r>
        <w:rPr>
          <w:rFonts w:hint="eastAsia"/>
          <w:color w:val="auto"/>
          <w:highlight w:val="none"/>
        </w:rPr>
        <w:t>取值。</w:t>
      </w:r>
    </w:p>
    <w:p w14:paraId="5FFCFF65">
      <w:pPr>
        <w:pStyle w:val="40"/>
        <w:bidi w:val="0"/>
        <w:rPr>
          <w:color w:val="auto"/>
          <w:highlight w:val="none"/>
        </w:rPr>
      </w:pPr>
      <w:r>
        <w:rPr>
          <w:rFonts w:hint="eastAsia"/>
          <w:color w:val="auto"/>
          <w:highlight w:val="none"/>
        </w:rPr>
        <w:t>表</w:t>
      </w:r>
      <w:r>
        <w:rPr>
          <w:rFonts w:hint="eastAsia"/>
          <w:color w:val="auto"/>
          <w:highlight w:val="none"/>
          <w:lang w:val="en-US" w:eastAsia="zh-CN"/>
        </w:rPr>
        <w:t>B</w:t>
      </w:r>
      <w:r>
        <w:rPr>
          <w:rFonts w:hint="eastAsia"/>
          <w:color w:val="auto"/>
          <w:highlight w:val="none"/>
        </w:rPr>
        <w:t>.1.2</w:t>
      </w:r>
      <w:r>
        <w:rPr>
          <w:rFonts w:hint="eastAsia"/>
          <w:color w:val="auto"/>
          <w:highlight w:val="none"/>
          <w:lang w:eastAsia="zh-CN"/>
        </w:rPr>
        <w:t xml:space="preserve">  </w:t>
      </w:r>
      <w:r>
        <w:rPr>
          <w:rFonts w:hint="eastAsia"/>
          <w:color w:val="auto"/>
          <w:highlight w:val="none"/>
        </w:rPr>
        <w:t>板材热工性能参数</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519"/>
        <w:gridCol w:w="2521"/>
        <w:gridCol w:w="2521"/>
      </w:tblGrid>
      <w:tr w14:paraId="246F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3C5CBEE6">
            <w:pPr>
              <w:pStyle w:val="43"/>
              <w:bidi w:val="0"/>
              <w:rPr>
                <w:color w:val="auto"/>
                <w:highlight w:val="none"/>
              </w:rPr>
            </w:pPr>
            <w:r>
              <w:rPr>
                <w:rFonts w:hint="eastAsia"/>
                <w:color w:val="auto"/>
                <w:highlight w:val="none"/>
              </w:rPr>
              <w:t>材料名称</w:t>
            </w:r>
          </w:p>
        </w:tc>
        <w:tc>
          <w:tcPr>
            <w:tcW w:w="1249" w:type="pct"/>
            <w:vAlign w:val="center"/>
          </w:tcPr>
          <w:p w14:paraId="06A87876">
            <w:pPr>
              <w:pStyle w:val="43"/>
              <w:bidi w:val="0"/>
              <w:rPr>
                <w:color w:val="auto"/>
                <w:highlight w:val="none"/>
              </w:rPr>
            </w:pPr>
            <w:r>
              <w:rPr>
                <w:rFonts w:hint="eastAsia"/>
                <w:color w:val="auto"/>
                <w:highlight w:val="none"/>
              </w:rPr>
              <w:t>干密度</w:t>
            </w:r>
          </w:p>
          <w:p w14:paraId="444AF56F">
            <w:pPr>
              <w:pStyle w:val="43"/>
              <w:bidi w:val="0"/>
              <w:rPr>
                <w:color w:val="auto"/>
                <w:highlight w:val="none"/>
              </w:rPr>
            </w:pPr>
            <w:r>
              <w:rPr>
                <w:rFonts w:hint="eastAsia"/>
                <w:color w:val="auto"/>
                <w:highlight w:val="none"/>
              </w:rPr>
              <w:t>（kg/m</w:t>
            </w:r>
            <w:r>
              <w:rPr>
                <w:rFonts w:hint="eastAsia"/>
                <w:color w:val="auto"/>
                <w:highlight w:val="none"/>
                <w:vertAlign w:val="superscript"/>
              </w:rPr>
              <w:t>3</w:t>
            </w:r>
            <w:r>
              <w:rPr>
                <w:rFonts w:hint="eastAsia"/>
                <w:color w:val="auto"/>
                <w:highlight w:val="none"/>
              </w:rPr>
              <w:t>）</w:t>
            </w:r>
          </w:p>
        </w:tc>
        <w:tc>
          <w:tcPr>
            <w:tcW w:w="1250" w:type="pct"/>
            <w:vAlign w:val="center"/>
          </w:tcPr>
          <w:p w14:paraId="58CB83B8">
            <w:pPr>
              <w:pStyle w:val="43"/>
              <w:bidi w:val="0"/>
              <w:rPr>
                <w:color w:val="auto"/>
                <w:highlight w:val="none"/>
              </w:rPr>
            </w:pPr>
            <w:r>
              <w:rPr>
                <w:rFonts w:hint="eastAsia"/>
                <w:color w:val="auto"/>
                <w:highlight w:val="none"/>
              </w:rPr>
              <w:t>导热系数[W/</w:t>
            </w:r>
            <w:r>
              <w:rPr>
                <w:rFonts w:hint="eastAsia"/>
                <w:color w:val="auto"/>
                <w:highlight w:val="none"/>
                <w:lang w:eastAsia="zh-CN"/>
              </w:rPr>
              <w:t>（</w:t>
            </w:r>
            <w:r>
              <w:rPr>
                <w:rFonts w:hint="eastAsia"/>
                <w:color w:val="auto"/>
                <w:highlight w:val="none"/>
              </w:rPr>
              <w:t>m</w:t>
            </w:r>
            <w:r>
              <w:rPr>
                <w:rFonts w:hint="eastAsia"/>
                <w:color w:val="auto"/>
                <w:highlight w:val="none"/>
                <w:vertAlign w:val="superscript"/>
                <w:lang w:val="en-US" w:eastAsia="zh-CN"/>
              </w:rPr>
              <w:t>2</w:t>
            </w:r>
            <w:r>
              <w:rPr>
                <w:rFonts w:hint="eastAsia"/>
                <w:color w:val="auto"/>
                <w:highlight w:val="none"/>
              </w:rPr>
              <w:t>·K</w:t>
            </w:r>
            <w:r>
              <w:rPr>
                <w:rFonts w:hint="eastAsia"/>
                <w:color w:val="auto"/>
                <w:highlight w:val="none"/>
                <w:lang w:eastAsia="zh-CN"/>
              </w:rPr>
              <w:t>）</w:t>
            </w:r>
            <w:r>
              <w:rPr>
                <w:rFonts w:hint="eastAsia"/>
                <w:color w:val="auto"/>
                <w:highlight w:val="none"/>
              </w:rPr>
              <w:t>]</w:t>
            </w:r>
          </w:p>
        </w:tc>
        <w:tc>
          <w:tcPr>
            <w:tcW w:w="1250" w:type="pct"/>
            <w:vAlign w:val="center"/>
          </w:tcPr>
          <w:p w14:paraId="0BD7FD0B">
            <w:pPr>
              <w:pStyle w:val="43"/>
              <w:bidi w:val="0"/>
              <w:rPr>
                <w:color w:val="auto"/>
                <w:highlight w:val="none"/>
              </w:rPr>
            </w:pPr>
            <w:r>
              <w:rPr>
                <w:rFonts w:hint="eastAsia"/>
                <w:color w:val="auto"/>
                <w:highlight w:val="none"/>
              </w:rPr>
              <w:t>蓄热系数</w:t>
            </w:r>
          </w:p>
          <w:p w14:paraId="3F5612C8">
            <w:pPr>
              <w:pStyle w:val="43"/>
              <w:bidi w:val="0"/>
              <w:rPr>
                <w:color w:val="auto"/>
                <w:highlight w:val="none"/>
              </w:rPr>
            </w:pPr>
            <w:r>
              <w:rPr>
                <w:rFonts w:hint="eastAsia"/>
                <w:color w:val="auto"/>
                <w:highlight w:val="none"/>
              </w:rPr>
              <w:t>（周期24h）[W/</w:t>
            </w:r>
            <w:r>
              <w:rPr>
                <w:rFonts w:hint="eastAsia"/>
                <w:color w:val="auto"/>
                <w:highlight w:val="none"/>
                <w:lang w:eastAsia="zh-CN"/>
              </w:rPr>
              <w:t>（</w:t>
            </w:r>
            <w:r>
              <w:rPr>
                <w:rFonts w:hint="eastAsia"/>
                <w:color w:val="auto"/>
                <w:highlight w:val="none"/>
              </w:rPr>
              <w:t>m</w:t>
            </w:r>
            <w:r>
              <w:rPr>
                <w:rFonts w:hint="eastAsia"/>
                <w:color w:val="auto"/>
                <w:highlight w:val="none"/>
                <w:vertAlign w:val="superscript"/>
                <w:lang w:val="en-US" w:eastAsia="zh-CN"/>
              </w:rPr>
              <w:t>2</w:t>
            </w:r>
            <w:r>
              <w:rPr>
                <w:rFonts w:hint="eastAsia"/>
                <w:color w:val="auto"/>
                <w:highlight w:val="none"/>
              </w:rPr>
              <w:t>·K</w:t>
            </w:r>
            <w:r>
              <w:rPr>
                <w:rFonts w:hint="eastAsia"/>
                <w:color w:val="auto"/>
                <w:highlight w:val="none"/>
                <w:lang w:eastAsia="zh-CN"/>
              </w:rPr>
              <w:t>）</w:t>
            </w:r>
            <w:r>
              <w:rPr>
                <w:rFonts w:hint="eastAsia"/>
                <w:color w:val="auto"/>
                <w:highlight w:val="none"/>
              </w:rPr>
              <w:t>]</w:t>
            </w:r>
          </w:p>
        </w:tc>
      </w:tr>
      <w:tr w14:paraId="3075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1E297EC6">
            <w:pPr>
              <w:pStyle w:val="43"/>
              <w:bidi w:val="0"/>
              <w:rPr>
                <w:color w:val="auto"/>
                <w:highlight w:val="none"/>
              </w:rPr>
            </w:pPr>
            <w:r>
              <w:rPr>
                <w:rFonts w:hint="eastAsia"/>
                <w:color w:val="auto"/>
                <w:highlight w:val="none"/>
              </w:rPr>
              <w:t>胶合板</w:t>
            </w:r>
          </w:p>
        </w:tc>
        <w:tc>
          <w:tcPr>
            <w:tcW w:w="1249" w:type="pct"/>
            <w:vAlign w:val="center"/>
          </w:tcPr>
          <w:p w14:paraId="25D6A079">
            <w:pPr>
              <w:pStyle w:val="43"/>
              <w:bidi w:val="0"/>
              <w:rPr>
                <w:color w:val="auto"/>
                <w:highlight w:val="none"/>
              </w:rPr>
            </w:pPr>
            <w:r>
              <w:rPr>
                <w:rFonts w:hint="eastAsia"/>
                <w:color w:val="auto"/>
                <w:highlight w:val="none"/>
              </w:rPr>
              <w:t>600</w:t>
            </w:r>
          </w:p>
        </w:tc>
        <w:tc>
          <w:tcPr>
            <w:tcW w:w="1250" w:type="pct"/>
            <w:vAlign w:val="center"/>
          </w:tcPr>
          <w:p w14:paraId="62AC56E6">
            <w:pPr>
              <w:pStyle w:val="43"/>
              <w:bidi w:val="0"/>
              <w:rPr>
                <w:color w:val="auto"/>
                <w:highlight w:val="none"/>
              </w:rPr>
            </w:pPr>
            <w:r>
              <w:rPr>
                <w:rFonts w:hint="eastAsia"/>
                <w:color w:val="auto"/>
                <w:highlight w:val="none"/>
              </w:rPr>
              <w:t>0.17</w:t>
            </w:r>
          </w:p>
        </w:tc>
        <w:tc>
          <w:tcPr>
            <w:tcW w:w="1250" w:type="pct"/>
            <w:vAlign w:val="center"/>
          </w:tcPr>
          <w:p w14:paraId="1BE40358">
            <w:pPr>
              <w:pStyle w:val="43"/>
              <w:bidi w:val="0"/>
              <w:rPr>
                <w:color w:val="auto"/>
                <w:highlight w:val="none"/>
              </w:rPr>
            </w:pPr>
            <w:r>
              <w:rPr>
                <w:rFonts w:hint="eastAsia"/>
                <w:color w:val="auto"/>
                <w:highlight w:val="none"/>
              </w:rPr>
              <w:t>4.57</w:t>
            </w:r>
          </w:p>
        </w:tc>
      </w:tr>
      <w:tr w14:paraId="3663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restart"/>
            <w:vAlign w:val="center"/>
          </w:tcPr>
          <w:p w14:paraId="2E442E7D">
            <w:pPr>
              <w:pStyle w:val="43"/>
              <w:bidi w:val="0"/>
              <w:rPr>
                <w:color w:val="auto"/>
                <w:highlight w:val="none"/>
              </w:rPr>
            </w:pPr>
            <w:r>
              <w:rPr>
                <w:rFonts w:hint="eastAsia"/>
                <w:color w:val="auto"/>
                <w:highlight w:val="none"/>
              </w:rPr>
              <w:t>纤维板</w:t>
            </w:r>
          </w:p>
        </w:tc>
        <w:tc>
          <w:tcPr>
            <w:tcW w:w="1249" w:type="pct"/>
            <w:vAlign w:val="center"/>
          </w:tcPr>
          <w:p w14:paraId="51279642">
            <w:pPr>
              <w:pStyle w:val="43"/>
              <w:bidi w:val="0"/>
              <w:rPr>
                <w:color w:val="auto"/>
                <w:highlight w:val="none"/>
              </w:rPr>
            </w:pPr>
            <w:r>
              <w:rPr>
                <w:rFonts w:hint="eastAsia"/>
                <w:color w:val="auto"/>
                <w:highlight w:val="none"/>
              </w:rPr>
              <w:t>1000</w:t>
            </w:r>
          </w:p>
        </w:tc>
        <w:tc>
          <w:tcPr>
            <w:tcW w:w="1250" w:type="pct"/>
            <w:vAlign w:val="center"/>
          </w:tcPr>
          <w:p w14:paraId="1040570A">
            <w:pPr>
              <w:pStyle w:val="43"/>
              <w:bidi w:val="0"/>
              <w:rPr>
                <w:color w:val="auto"/>
                <w:highlight w:val="none"/>
              </w:rPr>
            </w:pPr>
            <w:r>
              <w:rPr>
                <w:rFonts w:hint="eastAsia"/>
                <w:color w:val="auto"/>
                <w:highlight w:val="none"/>
              </w:rPr>
              <w:t>0.34</w:t>
            </w:r>
          </w:p>
        </w:tc>
        <w:tc>
          <w:tcPr>
            <w:tcW w:w="1250" w:type="pct"/>
            <w:vAlign w:val="center"/>
          </w:tcPr>
          <w:p w14:paraId="610A74F4">
            <w:pPr>
              <w:pStyle w:val="43"/>
              <w:bidi w:val="0"/>
              <w:rPr>
                <w:color w:val="auto"/>
                <w:highlight w:val="none"/>
              </w:rPr>
            </w:pPr>
            <w:r>
              <w:rPr>
                <w:rFonts w:hint="eastAsia"/>
                <w:color w:val="auto"/>
                <w:highlight w:val="none"/>
              </w:rPr>
              <w:t>8.13</w:t>
            </w:r>
          </w:p>
        </w:tc>
      </w:tr>
      <w:tr w14:paraId="6FE6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vAlign w:val="center"/>
          </w:tcPr>
          <w:p w14:paraId="5108D0F6">
            <w:pPr>
              <w:pStyle w:val="43"/>
              <w:bidi w:val="0"/>
              <w:rPr>
                <w:color w:val="auto"/>
                <w:highlight w:val="none"/>
              </w:rPr>
            </w:pPr>
          </w:p>
        </w:tc>
        <w:tc>
          <w:tcPr>
            <w:tcW w:w="1249" w:type="pct"/>
            <w:vAlign w:val="center"/>
          </w:tcPr>
          <w:p w14:paraId="711497AB">
            <w:pPr>
              <w:pStyle w:val="43"/>
              <w:bidi w:val="0"/>
              <w:rPr>
                <w:color w:val="auto"/>
                <w:highlight w:val="none"/>
              </w:rPr>
            </w:pPr>
            <w:r>
              <w:rPr>
                <w:rFonts w:hint="eastAsia"/>
                <w:color w:val="auto"/>
                <w:highlight w:val="none"/>
              </w:rPr>
              <w:t>600</w:t>
            </w:r>
          </w:p>
        </w:tc>
        <w:tc>
          <w:tcPr>
            <w:tcW w:w="1250" w:type="pct"/>
            <w:vAlign w:val="center"/>
          </w:tcPr>
          <w:p w14:paraId="140F8FA8">
            <w:pPr>
              <w:pStyle w:val="43"/>
              <w:bidi w:val="0"/>
              <w:rPr>
                <w:color w:val="auto"/>
                <w:highlight w:val="none"/>
              </w:rPr>
            </w:pPr>
            <w:r>
              <w:rPr>
                <w:rFonts w:hint="eastAsia"/>
                <w:color w:val="auto"/>
                <w:highlight w:val="none"/>
              </w:rPr>
              <w:t>0.23</w:t>
            </w:r>
          </w:p>
        </w:tc>
        <w:tc>
          <w:tcPr>
            <w:tcW w:w="1250" w:type="pct"/>
            <w:vAlign w:val="center"/>
          </w:tcPr>
          <w:p w14:paraId="1499EFE7">
            <w:pPr>
              <w:pStyle w:val="43"/>
              <w:bidi w:val="0"/>
              <w:rPr>
                <w:color w:val="auto"/>
                <w:highlight w:val="none"/>
              </w:rPr>
            </w:pPr>
            <w:r>
              <w:rPr>
                <w:rFonts w:hint="eastAsia"/>
                <w:color w:val="auto"/>
                <w:highlight w:val="none"/>
              </w:rPr>
              <w:t>5.28</w:t>
            </w:r>
          </w:p>
        </w:tc>
      </w:tr>
    </w:tbl>
    <w:p w14:paraId="21868C86">
      <w:pPr>
        <w:rPr>
          <w:rFonts w:ascii="宋体" w:hAnsi="宋体"/>
          <w:color w:val="auto"/>
          <w:szCs w:val="21"/>
          <w:highlight w:val="none"/>
        </w:rPr>
      </w:pPr>
      <w:r>
        <w:rPr>
          <w:rFonts w:ascii="宋体" w:hAnsi="宋体"/>
          <w:color w:val="auto"/>
          <w:szCs w:val="21"/>
          <w:highlight w:val="none"/>
        </w:rPr>
        <w:br w:type="page"/>
      </w:r>
    </w:p>
    <w:p w14:paraId="495EFC0F">
      <w:pPr>
        <w:pStyle w:val="2"/>
        <w:spacing w:before="312"/>
        <w:rPr>
          <w:rFonts w:cs="Times New Roman"/>
          <w:color w:val="auto"/>
          <w:highlight w:val="none"/>
          <w:lang w:eastAsia="zh-CN"/>
        </w:rPr>
      </w:pPr>
      <w:bookmarkStart w:id="303" w:name="_Toc3405"/>
      <w:bookmarkStart w:id="304" w:name="_Toc14213"/>
      <w:bookmarkStart w:id="305" w:name="_Toc26966"/>
      <w:r>
        <w:rPr>
          <w:rFonts w:hint="eastAsia" w:cs="Times New Roman"/>
          <w:color w:val="auto"/>
          <w:highlight w:val="none"/>
          <w:lang w:eastAsia="zh-CN"/>
        </w:rPr>
        <w:t>附录</w:t>
      </w:r>
      <w:r>
        <w:rPr>
          <w:rFonts w:hint="eastAsia" w:cs="Times New Roman"/>
          <w:color w:val="auto"/>
          <w:highlight w:val="none"/>
          <w:lang w:val="en-US" w:eastAsia="zh-CN"/>
        </w:rPr>
        <w:t>C</w:t>
      </w:r>
      <w:r>
        <w:rPr>
          <w:rFonts w:hint="eastAsia" w:cs="Times New Roman"/>
          <w:color w:val="auto"/>
          <w:highlight w:val="none"/>
          <w:lang w:eastAsia="zh-CN"/>
        </w:rPr>
        <w:t xml:space="preserve"> </w:t>
      </w:r>
      <w:r>
        <w:rPr>
          <w:rFonts w:hint="eastAsia" w:cs="Times New Roman"/>
          <w:color w:val="auto"/>
          <w:highlight w:val="none"/>
          <w:lang w:val="en-US" w:eastAsia="zh-CN"/>
        </w:rPr>
        <w:t xml:space="preserve"> </w:t>
      </w:r>
      <w:r>
        <w:rPr>
          <w:rFonts w:hint="eastAsia" w:cs="Times New Roman"/>
          <w:color w:val="auto"/>
          <w:highlight w:val="none"/>
          <w:lang w:eastAsia="zh-CN"/>
        </w:rPr>
        <w:t>木基结构板的剪力墙抗剪强度设计值</w:t>
      </w:r>
      <w:bookmarkEnd w:id="303"/>
      <w:bookmarkEnd w:id="304"/>
      <w:bookmarkEnd w:id="305"/>
    </w:p>
    <w:p w14:paraId="5BF8AF7A">
      <w:pPr>
        <w:pStyle w:val="4"/>
        <w:rPr>
          <w:color w:val="auto"/>
          <w:highlight w:val="none"/>
          <w:lang w:eastAsia="zh-CN"/>
        </w:rPr>
      </w:pPr>
      <w:r>
        <w:rPr>
          <w:rFonts w:hint="default" w:ascii="Times New Roman" w:hAnsi="Times New Roman"/>
          <w:b/>
          <w:bCs/>
          <w:color w:val="auto"/>
          <w:highlight w:val="none"/>
          <w:lang w:val="en-US" w:eastAsia="zh-CN"/>
        </w:rPr>
        <w:t>C.</w:t>
      </w:r>
      <w:r>
        <w:rPr>
          <w:rFonts w:hint="default" w:ascii="Times New Roman" w:hAnsi="Times New Roman"/>
          <w:b/>
          <w:bCs/>
          <w:color w:val="auto"/>
          <w:highlight w:val="none"/>
          <w:lang w:eastAsia="zh-CN"/>
        </w:rPr>
        <w:t>0.1</w:t>
      </w:r>
      <w:r>
        <w:rPr>
          <w:rFonts w:hint="default" w:ascii="Times New Roman" w:hAnsi="Times New Roman"/>
          <w:b/>
          <w:bCs/>
          <w:color w:val="auto"/>
          <w:highlight w:val="none"/>
          <w:lang w:val="en-US" w:eastAsia="zh-CN"/>
        </w:rPr>
        <w:t xml:space="preserve">  </w:t>
      </w:r>
      <w:r>
        <w:rPr>
          <w:rFonts w:hint="eastAsia"/>
          <w:color w:val="auto"/>
          <w:highlight w:val="none"/>
          <w:lang w:eastAsia="zh-CN"/>
        </w:rPr>
        <w:t>单面采用木基结构板材的木框架剪力墙结构的剪力墙抗剪强度设计值和抗剪刚度应按表</w:t>
      </w:r>
      <w:r>
        <w:rPr>
          <w:rFonts w:hint="eastAsia"/>
          <w:color w:val="auto"/>
          <w:highlight w:val="none"/>
          <w:lang w:val="en-US" w:eastAsia="zh-CN"/>
        </w:rPr>
        <w:t>C.</w:t>
      </w:r>
      <w:r>
        <w:rPr>
          <w:rFonts w:hint="eastAsia"/>
          <w:color w:val="auto"/>
          <w:highlight w:val="none"/>
          <w:lang w:eastAsia="zh-CN"/>
        </w:rPr>
        <w:t>0.1的规定取值。</w:t>
      </w:r>
    </w:p>
    <w:p w14:paraId="6E70C7F7">
      <w:pPr>
        <w:pStyle w:val="40"/>
        <w:jc w:val="center"/>
        <w:rPr>
          <w:color w:val="auto"/>
          <w:highlight w:val="none"/>
          <w:lang w:eastAsia="zh-CN"/>
        </w:rPr>
      </w:pPr>
      <w:r>
        <w:rPr>
          <w:rFonts w:hint="eastAsia"/>
          <w:color w:val="auto"/>
          <w:highlight w:val="none"/>
          <w:lang w:eastAsia="zh-CN"/>
        </w:rPr>
        <w:t>表</w:t>
      </w:r>
      <w:r>
        <w:rPr>
          <w:rFonts w:hint="eastAsia"/>
          <w:color w:val="auto"/>
          <w:highlight w:val="none"/>
          <w:lang w:val="en-US" w:eastAsia="zh-CN"/>
        </w:rPr>
        <w:t>C.</w:t>
      </w:r>
      <w:r>
        <w:rPr>
          <w:rFonts w:hint="eastAsia"/>
          <w:color w:val="auto"/>
          <w:highlight w:val="none"/>
          <w:lang w:eastAsia="zh-CN"/>
        </w:rPr>
        <w:t>0</w:t>
      </w:r>
      <w:r>
        <w:rPr>
          <w:rFonts w:hint="eastAsia"/>
          <w:color w:val="auto"/>
          <w:highlight w:val="none"/>
          <w:lang w:val="en-US" w:eastAsia="zh-CN"/>
        </w:rPr>
        <w:t>.</w:t>
      </w:r>
      <w:r>
        <w:rPr>
          <w:rFonts w:hint="eastAsia"/>
          <w:color w:val="auto"/>
          <w:highlight w:val="none"/>
          <w:lang w:eastAsia="zh-CN"/>
        </w:rPr>
        <w:t xml:space="preserve">1 </w:t>
      </w:r>
      <w:r>
        <w:rPr>
          <w:rFonts w:hint="eastAsia"/>
          <w:color w:val="auto"/>
          <w:highlight w:val="none"/>
          <w:lang w:val="en-US" w:eastAsia="zh-CN"/>
        </w:rPr>
        <w:t xml:space="preserve"> </w:t>
      </w:r>
      <w:r>
        <w:rPr>
          <w:rFonts w:hint="eastAsia"/>
          <w:color w:val="auto"/>
          <w:highlight w:val="none"/>
          <w:lang w:eastAsia="zh-CN"/>
        </w:rPr>
        <w:t>木框架剪力墙抗剪强度设计值</w:t>
      </w:r>
      <w:r>
        <w:rPr>
          <w:rFonts w:hint="eastAsia"/>
          <w:i/>
          <w:iCs/>
          <w:color w:val="auto"/>
          <w:highlight w:val="none"/>
          <w:lang w:eastAsia="zh-CN"/>
        </w:rPr>
        <w:t>f</w:t>
      </w:r>
      <w:r>
        <w:rPr>
          <w:rFonts w:hint="eastAsia"/>
          <w:color w:val="auto"/>
          <w:highlight w:val="none"/>
          <w:vertAlign w:val="subscript"/>
          <w:lang w:eastAsia="zh-CN"/>
        </w:rPr>
        <w:t>vd</w:t>
      </w:r>
      <w:r>
        <w:rPr>
          <w:rFonts w:hint="eastAsia"/>
          <w:color w:val="auto"/>
          <w:highlight w:val="none"/>
          <w:lang w:eastAsia="zh-CN"/>
        </w:rPr>
        <w:t>和抗剪刚度</w:t>
      </w:r>
      <w:r>
        <w:rPr>
          <w:rFonts w:hint="eastAsia"/>
          <w:i/>
          <w:iCs/>
          <w:color w:val="auto"/>
          <w:highlight w:val="none"/>
          <w:lang w:eastAsia="zh-CN"/>
        </w:rPr>
        <w:t>K</w:t>
      </w:r>
      <w:r>
        <w:rPr>
          <w:rFonts w:hint="eastAsia"/>
          <w:i w:val="0"/>
          <w:iCs w:val="0"/>
          <w:color w:val="auto"/>
          <w:highlight w:val="none"/>
          <w:vertAlign w:val="subscript"/>
          <w:lang w:eastAsia="zh-CN"/>
        </w:rPr>
        <w:t>w</w:t>
      </w:r>
    </w:p>
    <w:tbl>
      <w:tblPr>
        <w:tblStyle w:val="17"/>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963"/>
        <w:gridCol w:w="963"/>
        <w:gridCol w:w="881"/>
        <w:gridCol w:w="881"/>
        <w:gridCol w:w="881"/>
        <w:gridCol w:w="881"/>
        <w:gridCol w:w="881"/>
        <w:gridCol w:w="881"/>
        <w:gridCol w:w="881"/>
        <w:gridCol w:w="881"/>
      </w:tblGrid>
      <w:tr w14:paraId="3DFC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restart"/>
            <w:vAlign w:val="center"/>
          </w:tcPr>
          <w:p w14:paraId="57EE2DD2">
            <w:pPr>
              <w:pStyle w:val="43"/>
              <w:jc w:val="center"/>
              <w:rPr>
                <w:color w:val="auto"/>
                <w:highlight w:val="none"/>
              </w:rPr>
            </w:pPr>
            <w:r>
              <w:rPr>
                <w:rFonts w:hint="eastAsia"/>
                <w:color w:val="auto"/>
                <w:highlight w:val="none"/>
              </w:rPr>
              <w:t>板厚度</w:t>
            </w:r>
          </w:p>
          <w:p w14:paraId="22D8278D">
            <w:pPr>
              <w:pStyle w:val="43"/>
              <w:spacing w:line="240" w:lineRule="auto"/>
              <w:jc w:val="center"/>
              <w:rPr>
                <w:rFonts w:hint="eastAsia"/>
                <w:color w:val="auto"/>
                <w:highlight w:val="none"/>
              </w:rPr>
            </w:pPr>
            <w:r>
              <w:rPr>
                <w:rFonts w:hint="eastAsia"/>
                <w:color w:val="auto"/>
                <w:highlight w:val="none"/>
              </w:rPr>
              <w:t>（</w:t>
            </w:r>
            <w:r>
              <w:rPr>
                <w:rFonts w:hint="eastAsia"/>
                <w:color w:val="auto"/>
                <w:highlight w:val="none"/>
                <w:lang w:eastAsia="zh-CN"/>
              </w:rPr>
              <w:t>mm</w:t>
            </w:r>
            <w:r>
              <w:rPr>
                <w:color w:val="auto"/>
                <w:highlight w:val="none"/>
              </w:rPr>
              <w:t>）</w:t>
            </w:r>
          </w:p>
        </w:tc>
        <w:tc>
          <w:tcPr>
            <w:tcW w:w="1926" w:type="dxa"/>
            <w:gridSpan w:val="2"/>
            <w:vMerge w:val="restart"/>
            <w:vAlign w:val="center"/>
          </w:tcPr>
          <w:p w14:paraId="59721B92">
            <w:pPr>
              <w:pStyle w:val="43"/>
              <w:spacing w:line="240" w:lineRule="auto"/>
              <w:jc w:val="center"/>
              <w:rPr>
                <w:rFonts w:hint="eastAsia"/>
                <w:color w:val="auto"/>
                <w:highlight w:val="none"/>
              </w:rPr>
            </w:pPr>
            <w:r>
              <w:rPr>
                <w:rFonts w:hint="eastAsia"/>
                <w:color w:val="auto"/>
                <w:highlight w:val="none"/>
              </w:rPr>
              <w:t>钉子尺寸</w:t>
            </w:r>
          </w:p>
        </w:tc>
        <w:tc>
          <w:tcPr>
            <w:tcW w:w="7048" w:type="dxa"/>
            <w:gridSpan w:val="8"/>
            <w:vAlign w:val="center"/>
          </w:tcPr>
          <w:p w14:paraId="09989798">
            <w:pPr>
              <w:pStyle w:val="43"/>
              <w:jc w:val="center"/>
              <w:rPr>
                <w:rFonts w:hint="eastAsia"/>
                <w:color w:val="auto"/>
                <w:highlight w:val="none"/>
              </w:rPr>
            </w:pPr>
            <w:r>
              <w:rPr>
                <w:rFonts w:hint="eastAsia"/>
                <w:color w:val="auto"/>
                <w:highlight w:val="none"/>
              </w:rPr>
              <w:t>钉间距（mm）</w:t>
            </w:r>
          </w:p>
        </w:tc>
      </w:tr>
      <w:tr w14:paraId="43F0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vAlign w:val="center"/>
          </w:tcPr>
          <w:p w14:paraId="14989D87">
            <w:pPr>
              <w:pStyle w:val="43"/>
              <w:spacing w:line="240" w:lineRule="auto"/>
              <w:jc w:val="center"/>
              <w:rPr>
                <w:rFonts w:hint="eastAsia"/>
                <w:color w:val="auto"/>
                <w:highlight w:val="none"/>
              </w:rPr>
            </w:pPr>
          </w:p>
        </w:tc>
        <w:tc>
          <w:tcPr>
            <w:tcW w:w="1926" w:type="dxa"/>
            <w:gridSpan w:val="2"/>
            <w:vMerge w:val="continue"/>
            <w:vAlign w:val="center"/>
          </w:tcPr>
          <w:p w14:paraId="3DE00A1A">
            <w:pPr>
              <w:pStyle w:val="43"/>
              <w:jc w:val="center"/>
              <w:rPr>
                <w:rFonts w:hint="eastAsia"/>
                <w:color w:val="auto"/>
                <w:highlight w:val="none"/>
              </w:rPr>
            </w:pPr>
          </w:p>
        </w:tc>
        <w:tc>
          <w:tcPr>
            <w:tcW w:w="0" w:type="auto"/>
            <w:gridSpan w:val="2"/>
            <w:vAlign w:val="center"/>
          </w:tcPr>
          <w:p w14:paraId="56F05AEA">
            <w:pPr>
              <w:pStyle w:val="43"/>
              <w:jc w:val="center"/>
              <w:rPr>
                <w:rFonts w:hint="eastAsia"/>
                <w:color w:val="auto"/>
                <w:highlight w:val="none"/>
              </w:rPr>
            </w:pPr>
            <w:r>
              <w:rPr>
                <w:rFonts w:hint="eastAsia"/>
                <w:color w:val="auto"/>
                <w:highlight w:val="none"/>
              </w:rPr>
              <w:t>150</w:t>
            </w:r>
          </w:p>
        </w:tc>
        <w:tc>
          <w:tcPr>
            <w:tcW w:w="0" w:type="auto"/>
            <w:gridSpan w:val="2"/>
            <w:vAlign w:val="center"/>
          </w:tcPr>
          <w:p w14:paraId="5DDCAA2F">
            <w:pPr>
              <w:pStyle w:val="43"/>
              <w:jc w:val="center"/>
              <w:rPr>
                <w:rFonts w:hint="eastAsia"/>
                <w:color w:val="auto"/>
                <w:highlight w:val="none"/>
              </w:rPr>
            </w:pPr>
            <w:r>
              <w:rPr>
                <w:rFonts w:hint="eastAsia"/>
                <w:color w:val="auto"/>
                <w:highlight w:val="none"/>
              </w:rPr>
              <w:t>100</w:t>
            </w:r>
          </w:p>
        </w:tc>
        <w:tc>
          <w:tcPr>
            <w:tcW w:w="0" w:type="auto"/>
            <w:gridSpan w:val="2"/>
            <w:vAlign w:val="center"/>
          </w:tcPr>
          <w:p w14:paraId="7579AB7B">
            <w:pPr>
              <w:pStyle w:val="43"/>
              <w:jc w:val="center"/>
              <w:rPr>
                <w:rFonts w:hint="eastAsia"/>
                <w:color w:val="auto"/>
                <w:highlight w:val="none"/>
              </w:rPr>
            </w:pPr>
            <w:r>
              <w:rPr>
                <w:rFonts w:hint="eastAsia"/>
                <w:color w:val="auto"/>
                <w:highlight w:val="none"/>
              </w:rPr>
              <w:t>75</w:t>
            </w:r>
          </w:p>
        </w:tc>
        <w:tc>
          <w:tcPr>
            <w:tcW w:w="1762" w:type="dxa"/>
            <w:gridSpan w:val="2"/>
            <w:vAlign w:val="center"/>
          </w:tcPr>
          <w:p w14:paraId="57B488CA">
            <w:pPr>
              <w:pStyle w:val="43"/>
              <w:jc w:val="center"/>
              <w:rPr>
                <w:rFonts w:hint="eastAsia"/>
                <w:color w:val="auto"/>
                <w:highlight w:val="none"/>
              </w:rPr>
            </w:pPr>
            <w:r>
              <w:rPr>
                <w:rFonts w:hint="eastAsia"/>
                <w:color w:val="auto"/>
                <w:highlight w:val="none"/>
              </w:rPr>
              <w:t>50</w:t>
            </w:r>
          </w:p>
        </w:tc>
      </w:tr>
      <w:tr w14:paraId="77FF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vAlign w:val="center"/>
          </w:tcPr>
          <w:p w14:paraId="00044A6A">
            <w:pPr>
              <w:pStyle w:val="43"/>
              <w:jc w:val="center"/>
              <w:rPr>
                <w:rFonts w:hint="eastAsia"/>
                <w:color w:val="auto"/>
                <w:highlight w:val="none"/>
              </w:rPr>
            </w:pPr>
          </w:p>
        </w:tc>
        <w:tc>
          <w:tcPr>
            <w:tcW w:w="963" w:type="dxa"/>
            <w:vAlign w:val="center"/>
          </w:tcPr>
          <w:p w14:paraId="3FA77523">
            <w:pPr>
              <w:pStyle w:val="43"/>
              <w:jc w:val="center"/>
              <w:rPr>
                <w:color w:val="auto"/>
                <w:highlight w:val="none"/>
              </w:rPr>
            </w:pPr>
            <w:r>
              <w:rPr>
                <w:rFonts w:hint="eastAsia"/>
                <w:color w:val="auto"/>
                <w:highlight w:val="none"/>
              </w:rPr>
              <w:t>长度</w:t>
            </w:r>
          </w:p>
          <w:p w14:paraId="16459523">
            <w:pPr>
              <w:pStyle w:val="43"/>
              <w:jc w:val="center"/>
              <w:rPr>
                <w:rFonts w:hint="eastAsia"/>
                <w:color w:val="auto"/>
                <w:highlight w:val="none"/>
              </w:rPr>
            </w:pPr>
            <w:r>
              <w:rPr>
                <w:rFonts w:hint="eastAsia"/>
                <w:color w:val="auto"/>
                <w:highlight w:val="none"/>
              </w:rPr>
              <w:t>（</w:t>
            </w:r>
            <w:r>
              <w:rPr>
                <w:rFonts w:hint="eastAsia"/>
                <w:color w:val="auto"/>
                <w:highlight w:val="none"/>
                <w:lang w:eastAsia="zh-CN"/>
              </w:rPr>
              <w:t>mm</w:t>
            </w:r>
            <w:r>
              <w:rPr>
                <w:color w:val="auto"/>
                <w:highlight w:val="none"/>
              </w:rPr>
              <w:t>）</w:t>
            </w:r>
          </w:p>
        </w:tc>
        <w:tc>
          <w:tcPr>
            <w:tcW w:w="0" w:type="auto"/>
            <w:vAlign w:val="center"/>
          </w:tcPr>
          <w:p w14:paraId="067723C1">
            <w:pPr>
              <w:pStyle w:val="43"/>
              <w:jc w:val="center"/>
              <w:rPr>
                <w:color w:val="auto"/>
                <w:highlight w:val="none"/>
              </w:rPr>
            </w:pPr>
            <w:r>
              <w:rPr>
                <w:rFonts w:hint="eastAsia"/>
                <w:color w:val="auto"/>
                <w:highlight w:val="none"/>
              </w:rPr>
              <w:t>直径</w:t>
            </w:r>
          </w:p>
          <w:p w14:paraId="23A353E5">
            <w:pPr>
              <w:pStyle w:val="43"/>
              <w:jc w:val="center"/>
              <w:rPr>
                <w:rFonts w:hint="eastAsia"/>
                <w:color w:val="auto"/>
                <w:highlight w:val="none"/>
              </w:rPr>
            </w:pPr>
            <w:r>
              <w:rPr>
                <w:rFonts w:hint="eastAsia"/>
                <w:color w:val="auto"/>
                <w:highlight w:val="none"/>
              </w:rPr>
              <w:t>（</w:t>
            </w:r>
            <w:r>
              <w:rPr>
                <w:rFonts w:hint="eastAsia"/>
                <w:color w:val="auto"/>
                <w:highlight w:val="none"/>
                <w:lang w:eastAsia="zh-CN"/>
              </w:rPr>
              <w:t>mm</w:t>
            </w:r>
            <w:r>
              <w:rPr>
                <w:color w:val="auto"/>
                <w:highlight w:val="none"/>
              </w:rPr>
              <w:t>）</w:t>
            </w:r>
          </w:p>
        </w:tc>
        <w:tc>
          <w:tcPr>
            <w:tcW w:w="0" w:type="auto"/>
            <w:vAlign w:val="center"/>
          </w:tcPr>
          <w:p w14:paraId="4BD6352F">
            <w:pPr>
              <w:pStyle w:val="43"/>
              <w:jc w:val="center"/>
              <w:rPr>
                <w:color w:val="auto"/>
                <w:highlight w:val="none"/>
              </w:rPr>
            </w:pPr>
            <w:r>
              <w:rPr>
                <w:rFonts w:hint="eastAsia"/>
                <w:color w:val="auto"/>
                <w:highlight w:val="none"/>
              </w:rPr>
              <w:t>抗剪强度</w:t>
            </w:r>
          </w:p>
          <w:p w14:paraId="73C3205E">
            <w:pPr>
              <w:pStyle w:val="43"/>
              <w:jc w:val="center"/>
              <w:rPr>
                <w:color w:val="auto"/>
                <w:highlight w:val="none"/>
              </w:rPr>
            </w:pPr>
            <w:r>
              <w:rPr>
                <w:rFonts w:hint="eastAsia"/>
                <w:color w:val="auto"/>
                <w:position w:val="-12"/>
                <w:highlight w:val="none"/>
              </w:rPr>
              <w:object>
                <v:shape id="_x0000_i1025"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25" DrawAspect="Content" ObjectID="_1468075725" r:id="rId87">
                  <o:LockedField>false</o:LockedField>
                </o:OLEObject>
              </w:object>
            </w:r>
          </w:p>
          <w:p w14:paraId="1FBD9D41">
            <w:pPr>
              <w:pStyle w:val="43"/>
              <w:jc w:val="center"/>
              <w:rPr>
                <w:rFonts w:hint="eastAsia"/>
                <w:color w:val="auto"/>
                <w:highlight w:val="none"/>
              </w:rPr>
            </w:pPr>
            <w:r>
              <w:rPr>
                <w:rFonts w:hint="eastAsia"/>
                <w:color w:val="auto"/>
                <w:highlight w:val="none"/>
              </w:rPr>
              <w:t>(KN/m)</w:t>
            </w:r>
          </w:p>
        </w:tc>
        <w:tc>
          <w:tcPr>
            <w:tcW w:w="0" w:type="auto"/>
            <w:vAlign w:val="center"/>
          </w:tcPr>
          <w:p w14:paraId="484677B1">
            <w:pPr>
              <w:pStyle w:val="43"/>
              <w:jc w:val="center"/>
              <w:rPr>
                <w:color w:val="auto"/>
                <w:highlight w:val="none"/>
              </w:rPr>
            </w:pPr>
            <w:r>
              <w:rPr>
                <w:rFonts w:hint="eastAsia"/>
                <w:color w:val="auto"/>
                <w:highlight w:val="none"/>
              </w:rPr>
              <w:t>抗剪强度</w:t>
            </w:r>
          </w:p>
          <w:p w14:paraId="526A9A2A">
            <w:pPr>
              <w:pStyle w:val="43"/>
              <w:jc w:val="center"/>
              <w:rPr>
                <w:color w:val="auto"/>
                <w:highlight w:val="none"/>
              </w:rPr>
            </w:pPr>
            <w:r>
              <w:rPr>
                <w:rFonts w:hint="eastAsia"/>
                <w:color w:val="auto"/>
                <w:position w:val="-12"/>
                <w:highlight w:val="none"/>
              </w:rPr>
              <w:object>
                <v:shape id="_x0000_i1026"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26" DrawAspect="Content" ObjectID="_1468075726" r:id="rId89">
                  <o:LockedField>false</o:LockedField>
                </o:OLEObject>
              </w:object>
            </w:r>
          </w:p>
          <w:p w14:paraId="5EA9276E">
            <w:pPr>
              <w:pStyle w:val="43"/>
              <w:jc w:val="center"/>
              <w:rPr>
                <w:rFonts w:hint="eastAsia"/>
                <w:color w:val="auto"/>
                <w:highlight w:val="none"/>
              </w:rPr>
            </w:pPr>
            <w:r>
              <w:rPr>
                <w:rFonts w:hint="eastAsia"/>
                <w:color w:val="auto"/>
                <w:highlight w:val="none"/>
              </w:rPr>
              <w:t>(KN/m)</w:t>
            </w:r>
          </w:p>
        </w:tc>
        <w:tc>
          <w:tcPr>
            <w:tcW w:w="0" w:type="auto"/>
            <w:vAlign w:val="center"/>
          </w:tcPr>
          <w:p w14:paraId="1A5A8F90">
            <w:pPr>
              <w:pStyle w:val="43"/>
              <w:jc w:val="center"/>
              <w:rPr>
                <w:color w:val="auto"/>
                <w:highlight w:val="none"/>
              </w:rPr>
            </w:pPr>
            <w:r>
              <w:rPr>
                <w:rFonts w:hint="eastAsia"/>
                <w:color w:val="auto"/>
                <w:highlight w:val="none"/>
              </w:rPr>
              <w:t>抗剪强度</w:t>
            </w:r>
          </w:p>
          <w:p w14:paraId="1F4250AB">
            <w:pPr>
              <w:pStyle w:val="43"/>
              <w:jc w:val="center"/>
              <w:rPr>
                <w:color w:val="auto"/>
                <w:highlight w:val="none"/>
              </w:rPr>
            </w:pPr>
            <w:r>
              <w:rPr>
                <w:rFonts w:hint="eastAsia"/>
                <w:color w:val="auto"/>
                <w:position w:val="-12"/>
                <w:highlight w:val="none"/>
              </w:rPr>
              <w:object>
                <v:shape id="_x0000_i1027"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27" DrawAspect="Content" ObjectID="_1468075727" r:id="rId91">
                  <o:LockedField>false</o:LockedField>
                </o:OLEObject>
              </w:object>
            </w:r>
          </w:p>
          <w:p w14:paraId="4E1D834A">
            <w:pPr>
              <w:pStyle w:val="43"/>
              <w:jc w:val="center"/>
              <w:rPr>
                <w:rFonts w:hint="eastAsia"/>
                <w:color w:val="auto"/>
                <w:highlight w:val="none"/>
              </w:rPr>
            </w:pPr>
            <w:r>
              <w:rPr>
                <w:rFonts w:hint="eastAsia"/>
                <w:color w:val="auto"/>
                <w:highlight w:val="none"/>
              </w:rPr>
              <w:t>(KN/m)</w:t>
            </w:r>
          </w:p>
        </w:tc>
        <w:tc>
          <w:tcPr>
            <w:tcW w:w="0" w:type="auto"/>
            <w:vAlign w:val="center"/>
          </w:tcPr>
          <w:p w14:paraId="5D429F8C">
            <w:pPr>
              <w:pStyle w:val="43"/>
              <w:jc w:val="center"/>
              <w:rPr>
                <w:color w:val="auto"/>
                <w:highlight w:val="none"/>
              </w:rPr>
            </w:pPr>
            <w:r>
              <w:rPr>
                <w:rFonts w:hint="eastAsia"/>
                <w:color w:val="auto"/>
                <w:highlight w:val="none"/>
              </w:rPr>
              <w:t>抗剪强度</w:t>
            </w:r>
          </w:p>
          <w:p w14:paraId="5FEFACC0">
            <w:pPr>
              <w:pStyle w:val="43"/>
              <w:jc w:val="center"/>
              <w:rPr>
                <w:color w:val="auto"/>
                <w:highlight w:val="none"/>
              </w:rPr>
            </w:pPr>
            <w:r>
              <w:rPr>
                <w:rFonts w:hint="eastAsia"/>
                <w:color w:val="auto"/>
                <w:position w:val="-12"/>
                <w:highlight w:val="none"/>
              </w:rPr>
              <w:object>
                <v:shape id="_x0000_i1028"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28" DrawAspect="Content" ObjectID="_1468075728" r:id="rId92">
                  <o:LockedField>false</o:LockedField>
                </o:OLEObject>
              </w:object>
            </w:r>
          </w:p>
          <w:p w14:paraId="08C33B5D">
            <w:pPr>
              <w:pStyle w:val="43"/>
              <w:jc w:val="center"/>
              <w:rPr>
                <w:rFonts w:hint="eastAsia"/>
                <w:color w:val="auto"/>
                <w:highlight w:val="none"/>
              </w:rPr>
            </w:pPr>
            <w:r>
              <w:rPr>
                <w:rFonts w:hint="eastAsia"/>
                <w:color w:val="auto"/>
                <w:highlight w:val="none"/>
              </w:rPr>
              <w:t>(KN/m)</w:t>
            </w:r>
          </w:p>
        </w:tc>
        <w:tc>
          <w:tcPr>
            <w:tcW w:w="0" w:type="auto"/>
            <w:vAlign w:val="center"/>
          </w:tcPr>
          <w:p w14:paraId="44C90AB1">
            <w:pPr>
              <w:pStyle w:val="43"/>
              <w:jc w:val="center"/>
              <w:rPr>
                <w:color w:val="auto"/>
                <w:highlight w:val="none"/>
              </w:rPr>
            </w:pPr>
            <w:r>
              <w:rPr>
                <w:rFonts w:hint="eastAsia"/>
                <w:color w:val="auto"/>
                <w:highlight w:val="none"/>
              </w:rPr>
              <w:t>抗剪强度</w:t>
            </w:r>
          </w:p>
          <w:p w14:paraId="6FAC1312">
            <w:pPr>
              <w:pStyle w:val="43"/>
              <w:jc w:val="center"/>
              <w:rPr>
                <w:color w:val="auto"/>
                <w:highlight w:val="none"/>
              </w:rPr>
            </w:pPr>
            <w:r>
              <w:rPr>
                <w:rFonts w:hint="eastAsia"/>
                <w:color w:val="auto"/>
                <w:position w:val="-12"/>
                <w:highlight w:val="none"/>
              </w:rPr>
              <w:object>
                <v:shape id="_x0000_i1029"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29" DrawAspect="Content" ObjectID="_1468075729" r:id="rId93">
                  <o:LockedField>false</o:LockedField>
                </o:OLEObject>
              </w:object>
            </w:r>
          </w:p>
          <w:p w14:paraId="37649386">
            <w:pPr>
              <w:pStyle w:val="43"/>
              <w:jc w:val="center"/>
              <w:rPr>
                <w:rFonts w:hint="eastAsia"/>
                <w:color w:val="auto"/>
                <w:highlight w:val="none"/>
              </w:rPr>
            </w:pPr>
            <w:r>
              <w:rPr>
                <w:rFonts w:hint="eastAsia"/>
                <w:color w:val="auto"/>
                <w:highlight w:val="none"/>
              </w:rPr>
              <w:t>(KN/m)</w:t>
            </w:r>
          </w:p>
        </w:tc>
        <w:tc>
          <w:tcPr>
            <w:tcW w:w="0" w:type="auto"/>
            <w:vAlign w:val="center"/>
          </w:tcPr>
          <w:p w14:paraId="287C4A6E">
            <w:pPr>
              <w:pStyle w:val="43"/>
              <w:jc w:val="center"/>
              <w:rPr>
                <w:color w:val="auto"/>
                <w:highlight w:val="none"/>
              </w:rPr>
            </w:pPr>
            <w:r>
              <w:rPr>
                <w:rFonts w:hint="eastAsia"/>
                <w:color w:val="auto"/>
                <w:highlight w:val="none"/>
              </w:rPr>
              <w:t>抗剪强度</w:t>
            </w:r>
          </w:p>
          <w:p w14:paraId="43403421">
            <w:pPr>
              <w:pStyle w:val="43"/>
              <w:jc w:val="center"/>
              <w:rPr>
                <w:color w:val="auto"/>
                <w:highlight w:val="none"/>
              </w:rPr>
            </w:pPr>
            <w:r>
              <w:rPr>
                <w:rFonts w:hint="eastAsia"/>
                <w:color w:val="auto"/>
                <w:position w:val="-12"/>
                <w:highlight w:val="none"/>
              </w:rPr>
              <w:object>
                <v:shape id="_x0000_i1030"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30" DrawAspect="Content" ObjectID="_1468075730" r:id="rId94">
                  <o:LockedField>false</o:LockedField>
                </o:OLEObject>
              </w:object>
            </w:r>
          </w:p>
          <w:p w14:paraId="111CAB7C">
            <w:pPr>
              <w:pStyle w:val="43"/>
              <w:jc w:val="center"/>
              <w:rPr>
                <w:rFonts w:hint="eastAsia"/>
                <w:color w:val="auto"/>
                <w:highlight w:val="none"/>
              </w:rPr>
            </w:pPr>
            <w:r>
              <w:rPr>
                <w:rFonts w:hint="eastAsia"/>
                <w:color w:val="auto"/>
                <w:highlight w:val="none"/>
              </w:rPr>
              <w:t>(KN/m)</w:t>
            </w:r>
          </w:p>
        </w:tc>
        <w:tc>
          <w:tcPr>
            <w:tcW w:w="0" w:type="auto"/>
            <w:vAlign w:val="center"/>
          </w:tcPr>
          <w:p w14:paraId="13EB7131">
            <w:pPr>
              <w:pStyle w:val="43"/>
              <w:jc w:val="center"/>
              <w:rPr>
                <w:color w:val="auto"/>
                <w:highlight w:val="none"/>
              </w:rPr>
            </w:pPr>
            <w:r>
              <w:rPr>
                <w:rFonts w:hint="eastAsia"/>
                <w:color w:val="auto"/>
                <w:highlight w:val="none"/>
              </w:rPr>
              <w:t>抗剪强度</w:t>
            </w:r>
          </w:p>
          <w:p w14:paraId="4A6220AB">
            <w:pPr>
              <w:pStyle w:val="43"/>
              <w:jc w:val="center"/>
              <w:rPr>
                <w:color w:val="auto"/>
                <w:highlight w:val="none"/>
              </w:rPr>
            </w:pPr>
            <w:r>
              <w:rPr>
                <w:rFonts w:hint="eastAsia"/>
                <w:color w:val="auto"/>
                <w:position w:val="-12"/>
                <w:highlight w:val="none"/>
              </w:rPr>
              <w:object>
                <v:shape id="_x0000_i1031"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31" DrawAspect="Content" ObjectID="_1468075731" r:id="rId95">
                  <o:LockedField>false</o:LockedField>
                </o:OLEObject>
              </w:object>
            </w:r>
          </w:p>
          <w:p w14:paraId="318C1EFB">
            <w:pPr>
              <w:pStyle w:val="43"/>
              <w:jc w:val="center"/>
              <w:rPr>
                <w:rFonts w:hint="eastAsia"/>
                <w:color w:val="auto"/>
                <w:highlight w:val="none"/>
              </w:rPr>
            </w:pPr>
            <w:r>
              <w:rPr>
                <w:rFonts w:hint="eastAsia"/>
                <w:color w:val="auto"/>
                <w:highlight w:val="none"/>
              </w:rPr>
              <w:t>(KN/m)</w:t>
            </w:r>
          </w:p>
        </w:tc>
        <w:tc>
          <w:tcPr>
            <w:tcW w:w="881" w:type="dxa"/>
            <w:vAlign w:val="center"/>
          </w:tcPr>
          <w:p w14:paraId="678D5B5F">
            <w:pPr>
              <w:pStyle w:val="43"/>
              <w:jc w:val="center"/>
              <w:rPr>
                <w:color w:val="auto"/>
                <w:highlight w:val="none"/>
              </w:rPr>
            </w:pPr>
            <w:r>
              <w:rPr>
                <w:rFonts w:hint="eastAsia"/>
                <w:color w:val="auto"/>
                <w:highlight w:val="none"/>
              </w:rPr>
              <w:t>抗剪强度</w:t>
            </w:r>
          </w:p>
          <w:p w14:paraId="34F743B3">
            <w:pPr>
              <w:pStyle w:val="43"/>
              <w:jc w:val="center"/>
              <w:rPr>
                <w:color w:val="auto"/>
                <w:highlight w:val="none"/>
              </w:rPr>
            </w:pPr>
            <w:r>
              <w:rPr>
                <w:rFonts w:hint="eastAsia"/>
                <w:color w:val="auto"/>
                <w:position w:val="-12"/>
                <w:highlight w:val="none"/>
              </w:rPr>
              <w:object>
                <v:shape id="_x0000_i1032"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32" DrawAspect="Content" ObjectID="_1468075732" r:id="rId96">
                  <o:LockedField>false</o:LockedField>
                </o:OLEObject>
              </w:object>
            </w:r>
          </w:p>
          <w:p w14:paraId="0CECEAFE">
            <w:pPr>
              <w:pStyle w:val="43"/>
              <w:jc w:val="center"/>
              <w:rPr>
                <w:rFonts w:hint="eastAsia"/>
                <w:color w:val="auto"/>
                <w:highlight w:val="none"/>
              </w:rPr>
            </w:pPr>
            <w:r>
              <w:rPr>
                <w:rFonts w:hint="eastAsia"/>
                <w:color w:val="auto"/>
                <w:highlight w:val="none"/>
              </w:rPr>
              <w:t>(KN/m)</w:t>
            </w:r>
          </w:p>
        </w:tc>
      </w:tr>
      <w:tr w14:paraId="0C88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14:paraId="2D18287B">
            <w:pPr>
              <w:pStyle w:val="43"/>
              <w:jc w:val="center"/>
              <w:rPr>
                <w:rFonts w:hint="eastAsia"/>
                <w:color w:val="auto"/>
                <w:highlight w:val="none"/>
              </w:rPr>
            </w:pPr>
            <w:r>
              <w:rPr>
                <w:rFonts w:hint="eastAsia"/>
                <w:color w:val="auto"/>
                <w:highlight w:val="none"/>
              </w:rPr>
              <w:t>9</w:t>
            </w:r>
          </w:p>
        </w:tc>
        <w:tc>
          <w:tcPr>
            <w:tcW w:w="963" w:type="dxa"/>
            <w:vAlign w:val="center"/>
          </w:tcPr>
          <w:p w14:paraId="12D5BBB2">
            <w:pPr>
              <w:pStyle w:val="43"/>
              <w:jc w:val="center"/>
              <w:rPr>
                <w:rFonts w:hint="eastAsia"/>
                <w:color w:val="auto"/>
                <w:highlight w:val="none"/>
              </w:rPr>
            </w:pPr>
            <w:r>
              <w:rPr>
                <w:rFonts w:hint="eastAsia"/>
                <w:color w:val="auto"/>
                <w:highlight w:val="none"/>
              </w:rPr>
              <w:t>50</w:t>
            </w:r>
          </w:p>
        </w:tc>
        <w:tc>
          <w:tcPr>
            <w:tcW w:w="0" w:type="auto"/>
            <w:vAlign w:val="center"/>
          </w:tcPr>
          <w:p w14:paraId="2C8E5A4E">
            <w:pPr>
              <w:pStyle w:val="43"/>
              <w:jc w:val="center"/>
              <w:rPr>
                <w:rFonts w:hint="eastAsia"/>
                <w:color w:val="auto"/>
                <w:highlight w:val="none"/>
              </w:rPr>
            </w:pPr>
            <w:r>
              <w:rPr>
                <w:rFonts w:hint="eastAsia"/>
                <w:color w:val="auto"/>
                <w:highlight w:val="none"/>
              </w:rPr>
              <w:t>2.84</w:t>
            </w:r>
          </w:p>
        </w:tc>
        <w:tc>
          <w:tcPr>
            <w:tcW w:w="0" w:type="auto"/>
            <w:vAlign w:val="center"/>
          </w:tcPr>
          <w:p w14:paraId="6C2B367A">
            <w:pPr>
              <w:pStyle w:val="43"/>
              <w:jc w:val="center"/>
              <w:rPr>
                <w:rFonts w:hint="eastAsia"/>
                <w:color w:val="auto"/>
                <w:highlight w:val="none"/>
              </w:rPr>
            </w:pPr>
            <w:r>
              <w:rPr>
                <w:rFonts w:hint="eastAsia"/>
                <w:color w:val="auto"/>
                <w:highlight w:val="none"/>
              </w:rPr>
              <w:t>5.0</w:t>
            </w:r>
          </w:p>
        </w:tc>
        <w:tc>
          <w:tcPr>
            <w:tcW w:w="0" w:type="auto"/>
            <w:vAlign w:val="center"/>
          </w:tcPr>
          <w:p w14:paraId="50D5E5D9">
            <w:pPr>
              <w:pStyle w:val="43"/>
              <w:jc w:val="center"/>
              <w:rPr>
                <w:rFonts w:hint="eastAsia"/>
                <w:color w:val="auto"/>
                <w:highlight w:val="none"/>
              </w:rPr>
            </w:pPr>
            <w:r>
              <w:rPr>
                <w:rFonts w:hint="eastAsia"/>
                <w:color w:val="auto"/>
                <w:highlight w:val="none"/>
              </w:rPr>
              <w:t>0.91</w:t>
            </w:r>
          </w:p>
        </w:tc>
        <w:tc>
          <w:tcPr>
            <w:tcW w:w="0" w:type="auto"/>
            <w:vAlign w:val="center"/>
          </w:tcPr>
          <w:p w14:paraId="38DF95AB">
            <w:pPr>
              <w:pStyle w:val="43"/>
              <w:jc w:val="center"/>
              <w:rPr>
                <w:rFonts w:hint="eastAsia"/>
                <w:color w:val="auto"/>
                <w:highlight w:val="none"/>
              </w:rPr>
            </w:pPr>
            <w:r>
              <w:rPr>
                <w:rFonts w:hint="eastAsia"/>
                <w:color w:val="auto"/>
                <w:highlight w:val="none"/>
              </w:rPr>
              <w:t>7.1</w:t>
            </w:r>
          </w:p>
        </w:tc>
        <w:tc>
          <w:tcPr>
            <w:tcW w:w="0" w:type="auto"/>
            <w:vAlign w:val="center"/>
          </w:tcPr>
          <w:p w14:paraId="747D80CF">
            <w:pPr>
              <w:pStyle w:val="43"/>
              <w:jc w:val="center"/>
              <w:rPr>
                <w:rFonts w:hint="eastAsia"/>
                <w:color w:val="auto"/>
                <w:highlight w:val="none"/>
              </w:rPr>
            </w:pPr>
            <w:r>
              <w:rPr>
                <w:rFonts w:hint="eastAsia"/>
                <w:color w:val="auto"/>
                <w:highlight w:val="none"/>
              </w:rPr>
              <w:t>1.18</w:t>
            </w:r>
          </w:p>
        </w:tc>
        <w:tc>
          <w:tcPr>
            <w:tcW w:w="0" w:type="auto"/>
            <w:vAlign w:val="center"/>
          </w:tcPr>
          <w:p w14:paraId="0DC36E2D">
            <w:pPr>
              <w:pStyle w:val="43"/>
              <w:jc w:val="center"/>
              <w:rPr>
                <w:rFonts w:hint="eastAsia"/>
                <w:color w:val="auto"/>
                <w:highlight w:val="none"/>
              </w:rPr>
            </w:pPr>
            <w:r>
              <w:rPr>
                <w:rFonts w:hint="eastAsia"/>
                <w:color w:val="auto"/>
                <w:highlight w:val="none"/>
              </w:rPr>
              <w:t>-</w:t>
            </w:r>
          </w:p>
        </w:tc>
        <w:tc>
          <w:tcPr>
            <w:tcW w:w="0" w:type="auto"/>
            <w:vAlign w:val="center"/>
          </w:tcPr>
          <w:p w14:paraId="1D667A42">
            <w:pPr>
              <w:pStyle w:val="43"/>
              <w:jc w:val="center"/>
              <w:rPr>
                <w:rFonts w:hint="eastAsia"/>
                <w:color w:val="auto"/>
                <w:highlight w:val="none"/>
              </w:rPr>
            </w:pPr>
            <w:r>
              <w:rPr>
                <w:rFonts w:hint="eastAsia"/>
                <w:color w:val="auto"/>
                <w:highlight w:val="none"/>
              </w:rPr>
              <w:t>-</w:t>
            </w:r>
          </w:p>
        </w:tc>
        <w:tc>
          <w:tcPr>
            <w:tcW w:w="0" w:type="auto"/>
            <w:vAlign w:val="center"/>
          </w:tcPr>
          <w:p w14:paraId="7F6CFB82">
            <w:pPr>
              <w:pStyle w:val="43"/>
              <w:jc w:val="center"/>
              <w:rPr>
                <w:rFonts w:hint="eastAsia"/>
                <w:color w:val="auto"/>
                <w:highlight w:val="none"/>
              </w:rPr>
            </w:pPr>
            <w:r>
              <w:rPr>
                <w:rFonts w:hint="eastAsia"/>
                <w:color w:val="auto"/>
                <w:highlight w:val="none"/>
              </w:rPr>
              <w:t>-</w:t>
            </w:r>
          </w:p>
        </w:tc>
        <w:tc>
          <w:tcPr>
            <w:tcW w:w="881" w:type="dxa"/>
            <w:vAlign w:val="center"/>
          </w:tcPr>
          <w:p w14:paraId="12F999A6">
            <w:pPr>
              <w:pStyle w:val="43"/>
              <w:jc w:val="center"/>
              <w:rPr>
                <w:rFonts w:hint="eastAsia"/>
                <w:color w:val="auto"/>
                <w:highlight w:val="none"/>
              </w:rPr>
            </w:pPr>
            <w:r>
              <w:rPr>
                <w:rFonts w:hint="eastAsia"/>
                <w:color w:val="auto"/>
                <w:highlight w:val="none"/>
              </w:rPr>
              <w:t>-</w:t>
            </w:r>
          </w:p>
        </w:tc>
      </w:tr>
      <w:tr w14:paraId="5DBB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restart"/>
            <w:vAlign w:val="center"/>
          </w:tcPr>
          <w:p w14:paraId="5F26CB9A">
            <w:pPr>
              <w:pStyle w:val="43"/>
              <w:jc w:val="center"/>
              <w:rPr>
                <w:rFonts w:hint="eastAsia"/>
                <w:color w:val="auto"/>
                <w:highlight w:val="none"/>
              </w:rPr>
            </w:pPr>
            <w:r>
              <w:rPr>
                <w:rFonts w:hint="eastAsia"/>
                <w:color w:val="auto"/>
                <w:highlight w:val="none"/>
              </w:rPr>
              <w:t>12</w:t>
            </w:r>
          </w:p>
        </w:tc>
        <w:tc>
          <w:tcPr>
            <w:tcW w:w="963" w:type="dxa"/>
            <w:vAlign w:val="center"/>
          </w:tcPr>
          <w:p w14:paraId="6E5DBC38">
            <w:pPr>
              <w:pStyle w:val="43"/>
              <w:jc w:val="center"/>
              <w:rPr>
                <w:rFonts w:hint="eastAsia"/>
                <w:color w:val="auto"/>
                <w:highlight w:val="none"/>
              </w:rPr>
            </w:pPr>
            <w:r>
              <w:rPr>
                <w:rFonts w:hint="eastAsia"/>
                <w:color w:val="auto"/>
                <w:highlight w:val="none"/>
              </w:rPr>
              <w:t>50</w:t>
            </w:r>
          </w:p>
        </w:tc>
        <w:tc>
          <w:tcPr>
            <w:tcW w:w="0" w:type="auto"/>
            <w:vAlign w:val="center"/>
          </w:tcPr>
          <w:p w14:paraId="1D0A920D">
            <w:pPr>
              <w:pStyle w:val="43"/>
              <w:jc w:val="center"/>
              <w:rPr>
                <w:rFonts w:hint="eastAsia"/>
                <w:color w:val="auto"/>
                <w:highlight w:val="none"/>
              </w:rPr>
            </w:pPr>
            <w:r>
              <w:rPr>
                <w:rFonts w:hint="eastAsia"/>
                <w:color w:val="auto"/>
                <w:highlight w:val="none"/>
              </w:rPr>
              <w:t>2.84</w:t>
            </w:r>
          </w:p>
        </w:tc>
        <w:tc>
          <w:tcPr>
            <w:tcW w:w="0" w:type="auto"/>
            <w:vAlign w:val="center"/>
          </w:tcPr>
          <w:p w14:paraId="3991D12B">
            <w:pPr>
              <w:pStyle w:val="43"/>
              <w:jc w:val="center"/>
              <w:rPr>
                <w:rFonts w:hint="eastAsia"/>
                <w:color w:val="auto"/>
                <w:highlight w:val="none"/>
              </w:rPr>
            </w:pPr>
            <w:r>
              <w:rPr>
                <w:rFonts w:hint="eastAsia"/>
                <w:color w:val="auto"/>
                <w:highlight w:val="none"/>
              </w:rPr>
              <w:t>4.9</w:t>
            </w:r>
          </w:p>
        </w:tc>
        <w:tc>
          <w:tcPr>
            <w:tcW w:w="0" w:type="auto"/>
            <w:vAlign w:val="center"/>
          </w:tcPr>
          <w:p w14:paraId="2A122D4C">
            <w:pPr>
              <w:pStyle w:val="43"/>
              <w:jc w:val="center"/>
              <w:rPr>
                <w:rFonts w:hint="eastAsia"/>
                <w:color w:val="auto"/>
                <w:highlight w:val="none"/>
              </w:rPr>
            </w:pPr>
            <w:r>
              <w:rPr>
                <w:rFonts w:hint="eastAsia"/>
                <w:color w:val="auto"/>
                <w:highlight w:val="none"/>
              </w:rPr>
              <w:t>0.78</w:t>
            </w:r>
          </w:p>
        </w:tc>
        <w:tc>
          <w:tcPr>
            <w:tcW w:w="0" w:type="auto"/>
            <w:vAlign w:val="center"/>
          </w:tcPr>
          <w:p w14:paraId="16608BD0">
            <w:pPr>
              <w:pStyle w:val="43"/>
              <w:jc w:val="center"/>
              <w:rPr>
                <w:rFonts w:hint="eastAsia"/>
                <w:color w:val="auto"/>
                <w:highlight w:val="none"/>
              </w:rPr>
            </w:pPr>
            <w:r>
              <w:rPr>
                <w:rFonts w:hint="eastAsia"/>
                <w:color w:val="auto"/>
                <w:highlight w:val="none"/>
              </w:rPr>
              <w:t>7.1</w:t>
            </w:r>
          </w:p>
        </w:tc>
        <w:tc>
          <w:tcPr>
            <w:tcW w:w="0" w:type="auto"/>
            <w:vAlign w:val="center"/>
          </w:tcPr>
          <w:p w14:paraId="10E05DD1">
            <w:pPr>
              <w:pStyle w:val="43"/>
              <w:jc w:val="center"/>
              <w:rPr>
                <w:rFonts w:hint="eastAsia"/>
                <w:color w:val="auto"/>
                <w:highlight w:val="none"/>
              </w:rPr>
            </w:pPr>
            <w:r>
              <w:rPr>
                <w:rFonts w:hint="eastAsia"/>
                <w:color w:val="auto"/>
                <w:highlight w:val="none"/>
              </w:rPr>
              <w:t>1.07</w:t>
            </w:r>
          </w:p>
        </w:tc>
        <w:tc>
          <w:tcPr>
            <w:tcW w:w="0" w:type="auto"/>
            <w:vAlign w:val="center"/>
          </w:tcPr>
          <w:p w14:paraId="0A7BD7B2">
            <w:pPr>
              <w:pStyle w:val="43"/>
              <w:jc w:val="center"/>
              <w:rPr>
                <w:rFonts w:hint="eastAsia"/>
                <w:color w:val="auto"/>
                <w:highlight w:val="none"/>
              </w:rPr>
            </w:pPr>
            <w:r>
              <w:rPr>
                <w:rFonts w:hint="eastAsia"/>
                <w:color w:val="auto"/>
                <w:highlight w:val="none"/>
              </w:rPr>
              <w:t>8.7</w:t>
            </w:r>
          </w:p>
        </w:tc>
        <w:tc>
          <w:tcPr>
            <w:tcW w:w="0" w:type="auto"/>
            <w:vAlign w:val="center"/>
          </w:tcPr>
          <w:p w14:paraId="4C0E870E">
            <w:pPr>
              <w:pStyle w:val="43"/>
              <w:jc w:val="center"/>
              <w:rPr>
                <w:rFonts w:hint="eastAsia"/>
                <w:color w:val="auto"/>
                <w:highlight w:val="none"/>
              </w:rPr>
            </w:pPr>
            <w:r>
              <w:rPr>
                <w:rFonts w:hint="eastAsia"/>
                <w:color w:val="auto"/>
                <w:highlight w:val="none"/>
              </w:rPr>
              <w:t>1.31</w:t>
            </w:r>
          </w:p>
        </w:tc>
        <w:tc>
          <w:tcPr>
            <w:tcW w:w="0" w:type="auto"/>
            <w:vAlign w:val="center"/>
          </w:tcPr>
          <w:p w14:paraId="645FF12F">
            <w:pPr>
              <w:pStyle w:val="43"/>
              <w:jc w:val="center"/>
              <w:rPr>
                <w:rFonts w:hint="eastAsia"/>
                <w:color w:val="auto"/>
                <w:highlight w:val="none"/>
              </w:rPr>
            </w:pPr>
            <w:r>
              <w:rPr>
                <w:rFonts w:hint="eastAsia"/>
                <w:color w:val="auto"/>
                <w:highlight w:val="none"/>
              </w:rPr>
              <w:t>11.2</w:t>
            </w:r>
          </w:p>
        </w:tc>
        <w:tc>
          <w:tcPr>
            <w:tcW w:w="881" w:type="dxa"/>
            <w:vAlign w:val="center"/>
          </w:tcPr>
          <w:p w14:paraId="4FB494C1">
            <w:pPr>
              <w:pStyle w:val="43"/>
              <w:jc w:val="center"/>
              <w:rPr>
                <w:rFonts w:hint="eastAsia"/>
                <w:color w:val="auto"/>
                <w:highlight w:val="none"/>
              </w:rPr>
            </w:pPr>
            <w:r>
              <w:rPr>
                <w:rFonts w:hint="eastAsia"/>
                <w:color w:val="auto"/>
                <w:highlight w:val="none"/>
              </w:rPr>
              <w:t>1.68</w:t>
            </w:r>
          </w:p>
        </w:tc>
      </w:tr>
      <w:tr w14:paraId="668E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vAlign w:val="center"/>
          </w:tcPr>
          <w:p w14:paraId="001816C3">
            <w:pPr>
              <w:pStyle w:val="43"/>
              <w:jc w:val="center"/>
              <w:rPr>
                <w:rFonts w:hint="eastAsia"/>
                <w:color w:val="auto"/>
                <w:highlight w:val="none"/>
              </w:rPr>
            </w:pPr>
          </w:p>
        </w:tc>
        <w:tc>
          <w:tcPr>
            <w:tcW w:w="963" w:type="dxa"/>
            <w:vAlign w:val="center"/>
          </w:tcPr>
          <w:p w14:paraId="372DF375">
            <w:pPr>
              <w:pStyle w:val="43"/>
              <w:jc w:val="center"/>
              <w:rPr>
                <w:rFonts w:hint="eastAsia"/>
                <w:color w:val="auto"/>
                <w:highlight w:val="none"/>
              </w:rPr>
            </w:pPr>
            <w:r>
              <w:rPr>
                <w:rFonts w:hint="eastAsia"/>
                <w:color w:val="auto"/>
                <w:highlight w:val="none"/>
              </w:rPr>
              <w:t>65</w:t>
            </w:r>
          </w:p>
        </w:tc>
        <w:tc>
          <w:tcPr>
            <w:tcW w:w="0" w:type="auto"/>
            <w:vAlign w:val="center"/>
          </w:tcPr>
          <w:p w14:paraId="78E1A751">
            <w:pPr>
              <w:pStyle w:val="43"/>
              <w:jc w:val="center"/>
              <w:rPr>
                <w:rFonts w:hint="eastAsia"/>
                <w:color w:val="auto"/>
                <w:highlight w:val="none"/>
              </w:rPr>
            </w:pPr>
            <w:r>
              <w:rPr>
                <w:rFonts w:hint="eastAsia"/>
                <w:color w:val="auto"/>
                <w:highlight w:val="none"/>
              </w:rPr>
              <w:t>3.25</w:t>
            </w:r>
          </w:p>
        </w:tc>
        <w:tc>
          <w:tcPr>
            <w:tcW w:w="0" w:type="auto"/>
            <w:vAlign w:val="center"/>
          </w:tcPr>
          <w:p w14:paraId="03DCD7C6">
            <w:pPr>
              <w:pStyle w:val="43"/>
              <w:jc w:val="center"/>
              <w:rPr>
                <w:rFonts w:hint="eastAsia"/>
                <w:color w:val="auto"/>
                <w:highlight w:val="none"/>
              </w:rPr>
            </w:pPr>
            <w:r>
              <w:rPr>
                <w:rFonts w:hint="eastAsia"/>
                <w:color w:val="auto"/>
                <w:highlight w:val="none"/>
              </w:rPr>
              <w:t>5.8</w:t>
            </w:r>
          </w:p>
        </w:tc>
        <w:tc>
          <w:tcPr>
            <w:tcW w:w="0" w:type="auto"/>
            <w:vAlign w:val="center"/>
          </w:tcPr>
          <w:p w14:paraId="4A4E7875">
            <w:pPr>
              <w:pStyle w:val="43"/>
              <w:jc w:val="center"/>
              <w:rPr>
                <w:rFonts w:hint="eastAsia"/>
                <w:color w:val="auto"/>
                <w:highlight w:val="none"/>
              </w:rPr>
            </w:pPr>
            <w:r>
              <w:rPr>
                <w:rFonts w:hint="eastAsia"/>
                <w:color w:val="auto"/>
                <w:highlight w:val="none"/>
              </w:rPr>
              <w:t>0.88</w:t>
            </w:r>
          </w:p>
        </w:tc>
        <w:tc>
          <w:tcPr>
            <w:tcW w:w="0" w:type="auto"/>
            <w:vAlign w:val="center"/>
          </w:tcPr>
          <w:p w14:paraId="3F6FFCD1">
            <w:pPr>
              <w:pStyle w:val="43"/>
              <w:jc w:val="center"/>
              <w:rPr>
                <w:rFonts w:hint="eastAsia"/>
                <w:color w:val="auto"/>
                <w:highlight w:val="none"/>
              </w:rPr>
            </w:pPr>
            <w:r>
              <w:rPr>
                <w:rFonts w:hint="eastAsia"/>
                <w:color w:val="auto"/>
                <w:highlight w:val="none"/>
              </w:rPr>
              <w:t>7.9</w:t>
            </w:r>
          </w:p>
        </w:tc>
        <w:tc>
          <w:tcPr>
            <w:tcW w:w="0" w:type="auto"/>
            <w:vAlign w:val="center"/>
          </w:tcPr>
          <w:p w14:paraId="4642AF5F">
            <w:pPr>
              <w:pStyle w:val="43"/>
              <w:jc w:val="center"/>
              <w:rPr>
                <w:rFonts w:hint="eastAsia"/>
                <w:color w:val="auto"/>
                <w:highlight w:val="none"/>
              </w:rPr>
            </w:pPr>
            <w:r>
              <w:rPr>
                <w:rFonts w:hint="eastAsia"/>
                <w:color w:val="auto"/>
                <w:highlight w:val="none"/>
              </w:rPr>
              <w:t>1.19</w:t>
            </w:r>
          </w:p>
        </w:tc>
        <w:tc>
          <w:tcPr>
            <w:tcW w:w="0" w:type="auto"/>
            <w:vAlign w:val="center"/>
          </w:tcPr>
          <w:p w14:paraId="074EBA5D">
            <w:pPr>
              <w:pStyle w:val="43"/>
              <w:jc w:val="center"/>
              <w:rPr>
                <w:rFonts w:hint="eastAsia"/>
                <w:color w:val="auto"/>
                <w:highlight w:val="none"/>
              </w:rPr>
            </w:pPr>
            <w:r>
              <w:rPr>
                <w:rFonts w:hint="eastAsia"/>
                <w:color w:val="auto"/>
                <w:highlight w:val="none"/>
              </w:rPr>
              <w:t>9.6</w:t>
            </w:r>
          </w:p>
        </w:tc>
        <w:tc>
          <w:tcPr>
            <w:tcW w:w="0" w:type="auto"/>
            <w:vAlign w:val="center"/>
          </w:tcPr>
          <w:p w14:paraId="72503602">
            <w:pPr>
              <w:pStyle w:val="43"/>
              <w:jc w:val="center"/>
              <w:rPr>
                <w:rFonts w:hint="eastAsia"/>
                <w:color w:val="auto"/>
                <w:highlight w:val="none"/>
              </w:rPr>
            </w:pPr>
            <w:r>
              <w:rPr>
                <w:rFonts w:hint="eastAsia"/>
                <w:color w:val="auto"/>
                <w:highlight w:val="none"/>
              </w:rPr>
              <w:t>1.44</w:t>
            </w:r>
          </w:p>
        </w:tc>
        <w:tc>
          <w:tcPr>
            <w:tcW w:w="0" w:type="auto"/>
            <w:vAlign w:val="center"/>
          </w:tcPr>
          <w:p w14:paraId="0A34DBB9">
            <w:pPr>
              <w:pStyle w:val="43"/>
              <w:jc w:val="center"/>
              <w:rPr>
                <w:rFonts w:hint="eastAsia"/>
                <w:color w:val="auto"/>
                <w:highlight w:val="none"/>
              </w:rPr>
            </w:pPr>
            <w:r>
              <w:rPr>
                <w:rFonts w:hint="eastAsia"/>
                <w:color w:val="auto"/>
                <w:highlight w:val="none"/>
              </w:rPr>
              <w:t>12.2</w:t>
            </w:r>
          </w:p>
        </w:tc>
        <w:tc>
          <w:tcPr>
            <w:tcW w:w="881" w:type="dxa"/>
            <w:vAlign w:val="center"/>
          </w:tcPr>
          <w:p w14:paraId="28DDF863">
            <w:pPr>
              <w:pStyle w:val="43"/>
              <w:jc w:val="center"/>
              <w:rPr>
                <w:rFonts w:hint="eastAsia"/>
                <w:color w:val="auto"/>
                <w:highlight w:val="none"/>
              </w:rPr>
            </w:pPr>
            <w:r>
              <w:rPr>
                <w:rFonts w:hint="eastAsia"/>
                <w:color w:val="auto"/>
                <w:highlight w:val="none"/>
              </w:rPr>
              <w:t>1.83</w:t>
            </w:r>
          </w:p>
        </w:tc>
      </w:tr>
      <w:tr w14:paraId="28F6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14:paraId="0D662917">
            <w:pPr>
              <w:pStyle w:val="43"/>
              <w:jc w:val="center"/>
              <w:rPr>
                <w:rFonts w:hint="eastAsia"/>
                <w:color w:val="auto"/>
                <w:highlight w:val="none"/>
              </w:rPr>
            </w:pPr>
            <w:r>
              <w:rPr>
                <w:rFonts w:hint="eastAsia"/>
                <w:color w:val="auto"/>
                <w:highlight w:val="none"/>
              </w:rPr>
              <w:t>24</w:t>
            </w:r>
          </w:p>
        </w:tc>
        <w:tc>
          <w:tcPr>
            <w:tcW w:w="963" w:type="dxa"/>
            <w:vAlign w:val="center"/>
          </w:tcPr>
          <w:p w14:paraId="23431519">
            <w:pPr>
              <w:pStyle w:val="43"/>
              <w:jc w:val="center"/>
              <w:rPr>
                <w:rFonts w:hint="eastAsia"/>
                <w:color w:val="auto"/>
                <w:highlight w:val="none"/>
              </w:rPr>
            </w:pPr>
            <w:r>
              <w:rPr>
                <w:rFonts w:hint="eastAsia"/>
                <w:color w:val="auto"/>
                <w:highlight w:val="none"/>
              </w:rPr>
              <w:t>75</w:t>
            </w:r>
          </w:p>
        </w:tc>
        <w:tc>
          <w:tcPr>
            <w:tcW w:w="0" w:type="auto"/>
            <w:vAlign w:val="center"/>
          </w:tcPr>
          <w:p w14:paraId="5F8D2D55">
            <w:pPr>
              <w:pStyle w:val="43"/>
              <w:jc w:val="center"/>
              <w:rPr>
                <w:rFonts w:hint="eastAsia"/>
                <w:color w:val="auto"/>
                <w:highlight w:val="none"/>
              </w:rPr>
            </w:pPr>
            <w:r>
              <w:rPr>
                <w:rFonts w:hint="eastAsia"/>
                <w:color w:val="auto"/>
                <w:highlight w:val="none"/>
              </w:rPr>
              <w:t>3.66</w:t>
            </w:r>
          </w:p>
        </w:tc>
        <w:tc>
          <w:tcPr>
            <w:tcW w:w="0" w:type="auto"/>
            <w:vAlign w:val="center"/>
          </w:tcPr>
          <w:p w14:paraId="4610FA22">
            <w:pPr>
              <w:pStyle w:val="43"/>
              <w:jc w:val="center"/>
              <w:rPr>
                <w:rFonts w:hint="eastAsia"/>
                <w:color w:val="auto"/>
                <w:highlight w:val="none"/>
              </w:rPr>
            </w:pPr>
            <w:r>
              <w:rPr>
                <w:rFonts w:hint="eastAsia"/>
                <w:color w:val="auto"/>
                <w:highlight w:val="none"/>
              </w:rPr>
              <w:t>9.8</w:t>
            </w:r>
          </w:p>
        </w:tc>
        <w:tc>
          <w:tcPr>
            <w:tcW w:w="0" w:type="auto"/>
            <w:vAlign w:val="center"/>
          </w:tcPr>
          <w:p w14:paraId="1458C58B">
            <w:pPr>
              <w:pStyle w:val="43"/>
              <w:jc w:val="center"/>
              <w:rPr>
                <w:rFonts w:hint="eastAsia"/>
                <w:color w:val="auto"/>
                <w:highlight w:val="none"/>
              </w:rPr>
            </w:pPr>
            <w:r>
              <w:rPr>
                <w:rFonts w:hint="eastAsia"/>
                <w:color w:val="auto"/>
                <w:highlight w:val="none"/>
              </w:rPr>
              <w:t>1.57</w:t>
            </w:r>
          </w:p>
        </w:tc>
        <w:tc>
          <w:tcPr>
            <w:tcW w:w="0" w:type="auto"/>
            <w:vAlign w:val="center"/>
          </w:tcPr>
          <w:p w14:paraId="2C9F1B25">
            <w:pPr>
              <w:pStyle w:val="43"/>
              <w:jc w:val="center"/>
              <w:rPr>
                <w:rFonts w:hint="eastAsia"/>
                <w:color w:val="auto"/>
                <w:highlight w:val="none"/>
              </w:rPr>
            </w:pPr>
            <w:r>
              <w:rPr>
                <w:rFonts w:hint="eastAsia"/>
                <w:color w:val="auto"/>
                <w:highlight w:val="none"/>
              </w:rPr>
              <w:t>14.2</w:t>
            </w:r>
          </w:p>
        </w:tc>
        <w:tc>
          <w:tcPr>
            <w:tcW w:w="0" w:type="auto"/>
            <w:vAlign w:val="center"/>
          </w:tcPr>
          <w:p w14:paraId="6EE13660">
            <w:pPr>
              <w:pStyle w:val="43"/>
              <w:jc w:val="center"/>
              <w:rPr>
                <w:rFonts w:hint="eastAsia"/>
                <w:color w:val="auto"/>
                <w:highlight w:val="none"/>
              </w:rPr>
            </w:pPr>
            <w:r>
              <w:rPr>
                <w:rFonts w:hint="eastAsia"/>
                <w:color w:val="auto"/>
                <w:highlight w:val="none"/>
              </w:rPr>
              <w:t>2.13</w:t>
            </w:r>
          </w:p>
        </w:tc>
        <w:tc>
          <w:tcPr>
            <w:tcW w:w="0" w:type="auto"/>
            <w:vAlign w:val="center"/>
          </w:tcPr>
          <w:p w14:paraId="50EFFC35">
            <w:pPr>
              <w:pStyle w:val="43"/>
              <w:jc w:val="center"/>
              <w:rPr>
                <w:rFonts w:hint="eastAsia"/>
                <w:color w:val="auto"/>
                <w:highlight w:val="none"/>
              </w:rPr>
            </w:pPr>
            <w:r>
              <w:rPr>
                <w:rFonts w:hint="eastAsia"/>
                <w:color w:val="auto"/>
                <w:highlight w:val="none"/>
              </w:rPr>
              <w:t>17.4</w:t>
            </w:r>
          </w:p>
        </w:tc>
        <w:tc>
          <w:tcPr>
            <w:tcW w:w="0" w:type="auto"/>
            <w:vAlign w:val="center"/>
          </w:tcPr>
          <w:p w14:paraId="21AB567F">
            <w:pPr>
              <w:pStyle w:val="43"/>
              <w:jc w:val="center"/>
              <w:rPr>
                <w:rFonts w:hint="eastAsia"/>
                <w:color w:val="auto"/>
                <w:highlight w:val="none"/>
              </w:rPr>
            </w:pPr>
            <w:r>
              <w:rPr>
                <w:rFonts w:hint="eastAsia"/>
                <w:color w:val="auto"/>
                <w:highlight w:val="none"/>
              </w:rPr>
              <w:t>2.61</w:t>
            </w:r>
          </w:p>
        </w:tc>
        <w:tc>
          <w:tcPr>
            <w:tcW w:w="0" w:type="auto"/>
            <w:vAlign w:val="center"/>
          </w:tcPr>
          <w:p w14:paraId="4522066D">
            <w:pPr>
              <w:pStyle w:val="43"/>
              <w:jc w:val="center"/>
              <w:rPr>
                <w:rFonts w:hint="eastAsia"/>
                <w:color w:val="auto"/>
                <w:highlight w:val="none"/>
              </w:rPr>
            </w:pPr>
            <w:r>
              <w:rPr>
                <w:rFonts w:hint="eastAsia"/>
                <w:color w:val="auto"/>
                <w:highlight w:val="none"/>
              </w:rPr>
              <w:t>22.4</w:t>
            </w:r>
          </w:p>
        </w:tc>
        <w:tc>
          <w:tcPr>
            <w:tcW w:w="881" w:type="dxa"/>
            <w:vAlign w:val="center"/>
          </w:tcPr>
          <w:p w14:paraId="455D5798">
            <w:pPr>
              <w:pStyle w:val="43"/>
              <w:jc w:val="center"/>
              <w:rPr>
                <w:rFonts w:hint="eastAsia"/>
                <w:color w:val="auto"/>
                <w:highlight w:val="none"/>
              </w:rPr>
            </w:pPr>
            <w:r>
              <w:rPr>
                <w:rFonts w:hint="eastAsia"/>
                <w:color w:val="auto"/>
                <w:highlight w:val="none"/>
              </w:rPr>
              <w:t>3.36</w:t>
            </w:r>
          </w:p>
        </w:tc>
      </w:tr>
    </w:tbl>
    <w:p w14:paraId="073A5658">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注：1 本表为墙体-面铺设木基结构板的数值，对于双面铺设木基结构板的剪力墙，其值应为表中数值的两倍；</w:t>
      </w:r>
    </w:p>
    <w:p w14:paraId="640F1EF8">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2 表中剪力墙的抗剪强度设计值适用于隐柱墙；</w:t>
      </w:r>
    </w:p>
    <w:p w14:paraId="3324085B">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3 当剪力墙为明柱墙时，本表则只适用钉间距不大于100mm的剪力墙；</w:t>
      </w:r>
    </w:p>
    <w:p w14:paraId="086152FE">
      <w:pPr>
        <w:rPr>
          <w:rFonts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 xml:space="preserve"> 4 当剪力墙是在楼面板之上固定支承柱的剪力墙时，本表则只适用钉间距不大于100mm的剪力墙。</w:t>
      </w:r>
    </w:p>
    <w:p w14:paraId="18B99C23">
      <w:pPr>
        <w:rPr>
          <w:rFonts w:hint="eastAsia" w:ascii="宋体" w:hAnsi="宋体"/>
          <w:b/>
          <w:bCs/>
          <w:color w:val="auto"/>
          <w:szCs w:val="21"/>
          <w:highlight w:val="none"/>
          <w:lang w:eastAsia="zh-CN"/>
        </w:rPr>
      </w:pPr>
    </w:p>
    <w:p w14:paraId="23A7B798">
      <w:pPr>
        <w:pStyle w:val="4"/>
        <w:rPr>
          <w:color w:val="auto"/>
          <w:highlight w:val="none"/>
          <w:lang w:eastAsia="zh-CN"/>
        </w:rPr>
      </w:pPr>
      <w:r>
        <w:rPr>
          <w:rFonts w:hint="default" w:ascii="Times New Roman" w:hAnsi="Times New Roman" w:cs="宋体"/>
          <w:b/>
          <w:bCs/>
          <w:color w:val="auto"/>
          <w:highlight w:val="none"/>
          <w:lang w:val="en-US" w:eastAsia="zh-CN"/>
        </w:rPr>
        <w:t>C.</w:t>
      </w:r>
      <w:r>
        <w:rPr>
          <w:rFonts w:ascii="Times New Roman" w:hAnsi="Times New Roman" w:cs="宋体"/>
          <w:b/>
          <w:bCs/>
          <w:color w:val="auto"/>
          <w:highlight w:val="none"/>
          <w:lang w:eastAsia="zh-CN"/>
        </w:rPr>
        <w:t>0</w:t>
      </w:r>
      <w:r>
        <w:rPr>
          <w:rFonts w:hint="default" w:ascii="Times New Roman" w:hAnsi="Times New Roman" w:cs="宋体"/>
          <w:b/>
          <w:bCs/>
          <w:color w:val="auto"/>
          <w:highlight w:val="none"/>
          <w:lang w:val="en-US" w:eastAsia="zh-CN"/>
        </w:rPr>
        <w:t>.</w:t>
      </w:r>
      <w:r>
        <w:rPr>
          <w:rFonts w:ascii="Times New Roman" w:hAnsi="Times New Roman" w:cs="宋体"/>
          <w:b/>
          <w:bCs/>
          <w:color w:val="auto"/>
          <w:highlight w:val="none"/>
          <w:lang w:eastAsia="zh-CN"/>
        </w:rPr>
        <w:t xml:space="preserve">2 </w:t>
      </w:r>
      <w:r>
        <w:rPr>
          <w:rFonts w:hint="default" w:ascii="Times New Roman" w:hAnsi="Times New Roman" w:cs="宋体"/>
          <w:color w:val="auto"/>
          <w:highlight w:val="none"/>
          <w:lang w:val="en-US" w:eastAsia="zh-CN"/>
        </w:rPr>
        <w:t xml:space="preserve"> </w:t>
      </w:r>
      <w:r>
        <w:rPr>
          <w:color w:val="auto"/>
          <w:highlight w:val="none"/>
          <w:lang w:eastAsia="zh-CN"/>
        </w:rPr>
        <w:t>单面采用木基结构板材的轻型木结构剪力墙的抗剪强度设计值和抗剪刚度应按表</w:t>
      </w:r>
      <w:r>
        <w:rPr>
          <w:rFonts w:hint="eastAsia"/>
          <w:color w:val="auto"/>
          <w:highlight w:val="none"/>
          <w:lang w:val="en-US" w:eastAsia="zh-CN"/>
        </w:rPr>
        <w:t>C.</w:t>
      </w:r>
      <w:r>
        <w:rPr>
          <w:color w:val="auto"/>
          <w:highlight w:val="none"/>
          <w:lang w:eastAsia="zh-CN"/>
        </w:rPr>
        <w:t>0</w:t>
      </w:r>
      <w:r>
        <w:rPr>
          <w:rFonts w:hint="eastAsia"/>
          <w:color w:val="auto"/>
          <w:highlight w:val="none"/>
          <w:lang w:val="en-US" w:eastAsia="zh-CN"/>
        </w:rPr>
        <w:t>.</w:t>
      </w:r>
      <w:r>
        <w:rPr>
          <w:color w:val="auto"/>
          <w:highlight w:val="none"/>
          <w:lang w:eastAsia="zh-CN"/>
        </w:rPr>
        <w:t>2的规定取值。</w:t>
      </w:r>
    </w:p>
    <w:p w14:paraId="7A6A562F">
      <w:pPr>
        <w:rPr>
          <w:rFonts w:ascii="宋体" w:hAnsi="宋体" w:cs="Times New Roman"/>
          <w:color w:val="auto"/>
          <w:highlight w:val="none"/>
          <w:lang w:eastAsia="zh-CN"/>
        </w:rPr>
      </w:pPr>
    </w:p>
    <w:p w14:paraId="659FA915">
      <w:pPr>
        <w:rPr>
          <w:rFonts w:ascii="宋体" w:hAnsi="宋体" w:cs="Times New Roman"/>
          <w:color w:val="auto"/>
          <w:highlight w:val="none"/>
          <w:lang w:eastAsia="zh-CN"/>
        </w:rPr>
      </w:pPr>
    </w:p>
    <w:p w14:paraId="01A0E6B7">
      <w:pPr>
        <w:rPr>
          <w:rFonts w:ascii="宋体" w:hAnsi="宋体" w:cs="Times New Roman"/>
          <w:color w:val="auto"/>
          <w:highlight w:val="none"/>
          <w:lang w:eastAsia="zh-CN"/>
        </w:rPr>
      </w:pPr>
    </w:p>
    <w:p w14:paraId="58C3F39C">
      <w:pPr>
        <w:rPr>
          <w:rFonts w:ascii="宋体" w:hAnsi="宋体" w:cs="Times New Roman"/>
          <w:color w:val="auto"/>
          <w:highlight w:val="none"/>
          <w:lang w:eastAsia="zh-CN"/>
        </w:rPr>
      </w:pPr>
    </w:p>
    <w:p w14:paraId="53B7D5DA">
      <w:pPr>
        <w:rPr>
          <w:rFonts w:ascii="宋体" w:hAnsi="宋体" w:cs="Times New Roman"/>
          <w:color w:val="auto"/>
          <w:highlight w:val="none"/>
          <w:lang w:eastAsia="zh-CN"/>
        </w:rPr>
      </w:pPr>
    </w:p>
    <w:p w14:paraId="2736C367">
      <w:pPr>
        <w:rPr>
          <w:rFonts w:ascii="宋体" w:hAnsi="宋体" w:cs="Times New Roman"/>
          <w:color w:val="auto"/>
          <w:highlight w:val="none"/>
          <w:lang w:eastAsia="zh-CN"/>
        </w:rPr>
      </w:pPr>
    </w:p>
    <w:p w14:paraId="7A21C8ED">
      <w:pPr>
        <w:rPr>
          <w:rFonts w:ascii="宋体" w:hAnsi="宋体" w:cs="Times New Roman"/>
          <w:color w:val="auto"/>
          <w:highlight w:val="none"/>
          <w:lang w:eastAsia="zh-CN"/>
        </w:rPr>
      </w:pPr>
    </w:p>
    <w:p w14:paraId="743B03A1">
      <w:pPr>
        <w:pStyle w:val="40"/>
        <w:jc w:val="center"/>
        <w:rPr>
          <w:color w:val="auto"/>
          <w:highlight w:val="none"/>
          <w:lang w:eastAsia="zh-CN"/>
        </w:rPr>
      </w:pPr>
      <w:r>
        <w:rPr>
          <w:rFonts w:hint="eastAsia"/>
          <w:color w:val="auto"/>
          <w:highlight w:val="none"/>
          <w:lang w:eastAsia="zh-CN"/>
        </w:rPr>
        <w:t>表</w:t>
      </w:r>
      <w:r>
        <w:rPr>
          <w:rFonts w:hint="eastAsia"/>
          <w:color w:val="auto"/>
          <w:highlight w:val="none"/>
          <w:lang w:val="en-US" w:eastAsia="zh-CN"/>
        </w:rPr>
        <w:t>C.</w:t>
      </w:r>
      <w:r>
        <w:rPr>
          <w:rFonts w:hint="eastAsia"/>
          <w:color w:val="auto"/>
          <w:highlight w:val="none"/>
          <w:lang w:eastAsia="zh-CN"/>
        </w:rPr>
        <w:t>0</w:t>
      </w:r>
      <w:r>
        <w:rPr>
          <w:rFonts w:hint="eastAsia"/>
          <w:color w:val="auto"/>
          <w:highlight w:val="none"/>
          <w:lang w:val="en-US" w:eastAsia="zh-CN"/>
        </w:rPr>
        <w:t>.</w:t>
      </w:r>
      <w:r>
        <w:rPr>
          <w:rFonts w:hint="eastAsia"/>
          <w:color w:val="auto"/>
          <w:highlight w:val="none"/>
          <w:lang w:eastAsia="zh-CN"/>
        </w:rPr>
        <w:t xml:space="preserve">2 </w:t>
      </w:r>
      <w:r>
        <w:rPr>
          <w:rFonts w:hint="eastAsia"/>
          <w:color w:val="auto"/>
          <w:highlight w:val="none"/>
          <w:lang w:val="en-US" w:eastAsia="zh-CN"/>
        </w:rPr>
        <w:t xml:space="preserve"> </w:t>
      </w:r>
      <w:r>
        <w:rPr>
          <w:rFonts w:hint="eastAsia"/>
          <w:color w:val="auto"/>
          <w:highlight w:val="none"/>
          <w:lang w:eastAsia="zh-CN"/>
        </w:rPr>
        <w:t>轻型木结构剪力墙抗剪强度设计值</w:t>
      </w:r>
      <w:r>
        <w:rPr>
          <w:rFonts w:hint="eastAsia"/>
          <w:i/>
          <w:iCs/>
          <w:color w:val="auto"/>
          <w:highlight w:val="none"/>
          <w:lang w:eastAsia="zh-CN"/>
        </w:rPr>
        <w:t>f</w:t>
      </w:r>
      <w:r>
        <w:rPr>
          <w:rFonts w:hint="eastAsia"/>
          <w:color w:val="auto"/>
          <w:highlight w:val="none"/>
          <w:vertAlign w:val="subscript"/>
          <w:lang w:eastAsia="zh-CN"/>
        </w:rPr>
        <w:t>vd</w:t>
      </w:r>
      <w:r>
        <w:rPr>
          <w:rFonts w:hint="eastAsia"/>
          <w:color w:val="auto"/>
          <w:highlight w:val="none"/>
          <w:lang w:eastAsia="zh-CN"/>
        </w:rPr>
        <w:t>和抗剪刚度</w:t>
      </w:r>
      <w:r>
        <w:rPr>
          <w:rFonts w:hint="eastAsia"/>
          <w:i/>
          <w:iCs/>
          <w:color w:val="auto"/>
          <w:highlight w:val="none"/>
          <w:lang w:eastAsia="zh-CN"/>
        </w:rPr>
        <w:t>K</w:t>
      </w:r>
      <w:r>
        <w:rPr>
          <w:rFonts w:hint="eastAsia"/>
          <w:color w:val="auto"/>
          <w:highlight w:val="none"/>
          <w:vertAlign w:val="subscript"/>
          <w:lang w:eastAsia="zh-CN"/>
        </w:rPr>
        <w:t>w</w:t>
      </w:r>
    </w:p>
    <w:tbl>
      <w:tblPr>
        <w:tblStyle w:val="17"/>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46"/>
        <w:gridCol w:w="846"/>
        <w:gridCol w:w="846"/>
        <w:gridCol w:w="531"/>
        <w:gridCol w:w="531"/>
        <w:gridCol w:w="846"/>
        <w:gridCol w:w="531"/>
        <w:gridCol w:w="531"/>
        <w:gridCol w:w="846"/>
        <w:gridCol w:w="531"/>
        <w:gridCol w:w="531"/>
        <w:gridCol w:w="846"/>
        <w:gridCol w:w="531"/>
        <w:gridCol w:w="531"/>
      </w:tblGrid>
      <w:tr w14:paraId="1B0B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87ACF4C">
            <w:pPr>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面板最小名义厚度</w:t>
            </w:r>
          </w:p>
          <w:p w14:paraId="6A6F5DCA">
            <w:pPr>
              <w:spacing w:line="240" w:lineRule="auto"/>
              <w:jc w:val="cente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（mm</w:t>
            </w:r>
            <w:r>
              <w:rPr>
                <w:rFonts w:ascii="宋体" w:hAnsi="宋体"/>
                <w:color w:val="auto"/>
                <w:sz w:val="21"/>
                <w:szCs w:val="21"/>
                <w:highlight w:val="none"/>
                <w:lang w:eastAsia="zh-CN"/>
              </w:rPr>
              <w:t>）</w:t>
            </w:r>
          </w:p>
        </w:tc>
        <w:tc>
          <w:tcPr>
            <w:tcW w:w="0" w:type="auto"/>
            <w:vMerge w:val="restart"/>
            <w:vAlign w:val="center"/>
          </w:tcPr>
          <w:p w14:paraId="4D6DFDA7">
            <w:pPr>
              <w:jc w:val="center"/>
              <w:rPr>
                <w:rFonts w:ascii="宋体" w:hAnsi="宋体"/>
                <w:color w:val="auto"/>
                <w:sz w:val="21"/>
                <w:szCs w:val="21"/>
                <w:highlight w:val="none"/>
                <w:lang w:eastAsia="zh-CN"/>
              </w:rPr>
            </w:pPr>
            <w:r>
              <w:rPr>
                <w:rFonts w:hint="eastAsia" w:ascii="宋体" w:hAnsi="宋体"/>
                <w:color w:val="auto"/>
                <w:sz w:val="21"/>
                <w:szCs w:val="21"/>
                <w:highlight w:val="none"/>
                <w:lang w:eastAsia="zh-CN"/>
              </w:rPr>
              <w:t>钉入骨架构件的最小深度</w:t>
            </w:r>
          </w:p>
          <w:p w14:paraId="0FA8BF65">
            <w:pPr>
              <w:jc w:val="center"/>
              <w:rPr>
                <w:rFonts w:hint="eastAsia"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eastAsia="zh-CN"/>
              </w:rPr>
              <w:t>mm</w:t>
            </w:r>
            <w:r>
              <w:rPr>
                <w:rFonts w:hint="eastAsia" w:ascii="宋体" w:hAnsi="宋体"/>
                <w:color w:val="auto"/>
                <w:sz w:val="21"/>
                <w:szCs w:val="21"/>
                <w:highlight w:val="none"/>
              </w:rPr>
              <w:t>）</w:t>
            </w:r>
          </w:p>
        </w:tc>
        <w:tc>
          <w:tcPr>
            <w:tcW w:w="0" w:type="auto"/>
            <w:vMerge w:val="restart"/>
            <w:vAlign w:val="center"/>
          </w:tcPr>
          <w:p w14:paraId="57C3435B">
            <w:pPr>
              <w:jc w:val="center"/>
              <w:rPr>
                <w:rFonts w:ascii="宋体" w:hAnsi="宋体"/>
                <w:color w:val="auto"/>
                <w:sz w:val="21"/>
                <w:szCs w:val="21"/>
                <w:highlight w:val="none"/>
              </w:rPr>
            </w:pPr>
            <w:r>
              <w:rPr>
                <w:rFonts w:hint="eastAsia" w:ascii="宋体" w:hAnsi="宋体"/>
                <w:color w:val="auto"/>
                <w:sz w:val="21"/>
                <w:szCs w:val="21"/>
                <w:highlight w:val="none"/>
              </w:rPr>
              <w:t>钉直径</w:t>
            </w:r>
          </w:p>
          <w:p w14:paraId="78FBE6B4">
            <w:pPr>
              <w:spacing w:line="240" w:lineRule="auto"/>
              <w:jc w:val="center"/>
              <w:rPr>
                <w:rFonts w:hint="eastAsia"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eastAsia="zh-CN"/>
              </w:rPr>
              <w:t>mm</w:t>
            </w:r>
            <w:r>
              <w:rPr>
                <w:rFonts w:ascii="宋体" w:hAnsi="宋体"/>
                <w:color w:val="auto"/>
                <w:sz w:val="21"/>
                <w:szCs w:val="21"/>
                <w:highlight w:val="none"/>
              </w:rPr>
              <w:t>）</w:t>
            </w:r>
          </w:p>
        </w:tc>
        <w:tc>
          <w:tcPr>
            <w:tcW w:w="7632" w:type="dxa"/>
            <w:gridSpan w:val="12"/>
            <w:vAlign w:val="center"/>
          </w:tcPr>
          <w:p w14:paraId="74A28D17">
            <w:pPr>
              <w:jc w:val="center"/>
              <w:rPr>
                <w:rFonts w:hint="eastAsia" w:ascii="宋体" w:hAnsi="宋体"/>
                <w:color w:val="auto"/>
                <w:sz w:val="21"/>
                <w:szCs w:val="21"/>
                <w:highlight w:val="none"/>
              </w:rPr>
            </w:pPr>
            <w:r>
              <w:rPr>
                <w:rFonts w:hint="eastAsia" w:ascii="宋体" w:hAnsi="宋体"/>
                <w:color w:val="auto"/>
                <w:sz w:val="21"/>
                <w:szCs w:val="21"/>
                <w:highlight w:val="none"/>
              </w:rPr>
              <w:t>钉间距（mm）</w:t>
            </w:r>
          </w:p>
        </w:tc>
      </w:tr>
      <w:tr w14:paraId="7DCD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5EA4AED">
            <w:pPr>
              <w:spacing w:line="240" w:lineRule="auto"/>
              <w:jc w:val="center"/>
              <w:rPr>
                <w:rFonts w:hint="eastAsia" w:ascii="宋体" w:hAnsi="宋体"/>
                <w:color w:val="auto"/>
                <w:sz w:val="21"/>
                <w:szCs w:val="21"/>
                <w:highlight w:val="none"/>
              </w:rPr>
            </w:pPr>
          </w:p>
        </w:tc>
        <w:tc>
          <w:tcPr>
            <w:tcW w:w="0" w:type="auto"/>
            <w:vMerge w:val="continue"/>
            <w:vAlign w:val="center"/>
          </w:tcPr>
          <w:p w14:paraId="28493C6B">
            <w:pPr>
              <w:jc w:val="center"/>
              <w:rPr>
                <w:rFonts w:hint="eastAsia" w:ascii="宋体" w:hAnsi="宋体"/>
                <w:color w:val="auto"/>
                <w:sz w:val="21"/>
                <w:szCs w:val="21"/>
                <w:highlight w:val="none"/>
              </w:rPr>
            </w:pPr>
          </w:p>
        </w:tc>
        <w:tc>
          <w:tcPr>
            <w:tcW w:w="0" w:type="auto"/>
            <w:vMerge w:val="continue"/>
            <w:vAlign w:val="center"/>
          </w:tcPr>
          <w:p w14:paraId="1C9F91F1">
            <w:pPr>
              <w:spacing w:line="240" w:lineRule="auto"/>
              <w:jc w:val="center"/>
              <w:rPr>
                <w:rFonts w:hint="eastAsia" w:ascii="宋体" w:hAnsi="宋体"/>
                <w:color w:val="auto"/>
                <w:sz w:val="21"/>
                <w:szCs w:val="21"/>
                <w:highlight w:val="none"/>
              </w:rPr>
            </w:pPr>
          </w:p>
        </w:tc>
        <w:tc>
          <w:tcPr>
            <w:tcW w:w="0" w:type="auto"/>
            <w:gridSpan w:val="3"/>
            <w:vAlign w:val="center"/>
          </w:tcPr>
          <w:p w14:paraId="30AE7F74">
            <w:pPr>
              <w:jc w:val="center"/>
              <w:rPr>
                <w:rFonts w:hint="eastAsia" w:ascii="宋体" w:hAnsi="宋体"/>
                <w:color w:val="auto"/>
                <w:sz w:val="21"/>
                <w:szCs w:val="21"/>
                <w:highlight w:val="none"/>
              </w:rPr>
            </w:pPr>
            <w:r>
              <w:rPr>
                <w:rFonts w:hint="eastAsia" w:ascii="宋体" w:hAnsi="宋体"/>
                <w:color w:val="auto"/>
                <w:sz w:val="21"/>
                <w:szCs w:val="21"/>
                <w:highlight w:val="none"/>
              </w:rPr>
              <w:t>150</w:t>
            </w:r>
          </w:p>
        </w:tc>
        <w:tc>
          <w:tcPr>
            <w:tcW w:w="0" w:type="auto"/>
            <w:gridSpan w:val="3"/>
            <w:vAlign w:val="center"/>
          </w:tcPr>
          <w:p w14:paraId="315C41C2">
            <w:pPr>
              <w:jc w:val="center"/>
              <w:rPr>
                <w:rFonts w:hint="eastAsia" w:ascii="宋体" w:hAnsi="宋体"/>
                <w:color w:val="auto"/>
                <w:sz w:val="21"/>
                <w:szCs w:val="21"/>
                <w:highlight w:val="none"/>
              </w:rPr>
            </w:pPr>
            <w:r>
              <w:rPr>
                <w:rFonts w:hint="eastAsia" w:ascii="宋体" w:hAnsi="宋体"/>
                <w:color w:val="auto"/>
                <w:sz w:val="21"/>
                <w:szCs w:val="21"/>
                <w:highlight w:val="none"/>
              </w:rPr>
              <w:t>100</w:t>
            </w:r>
          </w:p>
        </w:tc>
        <w:tc>
          <w:tcPr>
            <w:tcW w:w="0" w:type="auto"/>
            <w:gridSpan w:val="3"/>
            <w:vAlign w:val="center"/>
          </w:tcPr>
          <w:p w14:paraId="3B53874B">
            <w:pPr>
              <w:jc w:val="center"/>
              <w:rPr>
                <w:rFonts w:hint="eastAsia" w:ascii="宋体" w:hAnsi="宋体"/>
                <w:color w:val="auto"/>
                <w:sz w:val="21"/>
                <w:szCs w:val="21"/>
                <w:highlight w:val="none"/>
              </w:rPr>
            </w:pPr>
            <w:r>
              <w:rPr>
                <w:rFonts w:hint="eastAsia" w:ascii="宋体" w:hAnsi="宋体"/>
                <w:color w:val="auto"/>
                <w:sz w:val="21"/>
                <w:szCs w:val="21"/>
                <w:highlight w:val="none"/>
              </w:rPr>
              <w:t>75</w:t>
            </w:r>
          </w:p>
        </w:tc>
        <w:tc>
          <w:tcPr>
            <w:tcW w:w="1908" w:type="dxa"/>
            <w:gridSpan w:val="3"/>
            <w:vAlign w:val="center"/>
          </w:tcPr>
          <w:p w14:paraId="0E7A1D98">
            <w:pPr>
              <w:jc w:val="center"/>
              <w:rPr>
                <w:rFonts w:hint="eastAsia" w:ascii="宋体" w:hAnsi="宋体"/>
                <w:color w:val="auto"/>
                <w:sz w:val="21"/>
                <w:szCs w:val="21"/>
                <w:highlight w:val="none"/>
              </w:rPr>
            </w:pPr>
            <w:r>
              <w:rPr>
                <w:rFonts w:hint="eastAsia" w:ascii="宋体" w:hAnsi="宋体"/>
                <w:color w:val="auto"/>
                <w:sz w:val="21"/>
                <w:szCs w:val="21"/>
                <w:highlight w:val="none"/>
              </w:rPr>
              <w:t>50</w:t>
            </w:r>
          </w:p>
        </w:tc>
      </w:tr>
      <w:tr w14:paraId="01E8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0" w:type="auto"/>
            <w:vMerge w:val="continue"/>
            <w:vAlign w:val="center"/>
          </w:tcPr>
          <w:p w14:paraId="62CCBCB5">
            <w:pPr>
              <w:jc w:val="center"/>
              <w:rPr>
                <w:rFonts w:hint="eastAsia" w:ascii="宋体" w:hAnsi="宋体"/>
                <w:color w:val="auto"/>
                <w:sz w:val="21"/>
                <w:szCs w:val="21"/>
                <w:highlight w:val="none"/>
              </w:rPr>
            </w:pPr>
          </w:p>
        </w:tc>
        <w:tc>
          <w:tcPr>
            <w:tcW w:w="0" w:type="auto"/>
            <w:vMerge w:val="continue"/>
            <w:vAlign w:val="center"/>
          </w:tcPr>
          <w:p w14:paraId="637049F0">
            <w:pPr>
              <w:jc w:val="center"/>
              <w:rPr>
                <w:rFonts w:hint="eastAsia" w:ascii="宋体" w:hAnsi="宋体"/>
                <w:color w:val="auto"/>
                <w:sz w:val="21"/>
                <w:szCs w:val="21"/>
                <w:highlight w:val="none"/>
              </w:rPr>
            </w:pPr>
          </w:p>
        </w:tc>
        <w:tc>
          <w:tcPr>
            <w:tcW w:w="0" w:type="auto"/>
            <w:vMerge w:val="continue"/>
            <w:vAlign w:val="center"/>
          </w:tcPr>
          <w:p w14:paraId="65D16263">
            <w:pPr>
              <w:jc w:val="center"/>
              <w:rPr>
                <w:rFonts w:hint="eastAsia" w:ascii="宋体" w:hAnsi="宋体"/>
                <w:color w:val="auto"/>
                <w:sz w:val="21"/>
                <w:szCs w:val="21"/>
                <w:highlight w:val="none"/>
              </w:rPr>
            </w:pPr>
          </w:p>
        </w:tc>
        <w:tc>
          <w:tcPr>
            <w:tcW w:w="0" w:type="auto"/>
            <w:vMerge w:val="restart"/>
            <w:vAlign w:val="center"/>
          </w:tcPr>
          <w:p w14:paraId="2CB866E1">
            <w:pPr>
              <w:jc w:val="center"/>
              <w:rPr>
                <w:color w:val="auto"/>
                <w:highlight w:val="none"/>
              </w:rPr>
            </w:pPr>
            <w:r>
              <w:rPr>
                <w:rFonts w:hint="eastAsia"/>
                <w:color w:val="auto"/>
                <w:position w:val="-12"/>
                <w:highlight w:val="none"/>
              </w:rPr>
              <w:object>
                <v:shape id="_x0000_i1033"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33" DrawAspect="Content" ObjectID="_1468075733" r:id="rId97">
                  <o:LockedField>false</o:LockedField>
                </o:OLEObject>
              </w:object>
            </w:r>
          </w:p>
          <w:p w14:paraId="394F8354">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c>
          <w:tcPr>
            <w:tcW w:w="0" w:type="auto"/>
            <w:gridSpan w:val="2"/>
            <w:vAlign w:val="center"/>
          </w:tcPr>
          <w:p w14:paraId="3A6E1332">
            <w:pPr>
              <w:jc w:val="center"/>
              <w:rPr>
                <w:color w:val="auto"/>
                <w:highlight w:val="none"/>
              </w:rPr>
            </w:pPr>
            <w:r>
              <w:rPr>
                <w:rFonts w:hint="eastAsia"/>
                <w:color w:val="auto"/>
                <w:position w:val="-12"/>
                <w:highlight w:val="none"/>
              </w:rPr>
              <w:object>
                <v:shape id="_x0000_i1034"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34" DrawAspect="Content" ObjectID="_1468075734" r:id="rId98">
                  <o:LockedField>false</o:LockedField>
                </o:OLEObject>
              </w:object>
            </w:r>
          </w:p>
          <w:p w14:paraId="2BE32B4C">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c>
          <w:tcPr>
            <w:tcW w:w="0" w:type="auto"/>
            <w:vMerge w:val="restart"/>
            <w:vAlign w:val="center"/>
          </w:tcPr>
          <w:p w14:paraId="4500DD0C">
            <w:pPr>
              <w:jc w:val="center"/>
              <w:rPr>
                <w:color w:val="auto"/>
                <w:highlight w:val="none"/>
              </w:rPr>
            </w:pPr>
            <w:r>
              <w:rPr>
                <w:rFonts w:hint="eastAsia"/>
                <w:color w:val="auto"/>
                <w:position w:val="-12"/>
                <w:highlight w:val="none"/>
              </w:rPr>
              <w:object>
                <v:shape id="_x0000_i1035"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35" DrawAspect="Content" ObjectID="_1468075735" r:id="rId99">
                  <o:LockedField>false</o:LockedField>
                </o:OLEObject>
              </w:object>
            </w:r>
          </w:p>
          <w:p w14:paraId="4D2CF86A">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c>
          <w:tcPr>
            <w:tcW w:w="0" w:type="auto"/>
            <w:gridSpan w:val="2"/>
            <w:vAlign w:val="center"/>
          </w:tcPr>
          <w:p w14:paraId="5142D94B">
            <w:pPr>
              <w:jc w:val="center"/>
              <w:rPr>
                <w:color w:val="auto"/>
                <w:highlight w:val="none"/>
              </w:rPr>
            </w:pPr>
            <w:r>
              <w:rPr>
                <w:rFonts w:hint="eastAsia"/>
                <w:color w:val="auto"/>
                <w:position w:val="-12"/>
                <w:highlight w:val="none"/>
              </w:rPr>
              <w:object>
                <v:shape id="_x0000_i1036"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36" DrawAspect="Content" ObjectID="_1468075736" r:id="rId100">
                  <o:LockedField>false</o:LockedField>
                </o:OLEObject>
              </w:object>
            </w:r>
          </w:p>
          <w:p w14:paraId="0C96E379">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c>
          <w:tcPr>
            <w:tcW w:w="0" w:type="auto"/>
            <w:vMerge w:val="restart"/>
            <w:vAlign w:val="center"/>
          </w:tcPr>
          <w:p w14:paraId="13A1488A">
            <w:pPr>
              <w:jc w:val="center"/>
              <w:rPr>
                <w:color w:val="auto"/>
                <w:highlight w:val="none"/>
              </w:rPr>
            </w:pPr>
            <w:r>
              <w:rPr>
                <w:rFonts w:hint="eastAsia"/>
                <w:color w:val="auto"/>
                <w:position w:val="-12"/>
                <w:highlight w:val="none"/>
              </w:rPr>
              <w:object>
                <v:shape id="_x0000_i1037"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37" DrawAspect="Content" ObjectID="_1468075737" r:id="rId101">
                  <o:LockedField>false</o:LockedField>
                </o:OLEObject>
              </w:object>
            </w:r>
          </w:p>
          <w:p w14:paraId="2D6896B9">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p w14:paraId="206B00B7">
            <w:pPr>
              <w:jc w:val="center"/>
              <w:rPr>
                <w:rFonts w:hint="eastAsia" w:ascii="宋体" w:hAnsi="宋体"/>
                <w:color w:val="auto"/>
                <w:sz w:val="21"/>
                <w:szCs w:val="21"/>
                <w:highlight w:val="none"/>
              </w:rPr>
            </w:pPr>
            <w:r>
              <w:rPr>
                <w:rFonts w:hint="eastAsia" w:ascii="宋体" w:hAnsi="宋体"/>
                <w:color w:val="auto"/>
                <w:sz w:val="21"/>
                <w:szCs w:val="21"/>
                <w:highlight w:val="none"/>
              </w:rPr>
              <w:t>PLY</w:t>
            </w:r>
          </w:p>
        </w:tc>
        <w:tc>
          <w:tcPr>
            <w:tcW w:w="0" w:type="auto"/>
            <w:gridSpan w:val="2"/>
            <w:vAlign w:val="center"/>
          </w:tcPr>
          <w:p w14:paraId="44072739">
            <w:pPr>
              <w:jc w:val="center"/>
              <w:rPr>
                <w:color w:val="auto"/>
                <w:highlight w:val="none"/>
              </w:rPr>
            </w:pPr>
            <w:r>
              <w:rPr>
                <w:rFonts w:hint="eastAsia"/>
                <w:color w:val="auto"/>
                <w:position w:val="-12"/>
                <w:highlight w:val="none"/>
              </w:rPr>
              <w:object>
                <v:shape id="_x0000_i1038"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38" DrawAspect="Content" ObjectID="_1468075738" r:id="rId102">
                  <o:LockedField>false</o:LockedField>
                </o:OLEObject>
              </w:object>
            </w:r>
          </w:p>
          <w:p w14:paraId="61789F21">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c>
          <w:tcPr>
            <w:tcW w:w="0" w:type="auto"/>
            <w:vMerge w:val="restart"/>
            <w:vAlign w:val="center"/>
          </w:tcPr>
          <w:p w14:paraId="6B7DA4A1">
            <w:pPr>
              <w:jc w:val="center"/>
              <w:rPr>
                <w:color w:val="auto"/>
                <w:highlight w:val="none"/>
              </w:rPr>
            </w:pPr>
            <w:r>
              <w:rPr>
                <w:rFonts w:hint="eastAsia"/>
                <w:color w:val="auto"/>
                <w:position w:val="-12"/>
                <w:highlight w:val="none"/>
              </w:rPr>
              <w:object>
                <v:shape id="_x0000_i1039" o:spt="75" type="#_x0000_t75" style="height:18pt;width:17pt;" o:ole="t" filled="f" o:preferrelative="t" stroked="f" coordsize="21600,21600">
                  <v:path/>
                  <v:fill on="f" focussize="0,0"/>
                  <v:stroke on="f" joinstyle="miter"/>
                  <v:imagedata r:id="rId88" o:title=""/>
                  <o:lock v:ext="edit" aspectratio="t"/>
                  <w10:wrap type="none"/>
                  <w10:anchorlock/>
                </v:shape>
                <o:OLEObject Type="Embed" ProgID="Equation.DSMT4" ShapeID="_x0000_i1039" DrawAspect="Content" ObjectID="_1468075739" r:id="rId103">
                  <o:LockedField>false</o:LockedField>
                </o:OLEObject>
              </w:object>
            </w:r>
          </w:p>
          <w:p w14:paraId="4E21A70E">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c>
          <w:tcPr>
            <w:tcW w:w="1062" w:type="dxa"/>
            <w:gridSpan w:val="2"/>
            <w:vAlign w:val="center"/>
          </w:tcPr>
          <w:p w14:paraId="7C129395">
            <w:pPr>
              <w:jc w:val="center"/>
              <w:rPr>
                <w:color w:val="auto"/>
                <w:highlight w:val="none"/>
              </w:rPr>
            </w:pPr>
            <w:r>
              <w:rPr>
                <w:rFonts w:hint="eastAsia"/>
                <w:color w:val="auto"/>
                <w:position w:val="-12"/>
                <w:highlight w:val="none"/>
              </w:rPr>
              <w:object>
                <v:shape id="_x0000_i1040" o:spt="75" type="#_x0000_t75" style="height:18pt;width:18pt;" o:ole="t" filled="f" o:preferrelative="t" stroked="f" coordsize="21600,21600">
                  <v:path/>
                  <v:fill on="f" focussize="0,0"/>
                  <v:stroke on="f" joinstyle="miter"/>
                  <v:imagedata r:id="rId90" o:title=""/>
                  <o:lock v:ext="edit" aspectratio="t"/>
                  <w10:wrap type="none"/>
                  <w10:anchorlock/>
                </v:shape>
                <o:OLEObject Type="Embed" ProgID="Equation.DSMT4" ShapeID="_x0000_i1040" DrawAspect="Content" ObjectID="_1468075740" r:id="rId104">
                  <o:LockedField>false</o:LockedField>
                </o:OLEObject>
              </w:object>
            </w:r>
          </w:p>
          <w:p w14:paraId="6FB4B09D">
            <w:pPr>
              <w:jc w:val="center"/>
              <w:rPr>
                <w:rFonts w:hint="eastAsia" w:ascii="宋体" w:hAnsi="宋体"/>
                <w:color w:val="auto"/>
                <w:sz w:val="21"/>
                <w:szCs w:val="21"/>
                <w:highlight w:val="none"/>
              </w:rPr>
            </w:pPr>
            <w:r>
              <w:rPr>
                <w:rFonts w:hint="eastAsia" w:ascii="宋体" w:hAnsi="宋体"/>
                <w:color w:val="auto"/>
                <w:sz w:val="21"/>
                <w:szCs w:val="21"/>
                <w:highlight w:val="none"/>
              </w:rPr>
              <w:t>(KN/m)</w:t>
            </w:r>
          </w:p>
        </w:tc>
      </w:tr>
      <w:tr w14:paraId="4752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0" w:type="auto"/>
            <w:vMerge w:val="continue"/>
            <w:vAlign w:val="center"/>
          </w:tcPr>
          <w:p w14:paraId="4D1F3D52">
            <w:pPr>
              <w:jc w:val="center"/>
              <w:rPr>
                <w:rFonts w:hint="eastAsia" w:ascii="宋体" w:hAnsi="宋体"/>
                <w:color w:val="auto"/>
                <w:sz w:val="21"/>
                <w:szCs w:val="21"/>
                <w:highlight w:val="none"/>
              </w:rPr>
            </w:pPr>
          </w:p>
        </w:tc>
        <w:tc>
          <w:tcPr>
            <w:tcW w:w="0" w:type="auto"/>
            <w:vMerge w:val="continue"/>
            <w:vAlign w:val="center"/>
          </w:tcPr>
          <w:p w14:paraId="42805F23">
            <w:pPr>
              <w:jc w:val="center"/>
              <w:rPr>
                <w:rFonts w:hint="eastAsia" w:ascii="宋体" w:hAnsi="宋体"/>
                <w:color w:val="auto"/>
                <w:sz w:val="21"/>
                <w:szCs w:val="21"/>
                <w:highlight w:val="none"/>
              </w:rPr>
            </w:pPr>
          </w:p>
        </w:tc>
        <w:tc>
          <w:tcPr>
            <w:tcW w:w="0" w:type="auto"/>
            <w:vMerge w:val="continue"/>
            <w:vAlign w:val="center"/>
          </w:tcPr>
          <w:p w14:paraId="51CEA538">
            <w:pPr>
              <w:jc w:val="center"/>
              <w:rPr>
                <w:rFonts w:hint="eastAsia" w:ascii="宋体" w:hAnsi="宋体"/>
                <w:color w:val="auto"/>
                <w:sz w:val="21"/>
                <w:szCs w:val="21"/>
                <w:highlight w:val="none"/>
              </w:rPr>
            </w:pPr>
          </w:p>
        </w:tc>
        <w:tc>
          <w:tcPr>
            <w:tcW w:w="0" w:type="auto"/>
            <w:vMerge w:val="continue"/>
            <w:vAlign w:val="center"/>
          </w:tcPr>
          <w:p w14:paraId="7FA53792">
            <w:pPr>
              <w:jc w:val="center"/>
              <w:rPr>
                <w:rFonts w:hint="eastAsia" w:ascii="宋体" w:hAnsi="宋体"/>
                <w:color w:val="auto"/>
                <w:sz w:val="21"/>
                <w:szCs w:val="21"/>
                <w:highlight w:val="none"/>
              </w:rPr>
            </w:pPr>
          </w:p>
        </w:tc>
        <w:tc>
          <w:tcPr>
            <w:tcW w:w="0" w:type="auto"/>
            <w:vAlign w:val="center"/>
          </w:tcPr>
          <w:p w14:paraId="0051E144">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c>
          <w:tcPr>
            <w:tcW w:w="0" w:type="auto"/>
            <w:vAlign w:val="center"/>
          </w:tcPr>
          <w:p w14:paraId="603B9FAE">
            <w:pPr>
              <w:jc w:val="center"/>
              <w:rPr>
                <w:rFonts w:hint="eastAsia" w:ascii="宋体" w:hAnsi="宋体"/>
                <w:color w:val="auto"/>
                <w:sz w:val="21"/>
                <w:szCs w:val="21"/>
                <w:highlight w:val="none"/>
              </w:rPr>
            </w:pPr>
            <w:r>
              <w:rPr>
                <w:rFonts w:hint="eastAsia" w:ascii="宋体" w:hAnsi="宋体"/>
                <w:color w:val="auto"/>
                <w:sz w:val="21"/>
                <w:szCs w:val="21"/>
                <w:highlight w:val="none"/>
              </w:rPr>
              <w:t>PLY</w:t>
            </w:r>
          </w:p>
        </w:tc>
        <w:tc>
          <w:tcPr>
            <w:tcW w:w="0" w:type="auto"/>
            <w:vMerge w:val="continue"/>
            <w:vAlign w:val="center"/>
          </w:tcPr>
          <w:p w14:paraId="6A69B5F8">
            <w:pPr>
              <w:jc w:val="center"/>
              <w:rPr>
                <w:rFonts w:hint="eastAsia" w:ascii="宋体" w:hAnsi="宋体"/>
                <w:color w:val="auto"/>
                <w:sz w:val="21"/>
                <w:szCs w:val="21"/>
                <w:highlight w:val="none"/>
              </w:rPr>
            </w:pPr>
          </w:p>
        </w:tc>
        <w:tc>
          <w:tcPr>
            <w:tcW w:w="0" w:type="auto"/>
            <w:vAlign w:val="center"/>
          </w:tcPr>
          <w:p w14:paraId="7476D890">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c>
          <w:tcPr>
            <w:tcW w:w="0" w:type="auto"/>
            <w:vAlign w:val="center"/>
          </w:tcPr>
          <w:p w14:paraId="0E5EF49E">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c>
          <w:tcPr>
            <w:tcW w:w="0" w:type="auto"/>
            <w:vMerge w:val="continue"/>
            <w:vAlign w:val="center"/>
          </w:tcPr>
          <w:p w14:paraId="6BDAFEE1">
            <w:pPr>
              <w:jc w:val="center"/>
              <w:rPr>
                <w:rFonts w:hint="eastAsia" w:ascii="宋体" w:hAnsi="宋体"/>
                <w:color w:val="auto"/>
                <w:sz w:val="21"/>
                <w:szCs w:val="21"/>
                <w:highlight w:val="none"/>
              </w:rPr>
            </w:pPr>
          </w:p>
        </w:tc>
        <w:tc>
          <w:tcPr>
            <w:tcW w:w="0" w:type="auto"/>
            <w:vAlign w:val="center"/>
          </w:tcPr>
          <w:p w14:paraId="4B70E164">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c>
          <w:tcPr>
            <w:tcW w:w="0" w:type="auto"/>
            <w:vAlign w:val="center"/>
          </w:tcPr>
          <w:p w14:paraId="4483A9A5">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c>
          <w:tcPr>
            <w:tcW w:w="0" w:type="auto"/>
            <w:vMerge w:val="continue"/>
            <w:vAlign w:val="center"/>
          </w:tcPr>
          <w:p w14:paraId="0A100380">
            <w:pPr>
              <w:jc w:val="center"/>
              <w:rPr>
                <w:rFonts w:hint="eastAsia" w:ascii="宋体" w:hAnsi="宋体"/>
                <w:color w:val="auto"/>
                <w:sz w:val="21"/>
                <w:szCs w:val="21"/>
                <w:highlight w:val="none"/>
              </w:rPr>
            </w:pPr>
          </w:p>
        </w:tc>
        <w:tc>
          <w:tcPr>
            <w:tcW w:w="0" w:type="auto"/>
            <w:vAlign w:val="center"/>
          </w:tcPr>
          <w:p w14:paraId="2362EFD6">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c>
          <w:tcPr>
            <w:tcW w:w="531" w:type="dxa"/>
            <w:vAlign w:val="center"/>
          </w:tcPr>
          <w:p w14:paraId="2597B046">
            <w:pPr>
              <w:jc w:val="center"/>
              <w:rPr>
                <w:rFonts w:hint="eastAsia" w:ascii="宋体" w:hAnsi="宋体"/>
                <w:color w:val="auto"/>
                <w:sz w:val="21"/>
                <w:szCs w:val="21"/>
                <w:highlight w:val="none"/>
              </w:rPr>
            </w:pPr>
            <w:r>
              <w:rPr>
                <w:rFonts w:hint="eastAsia" w:ascii="宋体" w:hAnsi="宋体"/>
                <w:color w:val="auto"/>
                <w:sz w:val="21"/>
                <w:szCs w:val="21"/>
                <w:highlight w:val="none"/>
              </w:rPr>
              <w:t>OSB</w:t>
            </w:r>
          </w:p>
        </w:tc>
      </w:tr>
      <w:tr w14:paraId="78F6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54F2FBF">
            <w:pPr>
              <w:jc w:val="center"/>
              <w:rPr>
                <w:rFonts w:hint="eastAsia" w:ascii="宋体" w:hAnsi="宋体"/>
                <w:color w:val="auto"/>
                <w:sz w:val="21"/>
                <w:szCs w:val="21"/>
                <w:highlight w:val="none"/>
              </w:rPr>
            </w:pPr>
            <w:r>
              <w:rPr>
                <w:rFonts w:hint="eastAsia" w:ascii="宋体" w:hAnsi="宋体"/>
                <w:color w:val="auto"/>
                <w:sz w:val="21"/>
                <w:szCs w:val="21"/>
                <w:highlight w:val="none"/>
              </w:rPr>
              <w:t>9.5</w:t>
            </w:r>
          </w:p>
        </w:tc>
        <w:tc>
          <w:tcPr>
            <w:tcW w:w="0" w:type="auto"/>
            <w:vAlign w:val="center"/>
          </w:tcPr>
          <w:p w14:paraId="39E785C8">
            <w:pPr>
              <w:jc w:val="center"/>
              <w:rPr>
                <w:rFonts w:hint="eastAsia" w:ascii="宋体" w:hAnsi="宋体"/>
                <w:color w:val="auto"/>
                <w:sz w:val="21"/>
                <w:szCs w:val="21"/>
                <w:highlight w:val="none"/>
              </w:rPr>
            </w:pPr>
            <w:r>
              <w:rPr>
                <w:rFonts w:hint="eastAsia" w:ascii="宋体" w:hAnsi="宋体"/>
                <w:color w:val="auto"/>
                <w:sz w:val="21"/>
                <w:szCs w:val="21"/>
                <w:highlight w:val="none"/>
              </w:rPr>
              <w:t>31</w:t>
            </w:r>
          </w:p>
        </w:tc>
        <w:tc>
          <w:tcPr>
            <w:tcW w:w="0" w:type="auto"/>
            <w:vAlign w:val="center"/>
          </w:tcPr>
          <w:p w14:paraId="020429DE">
            <w:pPr>
              <w:jc w:val="center"/>
              <w:rPr>
                <w:rFonts w:hint="eastAsia" w:ascii="宋体" w:hAnsi="宋体"/>
                <w:color w:val="auto"/>
                <w:sz w:val="21"/>
                <w:szCs w:val="21"/>
                <w:highlight w:val="none"/>
              </w:rPr>
            </w:pPr>
            <w:r>
              <w:rPr>
                <w:rFonts w:hint="eastAsia" w:ascii="宋体" w:hAnsi="宋体"/>
                <w:color w:val="auto"/>
                <w:sz w:val="21"/>
                <w:szCs w:val="21"/>
                <w:highlight w:val="none"/>
              </w:rPr>
              <w:t>2.84</w:t>
            </w:r>
          </w:p>
        </w:tc>
        <w:tc>
          <w:tcPr>
            <w:tcW w:w="0" w:type="auto"/>
            <w:vAlign w:val="center"/>
          </w:tcPr>
          <w:p w14:paraId="74C6E5D0">
            <w:pPr>
              <w:jc w:val="center"/>
              <w:rPr>
                <w:rFonts w:hint="eastAsia" w:ascii="宋体" w:hAnsi="宋体"/>
                <w:color w:val="auto"/>
                <w:sz w:val="21"/>
                <w:szCs w:val="21"/>
                <w:highlight w:val="none"/>
              </w:rPr>
            </w:pPr>
            <w:r>
              <w:rPr>
                <w:rFonts w:hint="eastAsia" w:ascii="宋体" w:hAnsi="宋体"/>
                <w:color w:val="auto"/>
                <w:sz w:val="21"/>
                <w:szCs w:val="21"/>
                <w:highlight w:val="none"/>
              </w:rPr>
              <w:t>3.5</w:t>
            </w:r>
          </w:p>
        </w:tc>
        <w:tc>
          <w:tcPr>
            <w:tcW w:w="0" w:type="auto"/>
            <w:vAlign w:val="center"/>
          </w:tcPr>
          <w:p w14:paraId="0D6B574D">
            <w:pPr>
              <w:jc w:val="center"/>
              <w:rPr>
                <w:rFonts w:hint="eastAsia" w:ascii="宋体" w:hAnsi="宋体"/>
                <w:color w:val="auto"/>
                <w:sz w:val="21"/>
                <w:szCs w:val="21"/>
                <w:highlight w:val="none"/>
              </w:rPr>
            </w:pPr>
            <w:r>
              <w:rPr>
                <w:rFonts w:hint="eastAsia" w:ascii="宋体" w:hAnsi="宋体"/>
                <w:color w:val="auto"/>
                <w:sz w:val="21"/>
                <w:szCs w:val="21"/>
                <w:highlight w:val="none"/>
              </w:rPr>
              <w:t>1.9</w:t>
            </w:r>
          </w:p>
        </w:tc>
        <w:tc>
          <w:tcPr>
            <w:tcW w:w="0" w:type="auto"/>
            <w:vAlign w:val="center"/>
          </w:tcPr>
          <w:p w14:paraId="6A00DD64">
            <w:pPr>
              <w:jc w:val="center"/>
              <w:rPr>
                <w:rFonts w:hint="eastAsia" w:ascii="宋体" w:hAnsi="宋体"/>
                <w:color w:val="auto"/>
                <w:sz w:val="21"/>
                <w:szCs w:val="21"/>
                <w:highlight w:val="none"/>
              </w:rPr>
            </w:pPr>
            <w:r>
              <w:rPr>
                <w:rFonts w:hint="eastAsia" w:ascii="宋体" w:hAnsi="宋体"/>
                <w:color w:val="auto"/>
                <w:sz w:val="21"/>
                <w:szCs w:val="21"/>
                <w:highlight w:val="none"/>
              </w:rPr>
              <w:t>1.5</w:t>
            </w:r>
          </w:p>
        </w:tc>
        <w:tc>
          <w:tcPr>
            <w:tcW w:w="0" w:type="auto"/>
            <w:vAlign w:val="center"/>
          </w:tcPr>
          <w:p w14:paraId="3E3A3CEA">
            <w:pPr>
              <w:jc w:val="center"/>
              <w:rPr>
                <w:rFonts w:hint="eastAsia" w:ascii="宋体" w:hAnsi="宋体"/>
                <w:color w:val="auto"/>
                <w:sz w:val="21"/>
                <w:szCs w:val="21"/>
                <w:highlight w:val="none"/>
              </w:rPr>
            </w:pPr>
            <w:r>
              <w:rPr>
                <w:rFonts w:hint="eastAsia" w:ascii="宋体" w:hAnsi="宋体"/>
                <w:color w:val="auto"/>
                <w:sz w:val="21"/>
                <w:szCs w:val="21"/>
                <w:highlight w:val="none"/>
              </w:rPr>
              <w:t>5.4</w:t>
            </w:r>
          </w:p>
        </w:tc>
        <w:tc>
          <w:tcPr>
            <w:tcW w:w="0" w:type="auto"/>
            <w:vAlign w:val="center"/>
          </w:tcPr>
          <w:p w14:paraId="5B3FB2F3">
            <w:pPr>
              <w:jc w:val="center"/>
              <w:rPr>
                <w:rFonts w:hint="eastAsia" w:ascii="宋体" w:hAnsi="宋体"/>
                <w:color w:val="auto"/>
                <w:sz w:val="21"/>
                <w:szCs w:val="21"/>
                <w:highlight w:val="none"/>
              </w:rPr>
            </w:pPr>
            <w:r>
              <w:rPr>
                <w:rFonts w:hint="eastAsia" w:ascii="宋体" w:hAnsi="宋体"/>
                <w:color w:val="auto"/>
                <w:sz w:val="21"/>
                <w:szCs w:val="21"/>
                <w:highlight w:val="none"/>
              </w:rPr>
              <w:t>2.6</w:t>
            </w:r>
          </w:p>
        </w:tc>
        <w:tc>
          <w:tcPr>
            <w:tcW w:w="0" w:type="auto"/>
            <w:vAlign w:val="center"/>
          </w:tcPr>
          <w:p w14:paraId="35C0FB3B">
            <w:pPr>
              <w:jc w:val="center"/>
              <w:rPr>
                <w:rFonts w:hint="eastAsia" w:ascii="宋体" w:hAnsi="宋体"/>
                <w:color w:val="auto"/>
                <w:sz w:val="21"/>
                <w:szCs w:val="21"/>
                <w:highlight w:val="none"/>
              </w:rPr>
            </w:pPr>
            <w:r>
              <w:rPr>
                <w:rFonts w:hint="eastAsia" w:ascii="宋体" w:hAnsi="宋体"/>
                <w:color w:val="auto"/>
                <w:sz w:val="21"/>
                <w:szCs w:val="21"/>
                <w:highlight w:val="none"/>
              </w:rPr>
              <w:t>1.9</w:t>
            </w:r>
          </w:p>
        </w:tc>
        <w:tc>
          <w:tcPr>
            <w:tcW w:w="0" w:type="auto"/>
            <w:vAlign w:val="center"/>
          </w:tcPr>
          <w:p w14:paraId="4772CFF0">
            <w:pPr>
              <w:jc w:val="center"/>
              <w:rPr>
                <w:rFonts w:hint="eastAsia" w:ascii="宋体" w:hAnsi="宋体"/>
                <w:color w:val="auto"/>
                <w:sz w:val="21"/>
                <w:szCs w:val="21"/>
                <w:highlight w:val="none"/>
              </w:rPr>
            </w:pPr>
            <w:r>
              <w:rPr>
                <w:rFonts w:hint="eastAsia" w:ascii="宋体" w:hAnsi="宋体"/>
                <w:color w:val="auto"/>
                <w:sz w:val="21"/>
                <w:szCs w:val="21"/>
                <w:highlight w:val="none"/>
              </w:rPr>
              <w:t>7.0</w:t>
            </w:r>
          </w:p>
        </w:tc>
        <w:tc>
          <w:tcPr>
            <w:tcW w:w="0" w:type="auto"/>
            <w:vAlign w:val="center"/>
          </w:tcPr>
          <w:p w14:paraId="1AA00B4C">
            <w:pPr>
              <w:jc w:val="center"/>
              <w:rPr>
                <w:rFonts w:hint="eastAsia" w:ascii="宋体" w:hAnsi="宋体"/>
                <w:color w:val="auto"/>
                <w:sz w:val="21"/>
                <w:szCs w:val="21"/>
                <w:highlight w:val="none"/>
              </w:rPr>
            </w:pPr>
            <w:r>
              <w:rPr>
                <w:rFonts w:hint="eastAsia" w:ascii="宋体" w:hAnsi="宋体"/>
                <w:color w:val="auto"/>
                <w:sz w:val="21"/>
                <w:szCs w:val="21"/>
                <w:highlight w:val="none"/>
              </w:rPr>
              <w:t>3.5</w:t>
            </w:r>
          </w:p>
        </w:tc>
        <w:tc>
          <w:tcPr>
            <w:tcW w:w="0" w:type="auto"/>
            <w:vAlign w:val="center"/>
          </w:tcPr>
          <w:p w14:paraId="08DE25AD">
            <w:pPr>
              <w:jc w:val="center"/>
              <w:rPr>
                <w:rFonts w:hint="eastAsia" w:ascii="宋体" w:hAnsi="宋体"/>
                <w:color w:val="auto"/>
                <w:sz w:val="21"/>
                <w:szCs w:val="21"/>
                <w:highlight w:val="none"/>
              </w:rPr>
            </w:pPr>
            <w:r>
              <w:rPr>
                <w:rFonts w:hint="eastAsia" w:ascii="宋体" w:hAnsi="宋体"/>
                <w:color w:val="auto"/>
                <w:sz w:val="21"/>
                <w:szCs w:val="21"/>
                <w:highlight w:val="none"/>
              </w:rPr>
              <w:t>2.3</w:t>
            </w:r>
          </w:p>
        </w:tc>
        <w:tc>
          <w:tcPr>
            <w:tcW w:w="0" w:type="auto"/>
            <w:vAlign w:val="center"/>
          </w:tcPr>
          <w:p w14:paraId="4D5800C4">
            <w:pPr>
              <w:jc w:val="center"/>
              <w:rPr>
                <w:rFonts w:hint="eastAsia" w:ascii="宋体" w:hAnsi="宋体"/>
                <w:color w:val="auto"/>
                <w:sz w:val="21"/>
                <w:szCs w:val="21"/>
                <w:highlight w:val="none"/>
              </w:rPr>
            </w:pPr>
            <w:r>
              <w:rPr>
                <w:rFonts w:hint="eastAsia" w:ascii="宋体" w:hAnsi="宋体"/>
                <w:color w:val="auto"/>
                <w:sz w:val="21"/>
                <w:szCs w:val="21"/>
                <w:highlight w:val="none"/>
              </w:rPr>
              <w:t>9.1</w:t>
            </w:r>
          </w:p>
        </w:tc>
        <w:tc>
          <w:tcPr>
            <w:tcW w:w="0" w:type="auto"/>
            <w:vAlign w:val="center"/>
          </w:tcPr>
          <w:p w14:paraId="44222B68">
            <w:pPr>
              <w:jc w:val="center"/>
              <w:rPr>
                <w:rFonts w:hint="eastAsia" w:ascii="宋体" w:hAnsi="宋体"/>
                <w:color w:val="auto"/>
                <w:sz w:val="21"/>
                <w:szCs w:val="21"/>
                <w:highlight w:val="none"/>
              </w:rPr>
            </w:pPr>
            <w:r>
              <w:rPr>
                <w:rFonts w:hint="eastAsia" w:ascii="宋体" w:hAnsi="宋体"/>
                <w:color w:val="auto"/>
                <w:sz w:val="21"/>
                <w:szCs w:val="21"/>
                <w:highlight w:val="none"/>
              </w:rPr>
              <w:t>5.6</w:t>
            </w:r>
          </w:p>
        </w:tc>
        <w:tc>
          <w:tcPr>
            <w:tcW w:w="531" w:type="dxa"/>
            <w:vAlign w:val="center"/>
          </w:tcPr>
          <w:p w14:paraId="6DE80434">
            <w:pPr>
              <w:jc w:val="center"/>
              <w:rPr>
                <w:rFonts w:hint="eastAsia" w:ascii="宋体" w:hAnsi="宋体"/>
                <w:color w:val="auto"/>
                <w:sz w:val="21"/>
                <w:szCs w:val="21"/>
                <w:highlight w:val="none"/>
              </w:rPr>
            </w:pPr>
            <w:r>
              <w:rPr>
                <w:rFonts w:hint="eastAsia" w:ascii="宋体" w:hAnsi="宋体"/>
                <w:color w:val="auto"/>
                <w:sz w:val="21"/>
                <w:szCs w:val="21"/>
                <w:highlight w:val="none"/>
              </w:rPr>
              <w:t>3.0</w:t>
            </w:r>
          </w:p>
        </w:tc>
      </w:tr>
      <w:tr w14:paraId="5B11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38EBFD">
            <w:pPr>
              <w:jc w:val="center"/>
              <w:rPr>
                <w:rFonts w:hint="eastAsia" w:ascii="宋体" w:hAnsi="宋体"/>
                <w:color w:val="auto"/>
                <w:sz w:val="21"/>
                <w:szCs w:val="21"/>
                <w:highlight w:val="none"/>
              </w:rPr>
            </w:pPr>
            <w:r>
              <w:rPr>
                <w:rFonts w:hint="eastAsia" w:ascii="宋体" w:hAnsi="宋体"/>
                <w:color w:val="auto"/>
                <w:sz w:val="21"/>
                <w:szCs w:val="21"/>
                <w:highlight w:val="none"/>
              </w:rPr>
              <w:t>9.5</w:t>
            </w:r>
          </w:p>
        </w:tc>
        <w:tc>
          <w:tcPr>
            <w:tcW w:w="0" w:type="auto"/>
            <w:vAlign w:val="center"/>
          </w:tcPr>
          <w:p w14:paraId="7DC21077">
            <w:pPr>
              <w:jc w:val="center"/>
              <w:rPr>
                <w:rFonts w:hint="eastAsia" w:ascii="宋体" w:hAnsi="宋体"/>
                <w:color w:val="auto"/>
                <w:sz w:val="21"/>
                <w:szCs w:val="21"/>
                <w:highlight w:val="none"/>
              </w:rPr>
            </w:pPr>
            <w:r>
              <w:rPr>
                <w:rFonts w:hint="eastAsia" w:ascii="宋体" w:hAnsi="宋体"/>
                <w:color w:val="auto"/>
                <w:sz w:val="21"/>
                <w:szCs w:val="21"/>
                <w:highlight w:val="none"/>
              </w:rPr>
              <w:t>38</w:t>
            </w:r>
          </w:p>
        </w:tc>
        <w:tc>
          <w:tcPr>
            <w:tcW w:w="0" w:type="auto"/>
            <w:vAlign w:val="center"/>
          </w:tcPr>
          <w:p w14:paraId="18FE90FB">
            <w:pPr>
              <w:jc w:val="center"/>
              <w:rPr>
                <w:rFonts w:hint="eastAsia" w:ascii="宋体" w:hAnsi="宋体"/>
                <w:color w:val="auto"/>
                <w:sz w:val="21"/>
                <w:szCs w:val="21"/>
                <w:highlight w:val="none"/>
              </w:rPr>
            </w:pPr>
            <w:r>
              <w:rPr>
                <w:rFonts w:hint="eastAsia" w:ascii="宋体" w:hAnsi="宋体"/>
                <w:color w:val="auto"/>
                <w:sz w:val="21"/>
                <w:szCs w:val="21"/>
                <w:highlight w:val="none"/>
              </w:rPr>
              <w:t>3.25</w:t>
            </w:r>
          </w:p>
        </w:tc>
        <w:tc>
          <w:tcPr>
            <w:tcW w:w="0" w:type="auto"/>
            <w:vAlign w:val="center"/>
          </w:tcPr>
          <w:p w14:paraId="790CA873">
            <w:pPr>
              <w:jc w:val="center"/>
              <w:rPr>
                <w:rFonts w:hint="eastAsia" w:ascii="宋体" w:hAnsi="宋体"/>
                <w:color w:val="auto"/>
                <w:sz w:val="21"/>
                <w:szCs w:val="21"/>
                <w:highlight w:val="none"/>
              </w:rPr>
            </w:pPr>
            <w:r>
              <w:rPr>
                <w:rFonts w:hint="eastAsia" w:ascii="宋体" w:hAnsi="宋体"/>
                <w:color w:val="auto"/>
                <w:sz w:val="21"/>
                <w:szCs w:val="21"/>
                <w:highlight w:val="none"/>
              </w:rPr>
              <w:t>3.9</w:t>
            </w:r>
          </w:p>
        </w:tc>
        <w:tc>
          <w:tcPr>
            <w:tcW w:w="0" w:type="auto"/>
            <w:vAlign w:val="center"/>
          </w:tcPr>
          <w:p w14:paraId="75A7379D">
            <w:pPr>
              <w:jc w:val="center"/>
              <w:rPr>
                <w:rFonts w:hint="eastAsia" w:ascii="宋体" w:hAnsi="宋体"/>
                <w:color w:val="auto"/>
                <w:sz w:val="21"/>
                <w:szCs w:val="21"/>
                <w:highlight w:val="none"/>
              </w:rPr>
            </w:pPr>
            <w:r>
              <w:rPr>
                <w:rFonts w:hint="eastAsia" w:ascii="宋体" w:hAnsi="宋体"/>
                <w:color w:val="auto"/>
                <w:sz w:val="21"/>
                <w:szCs w:val="21"/>
                <w:highlight w:val="none"/>
              </w:rPr>
              <w:t>3.0</w:t>
            </w:r>
          </w:p>
        </w:tc>
        <w:tc>
          <w:tcPr>
            <w:tcW w:w="0" w:type="auto"/>
            <w:vAlign w:val="center"/>
          </w:tcPr>
          <w:p w14:paraId="2B0D7B58">
            <w:pPr>
              <w:jc w:val="center"/>
              <w:rPr>
                <w:rFonts w:hint="eastAsia" w:ascii="宋体" w:hAnsi="宋体"/>
                <w:color w:val="auto"/>
                <w:sz w:val="21"/>
                <w:szCs w:val="21"/>
                <w:highlight w:val="none"/>
              </w:rPr>
            </w:pPr>
            <w:r>
              <w:rPr>
                <w:rFonts w:hint="eastAsia" w:ascii="宋体" w:hAnsi="宋体"/>
                <w:color w:val="auto"/>
                <w:sz w:val="21"/>
                <w:szCs w:val="21"/>
                <w:highlight w:val="none"/>
              </w:rPr>
              <w:t>2.1</w:t>
            </w:r>
          </w:p>
        </w:tc>
        <w:tc>
          <w:tcPr>
            <w:tcW w:w="0" w:type="auto"/>
            <w:vAlign w:val="center"/>
          </w:tcPr>
          <w:p w14:paraId="3F41BBCE">
            <w:pPr>
              <w:jc w:val="center"/>
              <w:rPr>
                <w:rFonts w:hint="eastAsia" w:ascii="宋体" w:hAnsi="宋体"/>
                <w:color w:val="auto"/>
                <w:sz w:val="21"/>
                <w:szCs w:val="21"/>
                <w:highlight w:val="none"/>
              </w:rPr>
            </w:pPr>
            <w:r>
              <w:rPr>
                <w:rFonts w:hint="eastAsia" w:ascii="宋体" w:hAnsi="宋体"/>
                <w:color w:val="auto"/>
                <w:sz w:val="21"/>
                <w:szCs w:val="21"/>
                <w:highlight w:val="none"/>
              </w:rPr>
              <w:t>5.7</w:t>
            </w:r>
          </w:p>
        </w:tc>
        <w:tc>
          <w:tcPr>
            <w:tcW w:w="0" w:type="auto"/>
            <w:vAlign w:val="center"/>
          </w:tcPr>
          <w:p w14:paraId="57CEA9B2">
            <w:pPr>
              <w:jc w:val="center"/>
              <w:rPr>
                <w:rFonts w:hint="eastAsia" w:ascii="宋体" w:hAnsi="宋体"/>
                <w:color w:val="auto"/>
                <w:sz w:val="21"/>
                <w:szCs w:val="21"/>
                <w:highlight w:val="none"/>
              </w:rPr>
            </w:pPr>
            <w:r>
              <w:rPr>
                <w:rFonts w:hint="eastAsia" w:ascii="宋体" w:hAnsi="宋体"/>
                <w:color w:val="auto"/>
                <w:sz w:val="21"/>
                <w:szCs w:val="21"/>
                <w:highlight w:val="none"/>
              </w:rPr>
              <w:t>4.4</w:t>
            </w:r>
          </w:p>
        </w:tc>
        <w:tc>
          <w:tcPr>
            <w:tcW w:w="0" w:type="auto"/>
            <w:vAlign w:val="center"/>
          </w:tcPr>
          <w:p w14:paraId="2E510607">
            <w:pPr>
              <w:jc w:val="center"/>
              <w:rPr>
                <w:rFonts w:hint="eastAsia" w:ascii="宋体" w:hAnsi="宋体"/>
                <w:color w:val="auto"/>
                <w:sz w:val="21"/>
                <w:szCs w:val="21"/>
                <w:highlight w:val="none"/>
              </w:rPr>
            </w:pPr>
            <w:r>
              <w:rPr>
                <w:rFonts w:hint="eastAsia" w:ascii="宋体" w:hAnsi="宋体"/>
                <w:color w:val="auto"/>
                <w:sz w:val="21"/>
                <w:szCs w:val="21"/>
                <w:highlight w:val="none"/>
              </w:rPr>
              <w:t>2.6</w:t>
            </w:r>
          </w:p>
        </w:tc>
        <w:tc>
          <w:tcPr>
            <w:tcW w:w="0" w:type="auto"/>
            <w:vAlign w:val="center"/>
          </w:tcPr>
          <w:p w14:paraId="756117C0">
            <w:pPr>
              <w:jc w:val="center"/>
              <w:rPr>
                <w:rFonts w:hint="eastAsia" w:ascii="宋体" w:hAnsi="宋体"/>
                <w:color w:val="auto"/>
                <w:sz w:val="21"/>
                <w:szCs w:val="21"/>
                <w:highlight w:val="none"/>
              </w:rPr>
            </w:pPr>
            <w:r>
              <w:rPr>
                <w:rFonts w:hint="eastAsia" w:ascii="宋体" w:hAnsi="宋体"/>
                <w:color w:val="auto"/>
                <w:sz w:val="21"/>
                <w:szCs w:val="21"/>
                <w:highlight w:val="none"/>
              </w:rPr>
              <w:t>7.3</w:t>
            </w:r>
          </w:p>
        </w:tc>
        <w:tc>
          <w:tcPr>
            <w:tcW w:w="0" w:type="auto"/>
            <w:vAlign w:val="center"/>
          </w:tcPr>
          <w:p w14:paraId="28D91F75">
            <w:pPr>
              <w:jc w:val="center"/>
              <w:rPr>
                <w:rFonts w:hint="eastAsia" w:ascii="宋体" w:hAnsi="宋体"/>
                <w:color w:val="auto"/>
                <w:sz w:val="21"/>
                <w:szCs w:val="21"/>
                <w:highlight w:val="none"/>
              </w:rPr>
            </w:pPr>
            <w:r>
              <w:rPr>
                <w:rFonts w:hint="eastAsia" w:ascii="宋体" w:hAnsi="宋体"/>
                <w:color w:val="auto"/>
                <w:sz w:val="21"/>
                <w:szCs w:val="21"/>
                <w:highlight w:val="none"/>
              </w:rPr>
              <w:t>5.4</w:t>
            </w:r>
          </w:p>
        </w:tc>
        <w:tc>
          <w:tcPr>
            <w:tcW w:w="0" w:type="auto"/>
            <w:vAlign w:val="center"/>
          </w:tcPr>
          <w:p w14:paraId="2C9884FA">
            <w:pPr>
              <w:jc w:val="center"/>
              <w:rPr>
                <w:rFonts w:hint="eastAsia" w:ascii="宋体" w:hAnsi="宋体"/>
                <w:color w:val="auto"/>
                <w:sz w:val="21"/>
                <w:szCs w:val="21"/>
                <w:highlight w:val="none"/>
              </w:rPr>
            </w:pPr>
            <w:r>
              <w:rPr>
                <w:rFonts w:hint="eastAsia" w:ascii="宋体" w:hAnsi="宋体"/>
                <w:color w:val="auto"/>
                <w:sz w:val="21"/>
                <w:szCs w:val="21"/>
                <w:highlight w:val="none"/>
              </w:rPr>
              <w:t>3.0</w:t>
            </w:r>
          </w:p>
        </w:tc>
        <w:tc>
          <w:tcPr>
            <w:tcW w:w="0" w:type="auto"/>
            <w:vAlign w:val="center"/>
          </w:tcPr>
          <w:p w14:paraId="72322A82">
            <w:pPr>
              <w:jc w:val="center"/>
              <w:rPr>
                <w:rFonts w:hint="eastAsia" w:ascii="宋体" w:hAnsi="宋体"/>
                <w:color w:val="auto"/>
                <w:sz w:val="21"/>
                <w:szCs w:val="21"/>
                <w:highlight w:val="none"/>
              </w:rPr>
            </w:pPr>
            <w:r>
              <w:rPr>
                <w:rFonts w:hint="eastAsia" w:ascii="宋体" w:hAnsi="宋体"/>
                <w:color w:val="auto"/>
                <w:sz w:val="21"/>
                <w:szCs w:val="21"/>
                <w:highlight w:val="none"/>
              </w:rPr>
              <w:t>9.5</w:t>
            </w:r>
          </w:p>
        </w:tc>
        <w:tc>
          <w:tcPr>
            <w:tcW w:w="0" w:type="auto"/>
            <w:vAlign w:val="center"/>
          </w:tcPr>
          <w:p w14:paraId="0995A634">
            <w:pPr>
              <w:jc w:val="center"/>
              <w:rPr>
                <w:rFonts w:hint="eastAsia" w:ascii="宋体" w:hAnsi="宋体"/>
                <w:color w:val="auto"/>
                <w:sz w:val="21"/>
                <w:szCs w:val="21"/>
                <w:highlight w:val="none"/>
              </w:rPr>
            </w:pPr>
            <w:r>
              <w:rPr>
                <w:rFonts w:hint="eastAsia" w:ascii="宋体" w:hAnsi="宋体"/>
                <w:color w:val="auto"/>
                <w:sz w:val="21"/>
                <w:szCs w:val="21"/>
                <w:highlight w:val="none"/>
              </w:rPr>
              <w:t>7.9</w:t>
            </w:r>
          </w:p>
        </w:tc>
        <w:tc>
          <w:tcPr>
            <w:tcW w:w="531" w:type="dxa"/>
            <w:vAlign w:val="center"/>
          </w:tcPr>
          <w:p w14:paraId="4D15DECC">
            <w:pPr>
              <w:jc w:val="center"/>
              <w:rPr>
                <w:rFonts w:hint="eastAsia" w:ascii="宋体" w:hAnsi="宋体"/>
                <w:color w:val="auto"/>
                <w:sz w:val="21"/>
                <w:szCs w:val="21"/>
                <w:highlight w:val="none"/>
              </w:rPr>
            </w:pPr>
            <w:r>
              <w:rPr>
                <w:rFonts w:hint="eastAsia" w:ascii="宋体" w:hAnsi="宋体"/>
                <w:color w:val="auto"/>
                <w:sz w:val="21"/>
                <w:szCs w:val="21"/>
                <w:highlight w:val="none"/>
              </w:rPr>
              <w:t>3.5</w:t>
            </w:r>
          </w:p>
        </w:tc>
      </w:tr>
      <w:tr w14:paraId="6639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9F29C8">
            <w:pPr>
              <w:jc w:val="center"/>
              <w:rPr>
                <w:rFonts w:hint="eastAsia" w:ascii="宋体" w:hAnsi="宋体"/>
                <w:color w:val="auto"/>
                <w:sz w:val="21"/>
                <w:szCs w:val="21"/>
                <w:highlight w:val="none"/>
              </w:rPr>
            </w:pPr>
            <w:r>
              <w:rPr>
                <w:rFonts w:hint="eastAsia" w:ascii="宋体" w:hAnsi="宋体"/>
                <w:color w:val="auto"/>
                <w:sz w:val="21"/>
                <w:szCs w:val="21"/>
                <w:highlight w:val="none"/>
              </w:rPr>
              <w:t>11.0</w:t>
            </w:r>
          </w:p>
        </w:tc>
        <w:tc>
          <w:tcPr>
            <w:tcW w:w="0" w:type="auto"/>
            <w:vAlign w:val="center"/>
          </w:tcPr>
          <w:p w14:paraId="6412BB51">
            <w:pPr>
              <w:jc w:val="center"/>
              <w:rPr>
                <w:rFonts w:hint="eastAsia" w:ascii="宋体" w:hAnsi="宋体"/>
                <w:color w:val="auto"/>
                <w:sz w:val="21"/>
                <w:szCs w:val="21"/>
                <w:highlight w:val="none"/>
              </w:rPr>
            </w:pPr>
            <w:r>
              <w:rPr>
                <w:rFonts w:hint="eastAsia" w:ascii="宋体" w:hAnsi="宋体"/>
                <w:color w:val="auto"/>
                <w:sz w:val="21"/>
                <w:szCs w:val="21"/>
                <w:highlight w:val="none"/>
              </w:rPr>
              <w:t>38</w:t>
            </w:r>
          </w:p>
        </w:tc>
        <w:tc>
          <w:tcPr>
            <w:tcW w:w="0" w:type="auto"/>
            <w:vAlign w:val="center"/>
          </w:tcPr>
          <w:p w14:paraId="3DA8EE37">
            <w:pPr>
              <w:jc w:val="center"/>
              <w:rPr>
                <w:rFonts w:hint="eastAsia" w:ascii="宋体" w:hAnsi="宋体"/>
                <w:color w:val="auto"/>
                <w:sz w:val="21"/>
                <w:szCs w:val="21"/>
                <w:highlight w:val="none"/>
              </w:rPr>
            </w:pPr>
            <w:r>
              <w:rPr>
                <w:rFonts w:hint="eastAsia" w:ascii="宋体" w:hAnsi="宋体"/>
                <w:color w:val="auto"/>
                <w:sz w:val="21"/>
                <w:szCs w:val="21"/>
                <w:highlight w:val="none"/>
              </w:rPr>
              <w:t>3.25</w:t>
            </w:r>
          </w:p>
        </w:tc>
        <w:tc>
          <w:tcPr>
            <w:tcW w:w="0" w:type="auto"/>
            <w:vAlign w:val="center"/>
          </w:tcPr>
          <w:p w14:paraId="14C77B04">
            <w:pPr>
              <w:jc w:val="center"/>
              <w:rPr>
                <w:rFonts w:hint="eastAsia" w:ascii="宋体" w:hAnsi="宋体"/>
                <w:color w:val="auto"/>
                <w:sz w:val="21"/>
                <w:szCs w:val="21"/>
                <w:highlight w:val="none"/>
              </w:rPr>
            </w:pPr>
            <w:r>
              <w:rPr>
                <w:rFonts w:hint="eastAsia" w:ascii="宋体" w:hAnsi="宋体"/>
                <w:color w:val="auto"/>
                <w:sz w:val="21"/>
                <w:szCs w:val="21"/>
                <w:highlight w:val="none"/>
              </w:rPr>
              <w:t>4.3</w:t>
            </w:r>
          </w:p>
        </w:tc>
        <w:tc>
          <w:tcPr>
            <w:tcW w:w="0" w:type="auto"/>
            <w:vAlign w:val="center"/>
          </w:tcPr>
          <w:p w14:paraId="43C7036C">
            <w:pPr>
              <w:jc w:val="center"/>
              <w:rPr>
                <w:rFonts w:hint="eastAsia" w:ascii="宋体" w:hAnsi="宋体"/>
                <w:color w:val="auto"/>
                <w:sz w:val="21"/>
                <w:szCs w:val="21"/>
                <w:highlight w:val="none"/>
              </w:rPr>
            </w:pPr>
            <w:r>
              <w:rPr>
                <w:rFonts w:hint="eastAsia" w:ascii="宋体" w:hAnsi="宋体"/>
                <w:color w:val="auto"/>
                <w:sz w:val="21"/>
                <w:szCs w:val="21"/>
                <w:highlight w:val="none"/>
              </w:rPr>
              <w:t>2.6</w:t>
            </w:r>
          </w:p>
        </w:tc>
        <w:tc>
          <w:tcPr>
            <w:tcW w:w="0" w:type="auto"/>
            <w:vAlign w:val="center"/>
          </w:tcPr>
          <w:p w14:paraId="44DB1E33">
            <w:pPr>
              <w:jc w:val="center"/>
              <w:rPr>
                <w:rFonts w:hint="eastAsia" w:ascii="宋体" w:hAnsi="宋体"/>
                <w:color w:val="auto"/>
                <w:sz w:val="21"/>
                <w:szCs w:val="21"/>
                <w:highlight w:val="none"/>
              </w:rPr>
            </w:pPr>
            <w:r>
              <w:rPr>
                <w:rFonts w:hint="eastAsia" w:ascii="宋体" w:hAnsi="宋体"/>
                <w:color w:val="auto"/>
                <w:sz w:val="21"/>
                <w:szCs w:val="21"/>
                <w:highlight w:val="none"/>
              </w:rPr>
              <w:t>1.9</w:t>
            </w:r>
          </w:p>
        </w:tc>
        <w:tc>
          <w:tcPr>
            <w:tcW w:w="0" w:type="auto"/>
            <w:vAlign w:val="center"/>
          </w:tcPr>
          <w:p w14:paraId="25226DCF">
            <w:pPr>
              <w:jc w:val="center"/>
              <w:rPr>
                <w:rFonts w:hint="eastAsia" w:ascii="宋体" w:hAnsi="宋体"/>
                <w:color w:val="auto"/>
                <w:sz w:val="21"/>
                <w:szCs w:val="21"/>
                <w:highlight w:val="none"/>
              </w:rPr>
            </w:pPr>
            <w:r>
              <w:rPr>
                <w:rFonts w:hint="eastAsia" w:ascii="宋体" w:hAnsi="宋体"/>
                <w:color w:val="auto"/>
                <w:sz w:val="21"/>
                <w:szCs w:val="21"/>
                <w:highlight w:val="none"/>
              </w:rPr>
              <w:t>6.2</w:t>
            </w:r>
          </w:p>
        </w:tc>
        <w:tc>
          <w:tcPr>
            <w:tcW w:w="0" w:type="auto"/>
            <w:vAlign w:val="center"/>
          </w:tcPr>
          <w:p w14:paraId="34DB6B87">
            <w:pPr>
              <w:jc w:val="center"/>
              <w:rPr>
                <w:rFonts w:hint="eastAsia" w:ascii="宋体" w:hAnsi="宋体"/>
                <w:color w:val="auto"/>
                <w:sz w:val="21"/>
                <w:szCs w:val="21"/>
                <w:highlight w:val="none"/>
              </w:rPr>
            </w:pPr>
            <w:r>
              <w:rPr>
                <w:rFonts w:hint="eastAsia" w:ascii="宋体" w:hAnsi="宋体"/>
                <w:color w:val="auto"/>
                <w:sz w:val="21"/>
                <w:szCs w:val="21"/>
                <w:highlight w:val="none"/>
              </w:rPr>
              <w:t>3.9</w:t>
            </w:r>
          </w:p>
        </w:tc>
        <w:tc>
          <w:tcPr>
            <w:tcW w:w="0" w:type="auto"/>
            <w:vAlign w:val="center"/>
          </w:tcPr>
          <w:p w14:paraId="60B8DEE7">
            <w:pPr>
              <w:jc w:val="center"/>
              <w:rPr>
                <w:rFonts w:hint="eastAsia" w:ascii="宋体" w:hAnsi="宋体"/>
                <w:color w:val="auto"/>
                <w:sz w:val="21"/>
                <w:szCs w:val="21"/>
                <w:highlight w:val="none"/>
              </w:rPr>
            </w:pPr>
            <w:r>
              <w:rPr>
                <w:rFonts w:hint="eastAsia" w:ascii="宋体" w:hAnsi="宋体"/>
                <w:color w:val="auto"/>
                <w:sz w:val="21"/>
                <w:szCs w:val="21"/>
                <w:highlight w:val="none"/>
              </w:rPr>
              <w:t>2.5</w:t>
            </w:r>
          </w:p>
        </w:tc>
        <w:tc>
          <w:tcPr>
            <w:tcW w:w="0" w:type="auto"/>
            <w:vAlign w:val="center"/>
          </w:tcPr>
          <w:p w14:paraId="2F4C1AFC">
            <w:pPr>
              <w:jc w:val="center"/>
              <w:rPr>
                <w:rFonts w:hint="eastAsia" w:ascii="宋体" w:hAnsi="宋体"/>
                <w:color w:val="auto"/>
                <w:sz w:val="21"/>
                <w:szCs w:val="21"/>
                <w:highlight w:val="none"/>
              </w:rPr>
            </w:pPr>
            <w:r>
              <w:rPr>
                <w:rFonts w:hint="eastAsia" w:ascii="宋体" w:hAnsi="宋体"/>
                <w:color w:val="auto"/>
                <w:sz w:val="21"/>
                <w:szCs w:val="21"/>
                <w:highlight w:val="none"/>
              </w:rPr>
              <w:t>8.0</w:t>
            </w:r>
          </w:p>
        </w:tc>
        <w:tc>
          <w:tcPr>
            <w:tcW w:w="0" w:type="auto"/>
            <w:vAlign w:val="center"/>
          </w:tcPr>
          <w:p w14:paraId="15B411F0">
            <w:pPr>
              <w:jc w:val="center"/>
              <w:rPr>
                <w:rFonts w:hint="eastAsia" w:ascii="宋体" w:hAnsi="宋体"/>
                <w:color w:val="auto"/>
                <w:sz w:val="21"/>
                <w:szCs w:val="21"/>
                <w:highlight w:val="none"/>
              </w:rPr>
            </w:pPr>
            <w:r>
              <w:rPr>
                <w:rFonts w:hint="eastAsia" w:ascii="宋体" w:hAnsi="宋体"/>
                <w:color w:val="auto"/>
                <w:sz w:val="21"/>
                <w:szCs w:val="21"/>
                <w:highlight w:val="none"/>
              </w:rPr>
              <w:t>4.9</w:t>
            </w:r>
          </w:p>
        </w:tc>
        <w:tc>
          <w:tcPr>
            <w:tcW w:w="0" w:type="auto"/>
            <w:vAlign w:val="center"/>
          </w:tcPr>
          <w:p w14:paraId="3820D63E">
            <w:pPr>
              <w:jc w:val="center"/>
              <w:rPr>
                <w:rFonts w:hint="eastAsia" w:ascii="宋体" w:hAnsi="宋体"/>
                <w:color w:val="auto"/>
                <w:sz w:val="21"/>
                <w:szCs w:val="21"/>
                <w:highlight w:val="none"/>
              </w:rPr>
            </w:pPr>
            <w:r>
              <w:rPr>
                <w:rFonts w:hint="eastAsia" w:ascii="宋体" w:hAnsi="宋体"/>
                <w:color w:val="auto"/>
                <w:sz w:val="21"/>
                <w:szCs w:val="21"/>
                <w:highlight w:val="none"/>
              </w:rPr>
              <w:t>3.0</w:t>
            </w:r>
          </w:p>
        </w:tc>
        <w:tc>
          <w:tcPr>
            <w:tcW w:w="0" w:type="auto"/>
            <w:vAlign w:val="center"/>
          </w:tcPr>
          <w:p w14:paraId="5EC7C8E3">
            <w:pPr>
              <w:jc w:val="center"/>
              <w:rPr>
                <w:rFonts w:hint="eastAsia" w:ascii="宋体" w:hAnsi="宋体"/>
                <w:color w:val="auto"/>
                <w:sz w:val="21"/>
                <w:szCs w:val="21"/>
                <w:highlight w:val="none"/>
              </w:rPr>
            </w:pPr>
            <w:r>
              <w:rPr>
                <w:rFonts w:hint="eastAsia" w:ascii="宋体" w:hAnsi="宋体"/>
                <w:color w:val="auto"/>
                <w:sz w:val="21"/>
                <w:szCs w:val="21"/>
                <w:highlight w:val="none"/>
              </w:rPr>
              <w:t>10.5</w:t>
            </w:r>
          </w:p>
        </w:tc>
        <w:tc>
          <w:tcPr>
            <w:tcW w:w="0" w:type="auto"/>
            <w:vAlign w:val="center"/>
          </w:tcPr>
          <w:p w14:paraId="3172876E">
            <w:pPr>
              <w:jc w:val="center"/>
              <w:rPr>
                <w:rFonts w:hint="eastAsia" w:ascii="宋体" w:hAnsi="宋体"/>
                <w:color w:val="auto"/>
                <w:sz w:val="21"/>
                <w:szCs w:val="21"/>
                <w:highlight w:val="none"/>
              </w:rPr>
            </w:pPr>
            <w:r>
              <w:rPr>
                <w:rFonts w:hint="eastAsia" w:ascii="宋体" w:hAnsi="宋体"/>
                <w:color w:val="auto"/>
                <w:sz w:val="21"/>
                <w:szCs w:val="21"/>
                <w:highlight w:val="none"/>
              </w:rPr>
              <w:t>7.4</w:t>
            </w:r>
          </w:p>
        </w:tc>
        <w:tc>
          <w:tcPr>
            <w:tcW w:w="531" w:type="dxa"/>
            <w:vAlign w:val="center"/>
          </w:tcPr>
          <w:p w14:paraId="11C24E12">
            <w:pPr>
              <w:jc w:val="center"/>
              <w:rPr>
                <w:rFonts w:hint="eastAsia" w:ascii="宋体" w:hAnsi="宋体"/>
                <w:color w:val="auto"/>
                <w:sz w:val="21"/>
                <w:szCs w:val="21"/>
                <w:highlight w:val="none"/>
              </w:rPr>
            </w:pPr>
            <w:r>
              <w:rPr>
                <w:rFonts w:hint="eastAsia" w:ascii="宋体" w:hAnsi="宋体"/>
                <w:color w:val="auto"/>
                <w:sz w:val="21"/>
                <w:szCs w:val="21"/>
                <w:highlight w:val="none"/>
              </w:rPr>
              <w:t>3.7</w:t>
            </w:r>
          </w:p>
        </w:tc>
      </w:tr>
      <w:tr w14:paraId="041E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197E2A">
            <w:pPr>
              <w:jc w:val="center"/>
              <w:rPr>
                <w:rFonts w:hint="eastAsia" w:ascii="宋体" w:hAnsi="宋体"/>
                <w:color w:val="auto"/>
                <w:sz w:val="21"/>
                <w:szCs w:val="21"/>
                <w:highlight w:val="none"/>
              </w:rPr>
            </w:pPr>
            <w:r>
              <w:rPr>
                <w:rFonts w:hint="eastAsia" w:ascii="宋体" w:hAnsi="宋体"/>
                <w:color w:val="auto"/>
                <w:sz w:val="21"/>
                <w:szCs w:val="21"/>
                <w:highlight w:val="none"/>
              </w:rPr>
              <w:t>12.5</w:t>
            </w:r>
          </w:p>
        </w:tc>
        <w:tc>
          <w:tcPr>
            <w:tcW w:w="0" w:type="auto"/>
            <w:vAlign w:val="center"/>
          </w:tcPr>
          <w:p w14:paraId="3709F4EA">
            <w:pPr>
              <w:jc w:val="center"/>
              <w:rPr>
                <w:rFonts w:hint="eastAsia" w:ascii="宋体" w:hAnsi="宋体"/>
                <w:color w:val="auto"/>
                <w:sz w:val="21"/>
                <w:szCs w:val="21"/>
                <w:highlight w:val="none"/>
              </w:rPr>
            </w:pPr>
            <w:r>
              <w:rPr>
                <w:rFonts w:hint="eastAsia" w:ascii="宋体" w:hAnsi="宋体"/>
                <w:color w:val="auto"/>
                <w:sz w:val="21"/>
                <w:szCs w:val="21"/>
                <w:highlight w:val="none"/>
              </w:rPr>
              <w:t>38</w:t>
            </w:r>
          </w:p>
        </w:tc>
        <w:tc>
          <w:tcPr>
            <w:tcW w:w="0" w:type="auto"/>
            <w:vAlign w:val="center"/>
          </w:tcPr>
          <w:p w14:paraId="14057ED1">
            <w:pPr>
              <w:jc w:val="center"/>
              <w:rPr>
                <w:rFonts w:hint="eastAsia" w:ascii="宋体" w:hAnsi="宋体"/>
                <w:color w:val="auto"/>
                <w:sz w:val="21"/>
                <w:szCs w:val="21"/>
                <w:highlight w:val="none"/>
              </w:rPr>
            </w:pPr>
            <w:r>
              <w:rPr>
                <w:rFonts w:hint="eastAsia" w:ascii="宋体" w:hAnsi="宋体"/>
                <w:color w:val="auto"/>
                <w:sz w:val="21"/>
                <w:szCs w:val="21"/>
                <w:highlight w:val="none"/>
              </w:rPr>
              <w:t>3.25</w:t>
            </w:r>
          </w:p>
        </w:tc>
        <w:tc>
          <w:tcPr>
            <w:tcW w:w="0" w:type="auto"/>
            <w:vAlign w:val="center"/>
          </w:tcPr>
          <w:p w14:paraId="31DEC82E">
            <w:pPr>
              <w:jc w:val="center"/>
              <w:rPr>
                <w:rFonts w:hint="eastAsia" w:ascii="宋体" w:hAnsi="宋体"/>
                <w:color w:val="auto"/>
                <w:sz w:val="21"/>
                <w:szCs w:val="21"/>
                <w:highlight w:val="none"/>
              </w:rPr>
            </w:pPr>
            <w:r>
              <w:rPr>
                <w:rFonts w:hint="eastAsia" w:ascii="宋体" w:hAnsi="宋体"/>
                <w:color w:val="auto"/>
                <w:sz w:val="21"/>
                <w:szCs w:val="21"/>
                <w:highlight w:val="none"/>
              </w:rPr>
              <w:t>4.7</w:t>
            </w:r>
          </w:p>
        </w:tc>
        <w:tc>
          <w:tcPr>
            <w:tcW w:w="0" w:type="auto"/>
            <w:vAlign w:val="center"/>
          </w:tcPr>
          <w:p w14:paraId="4AB265A7">
            <w:pPr>
              <w:jc w:val="center"/>
              <w:rPr>
                <w:rFonts w:hint="eastAsia" w:ascii="宋体" w:hAnsi="宋体"/>
                <w:color w:val="auto"/>
                <w:sz w:val="21"/>
                <w:szCs w:val="21"/>
                <w:highlight w:val="none"/>
              </w:rPr>
            </w:pPr>
            <w:r>
              <w:rPr>
                <w:rFonts w:hint="eastAsia" w:ascii="宋体" w:hAnsi="宋体"/>
                <w:color w:val="auto"/>
                <w:sz w:val="21"/>
                <w:szCs w:val="21"/>
                <w:highlight w:val="none"/>
              </w:rPr>
              <w:t>2.3</w:t>
            </w:r>
          </w:p>
        </w:tc>
        <w:tc>
          <w:tcPr>
            <w:tcW w:w="0" w:type="auto"/>
            <w:vAlign w:val="center"/>
          </w:tcPr>
          <w:p w14:paraId="38F28272">
            <w:pPr>
              <w:jc w:val="center"/>
              <w:rPr>
                <w:rFonts w:hint="eastAsia" w:ascii="宋体" w:hAnsi="宋体"/>
                <w:color w:val="auto"/>
                <w:sz w:val="21"/>
                <w:szCs w:val="21"/>
                <w:highlight w:val="none"/>
              </w:rPr>
            </w:pPr>
            <w:r>
              <w:rPr>
                <w:rFonts w:hint="eastAsia" w:ascii="宋体" w:hAnsi="宋体"/>
                <w:color w:val="auto"/>
                <w:sz w:val="21"/>
                <w:szCs w:val="21"/>
                <w:highlight w:val="none"/>
              </w:rPr>
              <w:t>1.8</w:t>
            </w:r>
          </w:p>
        </w:tc>
        <w:tc>
          <w:tcPr>
            <w:tcW w:w="0" w:type="auto"/>
            <w:vAlign w:val="center"/>
          </w:tcPr>
          <w:p w14:paraId="4A8333E5">
            <w:pPr>
              <w:jc w:val="center"/>
              <w:rPr>
                <w:rFonts w:hint="eastAsia" w:ascii="宋体" w:hAnsi="宋体"/>
                <w:color w:val="auto"/>
                <w:sz w:val="21"/>
                <w:szCs w:val="21"/>
                <w:highlight w:val="none"/>
              </w:rPr>
            </w:pPr>
            <w:r>
              <w:rPr>
                <w:rFonts w:hint="eastAsia" w:ascii="宋体" w:hAnsi="宋体"/>
                <w:color w:val="auto"/>
                <w:sz w:val="21"/>
                <w:szCs w:val="21"/>
                <w:highlight w:val="none"/>
              </w:rPr>
              <w:t>6.8</w:t>
            </w:r>
          </w:p>
        </w:tc>
        <w:tc>
          <w:tcPr>
            <w:tcW w:w="0" w:type="auto"/>
            <w:vAlign w:val="center"/>
          </w:tcPr>
          <w:p w14:paraId="266AA1EC">
            <w:pPr>
              <w:jc w:val="center"/>
              <w:rPr>
                <w:rFonts w:hint="eastAsia" w:ascii="宋体" w:hAnsi="宋体"/>
                <w:color w:val="auto"/>
                <w:sz w:val="21"/>
                <w:szCs w:val="21"/>
                <w:highlight w:val="none"/>
              </w:rPr>
            </w:pPr>
            <w:r>
              <w:rPr>
                <w:rFonts w:hint="eastAsia" w:ascii="宋体" w:hAnsi="宋体"/>
                <w:color w:val="auto"/>
                <w:sz w:val="21"/>
                <w:szCs w:val="21"/>
                <w:highlight w:val="none"/>
              </w:rPr>
              <w:t>3.3</w:t>
            </w:r>
          </w:p>
        </w:tc>
        <w:tc>
          <w:tcPr>
            <w:tcW w:w="0" w:type="auto"/>
            <w:vAlign w:val="center"/>
          </w:tcPr>
          <w:p w14:paraId="63D2AA62">
            <w:pPr>
              <w:jc w:val="center"/>
              <w:rPr>
                <w:rFonts w:hint="eastAsia" w:ascii="宋体" w:hAnsi="宋体"/>
                <w:color w:val="auto"/>
                <w:sz w:val="21"/>
                <w:szCs w:val="21"/>
                <w:highlight w:val="none"/>
              </w:rPr>
            </w:pPr>
            <w:r>
              <w:rPr>
                <w:rFonts w:hint="eastAsia" w:ascii="宋体" w:hAnsi="宋体"/>
                <w:color w:val="auto"/>
                <w:sz w:val="21"/>
                <w:szCs w:val="21"/>
                <w:highlight w:val="none"/>
              </w:rPr>
              <w:t>2.3</w:t>
            </w:r>
          </w:p>
        </w:tc>
        <w:tc>
          <w:tcPr>
            <w:tcW w:w="0" w:type="auto"/>
            <w:vAlign w:val="center"/>
          </w:tcPr>
          <w:p w14:paraId="23DF4EAA">
            <w:pPr>
              <w:jc w:val="center"/>
              <w:rPr>
                <w:rFonts w:hint="eastAsia" w:ascii="宋体" w:hAnsi="宋体"/>
                <w:color w:val="auto"/>
                <w:sz w:val="21"/>
                <w:szCs w:val="21"/>
                <w:highlight w:val="none"/>
              </w:rPr>
            </w:pPr>
            <w:r>
              <w:rPr>
                <w:rFonts w:hint="eastAsia" w:ascii="宋体" w:hAnsi="宋体"/>
                <w:color w:val="auto"/>
                <w:sz w:val="21"/>
                <w:szCs w:val="21"/>
                <w:highlight w:val="none"/>
              </w:rPr>
              <w:t>8.7</w:t>
            </w:r>
          </w:p>
        </w:tc>
        <w:tc>
          <w:tcPr>
            <w:tcW w:w="0" w:type="auto"/>
            <w:vAlign w:val="center"/>
          </w:tcPr>
          <w:p w14:paraId="48D99A29">
            <w:pPr>
              <w:jc w:val="center"/>
              <w:rPr>
                <w:rFonts w:hint="eastAsia" w:ascii="宋体" w:hAnsi="宋体"/>
                <w:color w:val="auto"/>
                <w:sz w:val="21"/>
                <w:szCs w:val="21"/>
                <w:highlight w:val="none"/>
              </w:rPr>
            </w:pPr>
            <w:r>
              <w:rPr>
                <w:rFonts w:hint="eastAsia" w:ascii="宋体" w:hAnsi="宋体"/>
                <w:color w:val="auto"/>
                <w:sz w:val="21"/>
                <w:szCs w:val="21"/>
                <w:highlight w:val="none"/>
              </w:rPr>
              <w:t>4.4</w:t>
            </w:r>
          </w:p>
        </w:tc>
        <w:tc>
          <w:tcPr>
            <w:tcW w:w="0" w:type="auto"/>
            <w:vAlign w:val="center"/>
          </w:tcPr>
          <w:p w14:paraId="5EFBFEE5">
            <w:pPr>
              <w:jc w:val="center"/>
              <w:rPr>
                <w:rFonts w:hint="eastAsia" w:ascii="宋体" w:hAnsi="宋体"/>
                <w:color w:val="auto"/>
                <w:sz w:val="21"/>
                <w:szCs w:val="21"/>
                <w:highlight w:val="none"/>
              </w:rPr>
            </w:pPr>
            <w:r>
              <w:rPr>
                <w:rFonts w:hint="eastAsia" w:ascii="宋体" w:hAnsi="宋体"/>
                <w:color w:val="auto"/>
                <w:sz w:val="21"/>
                <w:szCs w:val="21"/>
                <w:highlight w:val="none"/>
              </w:rPr>
              <w:t>2.6</w:t>
            </w:r>
          </w:p>
        </w:tc>
        <w:tc>
          <w:tcPr>
            <w:tcW w:w="0" w:type="auto"/>
            <w:vAlign w:val="center"/>
          </w:tcPr>
          <w:p w14:paraId="046E7588">
            <w:pPr>
              <w:jc w:val="center"/>
              <w:rPr>
                <w:rFonts w:hint="eastAsia" w:ascii="宋体" w:hAnsi="宋体"/>
                <w:color w:val="auto"/>
                <w:sz w:val="21"/>
                <w:szCs w:val="21"/>
                <w:highlight w:val="none"/>
              </w:rPr>
            </w:pPr>
            <w:r>
              <w:rPr>
                <w:rFonts w:hint="eastAsia" w:ascii="宋体" w:hAnsi="宋体"/>
                <w:color w:val="auto"/>
                <w:sz w:val="21"/>
                <w:szCs w:val="21"/>
                <w:highlight w:val="none"/>
              </w:rPr>
              <w:t>11.4</w:t>
            </w:r>
          </w:p>
        </w:tc>
        <w:tc>
          <w:tcPr>
            <w:tcW w:w="0" w:type="auto"/>
            <w:vAlign w:val="center"/>
          </w:tcPr>
          <w:p w14:paraId="1C9F89D2">
            <w:pPr>
              <w:jc w:val="center"/>
              <w:rPr>
                <w:rFonts w:hint="eastAsia" w:ascii="宋体" w:hAnsi="宋体"/>
                <w:color w:val="auto"/>
                <w:sz w:val="21"/>
                <w:szCs w:val="21"/>
                <w:highlight w:val="none"/>
              </w:rPr>
            </w:pPr>
            <w:r>
              <w:rPr>
                <w:rFonts w:hint="eastAsia" w:ascii="宋体" w:hAnsi="宋体"/>
                <w:color w:val="auto"/>
                <w:sz w:val="21"/>
                <w:szCs w:val="21"/>
                <w:highlight w:val="none"/>
              </w:rPr>
              <w:t>6.8</w:t>
            </w:r>
          </w:p>
        </w:tc>
        <w:tc>
          <w:tcPr>
            <w:tcW w:w="531" w:type="dxa"/>
            <w:vAlign w:val="center"/>
          </w:tcPr>
          <w:p w14:paraId="2F770599">
            <w:pPr>
              <w:jc w:val="center"/>
              <w:rPr>
                <w:rFonts w:hint="eastAsia" w:ascii="宋体" w:hAnsi="宋体"/>
                <w:color w:val="auto"/>
                <w:sz w:val="21"/>
                <w:szCs w:val="21"/>
                <w:highlight w:val="none"/>
              </w:rPr>
            </w:pPr>
            <w:r>
              <w:rPr>
                <w:rFonts w:hint="eastAsia" w:ascii="宋体" w:hAnsi="宋体"/>
                <w:color w:val="auto"/>
                <w:sz w:val="21"/>
                <w:szCs w:val="21"/>
                <w:highlight w:val="none"/>
              </w:rPr>
              <w:t>3.5</w:t>
            </w:r>
          </w:p>
        </w:tc>
      </w:tr>
      <w:tr w14:paraId="6446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AB485F">
            <w:pPr>
              <w:jc w:val="center"/>
              <w:rPr>
                <w:rFonts w:hint="eastAsia" w:ascii="宋体" w:hAnsi="宋体"/>
                <w:color w:val="auto"/>
                <w:sz w:val="21"/>
                <w:szCs w:val="21"/>
                <w:highlight w:val="none"/>
              </w:rPr>
            </w:pPr>
            <w:r>
              <w:rPr>
                <w:rFonts w:hint="eastAsia" w:ascii="宋体" w:hAnsi="宋体"/>
                <w:color w:val="auto"/>
                <w:sz w:val="21"/>
                <w:szCs w:val="21"/>
                <w:highlight w:val="none"/>
              </w:rPr>
              <w:t>12.5</w:t>
            </w:r>
          </w:p>
        </w:tc>
        <w:tc>
          <w:tcPr>
            <w:tcW w:w="0" w:type="auto"/>
            <w:vAlign w:val="center"/>
          </w:tcPr>
          <w:p w14:paraId="660427CC">
            <w:pPr>
              <w:jc w:val="center"/>
              <w:rPr>
                <w:rFonts w:hint="eastAsia" w:ascii="宋体" w:hAnsi="宋体"/>
                <w:color w:val="auto"/>
                <w:sz w:val="21"/>
                <w:szCs w:val="21"/>
                <w:highlight w:val="none"/>
              </w:rPr>
            </w:pPr>
            <w:r>
              <w:rPr>
                <w:rFonts w:hint="eastAsia" w:ascii="宋体" w:hAnsi="宋体"/>
                <w:color w:val="auto"/>
                <w:sz w:val="21"/>
                <w:szCs w:val="21"/>
                <w:highlight w:val="none"/>
              </w:rPr>
              <w:t>41</w:t>
            </w:r>
          </w:p>
        </w:tc>
        <w:tc>
          <w:tcPr>
            <w:tcW w:w="0" w:type="auto"/>
            <w:vAlign w:val="center"/>
          </w:tcPr>
          <w:p w14:paraId="48779B4B">
            <w:pPr>
              <w:jc w:val="center"/>
              <w:rPr>
                <w:rFonts w:hint="eastAsia" w:ascii="宋体" w:hAnsi="宋体"/>
                <w:color w:val="auto"/>
                <w:sz w:val="21"/>
                <w:szCs w:val="21"/>
                <w:highlight w:val="none"/>
              </w:rPr>
            </w:pPr>
            <w:r>
              <w:rPr>
                <w:rFonts w:hint="eastAsia" w:ascii="宋体" w:hAnsi="宋体"/>
                <w:color w:val="auto"/>
                <w:sz w:val="21"/>
                <w:szCs w:val="21"/>
                <w:highlight w:val="none"/>
              </w:rPr>
              <w:t>3.66</w:t>
            </w:r>
          </w:p>
        </w:tc>
        <w:tc>
          <w:tcPr>
            <w:tcW w:w="0" w:type="auto"/>
            <w:vAlign w:val="center"/>
          </w:tcPr>
          <w:p w14:paraId="2F8D7273">
            <w:pPr>
              <w:jc w:val="center"/>
              <w:rPr>
                <w:rFonts w:hint="eastAsia" w:ascii="宋体" w:hAnsi="宋体"/>
                <w:color w:val="auto"/>
                <w:sz w:val="21"/>
                <w:szCs w:val="21"/>
                <w:highlight w:val="none"/>
              </w:rPr>
            </w:pPr>
            <w:r>
              <w:rPr>
                <w:rFonts w:hint="eastAsia" w:ascii="宋体" w:hAnsi="宋体"/>
                <w:color w:val="auto"/>
                <w:sz w:val="21"/>
                <w:szCs w:val="21"/>
                <w:highlight w:val="none"/>
              </w:rPr>
              <w:t>5.5</w:t>
            </w:r>
          </w:p>
        </w:tc>
        <w:tc>
          <w:tcPr>
            <w:tcW w:w="0" w:type="auto"/>
            <w:vAlign w:val="center"/>
          </w:tcPr>
          <w:p w14:paraId="606C7653">
            <w:pPr>
              <w:jc w:val="center"/>
              <w:rPr>
                <w:rFonts w:hint="eastAsia" w:ascii="宋体" w:hAnsi="宋体"/>
                <w:color w:val="auto"/>
                <w:sz w:val="21"/>
                <w:szCs w:val="21"/>
                <w:highlight w:val="none"/>
              </w:rPr>
            </w:pPr>
            <w:r>
              <w:rPr>
                <w:rFonts w:hint="eastAsia" w:ascii="宋体" w:hAnsi="宋体"/>
                <w:color w:val="auto"/>
                <w:sz w:val="21"/>
                <w:szCs w:val="21"/>
                <w:highlight w:val="none"/>
              </w:rPr>
              <w:t>3.9</w:t>
            </w:r>
          </w:p>
        </w:tc>
        <w:tc>
          <w:tcPr>
            <w:tcW w:w="0" w:type="auto"/>
            <w:vAlign w:val="center"/>
          </w:tcPr>
          <w:p w14:paraId="3C04321B">
            <w:pPr>
              <w:jc w:val="center"/>
              <w:rPr>
                <w:rFonts w:hint="eastAsia" w:ascii="宋体" w:hAnsi="宋体"/>
                <w:color w:val="auto"/>
                <w:sz w:val="21"/>
                <w:szCs w:val="21"/>
                <w:highlight w:val="none"/>
              </w:rPr>
            </w:pPr>
            <w:r>
              <w:rPr>
                <w:rFonts w:hint="eastAsia" w:ascii="宋体" w:hAnsi="宋体"/>
                <w:color w:val="auto"/>
                <w:sz w:val="21"/>
                <w:szCs w:val="21"/>
                <w:highlight w:val="none"/>
              </w:rPr>
              <w:t>2.5</w:t>
            </w:r>
          </w:p>
        </w:tc>
        <w:tc>
          <w:tcPr>
            <w:tcW w:w="0" w:type="auto"/>
            <w:vAlign w:val="center"/>
          </w:tcPr>
          <w:p w14:paraId="08031B7D">
            <w:pPr>
              <w:jc w:val="center"/>
              <w:rPr>
                <w:rFonts w:hint="eastAsia" w:ascii="宋体" w:hAnsi="宋体"/>
                <w:color w:val="auto"/>
                <w:sz w:val="21"/>
                <w:szCs w:val="21"/>
                <w:highlight w:val="none"/>
              </w:rPr>
            </w:pPr>
            <w:r>
              <w:rPr>
                <w:rFonts w:hint="eastAsia" w:ascii="宋体" w:hAnsi="宋体"/>
                <w:color w:val="auto"/>
                <w:sz w:val="21"/>
                <w:szCs w:val="21"/>
                <w:highlight w:val="none"/>
              </w:rPr>
              <w:t>8.2</w:t>
            </w:r>
          </w:p>
        </w:tc>
        <w:tc>
          <w:tcPr>
            <w:tcW w:w="0" w:type="auto"/>
            <w:vAlign w:val="center"/>
          </w:tcPr>
          <w:p w14:paraId="7A42508A">
            <w:pPr>
              <w:jc w:val="center"/>
              <w:rPr>
                <w:rFonts w:hint="eastAsia" w:ascii="宋体" w:hAnsi="宋体"/>
                <w:color w:val="auto"/>
                <w:sz w:val="21"/>
                <w:szCs w:val="21"/>
                <w:highlight w:val="none"/>
              </w:rPr>
            </w:pPr>
            <w:r>
              <w:rPr>
                <w:rFonts w:hint="eastAsia" w:ascii="宋体" w:hAnsi="宋体"/>
                <w:color w:val="auto"/>
                <w:sz w:val="21"/>
                <w:szCs w:val="21"/>
                <w:highlight w:val="none"/>
              </w:rPr>
              <w:t>5.3</w:t>
            </w:r>
          </w:p>
        </w:tc>
        <w:tc>
          <w:tcPr>
            <w:tcW w:w="0" w:type="auto"/>
            <w:vAlign w:val="center"/>
          </w:tcPr>
          <w:p w14:paraId="5D18BEEF">
            <w:pPr>
              <w:jc w:val="center"/>
              <w:rPr>
                <w:rFonts w:hint="eastAsia" w:ascii="宋体" w:hAnsi="宋体"/>
                <w:color w:val="auto"/>
                <w:sz w:val="21"/>
                <w:szCs w:val="21"/>
                <w:highlight w:val="none"/>
              </w:rPr>
            </w:pPr>
            <w:r>
              <w:rPr>
                <w:rFonts w:hint="eastAsia" w:ascii="宋体" w:hAnsi="宋体"/>
                <w:color w:val="auto"/>
                <w:sz w:val="21"/>
                <w:szCs w:val="21"/>
                <w:highlight w:val="none"/>
              </w:rPr>
              <w:t>3.0</w:t>
            </w:r>
          </w:p>
        </w:tc>
        <w:tc>
          <w:tcPr>
            <w:tcW w:w="0" w:type="auto"/>
            <w:vAlign w:val="center"/>
          </w:tcPr>
          <w:p w14:paraId="1961B9F5">
            <w:pPr>
              <w:jc w:val="center"/>
              <w:rPr>
                <w:rFonts w:hint="eastAsia" w:ascii="宋体" w:hAnsi="宋体"/>
                <w:color w:val="auto"/>
                <w:sz w:val="21"/>
                <w:szCs w:val="21"/>
                <w:highlight w:val="none"/>
              </w:rPr>
            </w:pPr>
            <w:r>
              <w:rPr>
                <w:rFonts w:hint="eastAsia" w:ascii="宋体" w:hAnsi="宋体"/>
                <w:color w:val="auto"/>
                <w:sz w:val="21"/>
                <w:szCs w:val="21"/>
                <w:highlight w:val="none"/>
              </w:rPr>
              <w:t>10.7</w:t>
            </w:r>
          </w:p>
        </w:tc>
        <w:tc>
          <w:tcPr>
            <w:tcW w:w="0" w:type="auto"/>
            <w:vAlign w:val="center"/>
          </w:tcPr>
          <w:p w14:paraId="5527AB64">
            <w:pPr>
              <w:jc w:val="center"/>
              <w:rPr>
                <w:rFonts w:hint="eastAsia" w:ascii="宋体" w:hAnsi="宋体"/>
                <w:color w:val="auto"/>
                <w:sz w:val="21"/>
                <w:szCs w:val="21"/>
                <w:highlight w:val="none"/>
              </w:rPr>
            </w:pPr>
            <w:r>
              <w:rPr>
                <w:rFonts w:hint="eastAsia" w:ascii="宋体" w:hAnsi="宋体"/>
                <w:color w:val="auto"/>
                <w:sz w:val="21"/>
                <w:szCs w:val="21"/>
                <w:highlight w:val="none"/>
              </w:rPr>
              <w:t>6.5</w:t>
            </w:r>
          </w:p>
        </w:tc>
        <w:tc>
          <w:tcPr>
            <w:tcW w:w="0" w:type="auto"/>
            <w:vAlign w:val="center"/>
          </w:tcPr>
          <w:p w14:paraId="6DE70ECA">
            <w:pPr>
              <w:jc w:val="center"/>
              <w:rPr>
                <w:rFonts w:hint="eastAsia" w:ascii="宋体" w:hAnsi="宋体"/>
                <w:color w:val="auto"/>
                <w:sz w:val="21"/>
                <w:szCs w:val="21"/>
                <w:highlight w:val="none"/>
              </w:rPr>
            </w:pPr>
            <w:r>
              <w:rPr>
                <w:rFonts w:hint="eastAsia" w:ascii="宋体" w:hAnsi="宋体"/>
                <w:color w:val="auto"/>
                <w:sz w:val="21"/>
                <w:szCs w:val="21"/>
                <w:highlight w:val="none"/>
              </w:rPr>
              <w:t>3.3</w:t>
            </w:r>
          </w:p>
        </w:tc>
        <w:tc>
          <w:tcPr>
            <w:tcW w:w="0" w:type="auto"/>
            <w:vAlign w:val="center"/>
          </w:tcPr>
          <w:p w14:paraId="542F5810">
            <w:pPr>
              <w:jc w:val="center"/>
              <w:rPr>
                <w:rFonts w:hint="eastAsia" w:ascii="宋体" w:hAnsi="宋体"/>
                <w:color w:val="auto"/>
                <w:sz w:val="21"/>
                <w:szCs w:val="21"/>
                <w:highlight w:val="none"/>
              </w:rPr>
            </w:pPr>
            <w:r>
              <w:rPr>
                <w:rFonts w:hint="eastAsia" w:ascii="宋体" w:hAnsi="宋体"/>
                <w:color w:val="auto"/>
                <w:sz w:val="21"/>
                <w:szCs w:val="21"/>
                <w:highlight w:val="none"/>
              </w:rPr>
              <w:t>13.7</w:t>
            </w:r>
          </w:p>
        </w:tc>
        <w:tc>
          <w:tcPr>
            <w:tcW w:w="0" w:type="auto"/>
            <w:vAlign w:val="center"/>
          </w:tcPr>
          <w:p w14:paraId="3752413E">
            <w:pPr>
              <w:jc w:val="center"/>
              <w:rPr>
                <w:rFonts w:hint="eastAsia" w:ascii="宋体" w:hAnsi="宋体"/>
                <w:color w:val="auto"/>
                <w:sz w:val="21"/>
                <w:szCs w:val="21"/>
                <w:highlight w:val="none"/>
              </w:rPr>
            </w:pPr>
            <w:r>
              <w:rPr>
                <w:rFonts w:hint="eastAsia" w:ascii="宋体" w:hAnsi="宋体"/>
                <w:color w:val="auto"/>
                <w:sz w:val="21"/>
                <w:szCs w:val="21"/>
                <w:highlight w:val="none"/>
              </w:rPr>
              <w:t>9.1</w:t>
            </w:r>
          </w:p>
        </w:tc>
        <w:tc>
          <w:tcPr>
            <w:tcW w:w="531" w:type="dxa"/>
            <w:vAlign w:val="center"/>
          </w:tcPr>
          <w:p w14:paraId="699DC2C9">
            <w:pPr>
              <w:jc w:val="center"/>
              <w:rPr>
                <w:rFonts w:hint="eastAsia" w:ascii="宋体" w:hAnsi="宋体"/>
                <w:color w:val="auto"/>
                <w:sz w:val="21"/>
                <w:szCs w:val="21"/>
                <w:highlight w:val="none"/>
              </w:rPr>
            </w:pPr>
            <w:r>
              <w:rPr>
                <w:rFonts w:hint="eastAsia" w:ascii="宋体" w:hAnsi="宋体"/>
                <w:color w:val="auto"/>
                <w:sz w:val="21"/>
                <w:szCs w:val="21"/>
                <w:highlight w:val="none"/>
              </w:rPr>
              <w:t>4.0</w:t>
            </w:r>
          </w:p>
        </w:tc>
      </w:tr>
      <w:tr w14:paraId="0EBA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0FE3D0">
            <w:pPr>
              <w:jc w:val="center"/>
              <w:rPr>
                <w:rFonts w:hint="eastAsia" w:ascii="宋体" w:hAnsi="宋体"/>
                <w:color w:val="auto"/>
                <w:sz w:val="21"/>
                <w:szCs w:val="21"/>
                <w:highlight w:val="none"/>
              </w:rPr>
            </w:pPr>
            <w:r>
              <w:rPr>
                <w:rFonts w:hint="eastAsia" w:ascii="宋体" w:hAnsi="宋体"/>
                <w:color w:val="auto"/>
                <w:sz w:val="21"/>
                <w:szCs w:val="21"/>
                <w:highlight w:val="none"/>
              </w:rPr>
              <w:t>15.5</w:t>
            </w:r>
          </w:p>
        </w:tc>
        <w:tc>
          <w:tcPr>
            <w:tcW w:w="0" w:type="auto"/>
            <w:vAlign w:val="center"/>
          </w:tcPr>
          <w:p w14:paraId="1FA39E45">
            <w:pPr>
              <w:jc w:val="center"/>
              <w:rPr>
                <w:rFonts w:hint="eastAsia" w:ascii="宋体" w:hAnsi="宋体"/>
                <w:color w:val="auto"/>
                <w:sz w:val="21"/>
                <w:szCs w:val="21"/>
                <w:highlight w:val="none"/>
              </w:rPr>
            </w:pPr>
            <w:r>
              <w:rPr>
                <w:rFonts w:hint="eastAsia" w:ascii="宋体" w:hAnsi="宋体"/>
                <w:color w:val="auto"/>
                <w:sz w:val="21"/>
                <w:szCs w:val="21"/>
                <w:highlight w:val="none"/>
              </w:rPr>
              <w:t>41</w:t>
            </w:r>
          </w:p>
        </w:tc>
        <w:tc>
          <w:tcPr>
            <w:tcW w:w="0" w:type="auto"/>
            <w:vAlign w:val="center"/>
          </w:tcPr>
          <w:p w14:paraId="62FB92B5">
            <w:pPr>
              <w:jc w:val="center"/>
              <w:rPr>
                <w:rFonts w:hint="eastAsia" w:ascii="宋体" w:hAnsi="宋体"/>
                <w:color w:val="auto"/>
                <w:sz w:val="21"/>
                <w:szCs w:val="21"/>
                <w:highlight w:val="none"/>
              </w:rPr>
            </w:pPr>
            <w:r>
              <w:rPr>
                <w:rFonts w:hint="eastAsia" w:ascii="宋体" w:hAnsi="宋体"/>
                <w:color w:val="auto"/>
                <w:sz w:val="21"/>
                <w:szCs w:val="21"/>
                <w:highlight w:val="none"/>
              </w:rPr>
              <w:t>3.66</w:t>
            </w:r>
          </w:p>
        </w:tc>
        <w:tc>
          <w:tcPr>
            <w:tcW w:w="0" w:type="auto"/>
            <w:vAlign w:val="center"/>
          </w:tcPr>
          <w:p w14:paraId="68381B31">
            <w:pPr>
              <w:jc w:val="center"/>
              <w:rPr>
                <w:rFonts w:hint="eastAsia" w:ascii="宋体" w:hAnsi="宋体"/>
                <w:color w:val="auto"/>
                <w:sz w:val="21"/>
                <w:szCs w:val="21"/>
                <w:highlight w:val="none"/>
              </w:rPr>
            </w:pPr>
            <w:r>
              <w:rPr>
                <w:rFonts w:hint="eastAsia" w:ascii="宋体" w:hAnsi="宋体"/>
                <w:color w:val="auto"/>
                <w:sz w:val="21"/>
                <w:szCs w:val="21"/>
                <w:highlight w:val="none"/>
              </w:rPr>
              <w:t>6.0</w:t>
            </w:r>
          </w:p>
        </w:tc>
        <w:tc>
          <w:tcPr>
            <w:tcW w:w="0" w:type="auto"/>
            <w:vAlign w:val="center"/>
          </w:tcPr>
          <w:p w14:paraId="4B782727">
            <w:pPr>
              <w:jc w:val="center"/>
              <w:rPr>
                <w:rFonts w:hint="eastAsia" w:ascii="宋体" w:hAnsi="宋体"/>
                <w:color w:val="auto"/>
                <w:sz w:val="21"/>
                <w:szCs w:val="21"/>
                <w:highlight w:val="none"/>
              </w:rPr>
            </w:pPr>
            <w:r>
              <w:rPr>
                <w:rFonts w:hint="eastAsia" w:ascii="宋体" w:hAnsi="宋体"/>
                <w:color w:val="auto"/>
                <w:sz w:val="21"/>
                <w:szCs w:val="21"/>
                <w:highlight w:val="none"/>
              </w:rPr>
              <w:t>3.3</w:t>
            </w:r>
          </w:p>
        </w:tc>
        <w:tc>
          <w:tcPr>
            <w:tcW w:w="0" w:type="auto"/>
            <w:vAlign w:val="center"/>
          </w:tcPr>
          <w:p w14:paraId="5B82E2C6">
            <w:pPr>
              <w:jc w:val="center"/>
              <w:rPr>
                <w:rFonts w:hint="eastAsia" w:ascii="宋体" w:hAnsi="宋体"/>
                <w:color w:val="auto"/>
                <w:sz w:val="21"/>
                <w:szCs w:val="21"/>
                <w:highlight w:val="none"/>
              </w:rPr>
            </w:pPr>
            <w:r>
              <w:rPr>
                <w:rFonts w:hint="eastAsia" w:ascii="宋体" w:hAnsi="宋体"/>
                <w:color w:val="auto"/>
                <w:sz w:val="21"/>
                <w:szCs w:val="21"/>
                <w:highlight w:val="none"/>
              </w:rPr>
              <w:t>2.3</w:t>
            </w:r>
          </w:p>
        </w:tc>
        <w:tc>
          <w:tcPr>
            <w:tcW w:w="0" w:type="auto"/>
            <w:vAlign w:val="center"/>
          </w:tcPr>
          <w:p w14:paraId="4742BD71">
            <w:pPr>
              <w:jc w:val="center"/>
              <w:rPr>
                <w:rFonts w:hint="eastAsia" w:ascii="宋体" w:hAnsi="宋体"/>
                <w:color w:val="auto"/>
                <w:sz w:val="21"/>
                <w:szCs w:val="21"/>
                <w:highlight w:val="none"/>
              </w:rPr>
            </w:pPr>
            <w:r>
              <w:rPr>
                <w:rFonts w:hint="eastAsia" w:ascii="宋体" w:hAnsi="宋体"/>
                <w:color w:val="auto"/>
                <w:sz w:val="21"/>
                <w:szCs w:val="21"/>
                <w:highlight w:val="none"/>
              </w:rPr>
              <w:t>9.1</w:t>
            </w:r>
          </w:p>
        </w:tc>
        <w:tc>
          <w:tcPr>
            <w:tcW w:w="0" w:type="auto"/>
            <w:vAlign w:val="center"/>
          </w:tcPr>
          <w:p w14:paraId="666A6706">
            <w:pPr>
              <w:jc w:val="center"/>
              <w:rPr>
                <w:rFonts w:hint="eastAsia" w:ascii="宋体" w:hAnsi="宋体"/>
                <w:color w:val="auto"/>
                <w:sz w:val="21"/>
                <w:szCs w:val="21"/>
                <w:highlight w:val="none"/>
              </w:rPr>
            </w:pPr>
            <w:r>
              <w:rPr>
                <w:rFonts w:hint="eastAsia" w:ascii="宋体" w:hAnsi="宋体"/>
                <w:color w:val="auto"/>
                <w:sz w:val="21"/>
                <w:szCs w:val="21"/>
                <w:highlight w:val="none"/>
              </w:rPr>
              <w:t>4.6</w:t>
            </w:r>
          </w:p>
        </w:tc>
        <w:tc>
          <w:tcPr>
            <w:tcW w:w="0" w:type="auto"/>
            <w:vAlign w:val="center"/>
          </w:tcPr>
          <w:p w14:paraId="1AFF3C41">
            <w:pPr>
              <w:jc w:val="center"/>
              <w:rPr>
                <w:rFonts w:hint="eastAsia" w:ascii="宋体" w:hAnsi="宋体"/>
                <w:color w:val="auto"/>
                <w:sz w:val="21"/>
                <w:szCs w:val="21"/>
                <w:highlight w:val="none"/>
              </w:rPr>
            </w:pPr>
            <w:r>
              <w:rPr>
                <w:rFonts w:hint="eastAsia" w:ascii="宋体" w:hAnsi="宋体"/>
                <w:color w:val="auto"/>
                <w:sz w:val="21"/>
                <w:szCs w:val="21"/>
                <w:highlight w:val="none"/>
              </w:rPr>
              <w:t>2.8</w:t>
            </w:r>
          </w:p>
        </w:tc>
        <w:tc>
          <w:tcPr>
            <w:tcW w:w="0" w:type="auto"/>
            <w:vAlign w:val="center"/>
          </w:tcPr>
          <w:p w14:paraId="4CB752BE">
            <w:pPr>
              <w:jc w:val="center"/>
              <w:rPr>
                <w:rFonts w:hint="eastAsia" w:ascii="宋体" w:hAnsi="宋体"/>
                <w:color w:val="auto"/>
                <w:sz w:val="21"/>
                <w:szCs w:val="21"/>
                <w:highlight w:val="none"/>
              </w:rPr>
            </w:pPr>
            <w:r>
              <w:rPr>
                <w:rFonts w:hint="eastAsia" w:ascii="宋体" w:hAnsi="宋体"/>
                <w:color w:val="auto"/>
                <w:sz w:val="21"/>
                <w:szCs w:val="21"/>
                <w:highlight w:val="none"/>
              </w:rPr>
              <w:t>11.9</w:t>
            </w:r>
          </w:p>
        </w:tc>
        <w:tc>
          <w:tcPr>
            <w:tcW w:w="0" w:type="auto"/>
            <w:vAlign w:val="center"/>
          </w:tcPr>
          <w:p w14:paraId="2FEE27A7">
            <w:pPr>
              <w:jc w:val="center"/>
              <w:rPr>
                <w:rFonts w:hint="eastAsia" w:ascii="宋体" w:hAnsi="宋体"/>
                <w:color w:val="auto"/>
                <w:sz w:val="21"/>
                <w:szCs w:val="21"/>
                <w:highlight w:val="none"/>
              </w:rPr>
            </w:pPr>
            <w:r>
              <w:rPr>
                <w:rFonts w:hint="eastAsia" w:ascii="宋体" w:hAnsi="宋体"/>
                <w:color w:val="auto"/>
                <w:sz w:val="21"/>
                <w:szCs w:val="21"/>
                <w:highlight w:val="none"/>
              </w:rPr>
              <w:t>5.8</w:t>
            </w:r>
          </w:p>
        </w:tc>
        <w:tc>
          <w:tcPr>
            <w:tcW w:w="0" w:type="auto"/>
            <w:vAlign w:val="center"/>
          </w:tcPr>
          <w:p w14:paraId="5E740955">
            <w:pPr>
              <w:jc w:val="center"/>
              <w:rPr>
                <w:rFonts w:hint="eastAsia" w:ascii="宋体" w:hAnsi="宋体"/>
                <w:color w:val="auto"/>
                <w:sz w:val="21"/>
                <w:szCs w:val="21"/>
                <w:highlight w:val="none"/>
              </w:rPr>
            </w:pPr>
            <w:r>
              <w:rPr>
                <w:rFonts w:hint="eastAsia" w:ascii="宋体" w:hAnsi="宋体"/>
                <w:color w:val="auto"/>
                <w:sz w:val="21"/>
                <w:szCs w:val="21"/>
                <w:highlight w:val="none"/>
              </w:rPr>
              <w:t>3.2</w:t>
            </w:r>
          </w:p>
        </w:tc>
        <w:tc>
          <w:tcPr>
            <w:tcW w:w="0" w:type="auto"/>
            <w:vAlign w:val="center"/>
          </w:tcPr>
          <w:p w14:paraId="2496EFA7">
            <w:pPr>
              <w:jc w:val="center"/>
              <w:rPr>
                <w:rFonts w:hint="eastAsia" w:ascii="宋体" w:hAnsi="宋体"/>
                <w:color w:val="auto"/>
                <w:sz w:val="21"/>
                <w:szCs w:val="21"/>
                <w:highlight w:val="none"/>
              </w:rPr>
            </w:pPr>
            <w:r>
              <w:rPr>
                <w:rFonts w:hint="eastAsia" w:ascii="宋体" w:hAnsi="宋体"/>
                <w:color w:val="auto"/>
                <w:sz w:val="21"/>
                <w:szCs w:val="21"/>
                <w:highlight w:val="none"/>
              </w:rPr>
              <w:t>15.6</w:t>
            </w:r>
          </w:p>
        </w:tc>
        <w:tc>
          <w:tcPr>
            <w:tcW w:w="0" w:type="auto"/>
            <w:vAlign w:val="center"/>
          </w:tcPr>
          <w:p w14:paraId="4D74911D">
            <w:pPr>
              <w:jc w:val="center"/>
              <w:rPr>
                <w:rFonts w:hint="eastAsia" w:ascii="宋体" w:hAnsi="宋体"/>
                <w:color w:val="auto"/>
                <w:sz w:val="21"/>
                <w:szCs w:val="21"/>
                <w:highlight w:val="none"/>
              </w:rPr>
            </w:pPr>
            <w:r>
              <w:rPr>
                <w:rFonts w:hint="eastAsia" w:ascii="宋体" w:hAnsi="宋体"/>
                <w:color w:val="auto"/>
                <w:sz w:val="21"/>
                <w:szCs w:val="21"/>
                <w:highlight w:val="none"/>
              </w:rPr>
              <w:t>8.4</w:t>
            </w:r>
          </w:p>
        </w:tc>
        <w:tc>
          <w:tcPr>
            <w:tcW w:w="531" w:type="dxa"/>
            <w:vAlign w:val="center"/>
          </w:tcPr>
          <w:p w14:paraId="0BEFEF43">
            <w:pPr>
              <w:jc w:val="center"/>
              <w:rPr>
                <w:rFonts w:hint="eastAsia" w:ascii="宋体" w:hAnsi="宋体"/>
                <w:color w:val="auto"/>
                <w:sz w:val="21"/>
                <w:szCs w:val="21"/>
                <w:highlight w:val="none"/>
              </w:rPr>
            </w:pPr>
            <w:r>
              <w:rPr>
                <w:rFonts w:hint="eastAsia" w:ascii="宋体" w:hAnsi="宋体"/>
                <w:color w:val="auto"/>
                <w:sz w:val="21"/>
                <w:szCs w:val="21"/>
                <w:highlight w:val="none"/>
              </w:rPr>
              <w:t>3.9</w:t>
            </w:r>
          </w:p>
        </w:tc>
      </w:tr>
    </w:tbl>
    <w:p w14:paraId="28048012">
      <w:pPr>
        <w:rPr>
          <w:rFonts w:ascii="宋体" w:hAnsi="宋体"/>
          <w:b/>
          <w:bCs/>
          <w:color w:val="auto"/>
          <w:szCs w:val="21"/>
          <w:highlight w:val="none"/>
        </w:rPr>
      </w:pPr>
    </w:p>
    <w:p w14:paraId="4FB20376">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注： 1 表中OSB为定向木片板； PLY为结构胶合板；</w:t>
      </w:r>
    </w:p>
    <w:p w14:paraId="7B3BA64C">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 xml:space="preserve"> 2 表中抗剪强度和刚度为钉连接的木基结构板材的面板，在干燥使用条件下，标准荷载持续时间的值；当考虑风荷载和地震作用时，表中抗剪强度和刚度应乘以调整系数1</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lang w:eastAsia="zh-CN"/>
        </w:rPr>
        <w:t>25；</w:t>
      </w:r>
    </w:p>
    <w:p w14:paraId="3A67A90C">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3 当钉的间距小于50mm时，位于面板拼缝处的骨架构件的宽度不应小于64mm，钉应错开布置；可采用两根40mm宽的构件组合在一起传递剪力；</w:t>
      </w:r>
    </w:p>
    <w:p w14:paraId="35CCF984">
      <w:pPr>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 xml:space="preserve">  4 当直径为3</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lang w:eastAsia="zh-CN"/>
        </w:rPr>
        <w:t>66mm的钉的间距小于75mm或钉入骨架构件的深度小于41mm时，位于面板拼缝处的骨架构件的宽度不应小于64mm，钉应错开布置；可采用二根40mm 宽的构件组合在一起传递剪力；</w:t>
      </w:r>
    </w:p>
    <w:p w14:paraId="138D13B9">
      <w:pPr>
        <w:rPr>
          <w:rFonts w:ascii="宋体" w:hAnsi="宋体"/>
          <w:color w:val="auto"/>
          <w:sz w:val="21"/>
          <w:szCs w:val="21"/>
          <w:highlight w:val="none"/>
          <w:lang w:eastAsia="zh-CN"/>
        </w:rPr>
      </w:pPr>
      <w:r>
        <w:rPr>
          <w:rFonts w:hint="eastAsia" w:ascii="宋体" w:hAnsi="宋体"/>
          <w:color w:val="auto"/>
          <w:sz w:val="21"/>
          <w:szCs w:val="21"/>
          <w:highlight w:val="none"/>
          <w:lang w:eastAsia="zh-CN"/>
        </w:rPr>
        <w:t xml:space="preserve">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lang w:eastAsia="zh-CN"/>
        </w:rPr>
        <w:t xml:space="preserve"> 5 当剪力墙面板采用射钉或非标准钉连接时，表中抗剪强度和刚度应乘以折算系数</w:t>
      </w:r>
    </w:p>
    <w:p w14:paraId="263A60B9">
      <w:pPr>
        <w:rPr>
          <w:color w:val="auto"/>
          <w:highlight w:val="none"/>
          <w:lang w:eastAsia="zh-CN"/>
        </w:rPr>
      </w:pPr>
      <w:r>
        <w:rPr>
          <w:rFonts w:hint="eastAsia" w:ascii="宋体" w:hAnsi="宋体"/>
          <w:color w:val="auto"/>
          <w:sz w:val="21"/>
          <w:szCs w:val="21"/>
          <w:highlight w:val="none"/>
          <w:lang w:eastAsia="zh-CN"/>
        </w:rPr>
        <w:t>（d</w:t>
      </w:r>
      <w:r>
        <w:rPr>
          <w:rFonts w:hint="eastAsia" w:ascii="宋体" w:hAnsi="宋体"/>
          <w:color w:val="auto"/>
          <w:sz w:val="21"/>
          <w:szCs w:val="21"/>
          <w:highlight w:val="none"/>
          <w:vertAlign w:val="subscript"/>
          <w:lang w:eastAsia="zh-CN"/>
        </w:rPr>
        <w:t>1</w:t>
      </w:r>
      <w:r>
        <w:rPr>
          <w:rFonts w:hint="eastAsia" w:ascii="宋体" w:hAnsi="宋体"/>
          <w:color w:val="auto"/>
          <w:sz w:val="21"/>
          <w:szCs w:val="21"/>
          <w:highlight w:val="none"/>
          <w:lang w:eastAsia="zh-CN"/>
        </w:rPr>
        <w:t>/d</w:t>
      </w:r>
      <w:r>
        <w:rPr>
          <w:rFonts w:hint="eastAsia" w:ascii="宋体" w:hAnsi="宋体"/>
          <w:color w:val="auto"/>
          <w:sz w:val="21"/>
          <w:szCs w:val="21"/>
          <w:highlight w:val="none"/>
          <w:vertAlign w:val="subscript"/>
          <w:lang w:eastAsia="zh-CN"/>
        </w:rPr>
        <w:t>2</w:t>
      </w:r>
      <w:r>
        <w:rPr>
          <w:rFonts w:hint="eastAsia" w:ascii="宋体" w:hAnsi="宋体"/>
          <w:color w:val="auto"/>
          <w:sz w:val="21"/>
          <w:szCs w:val="21"/>
          <w:highlight w:val="none"/>
          <w:lang w:eastAsia="zh-CN"/>
        </w:rPr>
        <w:t>）</w:t>
      </w:r>
      <w:r>
        <w:rPr>
          <w:rFonts w:hint="eastAsia" w:ascii="宋体" w:hAnsi="宋体"/>
          <w:color w:val="auto"/>
          <w:sz w:val="21"/>
          <w:szCs w:val="21"/>
          <w:highlight w:val="none"/>
          <w:vertAlign w:val="superscript"/>
          <w:lang w:eastAsia="zh-CN"/>
        </w:rPr>
        <w:t>2</w:t>
      </w:r>
      <w:r>
        <w:rPr>
          <w:rFonts w:hint="eastAsia" w:ascii="宋体" w:hAnsi="宋体"/>
          <w:color w:val="auto"/>
          <w:sz w:val="21"/>
          <w:szCs w:val="21"/>
          <w:highlight w:val="none"/>
          <w:lang w:eastAsia="zh-CN"/>
        </w:rPr>
        <w:t>；其中，d</w:t>
      </w:r>
      <w:r>
        <w:rPr>
          <w:rFonts w:hint="eastAsia" w:ascii="宋体" w:hAnsi="宋体"/>
          <w:color w:val="auto"/>
          <w:sz w:val="21"/>
          <w:szCs w:val="21"/>
          <w:highlight w:val="none"/>
          <w:vertAlign w:val="subscript"/>
          <w:lang w:eastAsia="zh-CN"/>
        </w:rPr>
        <w:t>1</w:t>
      </w:r>
      <w:r>
        <w:rPr>
          <w:rFonts w:hint="eastAsia" w:ascii="宋体" w:hAnsi="宋体"/>
          <w:color w:val="auto"/>
          <w:sz w:val="21"/>
          <w:szCs w:val="21"/>
          <w:highlight w:val="none"/>
          <w:lang w:eastAsia="zh-CN"/>
        </w:rPr>
        <w:t>为非标准钉的直径，d</w:t>
      </w:r>
      <w:r>
        <w:rPr>
          <w:rFonts w:hint="eastAsia" w:ascii="宋体" w:hAnsi="宋体"/>
          <w:color w:val="auto"/>
          <w:sz w:val="21"/>
          <w:szCs w:val="21"/>
          <w:highlight w:val="none"/>
          <w:vertAlign w:val="subscript"/>
          <w:lang w:eastAsia="zh-CN"/>
        </w:rPr>
        <w:t>2</w:t>
      </w:r>
      <w:r>
        <w:rPr>
          <w:rFonts w:hint="eastAsia" w:ascii="宋体" w:hAnsi="宋体"/>
          <w:color w:val="auto"/>
          <w:sz w:val="21"/>
          <w:szCs w:val="21"/>
          <w:highlight w:val="none"/>
          <w:lang w:eastAsia="zh-CN"/>
        </w:rPr>
        <w:t>为表中标准钉的直径。</w:t>
      </w:r>
    </w:p>
    <w:p w14:paraId="3CDE6619">
      <w:pPr>
        <w:rPr>
          <w:rFonts w:hint="eastAsia" w:ascii="宋体" w:hAnsi="宋体"/>
          <w:color w:val="auto"/>
          <w:szCs w:val="21"/>
          <w:highlight w:val="none"/>
          <w:lang w:eastAsia="zh-CN"/>
        </w:rPr>
      </w:pPr>
    </w:p>
    <w:p w14:paraId="3AFF9F34">
      <w:pPr>
        <w:pStyle w:val="2"/>
        <w:spacing w:before="312"/>
        <w:rPr>
          <w:rFonts w:hint="eastAsia" w:cs="Times New Roman"/>
          <w:color w:val="auto"/>
          <w:highlight w:val="none"/>
          <w:lang w:eastAsia="zh-CN"/>
        </w:rPr>
      </w:pPr>
      <w:bookmarkStart w:id="306" w:name="_Toc19498"/>
      <w:bookmarkStart w:id="307" w:name="_Toc2938"/>
      <w:bookmarkStart w:id="308" w:name="_Toc25175"/>
      <w:bookmarkStart w:id="309" w:name="_Toc32475"/>
      <w:r>
        <w:rPr>
          <w:rFonts w:cs="Times New Roman"/>
          <w:color w:val="auto"/>
          <w:highlight w:val="none"/>
          <w:lang w:eastAsia="zh-CN"/>
        </w:rPr>
        <w:t>附录</w:t>
      </w:r>
      <w:bookmarkEnd w:id="306"/>
      <w:r>
        <w:rPr>
          <w:rFonts w:hint="eastAsia" w:cs="Times New Roman"/>
          <w:color w:val="auto"/>
          <w:highlight w:val="none"/>
          <w:lang w:val="en-US" w:eastAsia="zh-CN"/>
        </w:rPr>
        <w:t>D</w:t>
      </w:r>
      <w:r>
        <w:rPr>
          <w:rFonts w:hint="eastAsia" w:cs="Times New Roman"/>
          <w:color w:val="auto"/>
          <w:highlight w:val="none"/>
          <w:lang w:eastAsia="zh-CN"/>
        </w:rPr>
        <w:t xml:space="preserve"> </w:t>
      </w:r>
      <w:r>
        <w:rPr>
          <w:rFonts w:hint="eastAsia" w:cs="Times New Roman"/>
          <w:color w:val="auto"/>
          <w:highlight w:val="none"/>
          <w:lang w:val="en-US" w:eastAsia="zh-CN"/>
        </w:rPr>
        <w:t xml:space="preserve"> </w:t>
      </w:r>
      <w:r>
        <w:rPr>
          <w:rFonts w:hint="eastAsia" w:cs="Times New Roman"/>
          <w:color w:val="auto"/>
          <w:highlight w:val="none"/>
          <w:lang w:eastAsia="zh-CN"/>
        </w:rPr>
        <w:t>轻型木结构的一般要求</w:t>
      </w:r>
      <w:bookmarkEnd w:id="307"/>
      <w:bookmarkEnd w:id="308"/>
      <w:bookmarkEnd w:id="309"/>
    </w:p>
    <w:p w14:paraId="7B8B6AB9">
      <w:pPr>
        <w:pStyle w:val="4"/>
        <w:rPr>
          <w:color w:val="auto"/>
          <w:highlight w:val="none"/>
          <w:lang w:eastAsia="zh-CN"/>
        </w:rPr>
      </w:pPr>
      <w:r>
        <w:rPr>
          <w:rFonts w:hint="eastAsia"/>
          <w:color w:val="auto"/>
          <w:highlight w:val="none"/>
          <w:lang w:val="en-US" w:eastAsia="zh-CN"/>
        </w:rPr>
        <w:t>D.0.</w:t>
      </w:r>
      <w:r>
        <w:rPr>
          <w:color w:val="auto"/>
          <w:highlight w:val="none"/>
          <w:lang w:eastAsia="zh-CN"/>
        </w:rPr>
        <w:t>1</w:t>
      </w:r>
      <w:r>
        <w:rPr>
          <w:rFonts w:hint="eastAsia"/>
          <w:color w:val="auto"/>
          <w:highlight w:val="none"/>
          <w:lang w:val="en-US" w:eastAsia="zh-CN"/>
        </w:rPr>
        <w:t xml:space="preserve"> </w:t>
      </w:r>
      <w:r>
        <w:rPr>
          <w:color w:val="auto"/>
          <w:highlight w:val="none"/>
          <w:lang w:eastAsia="zh-CN"/>
        </w:rPr>
        <w:t xml:space="preserve"> </w:t>
      </w:r>
      <w:r>
        <w:rPr>
          <w:rFonts w:hint="eastAsia"/>
          <w:color w:val="auto"/>
          <w:highlight w:val="none"/>
          <w:lang w:eastAsia="zh-CN"/>
        </w:rPr>
        <w:t>轻型木</w:t>
      </w:r>
      <w:r>
        <w:rPr>
          <w:color w:val="auto"/>
          <w:highlight w:val="none"/>
          <w:lang w:eastAsia="zh-CN"/>
        </w:rPr>
        <w:t>结构墙骨柱的最小截面尺寸和最大间距（图</w:t>
      </w:r>
      <w:r>
        <w:rPr>
          <w:rFonts w:hint="eastAsia"/>
          <w:color w:val="auto"/>
          <w:highlight w:val="none"/>
          <w:lang w:val="en-US" w:eastAsia="zh-CN"/>
        </w:rPr>
        <w:t>D.0.</w:t>
      </w:r>
      <w:r>
        <w:rPr>
          <w:color w:val="auto"/>
          <w:highlight w:val="none"/>
          <w:lang w:eastAsia="zh-CN"/>
        </w:rPr>
        <w:t>1）应符合表</w:t>
      </w:r>
      <w:r>
        <w:rPr>
          <w:rFonts w:hint="eastAsia"/>
          <w:color w:val="auto"/>
          <w:highlight w:val="none"/>
          <w:lang w:val="en-US" w:eastAsia="zh-CN"/>
        </w:rPr>
        <w:t>D.0.</w:t>
      </w:r>
      <w:r>
        <w:rPr>
          <w:color w:val="auto"/>
          <w:highlight w:val="none"/>
          <w:lang w:eastAsia="zh-CN"/>
        </w:rPr>
        <w:t>1的规定。</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3"/>
      </w:tblGrid>
      <w:tr w14:paraId="0863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13" w:type="dxa"/>
          </w:tcPr>
          <w:p w14:paraId="2E8A3D6F">
            <w:pPr>
              <w:jc w:val="center"/>
              <w:rPr>
                <w:rFonts w:cs="Times New Roman"/>
                <w:color w:val="auto"/>
                <w:highlight w:val="none"/>
                <w:lang w:eastAsia="zh-CN"/>
              </w:rPr>
            </w:pPr>
            <w:r>
              <w:rPr>
                <w:rFonts w:cs="Times New Roman"/>
                <w:color w:val="auto"/>
                <w:highlight w:val="none"/>
                <w:lang w:eastAsia="zh-CN"/>
              </w:rPr>
              <w:drawing>
                <wp:anchor distT="0" distB="0" distL="0" distR="0" simplePos="0" relativeHeight="251664384" behindDoc="0" locked="0" layoutInCell="1" allowOverlap="1">
                  <wp:simplePos x="0" y="0"/>
                  <wp:positionH relativeFrom="column">
                    <wp:posOffset>929005</wp:posOffset>
                  </wp:positionH>
                  <wp:positionV relativeFrom="paragraph">
                    <wp:posOffset>-1976120</wp:posOffset>
                  </wp:positionV>
                  <wp:extent cx="1880870" cy="2162175"/>
                  <wp:effectExtent l="0" t="0" r="5080" b="9525"/>
                  <wp:wrapTopAndBottom/>
                  <wp:docPr id="1282949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49799" name="图片 1"/>
                          <pic:cNvPicPr>
                            <a:picLocks noChangeAspect="1"/>
                          </pic:cNvPicPr>
                        </pic:nvPicPr>
                        <pic:blipFill>
                          <a:blip r:embed="rId105" cstate="print"/>
                          <a:stretch>
                            <a:fillRect/>
                          </a:stretch>
                        </pic:blipFill>
                        <pic:spPr>
                          <a:xfrm>
                            <a:off x="0" y="0"/>
                            <a:ext cx="1884338" cy="2166300"/>
                          </a:xfrm>
                          <a:prstGeom prst="rect">
                            <a:avLst/>
                          </a:prstGeom>
                        </pic:spPr>
                      </pic:pic>
                    </a:graphicData>
                  </a:graphic>
                </wp:anchor>
              </w:drawing>
            </w:r>
          </w:p>
        </w:tc>
      </w:tr>
    </w:tbl>
    <w:p w14:paraId="7003A21A">
      <w:pPr>
        <w:pStyle w:val="44"/>
        <w:rPr>
          <w:color w:val="auto"/>
          <w:highlight w:val="none"/>
        </w:rPr>
      </w:pPr>
      <w:r>
        <w:rPr>
          <w:color w:val="auto"/>
          <w:highlight w:val="none"/>
        </w:rPr>
        <w:t>图</w:t>
      </w:r>
      <w:r>
        <w:rPr>
          <w:rFonts w:hint="eastAsia"/>
          <w:color w:val="auto"/>
          <w:highlight w:val="none"/>
          <w:lang w:val="en-US" w:eastAsia="zh-CN"/>
        </w:rPr>
        <w:t>D0.</w:t>
      </w:r>
      <w:r>
        <w:rPr>
          <w:color w:val="auto"/>
          <w:highlight w:val="none"/>
        </w:rPr>
        <w:t>1 墙骨柱的最小截面尺寸和最大间距示意</w:t>
      </w:r>
    </w:p>
    <w:p w14:paraId="566EB5E8">
      <w:pPr>
        <w:pStyle w:val="43"/>
        <w:rPr>
          <w:color w:val="auto"/>
          <w:highlight w:val="none"/>
        </w:rPr>
      </w:pPr>
      <w:r>
        <w:rPr>
          <w:color w:val="auto"/>
          <w:highlight w:val="none"/>
        </w:rPr>
        <w:t>1</w:t>
      </w:r>
      <w:r>
        <w:rPr>
          <w:rFonts w:hint="eastAsia"/>
          <w:color w:val="auto"/>
          <w:highlight w:val="none"/>
        </w:rPr>
        <w:t>－</w:t>
      </w:r>
      <w:r>
        <w:rPr>
          <w:color w:val="auto"/>
          <w:highlight w:val="none"/>
        </w:rPr>
        <w:t>最大间距；2</w:t>
      </w:r>
      <w:r>
        <w:rPr>
          <w:rFonts w:hint="eastAsia"/>
          <w:color w:val="auto"/>
          <w:highlight w:val="none"/>
        </w:rPr>
        <w:t>－</w:t>
      </w:r>
      <w:r>
        <w:rPr>
          <w:color w:val="auto"/>
          <w:highlight w:val="none"/>
        </w:rPr>
        <w:t>最小截面宽度；3</w:t>
      </w:r>
      <w:r>
        <w:rPr>
          <w:rFonts w:hint="eastAsia"/>
          <w:color w:val="auto"/>
          <w:highlight w:val="none"/>
        </w:rPr>
        <w:t>－</w:t>
      </w:r>
      <w:r>
        <w:rPr>
          <w:color w:val="auto"/>
          <w:highlight w:val="none"/>
        </w:rPr>
        <w:t>最小截面高度</w:t>
      </w:r>
    </w:p>
    <w:p w14:paraId="704565DC">
      <w:pPr>
        <w:jc w:val="center"/>
        <w:rPr>
          <w:rFonts w:cs="Times New Roman"/>
          <w:color w:val="auto"/>
          <w:highlight w:val="none"/>
          <w:lang w:eastAsia="zh-CN"/>
        </w:rPr>
      </w:pPr>
    </w:p>
    <w:p w14:paraId="3161AE4C">
      <w:pPr>
        <w:pStyle w:val="40"/>
        <w:rPr>
          <w:color w:val="auto"/>
          <w:highlight w:val="none"/>
          <w:lang w:eastAsia="zh-CN"/>
        </w:rPr>
      </w:pPr>
      <w:r>
        <w:rPr>
          <w:color w:val="auto"/>
          <w:highlight w:val="none"/>
          <w:lang w:eastAsia="zh-CN"/>
        </w:rPr>
        <w:t>表</w:t>
      </w:r>
      <w:r>
        <w:rPr>
          <w:rFonts w:hint="eastAsia"/>
          <w:color w:val="auto"/>
          <w:highlight w:val="none"/>
          <w:lang w:val="en-US" w:eastAsia="zh-CN"/>
        </w:rPr>
        <w:t>D.0.</w:t>
      </w:r>
      <w:r>
        <w:rPr>
          <w:color w:val="auto"/>
          <w:highlight w:val="none"/>
          <w:lang w:eastAsia="zh-CN"/>
        </w:rPr>
        <w:t xml:space="preserve">1 </w:t>
      </w:r>
      <w:r>
        <w:rPr>
          <w:rFonts w:hint="eastAsia"/>
          <w:color w:val="auto"/>
          <w:highlight w:val="none"/>
          <w:lang w:val="en-US" w:eastAsia="zh-CN"/>
        </w:rPr>
        <w:t xml:space="preserve"> </w:t>
      </w:r>
      <w:r>
        <w:rPr>
          <w:color w:val="auto"/>
          <w:highlight w:val="none"/>
          <w:lang w:eastAsia="zh-CN"/>
        </w:rPr>
        <w:t>墙骨柱的最小截面尺寸和最大间距</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76"/>
        <w:gridCol w:w="2165"/>
        <w:gridCol w:w="1056"/>
        <w:gridCol w:w="1056"/>
      </w:tblGrid>
      <w:tr w14:paraId="50D2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BC08E5">
            <w:pPr>
              <w:pStyle w:val="43"/>
              <w:jc w:val="center"/>
              <w:rPr>
                <w:rFonts w:hint="eastAsia"/>
                <w:color w:val="auto"/>
                <w:highlight w:val="none"/>
                <w:lang w:eastAsia="zh-CN"/>
              </w:rPr>
            </w:pPr>
            <w:r>
              <w:rPr>
                <w:rFonts w:hint="eastAsia"/>
                <w:color w:val="auto"/>
                <w:highlight w:val="none"/>
                <w:lang w:eastAsia="zh-CN"/>
              </w:rPr>
              <w:t>墙的类型</w:t>
            </w:r>
          </w:p>
        </w:tc>
        <w:tc>
          <w:tcPr>
            <w:tcW w:w="0" w:type="auto"/>
            <w:vAlign w:val="center"/>
          </w:tcPr>
          <w:p w14:paraId="5AAE1F8B">
            <w:pPr>
              <w:pStyle w:val="43"/>
              <w:jc w:val="center"/>
              <w:rPr>
                <w:rFonts w:hint="eastAsia"/>
                <w:color w:val="auto"/>
                <w:highlight w:val="none"/>
                <w:lang w:eastAsia="zh-CN"/>
              </w:rPr>
            </w:pPr>
            <w:r>
              <w:rPr>
                <w:rFonts w:hint="eastAsia"/>
                <w:color w:val="auto"/>
                <w:highlight w:val="none"/>
                <w:lang w:eastAsia="zh-CN"/>
              </w:rPr>
              <w:t>承受荷载情况</w:t>
            </w:r>
          </w:p>
        </w:tc>
        <w:tc>
          <w:tcPr>
            <w:tcW w:w="0" w:type="auto"/>
            <w:vAlign w:val="center"/>
          </w:tcPr>
          <w:p w14:paraId="64FCF5FB">
            <w:pPr>
              <w:pStyle w:val="43"/>
              <w:jc w:val="center"/>
              <w:rPr>
                <w:rFonts w:hint="eastAsia"/>
                <w:color w:val="auto"/>
                <w:highlight w:val="none"/>
                <w:lang w:eastAsia="zh-CN"/>
              </w:rPr>
            </w:pPr>
            <w:r>
              <w:rPr>
                <w:rFonts w:hint="eastAsia"/>
                <w:color w:val="auto"/>
                <w:highlight w:val="none"/>
                <w:lang w:eastAsia="zh-CN"/>
              </w:rPr>
              <w:t>最小截面尺寸</w:t>
            </w:r>
            <w:r>
              <w:rPr>
                <w:color w:val="auto"/>
                <w:highlight w:val="none"/>
                <w:lang w:eastAsia="zh-CN"/>
              </w:rPr>
              <w:br w:type="textWrapping"/>
            </w:r>
            <w:r>
              <w:rPr>
                <w:rFonts w:hint="eastAsia"/>
                <w:color w:val="auto"/>
                <w:highlight w:val="none"/>
                <w:lang w:eastAsia="zh-CN"/>
              </w:rPr>
              <w:t>(宽度mm×高度mm)</w:t>
            </w:r>
          </w:p>
        </w:tc>
        <w:tc>
          <w:tcPr>
            <w:tcW w:w="1056" w:type="dxa"/>
            <w:vAlign w:val="center"/>
          </w:tcPr>
          <w:p w14:paraId="2A80CD99">
            <w:pPr>
              <w:pStyle w:val="43"/>
              <w:jc w:val="center"/>
              <w:rPr>
                <w:color w:val="auto"/>
                <w:highlight w:val="none"/>
                <w:lang w:eastAsia="zh-CN"/>
              </w:rPr>
            </w:pPr>
            <w:r>
              <w:rPr>
                <w:rFonts w:hint="eastAsia"/>
                <w:color w:val="auto"/>
                <w:highlight w:val="none"/>
                <w:lang w:eastAsia="zh-CN"/>
              </w:rPr>
              <w:t>最大间距</w:t>
            </w:r>
          </w:p>
          <w:p w14:paraId="577579E5">
            <w:pPr>
              <w:pStyle w:val="43"/>
              <w:jc w:val="center"/>
              <w:rPr>
                <w:rFonts w:hint="eastAsia"/>
                <w:color w:val="auto"/>
                <w:highlight w:val="none"/>
                <w:lang w:eastAsia="zh-CN"/>
              </w:rPr>
            </w:pPr>
            <w:r>
              <w:rPr>
                <w:rFonts w:hint="eastAsia"/>
                <w:color w:val="auto"/>
                <w:highlight w:val="none"/>
                <w:lang w:eastAsia="zh-CN"/>
              </w:rPr>
              <w:t>（mm）</w:t>
            </w:r>
          </w:p>
        </w:tc>
        <w:tc>
          <w:tcPr>
            <w:tcW w:w="1056" w:type="dxa"/>
            <w:vAlign w:val="center"/>
          </w:tcPr>
          <w:p w14:paraId="6A9FE99D">
            <w:pPr>
              <w:pStyle w:val="43"/>
              <w:jc w:val="center"/>
              <w:rPr>
                <w:color w:val="auto"/>
                <w:highlight w:val="none"/>
                <w:lang w:eastAsia="zh-CN"/>
              </w:rPr>
            </w:pPr>
            <w:r>
              <w:rPr>
                <w:rFonts w:hint="eastAsia"/>
                <w:color w:val="auto"/>
                <w:highlight w:val="none"/>
                <w:lang w:eastAsia="zh-CN"/>
              </w:rPr>
              <w:t>最大层高</w:t>
            </w:r>
          </w:p>
          <w:p w14:paraId="092AB415">
            <w:pPr>
              <w:pStyle w:val="43"/>
              <w:jc w:val="center"/>
              <w:rPr>
                <w:rFonts w:hint="eastAsia"/>
                <w:color w:val="auto"/>
                <w:highlight w:val="none"/>
                <w:lang w:eastAsia="zh-CN"/>
              </w:rPr>
            </w:pPr>
            <w:r>
              <w:rPr>
                <w:rFonts w:hint="eastAsia"/>
                <w:color w:val="auto"/>
                <w:highlight w:val="none"/>
                <w:lang w:eastAsia="zh-CN"/>
              </w:rPr>
              <w:t>（m）</w:t>
            </w:r>
          </w:p>
        </w:tc>
      </w:tr>
      <w:tr w14:paraId="4FF5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A068EDA">
            <w:pPr>
              <w:pStyle w:val="43"/>
              <w:jc w:val="center"/>
              <w:rPr>
                <w:rFonts w:hint="eastAsia"/>
                <w:color w:val="auto"/>
                <w:highlight w:val="none"/>
                <w:lang w:eastAsia="zh-CN"/>
              </w:rPr>
            </w:pPr>
            <w:r>
              <w:rPr>
                <w:rFonts w:hint="eastAsia"/>
                <w:color w:val="auto"/>
                <w:highlight w:val="none"/>
                <w:lang w:eastAsia="zh-CN"/>
              </w:rPr>
              <w:t>内墙</w:t>
            </w:r>
          </w:p>
        </w:tc>
        <w:tc>
          <w:tcPr>
            <w:tcW w:w="0" w:type="auto"/>
            <w:vMerge w:val="restart"/>
            <w:vAlign w:val="center"/>
          </w:tcPr>
          <w:p w14:paraId="58A318C9">
            <w:pPr>
              <w:pStyle w:val="43"/>
              <w:jc w:val="center"/>
              <w:rPr>
                <w:rFonts w:hint="eastAsia"/>
                <w:color w:val="auto"/>
                <w:highlight w:val="none"/>
                <w:lang w:eastAsia="zh-CN"/>
              </w:rPr>
            </w:pPr>
            <w:r>
              <w:rPr>
                <w:rFonts w:hint="eastAsia"/>
                <w:color w:val="auto"/>
                <w:highlight w:val="none"/>
                <w:lang w:eastAsia="zh-CN"/>
              </w:rPr>
              <w:t>不承受荷载</w:t>
            </w:r>
          </w:p>
        </w:tc>
        <w:tc>
          <w:tcPr>
            <w:tcW w:w="0" w:type="auto"/>
            <w:vAlign w:val="center"/>
          </w:tcPr>
          <w:p w14:paraId="03FABDD3">
            <w:pPr>
              <w:pStyle w:val="43"/>
              <w:jc w:val="center"/>
              <w:rPr>
                <w:rFonts w:hint="eastAsia"/>
                <w:color w:val="auto"/>
                <w:highlight w:val="none"/>
                <w:lang w:eastAsia="zh-CN"/>
              </w:rPr>
            </w:pPr>
            <w:r>
              <w:rPr>
                <w:rFonts w:hint="eastAsia"/>
                <w:color w:val="auto"/>
                <w:highlight w:val="none"/>
                <w:lang w:eastAsia="zh-CN"/>
              </w:rPr>
              <w:t>40×40</w:t>
            </w:r>
          </w:p>
        </w:tc>
        <w:tc>
          <w:tcPr>
            <w:tcW w:w="1056" w:type="dxa"/>
            <w:vAlign w:val="center"/>
          </w:tcPr>
          <w:p w14:paraId="45510338">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508AD9EF">
            <w:pPr>
              <w:pStyle w:val="43"/>
              <w:jc w:val="center"/>
              <w:rPr>
                <w:rFonts w:hint="eastAsia"/>
                <w:color w:val="auto"/>
                <w:highlight w:val="none"/>
                <w:lang w:eastAsia="zh-CN"/>
              </w:rPr>
            </w:pPr>
            <w:r>
              <w:rPr>
                <w:rFonts w:hint="eastAsia"/>
                <w:color w:val="auto"/>
                <w:highlight w:val="none"/>
                <w:lang w:eastAsia="zh-CN"/>
              </w:rPr>
              <w:t>2.4</w:t>
            </w:r>
          </w:p>
        </w:tc>
      </w:tr>
      <w:tr w14:paraId="6DAC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424C2FB">
            <w:pPr>
              <w:pStyle w:val="43"/>
              <w:jc w:val="center"/>
              <w:rPr>
                <w:rFonts w:hint="eastAsia"/>
                <w:color w:val="auto"/>
                <w:highlight w:val="none"/>
                <w:lang w:eastAsia="zh-CN"/>
              </w:rPr>
            </w:pPr>
          </w:p>
        </w:tc>
        <w:tc>
          <w:tcPr>
            <w:tcW w:w="0" w:type="auto"/>
            <w:vMerge w:val="continue"/>
            <w:vAlign w:val="center"/>
          </w:tcPr>
          <w:p w14:paraId="6158C124">
            <w:pPr>
              <w:pStyle w:val="43"/>
              <w:jc w:val="center"/>
              <w:rPr>
                <w:rFonts w:hint="eastAsia"/>
                <w:color w:val="auto"/>
                <w:highlight w:val="none"/>
                <w:lang w:eastAsia="zh-CN"/>
              </w:rPr>
            </w:pPr>
          </w:p>
        </w:tc>
        <w:tc>
          <w:tcPr>
            <w:tcW w:w="0" w:type="auto"/>
            <w:vAlign w:val="center"/>
          </w:tcPr>
          <w:p w14:paraId="24F6777E">
            <w:pPr>
              <w:pStyle w:val="43"/>
              <w:jc w:val="center"/>
              <w:rPr>
                <w:rFonts w:hint="eastAsia"/>
                <w:color w:val="auto"/>
                <w:highlight w:val="none"/>
                <w:lang w:eastAsia="zh-CN"/>
              </w:rPr>
            </w:pPr>
            <w:r>
              <w:rPr>
                <w:rFonts w:hint="eastAsia"/>
                <w:color w:val="auto"/>
                <w:highlight w:val="none"/>
                <w:lang w:eastAsia="zh-CN"/>
              </w:rPr>
              <w:t>90×40</w:t>
            </w:r>
          </w:p>
        </w:tc>
        <w:tc>
          <w:tcPr>
            <w:tcW w:w="1056" w:type="dxa"/>
            <w:vAlign w:val="center"/>
          </w:tcPr>
          <w:p w14:paraId="1E52E874">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5E8DE8CB">
            <w:pPr>
              <w:pStyle w:val="43"/>
              <w:jc w:val="center"/>
              <w:rPr>
                <w:rFonts w:hint="eastAsia"/>
                <w:color w:val="auto"/>
                <w:highlight w:val="none"/>
                <w:lang w:eastAsia="zh-CN"/>
              </w:rPr>
            </w:pPr>
            <w:r>
              <w:rPr>
                <w:rFonts w:hint="eastAsia"/>
                <w:color w:val="auto"/>
                <w:highlight w:val="none"/>
                <w:lang w:eastAsia="zh-CN"/>
              </w:rPr>
              <w:t>3.6</w:t>
            </w:r>
          </w:p>
        </w:tc>
      </w:tr>
      <w:tr w14:paraId="679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B30E9D0">
            <w:pPr>
              <w:pStyle w:val="43"/>
              <w:jc w:val="center"/>
              <w:rPr>
                <w:rFonts w:hint="eastAsia"/>
                <w:color w:val="auto"/>
                <w:highlight w:val="none"/>
                <w:lang w:eastAsia="zh-CN"/>
              </w:rPr>
            </w:pPr>
          </w:p>
        </w:tc>
        <w:tc>
          <w:tcPr>
            <w:tcW w:w="0" w:type="auto"/>
            <w:vMerge w:val="restart"/>
            <w:vAlign w:val="center"/>
          </w:tcPr>
          <w:p w14:paraId="6E867E57">
            <w:pPr>
              <w:pStyle w:val="43"/>
              <w:jc w:val="center"/>
              <w:rPr>
                <w:rFonts w:hint="eastAsia"/>
                <w:color w:val="auto"/>
                <w:highlight w:val="none"/>
                <w:lang w:eastAsia="zh-CN"/>
              </w:rPr>
            </w:pPr>
            <w:r>
              <w:rPr>
                <w:rFonts w:hint="eastAsia"/>
                <w:color w:val="auto"/>
                <w:highlight w:val="none"/>
                <w:lang w:eastAsia="zh-CN"/>
              </w:rPr>
              <w:t>屋盖</w:t>
            </w:r>
          </w:p>
        </w:tc>
        <w:tc>
          <w:tcPr>
            <w:tcW w:w="0" w:type="auto"/>
            <w:vAlign w:val="center"/>
          </w:tcPr>
          <w:p w14:paraId="38A9CF22">
            <w:pPr>
              <w:pStyle w:val="43"/>
              <w:jc w:val="center"/>
              <w:rPr>
                <w:rFonts w:hint="eastAsia"/>
                <w:color w:val="auto"/>
                <w:highlight w:val="none"/>
                <w:lang w:eastAsia="zh-CN"/>
              </w:rPr>
            </w:pPr>
            <w:r>
              <w:rPr>
                <w:rFonts w:hint="eastAsia"/>
                <w:color w:val="auto"/>
                <w:highlight w:val="none"/>
                <w:lang w:eastAsia="zh-CN"/>
              </w:rPr>
              <w:t>40×65</w:t>
            </w:r>
          </w:p>
        </w:tc>
        <w:tc>
          <w:tcPr>
            <w:tcW w:w="1056" w:type="dxa"/>
            <w:vAlign w:val="center"/>
          </w:tcPr>
          <w:p w14:paraId="657C2B2F">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03FF94CD">
            <w:pPr>
              <w:pStyle w:val="43"/>
              <w:jc w:val="center"/>
              <w:rPr>
                <w:rFonts w:hint="eastAsia"/>
                <w:color w:val="auto"/>
                <w:highlight w:val="none"/>
                <w:lang w:eastAsia="zh-CN"/>
              </w:rPr>
            </w:pPr>
            <w:r>
              <w:rPr>
                <w:rFonts w:hint="eastAsia"/>
                <w:color w:val="auto"/>
                <w:highlight w:val="none"/>
                <w:lang w:eastAsia="zh-CN"/>
              </w:rPr>
              <w:t>2.6</w:t>
            </w:r>
          </w:p>
        </w:tc>
      </w:tr>
      <w:tr w14:paraId="481B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6530499">
            <w:pPr>
              <w:pStyle w:val="43"/>
              <w:jc w:val="center"/>
              <w:rPr>
                <w:rFonts w:hint="eastAsia"/>
                <w:color w:val="auto"/>
                <w:highlight w:val="none"/>
                <w:lang w:eastAsia="zh-CN"/>
              </w:rPr>
            </w:pPr>
          </w:p>
        </w:tc>
        <w:tc>
          <w:tcPr>
            <w:tcW w:w="0" w:type="auto"/>
            <w:vMerge w:val="continue"/>
            <w:vAlign w:val="center"/>
          </w:tcPr>
          <w:p w14:paraId="49E44DC7">
            <w:pPr>
              <w:pStyle w:val="43"/>
              <w:jc w:val="center"/>
              <w:rPr>
                <w:rFonts w:hint="eastAsia"/>
                <w:color w:val="auto"/>
                <w:highlight w:val="none"/>
                <w:lang w:eastAsia="zh-CN"/>
              </w:rPr>
            </w:pPr>
          </w:p>
        </w:tc>
        <w:tc>
          <w:tcPr>
            <w:tcW w:w="0" w:type="auto"/>
            <w:vAlign w:val="center"/>
          </w:tcPr>
          <w:p w14:paraId="5688B038">
            <w:pPr>
              <w:pStyle w:val="43"/>
              <w:jc w:val="center"/>
              <w:rPr>
                <w:rFonts w:hint="eastAsia"/>
                <w:color w:val="auto"/>
                <w:highlight w:val="none"/>
                <w:lang w:eastAsia="zh-CN"/>
              </w:rPr>
            </w:pPr>
            <w:r>
              <w:rPr>
                <w:rFonts w:hint="eastAsia"/>
                <w:color w:val="auto"/>
                <w:highlight w:val="none"/>
                <w:lang w:eastAsia="zh-CN"/>
              </w:rPr>
              <w:t>40×90</w:t>
            </w:r>
          </w:p>
        </w:tc>
        <w:tc>
          <w:tcPr>
            <w:tcW w:w="1056" w:type="dxa"/>
            <w:vAlign w:val="center"/>
          </w:tcPr>
          <w:p w14:paraId="54DD47E2">
            <w:pPr>
              <w:pStyle w:val="43"/>
              <w:jc w:val="center"/>
              <w:rPr>
                <w:rFonts w:hint="eastAsia"/>
                <w:color w:val="auto"/>
                <w:highlight w:val="none"/>
                <w:lang w:eastAsia="zh-CN"/>
              </w:rPr>
            </w:pPr>
            <w:r>
              <w:rPr>
                <w:rFonts w:hint="eastAsia"/>
                <w:color w:val="auto"/>
                <w:highlight w:val="none"/>
                <w:lang w:eastAsia="zh-CN"/>
              </w:rPr>
              <w:t>610</w:t>
            </w:r>
          </w:p>
        </w:tc>
        <w:tc>
          <w:tcPr>
            <w:tcW w:w="1056" w:type="dxa"/>
            <w:vAlign w:val="center"/>
          </w:tcPr>
          <w:p w14:paraId="2AB45B5E">
            <w:pPr>
              <w:pStyle w:val="43"/>
              <w:jc w:val="center"/>
              <w:rPr>
                <w:rFonts w:hint="eastAsia"/>
                <w:color w:val="auto"/>
                <w:highlight w:val="none"/>
                <w:lang w:eastAsia="zh-CN"/>
              </w:rPr>
            </w:pPr>
            <w:r>
              <w:rPr>
                <w:rFonts w:hint="eastAsia"/>
                <w:color w:val="auto"/>
                <w:highlight w:val="none"/>
                <w:lang w:eastAsia="zh-CN"/>
              </w:rPr>
              <w:t>3.6</w:t>
            </w:r>
          </w:p>
        </w:tc>
      </w:tr>
      <w:tr w14:paraId="0630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2FF6346">
            <w:pPr>
              <w:pStyle w:val="43"/>
              <w:jc w:val="center"/>
              <w:rPr>
                <w:rFonts w:hint="eastAsia"/>
                <w:color w:val="auto"/>
                <w:highlight w:val="none"/>
                <w:lang w:eastAsia="zh-CN"/>
              </w:rPr>
            </w:pPr>
          </w:p>
        </w:tc>
        <w:tc>
          <w:tcPr>
            <w:tcW w:w="0" w:type="auto"/>
            <w:vAlign w:val="center"/>
          </w:tcPr>
          <w:p w14:paraId="7A905010">
            <w:pPr>
              <w:pStyle w:val="43"/>
              <w:jc w:val="center"/>
              <w:rPr>
                <w:rFonts w:hint="eastAsia"/>
                <w:color w:val="auto"/>
                <w:highlight w:val="none"/>
                <w:lang w:eastAsia="zh-CN"/>
              </w:rPr>
            </w:pPr>
            <w:r>
              <w:rPr>
                <w:rFonts w:hint="eastAsia"/>
                <w:color w:val="auto"/>
                <w:highlight w:val="none"/>
                <w:lang w:eastAsia="zh-CN"/>
              </w:rPr>
              <w:t>屋盖加一层楼</w:t>
            </w:r>
          </w:p>
        </w:tc>
        <w:tc>
          <w:tcPr>
            <w:tcW w:w="0" w:type="auto"/>
            <w:vAlign w:val="center"/>
          </w:tcPr>
          <w:p w14:paraId="0D5C7BA3">
            <w:pPr>
              <w:pStyle w:val="43"/>
              <w:jc w:val="center"/>
              <w:rPr>
                <w:rFonts w:hint="eastAsia"/>
                <w:color w:val="auto"/>
                <w:highlight w:val="none"/>
                <w:lang w:eastAsia="zh-CN"/>
              </w:rPr>
            </w:pPr>
            <w:r>
              <w:rPr>
                <w:rFonts w:hint="eastAsia"/>
                <w:color w:val="auto"/>
                <w:highlight w:val="none"/>
                <w:lang w:eastAsia="zh-CN"/>
              </w:rPr>
              <w:t>40×90</w:t>
            </w:r>
          </w:p>
        </w:tc>
        <w:tc>
          <w:tcPr>
            <w:tcW w:w="1056" w:type="dxa"/>
            <w:vAlign w:val="center"/>
          </w:tcPr>
          <w:p w14:paraId="2FFFDF94">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0340AFA0">
            <w:pPr>
              <w:pStyle w:val="43"/>
              <w:jc w:val="center"/>
              <w:rPr>
                <w:rFonts w:hint="eastAsia"/>
                <w:color w:val="auto"/>
                <w:highlight w:val="none"/>
                <w:lang w:eastAsia="zh-CN"/>
              </w:rPr>
            </w:pPr>
            <w:r>
              <w:rPr>
                <w:rFonts w:hint="eastAsia"/>
                <w:color w:val="auto"/>
                <w:highlight w:val="none"/>
                <w:lang w:eastAsia="zh-CN"/>
              </w:rPr>
              <w:t>3.6</w:t>
            </w:r>
          </w:p>
        </w:tc>
      </w:tr>
      <w:tr w14:paraId="2AA8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3A296CD">
            <w:pPr>
              <w:pStyle w:val="43"/>
              <w:jc w:val="center"/>
              <w:rPr>
                <w:rFonts w:hint="eastAsia"/>
                <w:color w:val="auto"/>
                <w:highlight w:val="none"/>
                <w:lang w:eastAsia="zh-CN"/>
              </w:rPr>
            </w:pPr>
          </w:p>
        </w:tc>
        <w:tc>
          <w:tcPr>
            <w:tcW w:w="0" w:type="auto"/>
            <w:vAlign w:val="center"/>
          </w:tcPr>
          <w:p w14:paraId="1F80236C">
            <w:pPr>
              <w:pStyle w:val="43"/>
              <w:jc w:val="center"/>
              <w:rPr>
                <w:rFonts w:hint="eastAsia"/>
                <w:color w:val="auto"/>
                <w:highlight w:val="none"/>
                <w:lang w:eastAsia="zh-CN"/>
              </w:rPr>
            </w:pPr>
            <w:r>
              <w:rPr>
                <w:rFonts w:hint="eastAsia"/>
                <w:color w:val="auto"/>
                <w:highlight w:val="none"/>
                <w:lang w:eastAsia="zh-CN"/>
              </w:rPr>
              <w:t>屋盖加二层楼</w:t>
            </w:r>
          </w:p>
        </w:tc>
        <w:tc>
          <w:tcPr>
            <w:tcW w:w="0" w:type="auto"/>
            <w:vAlign w:val="center"/>
          </w:tcPr>
          <w:p w14:paraId="11DB9DC2">
            <w:pPr>
              <w:pStyle w:val="43"/>
              <w:jc w:val="center"/>
              <w:rPr>
                <w:rFonts w:hint="eastAsia"/>
                <w:color w:val="auto"/>
                <w:highlight w:val="none"/>
                <w:lang w:eastAsia="zh-CN"/>
              </w:rPr>
            </w:pPr>
            <w:r>
              <w:rPr>
                <w:rFonts w:hint="eastAsia"/>
                <w:color w:val="auto"/>
                <w:highlight w:val="none"/>
                <w:lang w:eastAsia="zh-CN"/>
              </w:rPr>
              <w:t>40×140</w:t>
            </w:r>
          </w:p>
        </w:tc>
        <w:tc>
          <w:tcPr>
            <w:tcW w:w="1056" w:type="dxa"/>
            <w:vAlign w:val="center"/>
          </w:tcPr>
          <w:p w14:paraId="313FE5CF">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7B5FF0DD">
            <w:pPr>
              <w:pStyle w:val="43"/>
              <w:jc w:val="center"/>
              <w:rPr>
                <w:rFonts w:hint="eastAsia"/>
                <w:color w:val="auto"/>
                <w:highlight w:val="none"/>
                <w:lang w:eastAsia="zh-CN"/>
              </w:rPr>
            </w:pPr>
            <w:r>
              <w:rPr>
                <w:rFonts w:hint="eastAsia"/>
                <w:color w:val="auto"/>
                <w:highlight w:val="none"/>
                <w:lang w:eastAsia="zh-CN"/>
              </w:rPr>
              <w:t>4.2</w:t>
            </w:r>
          </w:p>
        </w:tc>
      </w:tr>
      <w:tr w14:paraId="5418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722745D">
            <w:pPr>
              <w:pStyle w:val="43"/>
              <w:jc w:val="center"/>
              <w:rPr>
                <w:rFonts w:hint="eastAsia"/>
                <w:color w:val="auto"/>
                <w:highlight w:val="none"/>
                <w:lang w:eastAsia="zh-CN"/>
              </w:rPr>
            </w:pPr>
          </w:p>
        </w:tc>
        <w:tc>
          <w:tcPr>
            <w:tcW w:w="0" w:type="auto"/>
            <w:vMerge w:val="restart"/>
            <w:vAlign w:val="center"/>
          </w:tcPr>
          <w:p w14:paraId="1FD6C730">
            <w:pPr>
              <w:pStyle w:val="43"/>
              <w:jc w:val="center"/>
              <w:rPr>
                <w:rFonts w:hint="eastAsia"/>
                <w:color w:val="auto"/>
                <w:highlight w:val="none"/>
                <w:lang w:eastAsia="zh-CN"/>
              </w:rPr>
            </w:pPr>
            <w:r>
              <w:rPr>
                <w:rFonts w:hint="eastAsia"/>
                <w:color w:val="auto"/>
                <w:highlight w:val="none"/>
                <w:lang w:eastAsia="zh-CN"/>
              </w:rPr>
              <w:t>屋盖加三层楼</w:t>
            </w:r>
          </w:p>
        </w:tc>
        <w:tc>
          <w:tcPr>
            <w:tcW w:w="0" w:type="auto"/>
            <w:vAlign w:val="center"/>
          </w:tcPr>
          <w:p w14:paraId="0DA44725">
            <w:pPr>
              <w:pStyle w:val="43"/>
              <w:jc w:val="center"/>
              <w:rPr>
                <w:rFonts w:hint="eastAsia"/>
                <w:color w:val="auto"/>
                <w:highlight w:val="none"/>
                <w:lang w:eastAsia="zh-CN"/>
              </w:rPr>
            </w:pPr>
            <w:r>
              <w:rPr>
                <w:rFonts w:hint="eastAsia"/>
                <w:color w:val="auto"/>
                <w:highlight w:val="none"/>
                <w:lang w:eastAsia="zh-CN"/>
              </w:rPr>
              <w:t>40×90</w:t>
            </w:r>
          </w:p>
        </w:tc>
        <w:tc>
          <w:tcPr>
            <w:tcW w:w="1056" w:type="dxa"/>
            <w:vAlign w:val="center"/>
          </w:tcPr>
          <w:p w14:paraId="724A0D96">
            <w:pPr>
              <w:pStyle w:val="43"/>
              <w:jc w:val="center"/>
              <w:rPr>
                <w:rFonts w:hint="eastAsia"/>
                <w:color w:val="auto"/>
                <w:highlight w:val="none"/>
                <w:lang w:eastAsia="zh-CN"/>
              </w:rPr>
            </w:pPr>
            <w:r>
              <w:rPr>
                <w:rFonts w:hint="eastAsia"/>
                <w:color w:val="auto"/>
                <w:highlight w:val="none"/>
                <w:lang w:eastAsia="zh-CN"/>
              </w:rPr>
              <w:t>310</w:t>
            </w:r>
          </w:p>
        </w:tc>
        <w:tc>
          <w:tcPr>
            <w:tcW w:w="1056" w:type="dxa"/>
            <w:vAlign w:val="center"/>
          </w:tcPr>
          <w:p w14:paraId="1DF827B5">
            <w:pPr>
              <w:pStyle w:val="43"/>
              <w:jc w:val="center"/>
              <w:rPr>
                <w:rFonts w:hint="eastAsia"/>
                <w:color w:val="auto"/>
                <w:highlight w:val="none"/>
                <w:lang w:eastAsia="zh-CN"/>
              </w:rPr>
            </w:pPr>
            <w:r>
              <w:rPr>
                <w:rFonts w:hint="eastAsia"/>
                <w:color w:val="auto"/>
                <w:highlight w:val="none"/>
                <w:lang w:eastAsia="zh-CN"/>
              </w:rPr>
              <w:t>3.6</w:t>
            </w:r>
          </w:p>
        </w:tc>
      </w:tr>
      <w:tr w14:paraId="38B6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389059D">
            <w:pPr>
              <w:pStyle w:val="43"/>
              <w:jc w:val="center"/>
              <w:rPr>
                <w:rFonts w:hint="eastAsia"/>
                <w:color w:val="auto"/>
                <w:highlight w:val="none"/>
                <w:lang w:eastAsia="zh-CN"/>
              </w:rPr>
            </w:pPr>
          </w:p>
        </w:tc>
        <w:tc>
          <w:tcPr>
            <w:tcW w:w="0" w:type="auto"/>
            <w:vMerge w:val="continue"/>
            <w:vAlign w:val="center"/>
          </w:tcPr>
          <w:p w14:paraId="4AA94462">
            <w:pPr>
              <w:pStyle w:val="43"/>
              <w:jc w:val="center"/>
              <w:rPr>
                <w:rFonts w:hint="eastAsia"/>
                <w:color w:val="auto"/>
                <w:highlight w:val="none"/>
                <w:lang w:eastAsia="zh-CN"/>
              </w:rPr>
            </w:pPr>
          </w:p>
        </w:tc>
        <w:tc>
          <w:tcPr>
            <w:tcW w:w="0" w:type="auto"/>
            <w:vAlign w:val="center"/>
          </w:tcPr>
          <w:p w14:paraId="5AB1301A">
            <w:pPr>
              <w:pStyle w:val="43"/>
              <w:jc w:val="center"/>
              <w:rPr>
                <w:rFonts w:hint="eastAsia"/>
                <w:color w:val="auto"/>
                <w:highlight w:val="none"/>
                <w:lang w:eastAsia="zh-CN"/>
              </w:rPr>
            </w:pPr>
            <w:r>
              <w:rPr>
                <w:rFonts w:hint="eastAsia"/>
                <w:color w:val="auto"/>
                <w:highlight w:val="none"/>
                <w:lang w:eastAsia="zh-CN"/>
              </w:rPr>
              <w:t>40×140</w:t>
            </w:r>
          </w:p>
        </w:tc>
        <w:tc>
          <w:tcPr>
            <w:tcW w:w="1056" w:type="dxa"/>
            <w:vAlign w:val="center"/>
          </w:tcPr>
          <w:p w14:paraId="5A8F40BE">
            <w:pPr>
              <w:pStyle w:val="43"/>
              <w:jc w:val="center"/>
              <w:rPr>
                <w:rFonts w:hint="eastAsia"/>
                <w:color w:val="auto"/>
                <w:highlight w:val="none"/>
                <w:lang w:eastAsia="zh-CN"/>
              </w:rPr>
            </w:pPr>
            <w:r>
              <w:rPr>
                <w:rFonts w:hint="eastAsia"/>
                <w:color w:val="auto"/>
                <w:highlight w:val="none"/>
                <w:lang w:eastAsia="zh-CN"/>
              </w:rPr>
              <w:t>310</w:t>
            </w:r>
          </w:p>
        </w:tc>
        <w:tc>
          <w:tcPr>
            <w:tcW w:w="1056" w:type="dxa"/>
            <w:vAlign w:val="center"/>
          </w:tcPr>
          <w:p w14:paraId="44B3970F">
            <w:pPr>
              <w:pStyle w:val="43"/>
              <w:jc w:val="center"/>
              <w:rPr>
                <w:rFonts w:hint="eastAsia"/>
                <w:color w:val="auto"/>
                <w:highlight w:val="none"/>
                <w:lang w:eastAsia="zh-CN"/>
              </w:rPr>
            </w:pPr>
            <w:r>
              <w:rPr>
                <w:rFonts w:hint="eastAsia"/>
                <w:color w:val="auto"/>
                <w:highlight w:val="none"/>
                <w:lang w:eastAsia="zh-CN"/>
              </w:rPr>
              <w:t>4.2</w:t>
            </w:r>
          </w:p>
        </w:tc>
      </w:tr>
      <w:tr w14:paraId="25F0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D8A2F45">
            <w:pPr>
              <w:pStyle w:val="43"/>
              <w:jc w:val="center"/>
              <w:rPr>
                <w:rFonts w:hint="eastAsia"/>
                <w:color w:val="auto"/>
                <w:highlight w:val="none"/>
                <w:lang w:eastAsia="zh-CN"/>
              </w:rPr>
            </w:pPr>
            <w:r>
              <w:rPr>
                <w:rFonts w:hint="eastAsia"/>
                <w:color w:val="auto"/>
                <w:highlight w:val="none"/>
                <w:lang w:eastAsia="zh-CN"/>
              </w:rPr>
              <w:t>外墙</w:t>
            </w:r>
          </w:p>
        </w:tc>
        <w:tc>
          <w:tcPr>
            <w:tcW w:w="0" w:type="auto"/>
            <w:vMerge w:val="restart"/>
            <w:vAlign w:val="center"/>
          </w:tcPr>
          <w:p w14:paraId="19444D46">
            <w:pPr>
              <w:pStyle w:val="43"/>
              <w:jc w:val="center"/>
              <w:rPr>
                <w:rFonts w:hint="eastAsia"/>
                <w:color w:val="auto"/>
                <w:highlight w:val="none"/>
                <w:lang w:eastAsia="zh-CN"/>
              </w:rPr>
            </w:pPr>
            <w:r>
              <w:rPr>
                <w:rFonts w:hint="eastAsia"/>
                <w:color w:val="auto"/>
                <w:highlight w:val="none"/>
                <w:lang w:eastAsia="zh-CN"/>
              </w:rPr>
              <w:t>屋盖</w:t>
            </w:r>
          </w:p>
        </w:tc>
        <w:tc>
          <w:tcPr>
            <w:tcW w:w="0" w:type="auto"/>
            <w:vAlign w:val="center"/>
          </w:tcPr>
          <w:p w14:paraId="6C553CC9">
            <w:pPr>
              <w:pStyle w:val="43"/>
              <w:jc w:val="center"/>
              <w:rPr>
                <w:rFonts w:hint="eastAsia"/>
                <w:color w:val="auto"/>
                <w:highlight w:val="none"/>
                <w:lang w:eastAsia="zh-CN"/>
              </w:rPr>
            </w:pPr>
            <w:r>
              <w:rPr>
                <w:rFonts w:hint="eastAsia"/>
                <w:color w:val="auto"/>
                <w:highlight w:val="none"/>
                <w:lang w:eastAsia="zh-CN"/>
              </w:rPr>
              <w:t>40×65</w:t>
            </w:r>
          </w:p>
        </w:tc>
        <w:tc>
          <w:tcPr>
            <w:tcW w:w="1056" w:type="dxa"/>
            <w:vAlign w:val="center"/>
          </w:tcPr>
          <w:p w14:paraId="1D09DA5E">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1E0AF8A1">
            <w:pPr>
              <w:pStyle w:val="43"/>
              <w:jc w:val="center"/>
              <w:rPr>
                <w:rFonts w:hint="eastAsia"/>
                <w:color w:val="auto"/>
                <w:highlight w:val="none"/>
                <w:lang w:eastAsia="zh-CN"/>
              </w:rPr>
            </w:pPr>
            <w:r>
              <w:rPr>
                <w:rFonts w:hint="eastAsia"/>
                <w:color w:val="auto"/>
                <w:highlight w:val="none"/>
                <w:lang w:eastAsia="zh-CN"/>
              </w:rPr>
              <w:t>2.4</w:t>
            </w:r>
          </w:p>
        </w:tc>
      </w:tr>
      <w:tr w14:paraId="6A0A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998B1E0">
            <w:pPr>
              <w:pStyle w:val="43"/>
              <w:jc w:val="center"/>
              <w:rPr>
                <w:rFonts w:hint="eastAsia"/>
                <w:color w:val="auto"/>
                <w:highlight w:val="none"/>
                <w:lang w:eastAsia="zh-CN"/>
              </w:rPr>
            </w:pPr>
          </w:p>
        </w:tc>
        <w:tc>
          <w:tcPr>
            <w:tcW w:w="0" w:type="auto"/>
            <w:vMerge w:val="continue"/>
            <w:vAlign w:val="center"/>
          </w:tcPr>
          <w:p w14:paraId="61EC9D9D">
            <w:pPr>
              <w:pStyle w:val="43"/>
              <w:jc w:val="center"/>
              <w:rPr>
                <w:rFonts w:hint="eastAsia"/>
                <w:color w:val="auto"/>
                <w:highlight w:val="none"/>
                <w:lang w:eastAsia="zh-CN"/>
              </w:rPr>
            </w:pPr>
          </w:p>
        </w:tc>
        <w:tc>
          <w:tcPr>
            <w:tcW w:w="0" w:type="auto"/>
            <w:vAlign w:val="center"/>
          </w:tcPr>
          <w:p w14:paraId="4D677590">
            <w:pPr>
              <w:pStyle w:val="43"/>
              <w:jc w:val="center"/>
              <w:rPr>
                <w:rFonts w:hint="eastAsia"/>
                <w:color w:val="auto"/>
                <w:highlight w:val="none"/>
                <w:lang w:eastAsia="zh-CN"/>
              </w:rPr>
            </w:pPr>
            <w:r>
              <w:rPr>
                <w:rFonts w:hint="eastAsia"/>
                <w:color w:val="auto"/>
                <w:highlight w:val="none"/>
                <w:lang w:eastAsia="zh-CN"/>
              </w:rPr>
              <w:t>40×90</w:t>
            </w:r>
          </w:p>
        </w:tc>
        <w:tc>
          <w:tcPr>
            <w:tcW w:w="1056" w:type="dxa"/>
            <w:vAlign w:val="center"/>
          </w:tcPr>
          <w:p w14:paraId="1515F3E0">
            <w:pPr>
              <w:pStyle w:val="43"/>
              <w:jc w:val="center"/>
              <w:rPr>
                <w:rFonts w:hint="eastAsia"/>
                <w:color w:val="auto"/>
                <w:highlight w:val="none"/>
                <w:lang w:eastAsia="zh-CN"/>
              </w:rPr>
            </w:pPr>
            <w:r>
              <w:rPr>
                <w:rFonts w:hint="eastAsia"/>
                <w:color w:val="auto"/>
                <w:highlight w:val="none"/>
                <w:lang w:eastAsia="zh-CN"/>
              </w:rPr>
              <w:t>610</w:t>
            </w:r>
          </w:p>
        </w:tc>
        <w:tc>
          <w:tcPr>
            <w:tcW w:w="1056" w:type="dxa"/>
            <w:vAlign w:val="center"/>
          </w:tcPr>
          <w:p w14:paraId="063994B2">
            <w:pPr>
              <w:pStyle w:val="43"/>
              <w:jc w:val="center"/>
              <w:rPr>
                <w:rFonts w:hint="eastAsia"/>
                <w:color w:val="auto"/>
                <w:highlight w:val="none"/>
                <w:lang w:eastAsia="zh-CN"/>
              </w:rPr>
            </w:pPr>
            <w:r>
              <w:rPr>
                <w:rFonts w:hint="eastAsia"/>
                <w:color w:val="auto"/>
                <w:highlight w:val="none"/>
                <w:lang w:eastAsia="zh-CN"/>
              </w:rPr>
              <w:t>3.0</w:t>
            </w:r>
          </w:p>
        </w:tc>
      </w:tr>
      <w:tr w14:paraId="7D51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35E1C23">
            <w:pPr>
              <w:pStyle w:val="43"/>
              <w:jc w:val="center"/>
              <w:rPr>
                <w:rFonts w:hint="eastAsia"/>
                <w:color w:val="auto"/>
                <w:highlight w:val="none"/>
                <w:lang w:eastAsia="zh-CN"/>
              </w:rPr>
            </w:pPr>
          </w:p>
        </w:tc>
        <w:tc>
          <w:tcPr>
            <w:tcW w:w="0" w:type="auto"/>
            <w:vMerge w:val="restart"/>
            <w:vAlign w:val="center"/>
          </w:tcPr>
          <w:p w14:paraId="6C6A3EC8">
            <w:pPr>
              <w:pStyle w:val="43"/>
              <w:jc w:val="center"/>
              <w:rPr>
                <w:rFonts w:hint="eastAsia"/>
                <w:color w:val="auto"/>
                <w:highlight w:val="none"/>
                <w:lang w:eastAsia="zh-CN"/>
              </w:rPr>
            </w:pPr>
            <w:r>
              <w:rPr>
                <w:rFonts w:hint="eastAsia"/>
                <w:color w:val="auto"/>
                <w:highlight w:val="none"/>
                <w:lang w:eastAsia="zh-CN"/>
              </w:rPr>
              <w:t>屋盖加一层楼</w:t>
            </w:r>
          </w:p>
        </w:tc>
        <w:tc>
          <w:tcPr>
            <w:tcW w:w="0" w:type="auto"/>
            <w:vAlign w:val="center"/>
          </w:tcPr>
          <w:p w14:paraId="42F77737">
            <w:pPr>
              <w:pStyle w:val="43"/>
              <w:jc w:val="center"/>
              <w:rPr>
                <w:rFonts w:hint="eastAsia"/>
                <w:color w:val="auto"/>
                <w:highlight w:val="none"/>
                <w:lang w:eastAsia="zh-CN"/>
              </w:rPr>
            </w:pPr>
            <w:r>
              <w:rPr>
                <w:rFonts w:hint="eastAsia"/>
                <w:color w:val="auto"/>
                <w:highlight w:val="none"/>
                <w:lang w:eastAsia="zh-CN"/>
              </w:rPr>
              <w:t>40×90</w:t>
            </w:r>
          </w:p>
        </w:tc>
        <w:tc>
          <w:tcPr>
            <w:tcW w:w="1056" w:type="dxa"/>
            <w:vAlign w:val="center"/>
          </w:tcPr>
          <w:p w14:paraId="2AA55CDD">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24E842A2">
            <w:pPr>
              <w:pStyle w:val="43"/>
              <w:jc w:val="center"/>
              <w:rPr>
                <w:rFonts w:hint="eastAsia"/>
                <w:color w:val="auto"/>
                <w:highlight w:val="none"/>
                <w:lang w:eastAsia="zh-CN"/>
              </w:rPr>
            </w:pPr>
            <w:r>
              <w:rPr>
                <w:rFonts w:hint="eastAsia"/>
                <w:color w:val="auto"/>
                <w:highlight w:val="none"/>
                <w:lang w:eastAsia="zh-CN"/>
              </w:rPr>
              <w:t>3.0</w:t>
            </w:r>
          </w:p>
        </w:tc>
      </w:tr>
      <w:tr w14:paraId="6E25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18AFD09">
            <w:pPr>
              <w:pStyle w:val="43"/>
              <w:jc w:val="center"/>
              <w:rPr>
                <w:rFonts w:hint="eastAsia"/>
                <w:color w:val="auto"/>
                <w:highlight w:val="none"/>
                <w:lang w:eastAsia="zh-CN"/>
              </w:rPr>
            </w:pPr>
          </w:p>
        </w:tc>
        <w:tc>
          <w:tcPr>
            <w:tcW w:w="0" w:type="auto"/>
            <w:vMerge w:val="continue"/>
            <w:vAlign w:val="center"/>
          </w:tcPr>
          <w:p w14:paraId="1C1A03FC">
            <w:pPr>
              <w:pStyle w:val="43"/>
              <w:jc w:val="center"/>
              <w:rPr>
                <w:rFonts w:hint="eastAsia"/>
                <w:color w:val="auto"/>
                <w:highlight w:val="none"/>
                <w:lang w:eastAsia="zh-CN"/>
              </w:rPr>
            </w:pPr>
          </w:p>
        </w:tc>
        <w:tc>
          <w:tcPr>
            <w:tcW w:w="0" w:type="auto"/>
            <w:vAlign w:val="center"/>
          </w:tcPr>
          <w:p w14:paraId="2D17997D">
            <w:pPr>
              <w:pStyle w:val="43"/>
              <w:jc w:val="center"/>
              <w:rPr>
                <w:rFonts w:hint="eastAsia"/>
                <w:color w:val="auto"/>
                <w:highlight w:val="none"/>
                <w:lang w:eastAsia="zh-CN"/>
              </w:rPr>
            </w:pPr>
            <w:r>
              <w:rPr>
                <w:rFonts w:hint="eastAsia"/>
                <w:color w:val="auto"/>
                <w:highlight w:val="none"/>
                <w:lang w:eastAsia="zh-CN"/>
              </w:rPr>
              <w:t>40×140</w:t>
            </w:r>
          </w:p>
        </w:tc>
        <w:tc>
          <w:tcPr>
            <w:tcW w:w="1056" w:type="dxa"/>
            <w:vAlign w:val="center"/>
          </w:tcPr>
          <w:p w14:paraId="7D681A10">
            <w:pPr>
              <w:pStyle w:val="43"/>
              <w:jc w:val="center"/>
              <w:rPr>
                <w:rFonts w:hint="eastAsia"/>
                <w:color w:val="auto"/>
                <w:highlight w:val="none"/>
                <w:lang w:eastAsia="zh-CN"/>
              </w:rPr>
            </w:pPr>
            <w:r>
              <w:rPr>
                <w:rFonts w:hint="eastAsia"/>
                <w:color w:val="auto"/>
                <w:highlight w:val="none"/>
                <w:lang w:eastAsia="zh-CN"/>
              </w:rPr>
              <w:t>610</w:t>
            </w:r>
          </w:p>
        </w:tc>
        <w:tc>
          <w:tcPr>
            <w:tcW w:w="1056" w:type="dxa"/>
            <w:vAlign w:val="center"/>
          </w:tcPr>
          <w:p w14:paraId="1DBCC6DC">
            <w:pPr>
              <w:pStyle w:val="43"/>
              <w:jc w:val="center"/>
              <w:rPr>
                <w:rFonts w:hint="eastAsia"/>
                <w:color w:val="auto"/>
                <w:highlight w:val="none"/>
                <w:lang w:eastAsia="zh-CN"/>
              </w:rPr>
            </w:pPr>
            <w:r>
              <w:rPr>
                <w:rFonts w:hint="eastAsia"/>
                <w:color w:val="auto"/>
                <w:highlight w:val="none"/>
                <w:lang w:eastAsia="zh-CN"/>
              </w:rPr>
              <w:t>3.0</w:t>
            </w:r>
          </w:p>
        </w:tc>
      </w:tr>
      <w:tr w14:paraId="36E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57CA165">
            <w:pPr>
              <w:pStyle w:val="43"/>
              <w:jc w:val="center"/>
              <w:rPr>
                <w:rFonts w:hint="eastAsia"/>
                <w:color w:val="auto"/>
                <w:highlight w:val="none"/>
                <w:lang w:eastAsia="zh-CN"/>
              </w:rPr>
            </w:pPr>
          </w:p>
        </w:tc>
        <w:tc>
          <w:tcPr>
            <w:tcW w:w="0" w:type="auto"/>
            <w:vMerge w:val="restart"/>
            <w:vAlign w:val="center"/>
          </w:tcPr>
          <w:p w14:paraId="69484EE5">
            <w:pPr>
              <w:pStyle w:val="43"/>
              <w:jc w:val="center"/>
              <w:rPr>
                <w:rFonts w:hint="eastAsia"/>
                <w:color w:val="auto"/>
                <w:highlight w:val="none"/>
                <w:lang w:eastAsia="zh-CN"/>
              </w:rPr>
            </w:pPr>
            <w:r>
              <w:rPr>
                <w:rFonts w:hint="eastAsia"/>
                <w:color w:val="auto"/>
                <w:highlight w:val="none"/>
                <w:lang w:eastAsia="zh-CN"/>
              </w:rPr>
              <w:t>屋盖加二层楼</w:t>
            </w:r>
          </w:p>
        </w:tc>
        <w:tc>
          <w:tcPr>
            <w:tcW w:w="0" w:type="auto"/>
            <w:vAlign w:val="center"/>
          </w:tcPr>
          <w:p w14:paraId="160791AB">
            <w:pPr>
              <w:pStyle w:val="43"/>
              <w:jc w:val="center"/>
              <w:rPr>
                <w:rFonts w:hint="eastAsia"/>
                <w:color w:val="auto"/>
                <w:highlight w:val="none"/>
                <w:lang w:eastAsia="zh-CN"/>
              </w:rPr>
            </w:pPr>
            <w:r>
              <w:rPr>
                <w:rFonts w:hint="eastAsia"/>
                <w:color w:val="auto"/>
                <w:highlight w:val="none"/>
                <w:lang w:eastAsia="zh-CN"/>
              </w:rPr>
              <w:t>40×90</w:t>
            </w:r>
          </w:p>
        </w:tc>
        <w:tc>
          <w:tcPr>
            <w:tcW w:w="1056" w:type="dxa"/>
            <w:vAlign w:val="center"/>
          </w:tcPr>
          <w:p w14:paraId="3B6C04DE">
            <w:pPr>
              <w:pStyle w:val="43"/>
              <w:jc w:val="center"/>
              <w:rPr>
                <w:rFonts w:hint="eastAsia"/>
                <w:color w:val="auto"/>
                <w:highlight w:val="none"/>
                <w:lang w:eastAsia="zh-CN"/>
              </w:rPr>
            </w:pPr>
            <w:r>
              <w:rPr>
                <w:rFonts w:hint="eastAsia"/>
                <w:color w:val="auto"/>
                <w:highlight w:val="none"/>
                <w:lang w:eastAsia="zh-CN"/>
              </w:rPr>
              <w:t>310</w:t>
            </w:r>
          </w:p>
        </w:tc>
        <w:tc>
          <w:tcPr>
            <w:tcW w:w="1056" w:type="dxa"/>
            <w:vAlign w:val="center"/>
          </w:tcPr>
          <w:p w14:paraId="3A0397E2">
            <w:pPr>
              <w:pStyle w:val="43"/>
              <w:jc w:val="center"/>
              <w:rPr>
                <w:rFonts w:hint="eastAsia"/>
                <w:color w:val="auto"/>
                <w:highlight w:val="none"/>
                <w:lang w:eastAsia="zh-CN"/>
              </w:rPr>
            </w:pPr>
            <w:r>
              <w:rPr>
                <w:rFonts w:hint="eastAsia"/>
                <w:color w:val="auto"/>
                <w:highlight w:val="none"/>
                <w:lang w:eastAsia="zh-CN"/>
              </w:rPr>
              <w:t>3.0</w:t>
            </w:r>
          </w:p>
        </w:tc>
      </w:tr>
      <w:tr w14:paraId="6216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BFB028F">
            <w:pPr>
              <w:pStyle w:val="43"/>
              <w:jc w:val="center"/>
              <w:rPr>
                <w:rFonts w:hint="eastAsia"/>
                <w:color w:val="auto"/>
                <w:highlight w:val="none"/>
                <w:lang w:eastAsia="zh-CN"/>
              </w:rPr>
            </w:pPr>
          </w:p>
        </w:tc>
        <w:tc>
          <w:tcPr>
            <w:tcW w:w="0" w:type="auto"/>
            <w:vMerge w:val="continue"/>
            <w:vAlign w:val="center"/>
          </w:tcPr>
          <w:p w14:paraId="479E2215">
            <w:pPr>
              <w:pStyle w:val="43"/>
              <w:jc w:val="center"/>
              <w:rPr>
                <w:rFonts w:hint="eastAsia"/>
                <w:color w:val="auto"/>
                <w:highlight w:val="none"/>
                <w:lang w:eastAsia="zh-CN"/>
              </w:rPr>
            </w:pPr>
          </w:p>
        </w:tc>
        <w:tc>
          <w:tcPr>
            <w:tcW w:w="0" w:type="auto"/>
            <w:vAlign w:val="center"/>
          </w:tcPr>
          <w:p w14:paraId="188E5C51">
            <w:pPr>
              <w:pStyle w:val="43"/>
              <w:jc w:val="center"/>
              <w:rPr>
                <w:rFonts w:hint="eastAsia"/>
                <w:color w:val="auto"/>
                <w:highlight w:val="none"/>
                <w:lang w:eastAsia="zh-CN"/>
              </w:rPr>
            </w:pPr>
            <w:r>
              <w:rPr>
                <w:rFonts w:hint="eastAsia"/>
                <w:color w:val="auto"/>
                <w:highlight w:val="none"/>
                <w:lang w:eastAsia="zh-CN"/>
              </w:rPr>
              <w:t>65×90</w:t>
            </w:r>
          </w:p>
        </w:tc>
        <w:tc>
          <w:tcPr>
            <w:tcW w:w="1056" w:type="dxa"/>
            <w:vAlign w:val="center"/>
          </w:tcPr>
          <w:p w14:paraId="28785D5A">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2CA21BF0">
            <w:pPr>
              <w:pStyle w:val="43"/>
              <w:jc w:val="center"/>
              <w:rPr>
                <w:rFonts w:hint="eastAsia"/>
                <w:color w:val="auto"/>
                <w:highlight w:val="none"/>
                <w:lang w:eastAsia="zh-CN"/>
              </w:rPr>
            </w:pPr>
            <w:r>
              <w:rPr>
                <w:rFonts w:hint="eastAsia"/>
                <w:color w:val="auto"/>
                <w:highlight w:val="none"/>
                <w:lang w:eastAsia="zh-CN"/>
              </w:rPr>
              <w:t>3.0</w:t>
            </w:r>
          </w:p>
        </w:tc>
      </w:tr>
      <w:tr w14:paraId="3302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5762A73">
            <w:pPr>
              <w:pStyle w:val="43"/>
              <w:jc w:val="left"/>
              <w:rPr>
                <w:rFonts w:hint="eastAsia"/>
                <w:color w:val="auto"/>
                <w:highlight w:val="none"/>
                <w:lang w:eastAsia="zh-CN"/>
              </w:rPr>
            </w:pPr>
          </w:p>
        </w:tc>
        <w:tc>
          <w:tcPr>
            <w:tcW w:w="0" w:type="auto"/>
            <w:vMerge w:val="restart"/>
            <w:vAlign w:val="center"/>
          </w:tcPr>
          <w:p w14:paraId="5147773C">
            <w:pPr>
              <w:pStyle w:val="43"/>
              <w:jc w:val="center"/>
              <w:rPr>
                <w:rFonts w:hint="eastAsia"/>
                <w:color w:val="auto"/>
                <w:highlight w:val="none"/>
                <w:lang w:eastAsia="zh-CN"/>
              </w:rPr>
            </w:pPr>
            <w:r>
              <w:rPr>
                <w:rFonts w:hint="eastAsia"/>
                <w:color w:val="auto"/>
                <w:highlight w:val="none"/>
                <w:lang w:eastAsia="zh-CN"/>
              </w:rPr>
              <w:t>屋盖加三层楼</w:t>
            </w:r>
          </w:p>
        </w:tc>
        <w:tc>
          <w:tcPr>
            <w:tcW w:w="0" w:type="auto"/>
            <w:vAlign w:val="center"/>
          </w:tcPr>
          <w:p w14:paraId="3DB62392">
            <w:pPr>
              <w:pStyle w:val="43"/>
              <w:jc w:val="center"/>
              <w:rPr>
                <w:rFonts w:hint="eastAsia"/>
                <w:color w:val="auto"/>
                <w:highlight w:val="none"/>
                <w:lang w:eastAsia="zh-CN"/>
              </w:rPr>
            </w:pPr>
            <w:r>
              <w:rPr>
                <w:rFonts w:hint="eastAsia"/>
                <w:color w:val="auto"/>
                <w:highlight w:val="none"/>
                <w:lang w:eastAsia="zh-CN"/>
              </w:rPr>
              <w:t>40×140</w:t>
            </w:r>
          </w:p>
        </w:tc>
        <w:tc>
          <w:tcPr>
            <w:tcW w:w="1056" w:type="dxa"/>
            <w:vAlign w:val="center"/>
          </w:tcPr>
          <w:p w14:paraId="0F7F6BAA">
            <w:pPr>
              <w:pStyle w:val="43"/>
              <w:jc w:val="center"/>
              <w:rPr>
                <w:rFonts w:hint="eastAsia"/>
                <w:color w:val="auto"/>
                <w:highlight w:val="none"/>
                <w:lang w:eastAsia="zh-CN"/>
              </w:rPr>
            </w:pPr>
            <w:r>
              <w:rPr>
                <w:rFonts w:hint="eastAsia"/>
                <w:color w:val="auto"/>
                <w:highlight w:val="none"/>
                <w:lang w:eastAsia="zh-CN"/>
              </w:rPr>
              <w:t>410</w:t>
            </w:r>
          </w:p>
        </w:tc>
        <w:tc>
          <w:tcPr>
            <w:tcW w:w="1056" w:type="dxa"/>
            <w:vAlign w:val="center"/>
          </w:tcPr>
          <w:p w14:paraId="26520125">
            <w:pPr>
              <w:pStyle w:val="43"/>
              <w:jc w:val="center"/>
              <w:rPr>
                <w:rFonts w:hint="eastAsia"/>
                <w:color w:val="auto"/>
                <w:highlight w:val="none"/>
                <w:lang w:eastAsia="zh-CN"/>
              </w:rPr>
            </w:pPr>
            <w:r>
              <w:rPr>
                <w:rFonts w:hint="eastAsia"/>
                <w:color w:val="auto"/>
                <w:highlight w:val="none"/>
                <w:lang w:eastAsia="zh-CN"/>
              </w:rPr>
              <w:t>3.6</w:t>
            </w:r>
          </w:p>
        </w:tc>
      </w:tr>
      <w:tr w14:paraId="5C28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D66E8E4">
            <w:pPr>
              <w:pStyle w:val="43"/>
              <w:jc w:val="center"/>
              <w:rPr>
                <w:color w:val="auto"/>
                <w:highlight w:val="none"/>
                <w:lang w:eastAsia="zh-CN"/>
              </w:rPr>
            </w:pPr>
          </w:p>
        </w:tc>
        <w:tc>
          <w:tcPr>
            <w:tcW w:w="0" w:type="auto"/>
            <w:vMerge w:val="continue"/>
            <w:vAlign w:val="center"/>
          </w:tcPr>
          <w:p w14:paraId="200155BC">
            <w:pPr>
              <w:pStyle w:val="43"/>
              <w:jc w:val="center"/>
              <w:rPr>
                <w:rFonts w:hint="eastAsia"/>
                <w:color w:val="auto"/>
                <w:highlight w:val="none"/>
                <w:lang w:eastAsia="zh-CN"/>
              </w:rPr>
            </w:pPr>
          </w:p>
        </w:tc>
        <w:tc>
          <w:tcPr>
            <w:tcW w:w="0" w:type="auto"/>
            <w:vAlign w:val="center"/>
          </w:tcPr>
          <w:p w14:paraId="6E42DE24">
            <w:pPr>
              <w:pStyle w:val="43"/>
              <w:jc w:val="center"/>
              <w:rPr>
                <w:rFonts w:hint="eastAsia"/>
                <w:color w:val="auto"/>
                <w:highlight w:val="none"/>
                <w:lang w:eastAsia="zh-CN"/>
              </w:rPr>
            </w:pPr>
            <w:r>
              <w:rPr>
                <w:rFonts w:hint="eastAsia"/>
                <w:color w:val="auto"/>
                <w:highlight w:val="none"/>
                <w:lang w:eastAsia="zh-CN"/>
              </w:rPr>
              <w:t>40×140</w:t>
            </w:r>
          </w:p>
        </w:tc>
        <w:tc>
          <w:tcPr>
            <w:tcW w:w="1056" w:type="dxa"/>
            <w:vAlign w:val="center"/>
          </w:tcPr>
          <w:p w14:paraId="16510AE9">
            <w:pPr>
              <w:pStyle w:val="43"/>
              <w:jc w:val="center"/>
              <w:rPr>
                <w:rFonts w:hint="eastAsia"/>
                <w:color w:val="auto"/>
                <w:highlight w:val="none"/>
                <w:lang w:eastAsia="zh-CN"/>
              </w:rPr>
            </w:pPr>
            <w:r>
              <w:rPr>
                <w:rFonts w:hint="eastAsia"/>
                <w:color w:val="auto"/>
                <w:highlight w:val="none"/>
                <w:lang w:eastAsia="zh-CN"/>
              </w:rPr>
              <w:t>310</w:t>
            </w:r>
          </w:p>
        </w:tc>
        <w:tc>
          <w:tcPr>
            <w:tcW w:w="1056" w:type="dxa"/>
            <w:vAlign w:val="center"/>
          </w:tcPr>
          <w:p w14:paraId="3E1C3BA0">
            <w:pPr>
              <w:pStyle w:val="43"/>
              <w:jc w:val="center"/>
              <w:rPr>
                <w:rFonts w:hint="eastAsia"/>
                <w:color w:val="auto"/>
                <w:highlight w:val="none"/>
                <w:lang w:eastAsia="zh-CN"/>
              </w:rPr>
            </w:pPr>
            <w:r>
              <w:rPr>
                <w:rFonts w:hint="eastAsia"/>
                <w:color w:val="auto"/>
                <w:highlight w:val="none"/>
                <w:lang w:eastAsia="zh-CN"/>
              </w:rPr>
              <w:t>1.8</w:t>
            </w:r>
          </w:p>
        </w:tc>
      </w:tr>
    </w:tbl>
    <w:p w14:paraId="1A6DAADB">
      <w:pPr>
        <w:rPr>
          <w:rFonts w:hint="default"/>
          <w:color w:val="auto"/>
          <w:highlight w:val="none"/>
          <w:lang w:val="en-US" w:eastAsia="zh-CN"/>
        </w:rPr>
      </w:pPr>
    </w:p>
    <w:p w14:paraId="62282737">
      <w:pPr>
        <w:pStyle w:val="4"/>
        <w:rPr>
          <w:color w:val="auto"/>
          <w:highlight w:val="none"/>
          <w:lang w:eastAsia="zh-CN"/>
        </w:rPr>
      </w:pPr>
      <w:r>
        <w:rPr>
          <w:rFonts w:hint="eastAsia"/>
          <w:b/>
          <w:bCs/>
          <w:color w:val="auto"/>
          <w:highlight w:val="none"/>
          <w:lang w:val="en-US" w:eastAsia="zh-CN"/>
        </w:rPr>
        <w:t>D.</w:t>
      </w:r>
      <w:r>
        <w:rPr>
          <w:rFonts w:hint="eastAsia"/>
          <w:b/>
          <w:bCs/>
          <w:color w:val="auto"/>
          <w:highlight w:val="none"/>
          <w:lang w:eastAsia="zh-CN"/>
        </w:rPr>
        <w:t>0</w:t>
      </w:r>
      <w:r>
        <w:rPr>
          <w:rFonts w:hint="eastAsia"/>
          <w:b/>
          <w:bCs/>
          <w:color w:val="auto"/>
          <w:highlight w:val="none"/>
          <w:lang w:val="en-US" w:eastAsia="zh-CN"/>
        </w:rPr>
        <w:t>.</w:t>
      </w:r>
      <w:r>
        <w:rPr>
          <w:rFonts w:hint="eastAsia"/>
          <w:b/>
          <w:bCs/>
          <w:color w:val="auto"/>
          <w:highlight w:val="none"/>
          <w:lang w:eastAsia="zh-CN"/>
        </w:rPr>
        <w:t>2</w:t>
      </w:r>
      <w:r>
        <w:rPr>
          <w:b/>
          <w:bCs/>
          <w:color w:val="auto"/>
          <w:highlight w:val="none"/>
          <w:lang w:eastAsia="zh-CN"/>
        </w:rPr>
        <w:t xml:space="preserve"> </w:t>
      </w:r>
      <w:r>
        <w:rPr>
          <w:rFonts w:hint="eastAsia"/>
          <w:color w:val="auto"/>
          <w:highlight w:val="none"/>
          <w:lang w:eastAsia="zh-CN"/>
        </w:rPr>
        <w:t>轻型木结构屋面掾条与顶棚搁栅的钉连接应符合表</w:t>
      </w:r>
      <w:r>
        <w:rPr>
          <w:rFonts w:hint="eastAsia"/>
          <w:color w:val="auto"/>
          <w:highlight w:val="none"/>
          <w:lang w:val="en-US" w:eastAsia="zh-CN"/>
        </w:rPr>
        <w:t>D.0.2</w:t>
      </w:r>
      <w:r>
        <w:rPr>
          <w:rFonts w:hint="eastAsia"/>
          <w:color w:val="auto"/>
          <w:highlight w:val="none"/>
          <w:lang w:eastAsia="zh-CN"/>
        </w:rPr>
        <w:t>的规定。</w:t>
      </w:r>
    </w:p>
    <w:p w14:paraId="476BC779">
      <w:pPr>
        <w:pStyle w:val="40"/>
        <w:bidi w:val="0"/>
        <w:rPr>
          <w:rFonts w:hint="eastAsia"/>
          <w:color w:val="auto"/>
          <w:highlight w:val="none"/>
          <w:lang w:eastAsia="zh-CN"/>
        </w:rPr>
      </w:pPr>
      <w:r>
        <w:rPr>
          <w:rFonts w:hint="eastAsia"/>
          <w:color w:val="auto"/>
          <w:highlight w:val="none"/>
          <w:lang w:eastAsia="zh-CN"/>
        </w:rPr>
        <w:t>表</w:t>
      </w:r>
      <w:r>
        <w:rPr>
          <w:rFonts w:hint="eastAsia"/>
          <w:color w:val="auto"/>
          <w:highlight w:val="none"/>
          <w:lang w:val="en-US" w:eastAsia="zh-CN"/>
        </w:rPr>
        <w:t>D.0.2</w:t>
      </w:r>
      <w:r>
        <w:rPr>
          <w:rFonts w:hint="eastAsia"/>
          <w:color w:val="auto"/>
          <w:highlight w:val="none"/>
          <w:lang w:eastAsia="zh-CN"/>
        </w:rPr>
        <w:t xml:space="preserve"> </w:t>
      </w:r>
      <w:r>
        <w:rPr>
          <w:rFonts w:hint="eastAsia"/>
          <w:color w:val="auto"/>
          <w:highlight w:val="none"/>
          <w:lang w:val="en-US" w:eastAsia="zh-CN"/>
        </w:rPr>
        <w:t xml:space="preserve"> </w:t>
      </w:r>
      <w:r>
        <w:rPr>
          <w:rFonts w:hint="eastAsia"/>
          <w:color w:val="auto"/>
          <w:highlight w:val="none"/>
          <w:lang w:eastAsia="zh-CN"/>
        </w:rPr>
        <w:t>掾条与顶棚搁栅钉连接（屋脊板无支承）</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2208"/>
        <w:gridCol w:w="2208"/>
      </w:tblGrid>
      <w:tr w14:paraId="1A33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12AFAD7B">
            <w:pPr>
              <w:pStyle w:val="43"/>
              <w:jc w:val="center"/>
              <w:rPr>
                <w:color w:val="auto"/>
                <w:highlight w:val="none"/>
                <w:lang w:eastAsia="zh-CN"/>
              </w:rPr>
            </w:pPr>
            <w:r>
              <w:rPr>
                <w:rFonts w:hint="eastAsia"/>
                <w:color w:val="auto"/>
                <w:highlight w:val="none"/>
                <w:lang w:eastAsia="zh-CN"/>
              </w:rPr>
              <w:t>屋面坡度</w:t>
            </w:r>
          </w:p>
        </w:tc>
        <w:tc>
          <w:tcPr>
            <w:tcW w:w="1056" w:type="dxa"/>
            <w:vMerge w:val="restart"/>
            <w:vAlign w:val="center"/>
          </w:tcPr>
          <w:p w14:paraId="68C25183">
            <w:pPr>
              <w:pStyle w:val="43"/>
              <w:jc w:val="center"/>
              <w:rPr>
                <w:color w:val="auto"/>
                <w:highlight w:val="none"/>
                <w:lang w:eastAsia="zh-CN"/>
              </w:rPr>
            </w:pPr>
            <w:r>
              <w:rPr>
                <w:rFonts w:hint="eastAsia"/>
                <w:color w:val="auto"/>
                <w:highlight w:val="none"/>
                <w:lang w:eastAsia="zh-CN"/>
              </w:rPr>
              <w:t>椽条间距</w:t>
            </w:r>
          </w:p>
          <w:p w14:paraId="789EFFA7">
            <w:pPr>
              <w:pStyle w:val="43"/>
              <w:jc w:val="center"/>
              <w:rPr>
                <w:rFonts w:hint="eastAsia"/>
                <w:color w:val="auto"/>
                <w:highlight w:val="none"/>
                <w:lang w:eastAsia="zh-CN"/>
              </w:rPr>
            </w:pPr>
            <w:r>
              <w:rPr>
                <w:rFonts w:hint="eastAsia"/>
                <w:color w:val="auto"/>
                <w:highlight w:val="none"/>
                <w:lang w:eastAsia="zh-CN"/>
              </w:rPr>
              <w:t>（mm）</w:t>
            </w:r>
          </w:p>
        </w:tc>
        <w:tc>
          <w:tcPr>
            <w:tcW w:w="0" w:type="auto"/>
            <w:gridSpan w:val="2"/>
            <w:vAlign w:val="center"/>
          </w:tcPr>
          <w:p w14:paraId="732CD6A7">
            <w:pPr>
              <w:pStyle w:val="43"/>
              <w:jc w:val="center"/>
              <w:rPr>
                <w:rFonts w:hint="eastAsia"/>
                <w:color w:val="auto"/>
                <w:highlight w:val="none"/>
                <w:lang w:eastAsia="zh-CN"/>
              </w:rPr>
            </w:pPr>
            <w:r>
              <w:rPr>
                <w:rFonts w:hint="eastAsia"/>
                <w:color w:val="auto"/>
                <w:highlight w:val="none"/>
                <w:lang w:eastAsia="zh-CN"/>
              </w:rPr>
              <w:t>椽条与每根顶棚隔栅连接处的最少钉数（颗）</w:t>
            </w:r>
          </w:p>
        </w:tc>
      </w:tr>
      <w:tr w14:paraId="6F63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4D0C283E">
            <w:pPr>
              <w:pStyle w:val="43"/>
              <w:jc w:val="center"/>
              <w:rPr>
                <w:color w:val="auto"/>
                <w:highlight w:val="none"/>
                <w:lang w:eastAsia="zh-CN"/>
              </w:rPr>
            </w:pPr>
          </w:p>
        </w:tc>
        <w:tc>
          <w:tcPr>
            <w:tcW w:w="1056" w:type="dxa"/>
            <w:vMerge w:val="continue"/>
            <w:vAlign w:val="center"/>
          </w:tcPr>
          <w:p w14:paraId="6670A47E">
            <w:pPr>
              <w:pStyle w:val="43"/>
              <w:jc w:val="center"/>
              <w:rPr>
                <w:color w:val="auto"/>
                <w:highlight w:val="none"/>
                <w:lang w:eastAsia="zh-CN"/>
              </w:rPr>
            </w:pPr>
          </w:p>
        </w:tc>
        <w:tc>
          <w:tcPr>
            <w:tcW w:w="0" w:type="auto"/>
            <w:gridSpan w:val="2"/>
            <w:vAlign w:val="center"/>
          </w:tcPr>
          <w:p w14:paraId="230E1C60">
            <w:pPr>
              <w:pStyle w:val="43"/>
              <w:jc w:val="center"/>
              <w:rPr>
                <w:rFonts w:hint="eastAsia"/>
                <w:color w:val="auto"/>
                <w:highlight w:val="none"/>
                <w:lang w:eastAsia="zh-CN"/>
              </w:rPr>
            </w:pPr>
            <w:r>
              <w:rPr>
                <w:rFonts w:hint="eastAsia"/>
                <w:color w:val="auto"/>
                <w:highlight w:val="none"/>
                <w:lang w:eastAsia="zh-CN"/>
              </w:rPr>
              <w:t>钉长≥80mm,钉直径d≥2.8mm</w:t>
            </w:r>
          </w:p>
        </w:tc>
      </w:tr>
      <w:tr w14:paraId="2429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51D21BE1">
            <w:pPr>
              <w:pStyle w:val="43"/>
              <w:jc w:val="center"/>
              <w:rPr>
                <w:color w:val="auto"/>
                <w:highlight w:val="none"/>
                <w:lang w:eastAsia="zh-CN"/>
              </w:rPr>
            </w:pPr>
          </w:p>
        </w:tc>
        <w:tc>
          <w:tcPr>
            <w:tcW w:w="1056" w:type="dxa"/>
            <w:vMerge w:val="continue"/>
            <w:vAlign w:val="center"/>
          </w:tcPr>
          <w:p w14:paraId="04846214">
            <w:pPr>
              <w:pStyle w:val="43"/>
              <w:jc w:val="center"/>
              <w:rPr>
                <w:color w:val="auto"/>
                <w:highlight w:val="none"/>
                <w:lang w:eastAsia="zh-CN"/>
              </w:rPr>
            </w:pPr>
          </w:p>
        </w:tc>
        <w:tc>
          <w:tcPr>
            <w:tcW w:w="2208" w:type="dxa"/>
            <w:vAlign w:val="center"/>
          </w:tcPr>
          <w:p w14:paraId="65B35CD9">
            <w:pPr>
              <w:pStyle w:val="43"/>
              <w:jc w:val="center"/>
              <w:rPr>
                <w:color w:val="auto"/>
                <w:highlight w:val="none"/>
                <w:lang w:eastAsia="zh-CN"/>
              </w:rPr>
            </w:pPr>
            <w:r>
              <w:rPr>
                <w:rFonts w:hint="eastAsia"/>
                <w:color w:val="auto"/>
                <w:highlight w:val="none"/>
                <w:lang w:eastAsia="zh-CN"/>
              </w:rPr>
              <w:t>房屋宽度为8</w:t>
            </w:r>
          </w:p>
        </w:tc>
        <w:tc>
          <w:tcPr>
            <w:tcW w:w="2208" w:type="dxa"/>
            <w:vAlign w:val="center"/>
          </w:tcPr>
          <w:p w14:paraId="2CFDEAE4">
            <w:pPr>
              <w:pStyle w:val="43"/>
              <w:jc w:val="center"/>
              <w:rPr>
                <w:rFonts w:hint="eastAsia"/>
                <w:color w:val="auto"/>
                <w:highlight w:val="none"/>
                <w:lang w:eastAsia="zh-CN"/>
              </w:rPr>
            </w:pPr>
            <w:r>
              <w:rPr>
                <w:rFonts w:hint="eastAsia"/>
                <w:color w:val="auto"/>
                <w:highlight w:val="none"/>
                <w:lang w:eastAsia="zh-CN"/>
              </w:rPr>
              <w:t>房屋宽度为9.8m</w:t>
            </w:r>
          </w:p>
        </w:tc>
      </w:tr>
      <w:tr w14:paraId="5D7E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545386E8">
            <w:pPr>
              <w:pStyle w:val="43"/>
              <w:jc w:val="center"/>
              <w:rPr>
                <w:color w:val="auto"/>
                <w:highlight w:val="none"/>
                <w:lang w:eastAsia="zh-CN"/>
              </w:rPr>
            </w:pPr>
            <w:r>
              <w:rPr>
                <w:rFonts w:hint="eastAsia"/>
                <w:color w:val="auto"/>
                <w:highlight w:val="none"/>
                <w:lang w:eastAsia="zh-CN"/>
              </w:rPr>
              <w:t>1：3</w:t>
            </w:r>
          </w:p>
        </w:tc>
        <w:tc>
          <w:tcPr>
            <w:tcW w:w="1056" w:type="dxa"/>
            <w:vAlign w:val="center"/>
          </w:tcPr>
          <w:p w14:paraId="236B4827">
            <w:pPr>
              <w:pStyle w:val="43"/>
              <w:jc w:val="center"/>
              <w:rPr>
                <w:rFonts w:hint="eastAsia"/>
                <w:color w:val="auto"/>
                <w:highlight w:val="none"/>
                <w:lang w:eastAsia="zh-CN"/>
              </w:rPr>
            </w:pPr>
            <w:r>
              <w:rPr>
                <w:rFonts w:hint="eastAsia"/>
                <w:color w:val="auto"/>
                <w:highlight w:val="none"/>
                <w:lang w:eastAsia="zh-CN"/>
              </w:rPr>
              <w:t>400</w:t>
            </w:r>
          </w:p>
        </w:tc>
        <w:tc>
          <w:tcPr>
            <w:tcW w:w="2208" w:type="dxa"/>
            <w:vAlign w:val="center"/>
          </w:tcPr>
          <w:p w14:paraId="65BBB9C9">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6DD34802">
            <w:pPr>
              <w:pStyle w:val="43"/>
              <w:jc w:val="center"/>
              <w:rPr>
                <w:color w:val="auto"/>
                <w:highlight w:val="none"/>
                <w:lang w:eastAsia="zh-CN"/>
              </w:rPr>
            </w:pPr>
            <w:r>
              <w:rPr>
                <w:rFonts w:hint="eastAsia"/>
                <w:color w:val="auto"/>
                <w:highlight w:val="none"/>
                <w:lang w:eastAsia="zh-CN"/>
              </w:rPr>
              <w:t>5</w:t>
            </w:r>
          </w:p>
        </w:tc>
      </w:tr>
      <w:tr w14:paraId="6FEC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52A15686">
            <w:pPr>
              <w:pStyle w:val="43"/>
              <w:jc w:val="center"/>
              <w:rPr>
                <w:color w:val="auto"/>
                <w:highlight w:val="none"/>
                <w:lang w:eastAsia="zh-CN"/>
              </w:rPr>
            </w:pPr>
          </w:p>
        </w:tc>
        <w:tc>
          <w:tcPr>
            <w:tcW w:w="1056" w:type="dxa"/>
            <w:vAlign w:val="center"/>
          </w:tcPr>
          <w:p w14:paraId="12813789">
            <w:pPr>
              <w:pStyle w:val="43"/>
              <w:jc w:val="center"/>
              <w:rPr>
                <w:rFonts w:hint="eastAsia"/>
                <w:color w:val="auto"/>
                <w:highlight w:val="none"/>
                <w:lang w:eastAsia="zh-CN"/>
              </w:rPr>
            </w:pPr>
            <w:r>
              <w:rPr>
                <w:rFonts w:hint="eastAsia"/>
                <w:color w:val="auto"/>
                <w:highlight w:val="none"/>
                <w:lang w:eastAsia="zh-CN"/>
              </w:rPr>
              <w:t>610</w:t>
            </w:r>
          </w:p>
        </w:tc>
        <w:tc>
          <w:tcPr>
            <w:tcW w:w="2208" w:type="dxa"/>
            <w:vAlign w:val="center"/>
          </w:tcPr>
          <w:p w14:paraId="023C48FB">
            <w:pPr>
              <w:pStyle w:val="43"/>
              <w:jc w:val="center"/>
              <w:rPr>
                <w:color w:val="auto"/>
                <w:highlight w:val="none"/>
                <w:lang w:eastAsia="zh-CN"/>
              </w:rPr>
            </w:pPr>
            <w:r>
              <w:rPr>
                <w:rFonts w:hint="eastAsia"/>
                <w:color w:val="auto"/>
                <w:highlight w:val="none"/>
                <w:lang w:eastAsia="zh-CN"/>
              </w:rPr>
              <w:t>6</w:t>
            </w:r>
          </w:p>
        </w:tc>
        <w:tc>
          <w:tcPr>
            <w:tcW w:w="2208" w:type="dxa"/>
            <w:vAlign w:val="center"/>
          </w:tcPr>
          <w:p w14:paraId="5DC8803A">
            <w:pPr>
              <w:pStyle w:val="43"/>
              <w:jc w:val="center"/>
              <w:rPr>
                <w:color w:val="auto"/>
                <w:highlight w:val="none"/>
                <w:lang w:eastAsia="zh-CN"/>
              </w:rPr>
            </w:pPr>
            <w:r>
              <w:rPr>
                <w:rFonts w:hint="eastAsia"/>
                <w:color w:val="auto"/>
                <w:highlight w:val="none"/>
                <w:lang w:eastAsia="zh-CN"/>
              </w:rPr>
              <w:t>8</w:t>
            </w:r>
          </w:p>
        </w:tc>
      </w:tr>
      <w:tr w14:paraId="179B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4E2EEC86">
            <w:pPr>
              <w:pStyle w:val="43"/>
              <w:jc w:val="center"/>
              <w:rPr>
                <w:rFonts w:hint="eastAsia"/>
                <w:color w:val="auto"/>
                <w:highlight w:val="none"/>
                <w:lang w:eastAsia="zh-CN"/>
              </w:rPr>
            </w:pPr>
            <w:r>
              <w:rPr>
                <w:rFonts w:hint="eastAsia"/>
                <w:color w:val="auto"/>
                <w:highlight w:val="none"/>
                <w:lang w:eastAsia="zh-CN"/>
              </w:rPr>
              <w:t>1：2.4</w:t>
            </w:r>
          </w:p>
        </w:tc>
        <w:tc>
          <w:tcPr>
            <w:tcW w:w="1056" w:type="dxa"/>
            <w:vAlign w:val="center"/>
          </w:tcPr>
          <w:p w14:paraId="7934BBC0">
            <w:pPr>
              <w:pStyle w:val="43"/>
              <w:jc w:val="center"/>
              <w:rPr>
                <w:color w:val="auto"/>
                <w:highlight w:val="none"/>
                <w:lang w:eastAsia="zh-CN"/>
              </w:rPr>
            </w:pPr>
            <w:r>
              <w:rPr>
                <w:rFonts w:hint="eastAsia"/>
                <w:color w:val="auto"/>
                <w:highlight w:val="none"/>
                <w:lang w:eastAsia="zh-CN"/>
              </w:rPr>
              <w:t>400</w:t>
            </w:r>
          </w:p>
        </w:tc>
        <w:tc>
          <w:tcPr>
            <w:tcW w:w="2208" w:type="dxa"/>
            <w:vAlign w:val="center"/>
          </w:tcPr>
          <w:p w14:paraId="7713A43E">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4790C327">
            <w:pPr>
              <w:pStyle w:val="43"/>
              <w:jc w:val="center"/>
              <w:rPr>
                <w:color w:val="auto"/>
                <w:highlight w:val="none"/>
                <w:lang w:eastAsia="zh-CN"/>
              </w:rPr>
            </w:pPr>
            <w:r>
              <w:rPr>
                <w:rFonts w:hint="eastAsia"/>
                <w:color w:val="auto"/>
                <w:highlight w:val="none"/>
                <w:lang w:eastAsia="zh-CN"/>
              </w:rPr>
              <w:t>6</w:t>
            </w:r>
          </w:p>
        </w:tc>
      </w:tr>
      <w:tr w14:paraId="2723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44936705">
            <w:pPr>
              <w:pStyle w:val="43"/>
              <w:jc w:val="center"/>
              <w:rPr>
                <w:color w:val="auto"/>
                <w:highlight w:val="none"/>
                <w:lang w:eastAsia="zh-CN"/>
              </w:rPr>
            </w:pPr>
          </w:p>
        </w:tc>
        <w:tc>
          <w:tcPr>
            <w:tcW w:w="1056" w:type="dxa"/>
            <w:vAlign w:val="center"/>
          </w:tcPr>
          <w:p w14:paraId="65E40481">
            <w:pPr>
              <w:pStyle w:val="43"/>
              <w:jc w:val="center"/>
              <w:rPr>
                <w:color w:val="auto"/>
                <w:highlight w:val="none"/>
                <w:lang w:eastAsia="zh-CN"/>
              </w:rPr>
            </w:pPr>
            <w:r>
              <w:rPr>
                <w:rFonts w:hint="eastAsia"/>
                <w:color w:val="auto"/>
                <w:highlight w:val="none"/>
                <w:lang w:eastAsia="zh-CN"/>
              </w:rPr>
              <w:t>610</w:t>
            </w:r>
          </w:p>
        </w:tc>
        <w:tc>
          <w:tcPr>
            <w:tcW w:w="2208" w:type="dxa"/>
            <w:vAlign w:val="center"/>
          </w:tcPr>
          <w:p w14:paraId="778DB2F5">
            <w:pPr>
              <w:pStyle w:val="43"/>
              <w:jc w:val="center"/>
              <w:rPr>
                <w:color w:val="auto"/>
                <w:highlight w:val="none"/>
                <w:lang w:eastAsia="zh-CN"/>
              </w:rPr>
            </w:pPr>
            <w:r>
              <w:rPr>
                <w:rFonts w:hint="eastAsia"/>
                <w:color w:val="auto"/>
                <w:highlight w:val="none"/>
                <w:lang w:eastAsia="zh-CN"/>
              </w:rPr>
              <w:t>5</w:t>
            </w:r>
          </w:p>
        </w:tc>
        <w:tc>
          <w:tcPr>
            <w:tcW w:w="2208" w:type="dxa"/>
            <w:vAlign w:val="center"/>
          </w:tcPr>
          <w:p w14:paraId="12176900">
            <w:pPr>
              <w:pStyle w:val="43"/>
              <w:jc w:val="center"/>
              <w:rPr>
                <w:color w:val="auto"/>
                <w:highlight w:val="none"/>
                <w:lang w:eastAsia="zh-CN"/>
              </w:rPr>
            </w:pPr>
            <w:r>
              <w:rPr>
                <w:rFonts w:hint="eastAsia"/>
                <w:color w:val="auto"/>
                <w:highlight w:val="none"/>
                <w:lang w:eastAsia="zh-CN"/>
              </w:rPr>
              <w:t>7</w:t>
            </w:r>
          </w:p>
        </w:tc>
      </w:tr>
      <w:tr w14:paraId="747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291CE4FD">
            <w:pPr>
              <w:pStyle w:val="43"/>
              <w:jc w:val="center"/>
              <w:rPr>
                <w:color w:val="auto"/>
                <w:highlight w:val="none"/>
                <w:lang w:eastAsia="zh-CN"/>
              </w:rPr>
            </w:pPr>
            <w:r>
              <w:rPr>
                <w:rFonts w:hint="eastAsia"/>
                <w:color w:val="auto"/>
                <w:highlight w:val="none"/>
                <w:lang w:eastAsia="zh-CN"/>
              </w:rPr>
              <w:t>1：2</w:t>
            </w:r>
          </w:p>
        </w:tc>
        <w:tc>
          <w:tcPr>
            <w:tcW w:w="1056" w:type="dxa"/>
            <w:vAlign w:val="center"/>
          </w:tcPr>
          <w:p w14:paraId="5489889D">
            <w:pPr>
              <w:pStyle w:val="43"/>
              <w:jc w:val="center"/>
              <w:rPr>
                <w:color w:val="auto"/>
                <w:highlight w:val="none"/>
                <w:lang w:eastAsia="zh-CN"/>
              </w:rPr>
            </w:pPr>
            <w:r>
              <w:rPr>
                <w:rFonts w:hint="eastAsia"/>
                <w:color w:val="auto"/>
                <w:highlight w:val="none"/>
                <w:lang w:eastAsia="zh-CN"/>
              </w:rPr>
              <w:t>400</w:t>
            </w:r>
          </w:p>
        </w:tc>
        <w:tc>
          <w:tcPr>
            <w:tcW w:w="2208" w:type="dxa"/>
            <w:vAlign w:val="center"/>
          </w:tcPr>
          <w:p w14:paraId="3B4ACC8C">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3F95E4B6">
            <w:pPr>
              <w:pStyle w:val="43"/>
              <w:jc w:val="center"/>
              <w:rPr>
                <w:color w:val="auto"/>
                <w:highlight w:val="none"/>
                <w:lang w:eastAsia="zh-CN"/>
              </w:rPr>
            </w:pPr>
            <w:r>
              <w:rPr>
                <w:rFonts w:hint="eastAsia"/>
                <w:color w:val="auto"/>
                <w:highlight w:val="none"/>
                <w:lang w:eastAsia="zh-CN"/>
              </w:rPr>
              <w:t>4</w:t>
            </w:r>
          </w:p>
        </w:tc>
      </w:tr>
      <w:tr w14:paraId="4847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3846D326">
            <w:pPr>
              <w:pStyle w:val="43"/>
              <w:jc w:val="center"/>
              <w:rPr>
                <w:rFonts w:hint="eastAsia"/>
                <w:color w:val="auto"/>
                <w:highlight w:val="none"/>
                <w:lang w:eastAsia="zh-CN"/>
              </w:rPr>
            </w:pPr>
          </w:p>
        </w:tc>
        <w:tc>
          <w:tcPr>
            <w:tcW w:w="1056" w:type="dxa"/>
            <w:vAlign w:val="center"/>
          </w:tcPr>
          <w:p w14:paraId="101F3160">
            <w:pPr>
              <w:pStyle w:val="43"/>
              <w:jc w:val="center"/>
              <w:rPr>
                <w:color w:val="auto"/>
                <w:highlight w:val="none"/>
                <w:lang w:eastAsia="zh-CN"/>
              </w:rPr>
            </w:pPr>
            <w:r>
              <w:rPr>
                <w:rFonts w:hint="eastAsia"/>
                <w:color w:val="auto"/>
                <w:highlight w:val="none"/>
                <w:lang w:eastAsia="zh-CN"/>
              </w:rPr>
              <w:t>610</w:t>
            </w:r>
          </w:p>
        </w:tc>
        <w:tc>
          <w:tcPr>
            <w:tcW w:w="2208" w:type="dxa"/>
            <w:vAlign w:val="center"/>
          </w:tcPr>
          <w:p w14:paraId="17B5D7D1">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36251949">
            <w:pPr>
              <w:pStyle w:val="43"/>
              <w:jc w:val="center"/>
              <w:rPr>
                <w:color w:val="auto"/>
                <w:highlight w:val="none"/>
                <w:lang w:eastAsia="zh-CN"/>
              </w:rPr>
            </w:pPr>
            <w:r>
              <w:rPr>
                <w:rFonts w:hint="eastAsia"/>
                <w:color w:val="auto"/>
                <w:highlight w:val="none"/>
                <w:lang w:eastAsia="zh-CN"/>
              </w:rPr>
              <w:t>5</w:t>
            </w:r>
          </w:p>
        </w:tc>
      </w:tr>
      <w:tr w14:paraId="5D9A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5BD51F59">
            <w:pPr>
              <w:pStyle w:val="43"/>
              <w:jc w:val="center"/>
              <w:rPr>
                <w:rFonts w:hint="eastAsia"/>
                <w:color w:val="auto"/>
                <w:highlight w:val="none"/>
                <w:lang w:eastAsia="zh-CN"/>
              </w:rPr>
            </w:pPr>
            <w:r>
              <w:rPr>
                <w:rFonts w:hint="eastAsia"/>
                <w:color w:val="auto"/>
                <w:highlight w:val="none"/>
                <w:lang w:eastAsia="zh-CN"/>
              </w:rPr>
              <w:t>1：1.71</w:t>
            </w:r>
          </w:p>
        </w:tc>
        <w:tc>
          <w:tcPr>
            <w:tcW w:w="1056" w:type="dxa"/>
            <w:vAlign w:val="center"/>
          </w:tcPr>
          <w:p w14:paraId="1A20714D">
            <w:pPr>
              <w:pStyle w:val="43"/>
              <w:jc w:val="center"/>
              <w:rPr>
                <w:color w:val="auto"/>
                <w:highlight w:val="none"/>
                <w:lang w:eastAsia="zh-CN"/>
              </w:rPr>
            </w:pPr>
            <w:r>
              <w:rPr>
                <w:rFonts w:hint="eastAsia"/>
                <w:color w:val="auto"/>
                <w:highlight w:val="none"/>
                <w:lang w:eastAsia="zh-CN"/>
              </w:rPr>
              <w:t>400</w:t>
            </w:r>
          </w:p>
        </w:tc>
        <w:tc>
          <w:tcPr>
            <w:tcW w:w="2208" w:type="dxa"/>
            <w:vAlign w:val="center"/>
          </w:tcPr>
          <w:p w14:paraId="69A753E3">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534A1F27">
            <w:pPr>
              <w:pStyle w:val="43"/>
              <w:jc w:val="center"/>
              <w:rPr>
                <w:color w:val="auto"/>
                <w:highlight w:val="none"/>
                <w:lang w:eastAsia="zh-CN"/>
              </w:rPr>
            </w:pPr>
            <w:r>
              <w:rPr>
                <w:rFonts w:hint="eastAsia"/>
                <w:color w:val="auto"/>
                <w:highlight w:val="none"/>
                <w:lang w:eastAsia="zh-CN"/>
              </w:rPr>
              <w:t>4</w:t>
            </w:r>
          </w:p>
        </w:tc>
      </w:tr>
      <w:tr w14:paraId="6DD3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79882285">
            <w:pPr>
              <w:pStyle w:val="43"/>
              <w:jc w:val="center"/>
              <w:rPr>
                <w:rFonts w:hint="eastAsia"/>
                <w:color w:val="auto"/>
                <w:highlight w:val="none"/>
                <w:lang w:eastAsia="zh-CN"/>
              </w:rPr>
            </w:pPr>
          </w:p>
        </w:tc>
        <w:tc>
          <w:tcPr>
            <w:tcW w:w="1056" w:type="dxa"/>
            <w:vAlign w:val="center"/>
          </w:tcPr>
          <w:p w14:paraId="76A14226">
            <w:pPr>
              <w:pStyle w:val="43"/>
              <w:jc w:val="center"/>
              <w:rPr>
                <w:color w:val="auto"/>
                <w:highlight w:val="none"/>
                <w:lang w:eastAsia="zh-CN"/>
              </w:rPr>
            </w:pPr>
            <w:r>
              <w:rPr>
                <w:rFonts w:hint="eastAsia"/>
                <w:color w:val="auto"/>
                <w:highlight w:val="none"/>
                <w:lang w:eastAsia="zh-CN"/>
              </w:rPr>
              <w:t>610</w:t>
            </w:r>
          </w:p>
        </w:tc>
        <w:tc>
          <w:tcPr>
            <w:tcW w:w="2208" w:type="dxa"/>
            <w:vAlign w:val="center"/>
          </w:tcPr>
          <w:p w14:paraId="23739322">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23E04569">
            <w:pPr>
              <w:pStyle w:val="43"/>
              <w:jc w:val="center"/>
              <w:rPr>
                <w:color w:val="auto"/>
                <w:highlight w:val="none"/>
                <w:lang w:eastAsia="zh-CN"/>
              </w:rPr>
            </w:pPr>
            <w:r>
              <w:rPr>
                <w:rFonts w:hint="eastAsia"/>
                <w:color w:val="auto"/>
                <w:highlight w:val="none"/>
                <w:lang w:eastAsia="zh-CN"/>
              </w:rPr>
              <w:t>5</w:t>
            </w:r>
          </w:p>
        </w:tc>
      </w:tr>
      <w:tr w14:paraId="0C12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416E1839">
            <w:pPr>
              <w:pStyle w:val="43"/>
              <w:jc w:val="center"/>
              <w:rPr>
                <w:rFonts w:hint="eastAsia"/>
                <w:color w:val="auto"/>
                <w:highlight w:val="none"/>
                <w:lang w:eastAsia="zh-CN"/>
              </w:rPr>
            </w:pPr>
            <w:r>
              <w:rPr>
                <w:rFonts w:hint="eastAsia"/>
                <w:color w:val="auto"/>
                <w:highlight w:val="none"/>
                <w:lang w:eastAsia="zh-CN"/>
              </w:rPr>
              <w:t>1：1.33</w:t>
            </w:r>
          </w:p>
        </w:tc>
        <w:tc>
          <w:tcPr>
            <w:tcW w:w="1056" w:type="dxa"/>
            <w:vAlign w:val="center"/>
          </w:tcPr>
          <w:p w14:paraId="37A40CF6">
            <w:pPr>
              <w:pStyle w:val="43"/>
              <w:jc w:val="center"/>
              <w:rPr>
                <w:color w:val="auto"/>
                <w:highlight w:val="none"/>
                <w:lang w:eastAsia="zh-CN"/>
              </w:rPr>
            </w:pPr>
            <w:r>
              <w:rPr>
                <w:rFonts w:hint="eastAsia"/>
                <w:color w:val="auto"/>
                <w:highlight w:val="none"/>
                <w:lang w:eastAsia="zh-CN"/>
              </w:rPr>
              <w:t>400</w:t>
            </w:r>
          </w:p>
        </w:tc>
        <w:tc>
          <w:tcPr>
            <w:tcW w:w="2208" w:type="dxa"/>
            <w:vAlign w:val="center"/>
          </w:tcPr>
          <w:p w14:paraId="2B92136F">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1E00498A">
            <w:pPr>
              <w:pStyle w:val="43"/>
              <w:jc w:val="center"/>
              <w:rPr>
                <w:color w:val="auto"/>
                <w:highlight w:val="none"/>
                <w:lang w:eastAsia="zh-CN"/>
              </w:rPr>
            </w:pPr>
            <w:r>
              <w:rPr>
                <w:rFonts w:hint="eastAsia"/>
                <w:color w:val="auto"/>
                <w:highlight w:val="none"/>
                <w:lang w:eastAsia="zh-CN"/>
              </w:rPr>
              <w:t>4</w:t>
            </w:r>
          </w:p>
        </w:tc>
      </w:tr>
      <w:tr w14:paraId="42A3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5B1BB6B5">
            <w:pPr>
              <w:pStyle w:val="43"/>
              <w:jc w:val="center"/>
              <w:rPr>
                <w:rFonts w:hint="eastAsia"/>
                <w:color w:val="auto"/>
                <w:highlight w:val="none"/>
                <w:lang w:eastAsia="zh-CN"/>
              </w:rPr>
            </w:pPr>
          </w:p>
        </w:tc>
        <w:tc>
          <w:tcPr>
            <w:tcW w:w="1056" w:type="dxa"/>
            <w:vAlign w:val="center"/>
          </w:tcPr>
          <w:p w14:paraId="513D34E4">
            <w:pPr>
              <w:pStyle w:val="43"/>
              <w:jc w:val="center"/>
              <w:rPr>
                <w:color w:val="auto"/>
                <w:highlight w:val="none"/>
                <w:lang w:eastAsia="zh-CN"/>
              </w:rPr>
            </w:pPr>
            <w:r>
              <w:rPr>
                <w:rFonts w:hint="eastAsia"/>
                <w:color w:val="auto"/>
                <w:highlight w:val="none"/>
                <w:lang w:eastAsia="zh-CN"/>
              </w:rPr>
              <w:t>610</w:t>
            </w:r>
          </w:p>
        </w:tc>
        <w:tc>
          <w:tcPr>
            <w:tcW w:w="2208" w:type="dxa"/>
            <w:vAlign w:val="center"/>
          </w:tcPr>
          <w:p w14:paraId="3422E153">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392B0678">
            <w:pPr>
              <w:pStyle w:val="43"/>
              <w:jc w:val="center"/>
              <w:rPr>
                <w:color w:val="auto"/>
                <w:highlight w:val="none"/>
                <w:lang w:eastAsia="zh-CN"/>
              </w:rPr>
            </w:pPr>
            <w:r>
              <w:rPr>
                <w:rFonts w:hint="eastAsia"/>
                <w:color w:val="auto"/>
                <w:highlight w:val="none"/>
                <w:lang w:eastAsia="zh-CN"/>
              </w:rPr>
              <w:t>4</w:t>
            </w:r>
          </w:p>
        </w:tc>
      </w:tr>
      <w:tr w14:paraId="4D54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restart"/>
            <w:vAlign w:val="center"/>
          </w:tcPr>
          <w:p w14:paraId="6319D5F8">
            <w:pPr>
              <w:pStyle w:val="43"/>
              <w:jc w:val="center"/>
              <w:rPr>
                <w:rFonts w:hint="eastAsia"/>
                <w:color w:val="auto"/>
                <w:highlight w:val="none"/>
                <w:lang w:eastAsia="zh-CN"/>
              </w:rPr>
            </w:pPr>
            <w:r>
              <w:rPr>
                <w:rFonts w:hint="eastAsia"/>
                <w:color w:val="auto"/>
                <w:highlight w:val="none"/>
                <w:lang w:eastAsia="zh-CN"/>
              </w:rPr>
              <w:t>1：1</w:t>
            </w:r>
          </w:p>
        </w:tc>
        <w:tc>
          <w:tcPr>
            <w:tcW w:w="1056" w:type="dxa"/>
            <w:vAlign w:val="center"/>
          </w:tcPr>
          <w:p w14:paraId="713267C7">
            <w:pPr>
              <w:pStyle w:val="43"/>
              <w:jc w:val="center"/>
              <w:rPr>
                <w:color w:val="auto"/>
                <w:highlight w:val="none"/>
                <w:lang w:eastAsia="zh-CN"/>
              </w:rPr>
            </w:pPr>
            <w:r>
              <w:rPr>
                <w:rFonts w:hint="eastAsia"/>
                <w:color w:val="auto"/>
                <w:highlight w:val="none"/>
                <w:lang w:eastAsia="zh-CN"/>
              </w:rPr>
              <w:t>400</w:t>
            </w:r>
          </w:p>
        </w:tc>
        <w:tc>
          <w:tcPr>
            <w:tcW w:w="2208" w:type="dxa"/>
            <w:vAlign w:val="center"/>
          </w:tcPr>
          <w:p w14:paraId="35C43195">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42AEF75F">
            <w:pPr>
              <w:pStyle w:val="43"/>
              <w:jc w:val="center"/>
              <w:rPr>
                <w:color w:val="auto"/>
                <w:highlight w:val="none"/>
                <w:lang w:eastAsia="zh-CN"/>
              </w:rPr>
            </w:pPr>
            <w:r>
              <w:rPr>
                <w:rFonts w:hint="eastAsia"/>
                <w:color w:val="auto"/>
                <w:highlight w:val="none"/>
                <w:lang w:eastAsia="zh-CN"/>
              </w:rPr>
              <w:t>4</w:t>
            </w:r>
          </w:p>
        </w:tc>
      </w:tr>
      <w:tr w14:paraId="59D8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Merge w:val="continue"/>
            <w:vAlign w:val="center"/>
          </w:tcPr>
          <w:p w14:paraId="72B8D3F7">
            <w:pPr>
              <w:pStyle w:val="43"/>
              <w:jc w:val="center"/>
              <w:rPr>
                <w:rFonts w:hint="eastAsia"/>
                <w:color w:val="auto"/>
                <w:highlight w:val="none"/>
                <w:lang w:eastAsia="zh-CN"/>
              </w:rPr>
            </w:pPr>
          </w:p>
        </w:tc>
        <w:tc>
          <w:tcPr>
            <w:tcW w:w="1056" w:type="dxa"/>
            <w:vAlign w:val="center"/>
          </w:tcPr>
          <w:p w14:paraId="37A89475">
            <w:pPr>
              <w:pStyle w:val="43"/>
              <w:jc w:val="center"/>
              <w:rPr>
                <w:color w:val="auto"/>
                <w:highlight w:val="none"/>
                <w:lang w:eastAsia="zh-CN"/>
              </w:rPr>
            </w:pPr>
            <w:r>
              <w:rPr>
                <w:rFonts w:hint="eastAsia"/>
                <w:color w:val="auto"/>
                <w:highlight w:val="none"/>
                <w:lang w:eastAsia="zh-CN"/>
              </w:rPr>
              <w:t>610</w:t>
            </w:r>
          </w:p>
        </w:tc>
        <w:tc>
          <w:tcPr>
            <w:tcW w:w="2208" w:type="dxa"/>
            <w:vAlign w:val="center"/>
          </w:tcPr>
          <w:p w14:paraId="59540B5E">
            <w:pPr>
              <w:pStyle w:val="43"/>
              <w:jc w:val="center"/>
              <w:rPr>
                <w:color w:val="auto"/>
                <w:highlight w:val="none"/>
                <w:lang w:eastAsia="zh-CN"/>
              </w:rPr>
            </w:pPr>
            <w:r>
              <w:rPr>
                <w:rFonts w:hint="eastAsia"/>
                <w:color w:val="auto"/>
                <w:highlight w:val="none"/>
                <w:lang w:eastAsia="zh-CN"/>
              </w:rPr>
              <w:t>4</w:t>
            </w:r>
          </w:p>
        </w:tc>
        <w:tc>
          <w:tcPr>
            <w:tcW w:w="2208" w:type="dxa"/>
            <w:vAlign w:val="center"/>
          </w:tcPr>
          <w:p w14:paraId="0844FE34">
            <w:pPr>
              <w:pStyle w:val="43"/>
              <w:jc w:val="center"/>
              <w:rPr>
                <w:color w:val="auto"/>
                <w:highlight w:val="none"/>
                <w:lang w:eastAsia="zh-CN"/>
              </w:rPr>
            </w:pPr>
            <w:r>
              <w:rPr>
                <w:rFonts w:hint="eastAsia"/>
                <w:color w:val="auto"/>
                <w:highlight w:val="none"/>
                <w:lang w:eastAsia="zh-CN"/>
              </w:rPr>
              <w:t>4</w:t>
            </w:r>
          </w:p>
        </w:tc>
      </w:tr>
    </w:tbl>
    <w:p w14:paraId="2629584D">
      <w:pPr>
        <w:pStyle w:val="4"/>
        <w:rPr>
          <w:rFonts w:hint="eastAsia"/>
          <w:color w:val="auto"/>
          <w:highlight w:val="none"/>
          <w:lang w:eastAsia="zh-CN"/>
        </w:rPr>
      </w:pPr>
      <w:r>
        <w:rPr>
          <w:rFonts w:hint="eastAsia"/>
          <w:color w:val="auto"/>
          <w:highlight w:val="none"/>
          <w:lang w:val="en-US" w:eastAsia="zh-CN"/>
        </w:rPr>
        <w:t>D.0.3</w:t>
      </w:r>
      <w:r>
        <w:rPr>
          <w:rFonts w:hint="eastAsia"/>
          <w:color w:val="auto"/>
          <w:highlight w:val="none"/>
          <w:lang w:eastAsia="zh-CN"/>
        </w:rPr>
        <w:t xml:space="preserve"> </w:t>
      </w:r>
      <w:r>
        <w:rPr>
          <w:rFonts w:hint="eastAsia"/>
          <w:color w:val="auto"/>
          <w:highlight w:val="none"/>
          <w:lang w:val="en-US" w:eastAsia="zh-CN"/>
        </w:rPr>
        <w:t xml:space="preserve"> </w:t>
      </w:r>
      <w:r>
        <w:rPr>
          <w:rFonts w:hint="eastAsia"/>
          <w:color w:val="auto"/>
          <w:highlight w:val="none"/>
          <w:lang w:eastAsia="zh-CN"/>
        </w:rPr>
        <w:t>轻型木结构墙面板、楼面板和屋面板与支承构件的钉连接应符合表</w:t>
      </w:r>
      <w:r>
        <w:rPr>
          <w:rFonts w:hint="eastAsia"/>
          <w:color w:val="auto"/>
          <w:highlight w:val="none"/>
          <w:lang w:val="en-US" w:eastAsia="zh-CN"/>
        </w:rPr>
        <w:t>D.0.3</w:t>
      </w:r>
      <w:r>
        <w:rPr>
          <w:rFonts w:hint="eastAsia"/>
          <w:color w:val="auto"/>
          <w:highlight w:val="none"/>
          <w:lang w:eastAsia="zh-CN"/>
        </w:rPr>
        <w:t>的规定。</w:t>
      </w:r>
    </w:p>
    <w:p w14:paraId="7F8E423B">
      <w:pPr>
        <w:pStyle w:val="40"/>
        <w:rPr>
          <w:color w:val="auto"/>
          <w:highlight w:val="none"/>
          <w:lang w:eastAsia="zh-CN"/>
        </w:rPr>
      </w:pPr>
      <w:r>
        <w:rPr>
          <w:color w:val="auto"/>
          <w:highlight w:val="none"/>
          <w:lang w:eastAsia="zh-CN"/>
        </w:rPr>
        <w:t>表</w:t>
      </w:r>
      <w:r>
        <w:rPr>
          <w:rFonts w:hint="eastAsia"/>
          <w:color w:val="auto"/>
          <w:highlight w:val="none"/>
          <w:lang w:val="en-US" w:eastAsia="zh-CN"/>
        </w:rPr>
        <w:t>D.0.3</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61"/>
        <w:gridCol w:w="1161"/>
        <w:gridCol w:w="1161"/>
        <w:gridCol w:w="1161"/>
        <w:gridCol w:w="1476"/>
      </w:tblGrid>
      <w:tr w14:paraId="1509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9699365">
            <w:pPr>
              <w:pStyle w:val="43"/>
              <w:jc w:val="center"/>
              <w:rPr>
                <w:b w:val="0"/>
                <w:bCs w:val="0"/>
                <w:color w:val="auto"/>
                <w:highlight w:val="none"/>
                <w:lang w:eastAsia="zh-CN"/>
              </w:rPr>
            </w:pPr>
            <w:r>
              <w:rPr>
                <w:rFonts w:hint="eastAsia"/>
                <w:b w:val="0"/>
                <w:bCs w:val="0"/>
                <w:color w:val="auto"/>
                <w:highlight w:val="none"/>
                <w:lang w:eastAsia="zh-CN"/>
              </w:rPr>
              <w:t>连接面板名称</w:t>
            </w:r>
          </w:p>
        </w:tc>
        <w:tc>
          <w:tcPr>
            <w:tcW w:w="0" w:type="auto"/>
            <w:gridSpan w:val="4"/>
            <w:vAlign w:val="center"/>
          </w:tcPr>
          <w:p w14:paraId="7F1B9104">
            <w:pPr>
              <w:pStyle w:val="43"/>
              <w:jc w:val="center"/>
              <w:rPr>
                <w:b w:val="0"/>
                <w:bCs w:val="0"/>
                <w:color w:val="auto"/>
                <w:highlight w:val="none"/>
                <w:lang w:eastAsia="zh-CN"/>
              </w:rPr>
            </w:pPr>
            <w:r>
              <w:rPr>
                <w:rFonts w:hint="eastAsia"/>
                <w:b w:val="0"/>
                <w:bCs w:val="0"/>
                <w:color w:val="auto"/>
                <w:highlight w:val="none"/>
                <w:lang w:eastAsia="zh-CN"/>
              </w:rPr>
              <w:t>连接件的最小长度(mm)</w:t>
            </w:r>
          </w:p>
        </w:tc>
        <w:tc>
          <w:tcPr>
            <w:tcW w:w="0" w:type="auto"/>
            <w:vMerge w:val="restart"/>
            <w:vAlign w:val="center"/>
          </w:tcPr>
          <w:p w14:paraId="66EB5AE4">
            <w:pPr>
              <w:pStyle w:val="43"/>
              <w:jc w:val="both"/>
              <w:rPr>
                <w:b w:val="0"/>
                <w:bCs w:val="0"/>
                <w:color w:val="auto"/>
                <w:highlight w:val="none"/>
                <w:lang w:eastAsia="zh-CN"/>
              </w:rPr>
            </w:pPr>
            <w:r>
              <w:rPr>
                <w:rFonts w:hint="eastAsia"/>
                <w:b w:val="0"/>
                <w:bCs w:val="0"/>
                <w:color w:val="auto"/>
                <w:highlight w:val="none"/>
                <w:lang w:eastAsia="zh-CN"/>
              </w:rPr>
              <w:t>钉的最大间距</w:t>
            </w:r>
          </w:p>
        </w:tc>
      </w:tr>
      <w:tr w14:paraId="03FB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C151FF3">
            <w:pPr>
              <w:pStyle w:val="43"/>
              <w:jc w:val="both"/>
              <w:rPr>
                <w:rFonts w:hint="eastAsia"/>
                <w:b w:val="0"/>
                <w:bCs w:val="0"/>
                <w:color w:val="auto"/>
                <w:highlight w:val="none"/>
                <w:lang w:eastAsia="zh-CN"/>
              </w:rPr>
            </w:pPr>
          </w:p>
        </w:tc>
        <w:tc>
          <w:tcPr>
            <w:tcW w:w="1161" w:type="dxa"/>
            <w:vAlign w:val="center"/>
          </w:tcPr>
          <w:p w14:paraId="7177780E">
            <w:pPr>
              <w:pStyle w:val="43"/>
              <w:jc w:val="both"/>
              <w:rPr>
                <w:rFonts w:hint="eastAsia"/>
                <w:b w:val="0"/>
                <w:bCs w:val="0"/>
                <w:color w:val="auto"/>
                <w:highlight w:val="none"/>
                <w:lang w:eastAsia="zh-CN"/>
              </w:rPr>
            </w:pPr>
            <w:r>
              <w:rPr>
                <w:rFonts w:hint="eastAsia"/>
                <w:b w:val="0"/>
                <w:bCs w:val="0"/>
                <w:color w:val="auto"/>
                <w:highlight w:val="none"/>
                <w:lang w:eastAsia="zh-CN"/>
              </w:rPr>
              <w:t>普通圆</w:t>
            </w:r>
            <w:r>
              <w:rPr>
                <w:rFonts w:hint="eastAsia"/>
                <w:b w:val="0"/>
                <w:bCs w:val="0"/>
                <w:color w:val="auto"/>
                <w:highlight w:val="none"/>
                <w:lang w:eastAsia="zh-CN"/>
              </w:rPr>
              <w:br w:type="textWrapping"/>
            </w:r>
            <w:r>
              <w:rPr>
                <w:rFonts w:hint="eastAsia"/>
                <w:b w:val="0"/>
                <w:bCs w:val="0"/>
                <w:color w:val="auto"/>
                <w:highlight w:val="none"/>
                <w:lang w:eastAsia="zh-CN"/>
              </w:rPr>
              <w:t>钢钉</w:t>
            </w:r>
          </w:p>
        </w:tc>
        <w:tc>
          <w:tcPr>
            <w:tcW w:w="1161" w:type="dxa"/>
            <w:vAlign w:val="center"/>
          </w:tcPr>
          <w:p w14:paraId="0F459591">
            <w:pPr>
              <w:pStyle w:val="43"/>
              <w:jc w:val="both"/>
              <w:rPr>
                <w:b w:val="0"/>
                <w:bCs w:val="0"/>
                <w:color w:val="auto"/>
                <w:highlight w:val="none"/>
                <w:lang w:eastAsia="zh-CN"/>
              </w:rPr>
            </w:pPr>
            <w:r>
              <w:rPr>
                <w:rFonts w:hint="eastAsia"/>
                <w:b w:val="0"/>
                <w:bCs w:val="0"/>
                <w:color w:val="auto"/>
                <w:highlight w:val="none"/>
                <w:lang w:eastAsia="zh-CN"/>
              </w:rPr>
              <w:t>螺纹圆钉或麻花钉</w:t>
            </w:r>
          </w:p>
        </w:tc>
        <w:tc>
          <w:tcPr>
            <w:tcW w:w="1161" w:type="dxa"/>
            <w:vAlign w:val="center"/>
          </w:tcPr>
          <w:p w14:paraId="7B87A57A">
            <w:pPr>
              <w:pStyle w:val="43"/>
              <w:jc w:val="both"/>
              <w:rPr>
                <w:b w:val="0"/>
                <w:bCs w:val="0"/>
                <w:color w:val="auto"/>
                <w:highlight w:val="none"/>
                <w:lang w:eastAsia="zh-CN"/>
              </w:rPr>
            </w:pPr>
            <w:r>
              <w:rPr>
                <w:rFonts w:hint="eastAsia"/>
                <w:b w:val="0"/>
                <w:bCs w:val="0"/>
                <w:color w:val="auto"/>
                <w:highlight w:val="none"/>
                <w:lang w:eastAsia="zh-CN"/>
              </w:rPr>
              <w:t>屋面钉或</w:t>
            </w:r>
            <w:r>
              <w:rPr>
                <w:rFonts w:hint="eastAsia"/>
                <w:b w:val="0"/>
                <w:bCs w:val="0"/>
                <w:color w:val="auto"/>
                <w:highlight w:val="none"/>
                <w:lang w:eastAsia="zh-CN"/>
              </w:rPr>
              <w:br w:type="textWrapping"/>
            </w:r>
            <w:r>
              <w:rPr>
                <w:rFonts w:hint="eastAsia"/>
                <w:b w:val="0"/>
                <w:bCs w:val="0"/>
                <w:color w:val="auto"/>
                <w:highlight w:val="none"/>
                <w:lang w:eastAsia="zh-CN"/>
              </w:rPr>
              <w:t>木螺钉</w:t>
            </w:r>
          </w:p>
        </w:tc>
        <w:tc>
          <w:tcPr>
            <w:tcW w:w="1161" w:type="dxa"/>
            <w:vAlign w:val="center"/>
          </w:tcPr>
          <w:p w14:paraId="1DE4364E">
            <w:pPr>
              <w:pStyle w:val="43"/>
              <w:jc w:val="both"/>
              <w:rPr>
                <w:b w:val="0"/>
                <w:bCs w:val="0"/>
                <w:color w:val="auto"/>
                <w:highlight w:val="none"/>
                <w:lang w:eastAsia="zh-CN"/>
              </w:rPr>
            </w:pPr>
            <w:r>
              <w:rPr>
                <w:rFonts w:hint="eastAsia"/>
                <w:b w:val="0"/>
                <w:bCs w:val="0"/>
                <w:color w:val="auto"/>
                <w:highlight w:val="none"/>
                <w:lang w:eastAsia="zh-CN"/>
              </w:rPr>
              <w:t>U形钉</w:t>
            </w:r>
          </w:p>
        </w:tc>
        <w:tc>
          <w:tcPr>
            <w:tcW w:w="0" w:type="auto"/>
            <w:vMerge w:val="continue"/>
            <w:vAlign w:val="center"/>
          </w:tcPr>
          <w:p w14:paraId="570400E9">
            <w:pPr>
              <w:pStyle w:val="43"/>
              <w:jc w:val="both"/>
              <w:rPr>
                <w:b w:val="0"/>
                <w:bCs w:val="0"/>
                <w:color w:val="auto"/>
                <w:highlight w:val="none"/>
                <w:lang w:eastAsia="zh-CN"/>
              </w:rPr>
            </w:pPr>
          </w:p>
        </w:tc>
      </w:tr>
      <w:tr w14:paraId="7237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FE62C7">
            <w:pPr>
              <w:pStyle w:val="43"/>
              <w:jc w:val="both"/>
              <w:rPr>
                <w:rFonts w:hint="eastAsia"/>
                <w:b w:val="0"/>
                <w:bCs w:val="0"/>
                <w:color w:val="auto"/>
                <w:highlight w:val="none"/>
                <w:lang w:eastAsia="zh-CN"/>
              </w:rPr>
            </w:pPr>
            <w:r>
              <w:rPr>
                <w:rFonts w:hint="eastAsia"/>
                <w:b w:val="0"/>
                <w:bCs w:val="0"/>
                <w:color w:val="auto"/>
                <w:highlight w:val="none"/>
                <w:lang w:eastAsia="zh-CN"/>
              </w:rPr>
              <w:t>厚度小于13mm的石</w:t>
            </w:r>
            <w:r>
              <w:rPr>
                <w:rFonts w:hint="eastAsia"/>
                <w:b w:val="0"/>
                <w:bCs w:val="0"/>
                <w:color w:val="auto"/>
                <w:highlight w:val="none"/>
                <w:lang w:eastAsia="zh-CN"/>
              </w:rPr>
              <w:br w:type="textWrapping"/>
            </w:r>
            <w:r>
              <w:rPr>
                <w:rFonts w:hint="eastAsia"/>
                <w:b w:val="0"/>
                <w:bCs w:val="0"/>
                <w:color w:val="auto"/>
                <w:highlight w:val="none"/>
                <w:lang w:eastAsia="zh-CN"/>
              </w:rPr>
              <w:t>膏墙板</w:t>
            </w:r>
          </w:p>
        </w:tc>
        <w:tc>
          <w:tcPr>
            <w:tcW w:w="1161" w:type="dxa"/>
            <w:vAlign w:val="center"/>
          </w:tcPr>
          <w:p w14:paraId="6220387E">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1161" w:type="dxa"/>
            <w:vAlign w:val="center"/>
          </w:tcPr>
          <w:p w14:paraId="09242F90">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1161" w:type="dxa"/>
            <w:vAlign w:val="center"/>
          </w:tcPr>
          <w:p w14:paraId="4C416F78">
            <w:pPr>
              <w:pStyle w:val="43"/>
              <w:jc w:val="center"/>
              <w:rPr>
                <w:rFonts w:hint="eastAsia"/>
                <w:b w:val="0"/>
                <w:bCs w:val="0"/>
                <w:color w:val="auto"/>
                <w:highlight w:val="none"/>
                <w:lang w:eastAsia="zh-CN"/>
              </w:rPr>
            </w:pPr>
            <w:r>
              <w:rPr>
                <w:rFonts w:hint="eastAsia"/>
                <w:b w:val="0"/>
                <w:bCs w:val="0"/>
                <w:color w:val="auto"/>
                <w:highlight w:val="none"/>
                <w:lang w:eastAsia="zh-CN"/>
              </w:rPr>
              <w:t>45</w:t>
            </w:r>
          </w:p>
        </w:tc>
        <w:tc>
          <w:tcPr>
            <w:tcW w:w="1161" w:type="dxa"/>
            <w:vAlign w:val="center"/>
          </w:tcPr>
          <w:p w14:paraId="055E255D">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0" w:type="auto"/>
            <w:vMerge w:val="restart"/>
            <w:vAlign w:val="center"/>
          </w:tcPr>
          <w:p w14:paraId="07CC214D">
            <w:pPr>
              <w:pStyle w:val="43"/>
              <w:jc w:val="both"/>
              <w:rPr>
                <w:b w:val="0"/>
                <w:bCs w:val="0"/>
                <w:color w:val="auto"/>
                <w:highlight w:val="none"/>
                <w:lang w:eastAsia="zh-CN"/>
              </w:rPr>
            </w:pPr>
            <w:r>
              <w:rPr>
                <w:rFonts w:hint="eastAsia"/>
                <w:b w:val="0"/>
                <w:bCs w:val="0"/>
                <w:color w:val="auto"/>
                <w:highlight w:val="none"/>
                <w:lang w:eastAsia="zh-CN"/>
              </w:rPr>
              <w:t>沿板边缘支座</w:t>
            </w:r>
            <w:r>
              <w:rPr>
                <w:rFonts w:hint="eastAsia"/>
                <w:b w:val="0"/>
                <w:bCs w:val="0"/>
                <w:color w:val="auto"/>
                <w:highlight w:val="none"/>
                <w:lang w:eastAsia="zh-CN"/>
              </w:rPr>
              <w:br w:type="textWrapping"/>
            </w:r>
            <w:r>
              <w:rPr>
                <w:rFonts w:hint="eastAsia"/>
                <w:b w:val="0"/>
                <w:bCs w:val="0"/>
                <w:color w:val="auto"/>
                <w:highlight w:val="none"/>
                <w:lang w:eastAsia="zh-CN"/>
              </w:rPr>
              <w:t>150mm；</w:t>
            </w:r>
            <w:r>
              <w:rPr>
                <w:rFonts w:hint="eastAsia"/>
                <w:b w:val="0"/>
                <w:bCs w:val="0"/>
                <w:color w:val="auto"/>
                <w:highlight w:val="none"/>
                <w:lang w:eastAsia="zh-CN"/>
              </w:rPr>
              <w:br w:type="textWrapping"/>
            </w:r>
            <w:r>
              <w:rPr>
                <w:rFonts w:hint="eastAsia"/>
                <w:b w:val="0"/>
                <w:bCs w:val="0"/>
                <w:color w:val="auto"/>
                <w:highlight w:val="none"/>
                <w:lang w:eastAsia="zh-CN"/>
              </w:rPr>
              <w:t>沿板跨中支座</w:t>
            </w:r>
            <w:r>
              <w:rPr>
                <w:rFonts w:hint="eastAsia"/>
                <w:b w:val="0"/>
                <w:bCs w:val="0"/>
                <w:color w:val="auto"/>
                <w:highlight w:val="none"/>
                <w:lang w:eastAsia="zh-CN"/>
              </w:rPr>
              <w:br w:type="textWrapping"/>
            </w:r>
            <w:r>
              <w:rPr>
                <w:rFonts w:hint="eastAsia"/>
                <w:b w:val="0"/>
                <w:bCs w:val="0"/>
                <w:color w:val="auto"/>
                <w:highlight w:val="none"/>
                <w:lang w:eastAsia="zh-CN"/>
              </w:rPr>
              <w:t>300mm</w:t>
            </w:r>
          </w:p>
        </w:tc>
      </w:tr>
      <w:tr w14:paraId="01D6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2B9D59">
            <w:pPr>
              <w:pStyle w:val="43"/>
              <w:jc w:val="both"/>
              <w:rPr>
                <w:rFonts w:hint="eastAsia"/>
                <w:b w:val="0"/>
                <w:bCs w:val="0"/>
                <w:color w:val="auto"/>
                <w:highlight w:val="none"/>
                <w:lang w:eastAsia="zh-CN"/>
              </w:rPr>
            </w:pPr>
            <w:r>
              <w:rPr>
                <w:rFonts w:hint="eastAsia"/>
                <w:b w:val="0"/>
                <w:bCs w:val="0"/>
                <w:color w:val="auto"/>
                <w:highlight w:val="none"/>
                <w:lang w:eastAsia="zh-CN"/>
              </w:rPr>
              <w:t>厚度小于10mm的木</w:t>
            </w:r>
            <w:r>
              <w:rPr>
                <w:rFonts w:hint="eastAsia"/>
                <w:b w:val="0"/>
                <w:bCs w:val="0"/>
                <w:color w:val="auto"/>
                <w:highlight w:val="none"/>
                <w:lang w:eastAsia="zh-CN"/>
              </w:rPr>
              <w:br w:type="textWrapping"/>
            </w:r>
            <w:r>
              <w:rPr>
                <w:rFonts w:hint="eastAsia"/>
                <w:b w:val="0"/>
                <w:bCs w:val="0"/>
                <w:color w:val="auto"/>
                <w:highlight w:val="none"/>
                <w:lang w:eastAsia="zh-CN"/>
              </w:rPr>
              <w:t>基结构板材</w:t>
            </w:r>
          </w:p>
        </w:tc>
        <w:tc>
          <w:tcPr>
            <w:tcW w:w="1161" w:type="dxa"/>
            <w:vAlign w:val="center"/>
          </w:tcPr>
          <w:p w14:paraId="26403E31">
            <w:pPr>
              <w:pStyle w:val="43"/>
              <w:jc w:val="center"/>
              <w:rPr>
                <w:rFonts w:hint="eastAsia"/>
                <w:b w:val="0"/>
                <w:bCs w:val="0"/>
                <w:color w:val="auto"/>
                <w:highlight w:val="none"/>
                <w:lang w:eastAsia="zh-CN"/>
              </w:rPr>
            </w:pPr>
            <w:r>
              <w:rPr>
                <w:rFonts w:hint="eastAsia"/>
                <w:b w:val="0"/>
                <w:bCs w:val="0"/>
                <w:color w:val="auto"/>
                <w:highlight w:val="none"/>
                <w:lang w:eastAsia="zh-CN"/>
              </w:rPr>
              <w:t>50</w:t>
            </w:r>
          </w:p>
        </w:tc>
        <w:tc>
          <w:tcPr>
            <w:tcW w:w="1161" w:type="dxa"/>
            <w:vAlign w:val="center"/>
          </w:tcPr>
          <w:p w14:paraId="099EB5FF">
            <w:pPr>
              <w:pStyle w:val="43"/>
              <w:jc w:val="center"/>
              <w:rPr>
                <w:rFonts w:hint="eastAsia"/>
                <w:b w:val="0"/>
                <w:bCs w:val="0"/>
                <w:color w:val="auto"/>
                <w:highlight w:val="none"/>
                <w:lang w:eastAsia="zh-CN"/>
              </w:rPr>
            </w:pPr>
            <w:r>
              <w:rPr>
                <w:rFonts w:hint="eastAsia"/>
                <w:b w:val="0"/>
                <w:bCs w:val="0"/>
                <w:color w:val="auto"/>
                <w:highlight w:val="none"/>
                <w:lang w:eastAsia="zh-CN"/>
              </w:rPr>
              <w:t>45</w:t>
            </w:r>
          </w:p>
        </w:tc>
        <w:tc>
          <w:tcPr>
            <w:tcW w:w="1161" w:type="dxa"/>
            <w:vAlign w:val="center"/>
          </w:tcPr>
          <w:p w14:paraId="28B8A319">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1161" w:type="dxa"/>
            <w:vAlign w:val="center"/>
          </w:tcPr>
          <w:p w14:paraId="4E55B70B">
            <w:pPr>
              <w:pStyle w:val="43"/>
              <w:jc w:val="center"/>
              <w:rPr>
                <w:rFonts w:hint="eastAsia"/>
                <w:b w:val="0"/>
                <w:bCs w:val="0"/>
                <w:color w:val="auto"/>
                <w:highlight w:val="none"/>
                <w:lang w:eastAsia="zh-CN"/>
              </w:rPr>
            </w:pPr>
            <w:r>
              <w:rPr>
                <w:rFonts w:hint="eastAsia"/>
                <w:b w:val="0"/>
                <w:bCs w:val="0"/>
                <w:color w:val="auto"/>
                <w:highlight w:val="none"/>
                <w:lang w:eastAsia="zh-CN"/>
              </w:rPr>
              <w:t>40</w:t>
            </w:r>
          </w:p>
        </w:tc>
        <w:tc>
          <w:tcPr>
            <w:tcW w:w="0" w:type="auto"/>
            <w:vMerge w:val="continue"/>
            <w:vAlign w:val="center"/>
          </w:tcPr>
          <w:p w14:paraId="495C0D58">
            <w:pPr>
              <w:pStyle w:val="43"/>
              <w:jc w:val="both"/>
              <w:rPr>
                <w:b w:val="0"/>
                <w:bCs w:val="0"/>
                <w:color w:val="auto"/>
                <w:highlight w:val="none"/>
                <w:lang w:eastAsia="zh-CN"/>
              </w:rPr>
            </w:pPr>
          </w:p>
        </w:tc>
      </w:tr>
      <w:tr w14:paraId="0EC6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3E65C1">
            <w:pPr>
              <w:pStyle w:val="43"/>
              <w:jc w:val="both"/>
              <w:rPr>
                <w:rFonts w:hint="eastAsia"/>
                <w:b w:val="0"/>
                <w:bCs w:val="0"/>
                <w:color w:val="auto"/>
                <w:highlight w:val="none"/>
                <w:lang w:eastAsia="zh-CN"/>
              </w:rPr>
            </w:pPr>
            <w:r>
              <w:rPr>
                <w:rFonts w:hint="eastAsia"/>
                <w:b w:val="0"/>
                <w:bCs w:val="0"/>
                <w:color w:val="auto"/>
                <w:highlight w:val="none"/>
                <w:lang w:eastAsia="zh-CN"/>
              </w:rPr>
              <w:t>厚度10mm～20mm的</w:t>
            </w:r>
            <w:r>
              <w:rPr>
                <w:rFonts w:hint="eastAsia"/>
                <w:b w:val="0"/>
                <w:bCs w:val="0"/>
                <w:color w:val="auto"/>
                <w:highlight w:val="none"/>
                <w:lang w:eastAsia="zh-CN"/>
              </w:rPr>
              <w:br w:type="textWrapping"/>
            </w:r>
            <w:r>
              <w:rPr>
                <w:rFonts w:hint="eastAsia"/>
                <w:b w:val="0"/>
                <w:bCs w:val="0"/>
                <w:color w:val="auto"/>
                <w:highlight w:val="none"/>
                <w:lang w:eastAsia="zh-CN"/>
              </w:rPr>
              <w:t>木基结构板材</w:t>
            </w:r>
          </w:p>
        </w:tc>
        <w:tc>
          <w:tcPr>
            <w:tcW w:w="1161" w:type="dxa"/>
            <w:vAlign w:val="center"/>
          </w:tcPr>
          <w:p w14:paraId="05D28890">
            <w:pPr>
              <w:pStyle w:val="43"/>
              <w:jc w:val="center"/>
              <w:rPr>
                <w:rFonts w:hint="eastAsia"/>
                <w:b w:val="0"/>
                <w:bCs w:val="0"/>
                <w:color w:val="auto"/>
                <w:highlight w:val="none"/>
                <w:lang w:eastAsia="zh-CN"/>
              </w:rPr>
            </w:pPr>
            <w:r>
              <w:rPr>
                <w:rFonts w:hint="eastAsia"/>
                <w:b w:val="0"/>
                <w:bCs w:val="0"/>
                <w:color w:val="auto"/>
                <w:highlight w:val="none"/>
                <w:lang w:eastAsia="zh-CN"/>
              </w:rPr>
              <w:t>50</w:t>
            </w:r>
          </w:p>
        </w:tc>
        <w:tc>
          <w:tcPr>
            <w:tcW w:w="1161" w:type="dxa"/>
            <w:vAlign w:val="center"/>
          </w:tcPr>
          <w:p w14:paraId="78CDC1EB">
            <w:pPr>
              <w:pStyle w:val="43"/>
              <w:jc w:val="center"/>
              <w:rPr>
                <w:rFonts w:hint="eastAsia"/>
                <w:b w:val="0"/>
                <w:bCs w:val="0"/>
                <w:color w:val="auto"/>
                <w:highlight w:val="none"/>
                <w:lang w:eastAsia="zh-CN"/>
              </w:rPr>
            </w:pPr>
            <w:r>
              <w:rPr>
                <w:rFonts w:hint="eastAsia"/>
                <w:b w:val="0"/>
                <w:bCs w:val="0"/>
                <w:color w:val="auto"/>
                <w:highlight w:val="none"/>
                <w:lang w:eastAsia="zh-CN"/>
              </w:rPr>
              <w:t>45</w:t>
            </w:r>
          </w:p>
        </w:tc>
        <w:tc>
          <w:tcPr>
            <w:tcW w:w="1161" w:type="dxa"/>
            <w:vAlign w:val="center"/>
          </w:tcPr>
          <w:p w14:paraId="08954AC3">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1161" w:type="dxa"/>
            <w:vAlign w:val="center"/>
          </w:tcPr>
          <w:p w14:paraId="6261CE04">
            <w:pPr>
              <w:pStyle w:val="43"/>
              <w:jc w:val="center"/>
              <w:rPr>
                <w:rFonts w:hint="eastAsia"/>
                <w:b w:val="0"/>
                <w:bCs w:val="0"/>
                <w:color w:val="auto"/>
                <w:highlight w:val="none"/>
                <w:lang w:eastAsia="zh-CN"/>
              </w:rPr>
            </w:pPr>
            <w:r>
              <w:rPr>
                <w:rFonts w:hint="eastAsia"/>
                <w:b w:val="0"/>
                <w:bCs w:val="0"/>
                <w:color w:val="auto"/>
                <w:highlight w:val="none"/>
                <w:lang w:eastAsia="zh-CN"/>
              </w:rPr>
              <w:t>50</w:t>
            </w:r>
          </w:p>
        </w:tc>
        <w:tc>
          <w:tcPr>
            <w:tcW w:w="0" w:type="auto"/>
            <w:vMerge w:val="continue"/>
            <w:vAlign w:val="center"/>
          </w:tcPr>
          <w:p w14:paraId="5D294B9D">
            <w:pPr>
              <w:pStyle w:val="43"/>
              <w:jc w:val="both"/>
              <w:rPr>
                <w:b w:val="0"/>
                <w:bCs w:val="0"/>
                <w:color w:val="auto"/>
                <w:highlight w:val="none"/>
                <w:lang w:eastAsia="zh-CN"/>
              </w:rPr>
            </w:pPr>
          </w:p>
        </w:tc>
      </w:tr>
      <w:tr w14:paraId="35EE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09635B">
            <w:pPr>
              <w:pStyle w:val="43"/>
              <w:jc w:val="both"/>
              <w:rPr>
                <w:rFonts w:hint="eastAsia"/>
                <w:b w:val="0"/>
                <w:bCs w:val="0"/>
                <w:color w:val="auto"/>
                <w:highlight w:val="none"/>
                <w:lang w:eastAsia="zh-CN"/>
              </w:rPr>
            </w:pPr>
            <w:r>
              <w:rPr>
                <w:rFonts w:hint="eastAsia"/>
                <w:b w:val="0"/>
                <w:bCs w:val="0"/>
                <w:color w:val="auto"/>
                <w:highlight w:val="none"/>
                <w:lang w:eastAsia="zh-CN"/>
              </w:rPr>
              <w:t>厚度大于20mm的木</w:t>
            </w:r>
            <w:r>
              <w:rPr>
                <w:rFonts w:hint="eastAsia"/>
                <w:b w:val="0"/>
                <w:bCs w:val="0"/>
                <w:color w:val="auto"/>
                <w:highlight w:val="none"/>
                <w:lang w:eastAsia="zh-CN"/>
              </w:rPr>
              <w:br w:type="textWrapping"/>
            </w:r>
            <w:r>
              <w:rPr>
                <w:rFonts w:hint="eastAsia"/>
                <w:b w:val="0"/>
                <w:bCs w:val="0"/>
                <w:color w:val="auto"/>
                <w:highlight w:val="none"/>
                <w:lang w:eastAsia="zh-CN"/>
              </w:rPr>
              <w:t>基结构板材</w:t>
            </w:r>
          </w:p>
        </w:tc>
        <w:tc>
          <w:tcPr>
            <w:tcW w:w="1161" w:type="dxa"/>
            <w:vAlign w:val="center"/>
          </w:tcPr>
          <w:p w14:paraId="073586B5">
            <w:pPr>
              <w:pStyle w:val="43"/>
              <w:jc w:val="center"/>
              <w:rPr>
                <w:rFonts w:hint="eastAsia"/>
                <w:b w:val="0"/>
                <w:bCs w:val="0"/>
                <w:color w:val="auto"/>
                <w:highlight w:val="none"/>
                <w:lang w:eastAsia="zh-CN"/>
              </w:rPr>
            </w:pPr>
            <w:r>
              <w:rPr>
                <w:rFonts w:hint="eastAsia"/>
                <w:b w:val="0"/>
                <w:bCs w:val="0"/>
                <w:color w:val="auto"/>
                <w:highlight w:val="none"/>
                <w:lang w:eastAsia="zh-CN"/>
              </w:rPr>
              <w:t>60</w:t>
            </w:r>
          </w:p>
        </w:tc>
        <w:tc>
          <w:tcPr>
            <w:tcW w:w="1161" w:type="dxa"/>
            <w:vAlign w:val="center"/>
          </w:tcPr>
          <w:p w14:paraId="2B7D8FC4">
            <w:pPr>
              <w:pStyle w:val="43"/>
              <w:jc w:val="center"/>
              <w:rPr>
                <w:rFonts w:hint="eastAsia"/>
                <w:b w:val="0"/>
                <w:bCs w:val="0"/>
                <w:color w:val="auto"/>
                <w:highlight w:val="none"/>
                <w:lang w:eastAsia="zh-CN"/>
              </w:rPr>
            </w:pPr>
            <w:r>
              <w:rPr>
                <w:rFonts w:hint="eastAsia"/>
                <w:b w:val="0"/>
                <w:bCs w:val="0"/>
                <w:color w:val="auto"/>
                <w:highlight w:val="none"/>
                <w:lang w:eastAsia="zh-CN"/>
              </w:rPr>
              <w:t>50</w:t>
            </w:r>
          </w:p>
        </w:tc>
        <w:tc>
          <w:tcPr>
            <w:tcW w:w="1161" w:type="dxa"/>
            <w:vAlign w:val="center"/>
          </w:tcPr>
          <w:p w14:paraId="0B012D05">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1161" w:type="dxa"/>
            <w:vAlign w:val="center"/>
          </w:tcPr>
          <w:p w14:paraId="4728D1FD">
            <w:pPr>
              <w:pStyle w:val="43"/>
              <w:jc w:val="center"/>
              <w:rPr>
                <w:rFonts w:hint="eastAsia"/>
                <w:b w:val="0"/>
                <w:bCs w:val="0"/>
                <w:color w:val="auto"/>
                <w:highlight w:val="none"/>
                <w:lang w:eastAsia="zh-CN"/>
              </w:rPr>
            </w:pPr>
            <w:r>
              <w:rPr>
                <w:rFonts w:hint="eastAsia"/>
                <w:b w:val="0"/>
                <w:bCs w:val="0"/>
                <w:color w:val="auto"/>
                <w:highlight w:val="none"/>
                <w:lang w:eastAsia="zh-CN"/>
              </w:rPr>
              <w:t>不允许</w:t>
            </w:r>
          </w:p>
        </w:tc>
        <w:tc>
          <w:tcPr>
            <w:tcW w:w="0" w:type="auto"/>
            <w:vMerge w:val="continue"/>
            <w:vAlign w:val="center"/>
          </w:tcPr>
          <w:p w14:paraId="040CA118">
            <w:pPr>
              <w:pStyle w:val="43"/>
              <w:jc w:val="both"/>
              <w:rPr>
                <w:b w:val="0"/>
                <w:bCs w:val="0"/>
                <w:color w:val="auto"/>
                <w:highlight w:val="none"/>
                <w:lang w:eastAsia="zh-CN"/>
              </w:rPr>
            </w:pPr>
          </w:p>
        </w:tc>
      </w:tr>
    </w:tbl>
    <w:p w14:paraId="573D0458">
      <w:pPr>
        <w:rPr>
          <w:color w:val="auto"/>
          <w:highlight w:val="none"/>
          <w:lang w:eastAsia="zh-CN"/>
        </w:rPr>
      </w:pPr>
      <w:r>
        <w:rPr>
          <w:rFonts w:hint="eastAsia"/>
          <w:color w:val="auto"/>
          <w:highlight w:val="none"/>
          <w:lang w:eastAsia="zh-CN"/>
        </w:rPr>
        <w:t>注：钉距每块面板边缘不应小于10mm；钉应牢固的打入骨架构件中，钉面应与板面齐平。</w:t>
      </w:r>
    </w:p>
    <w:p w14:paraId="43989950">
      <w:pPr>
        <w:rPr>
          <w:rFonts w:hint="eastAsia"/>
          <w:color w:val="auto"/>
          <w:highlight w:val="none"/>
          <w:lang w:eastAsia="zh-CN"/>
        </w:rPr>
      </w:pPr>
    </w:p>
    <w:p w14:paraId="57B4BFC5">
      <w:pPr>
        <w:pStyle w:val="4"/>
        <w:rPr>
          <w:rFonts w:hint="eastAsia"/>
          <w:color w:val="auto"/>
          <w:highlight w:val="none"/>
          <w:lang w:eastAsia="zh-CN"/>
        </w:rPr>
      </w:pPr>
      <w:r>
        <w:rPr>
          <w:rFonts w:hint="eastAsia"/>
          <w:b/>
          <w:bCs/>
          <w:color w:val="auto"/>
          <w:highlight w:val="none"/>
          <w:lang w:val="en-US" w:eastAsia="zh-CN"/>
        </w:rPr>
        <w:t>D.</w:t>
      </w:r>
      <w:r>
        <w:rPr>
          <w:rFonts w:hint="eastAsia"/>
          <w:b/>
          <w:bCs/>
          <w:color w:val="auto"/>
          <w:highlight w:val="none"/>
          <w:lang w:eastAsia="zh-CN"/>
        </w:rPr>
        <w:t>0</w:t>
      </w:r>
      <w:r>
        <w:rPr>
          <w:rFonts w:hint="eastAsia"/>
          <w:b/>
          <w:bCs/>
          <w:color w:val="auto"/>
          <w:highlight w:val="none"/>
          <w:lang w:val="en-US" w:eastAsia="zh-CN"/>
        </w:rPr>
        <w:t>.</w:t>
      </w:r>
      <w:r>
        <w:rPr>
          <w:rFonts w:hint="eastAsia"/>
          <w:b/>
          <w:bCs/>
          <w:color w:val="auto"/>
          <w:highlight w:val="none"/>
          <w:lang w:eastAsia="zh-CN"/>
        </w:rPr>
        <w:t>4</w:t>
      </w:r>
      <w:r>
        <w:rPr>
          <w:rFonts w:hint="eastAsia"/>
          <w:b/>
          <w:bCs/>
          <w:color w:val="auto"/>
          <w:highlight w:val="none"/>
          <w:lang w:eastAsia="zh-CN"/>
        </w:rPr>
        <w:t xml:space="preserve"> </w:t>
      </w:r>
      <w:r>
        <w:rPr>
          <w:rFonts w:hint="eastAsia"/>
          <w:b/>
          <w:bCs/>
          <w:color w:val="auto"/>
          <w:highlight w:val="none"/>
          <w:lang w:val="en-US" w:eastAsia="zh-CN"/>
        </w:rPr>
        <w:t xml:space="preserve"> </w:t>
      </w:r>
      <w:r>
        <w:rPr>
          <w:rFonts w:hint="eastAsia"/>
          <w:color w:val="auto"/>
          <w:highlight w:val="none"/>
          <w:lang w:eastAsia="zh-CN"/>
        </w:rPr>
        <w:t>轻型木结构构件之间的钉连接应符合表</w:t>
      </w:r>
      <w:r>
        <w:rPr>
          <w:rFonts w:hint="eastAsia"/>
          <w:color w:val="auto"/>
          <w:highlight w:val="none"/>
          <w:lang w:val="en-US" w:eastAsia="zh-CN"/>
        </w:rPr>
        <w:t>D.0.</w:t>
      </w:r>
      <w:r>
        <w:rPr>
          <w:rFonts w:hint="eastAsia"/>
          <w:color w:val="auto"/>
          <w:highlight w:val="none"/>
          <w:lang w:eastAsia="zh-CN"/>
        </w:rPr>
        <w:t>3的规定。</w:t>
      </w:r>
    </w:p>
    <w:p w14:paraId="4E319C2C">
      <w:pPr>
        <w:pStyle w:val="40"/>
        <w:jc w:val="center"/>
        <w:rPr>
          <w:color w:val="auto"/>
          <w:highlight w:val="none"/>
          <w:lang w:eastAsia="zh-CN"/>
        </w:rPr>
      </w:pPr>
      <w:r>
        <w:rPr>
          <w:color w:val="auto"/>
          <w:highlight w:val="none"/>
          <w:lang w:eastAsia="zh-CN"/>
        </w:rPr>
        <w:t>表</w:t>
      </w:r>
      <w:r>
        <w:rPr>
          <w:rFonts w:hint="eastAsia"/>
          <w:color w:val="auto"/>
          <w:highlight w:val="none"/>
          <w:lang w:val="en-US" w:eastAsia="zh-CN"/>
        </w:rPr>
        <w:t>D.0.4</w:t>
      </w:r>
      <w:r>
        <w:rPr>
          <w:color w:val="auto"/>
          <w:highlight w:val="none"/>
          <w:lang w:eastAsia="zh-CN"/>
        </w:rPr>
        <w:t xml:space="preserve"> </w:t>
      </w:r>
      <w:r>
        <w:rPr>
          <w:rFonts w:hint="eastAsia"/>
          <w:color w:val="auto"/>
          <w:highlight w:val="none"/>
          <w:lang w:val="en-US" w:eastAsia="zh-CN"/>
        </w:rPr>
        <w:t xml:space="preserve"> </w:t>
      </w:r>
      <w:r>
        <w:rPr>
          <w:rFonts w:hint="eastAsia"/>
          <w:color w:val="auto"/>
          <w:highlight w:val="none"/>
          <w:lang w:eastAsia="zh-CN"/>
        </w:rPr>
        <w:t>轻型木结构</w:t>
      </w:r>
      <w:r>
        <w:rPr>
          <w:color w:val="auto"/>
          <w:highlight w:val="none"/>
          <w:lang w:eastAsia="zh-CN"/>
        </w:rPr>
        <w:t>的钉连接要求</w:t>
      </w:r>
    </w:p>
    <w:tbl>
      <w:tblPr>
        <w:tblStyle w:val="16"/>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578"/>
        <w:gridCol w:w="4350"/>
        <w:gridCol w:w="1417"/>
        <w:gridCol w:w="1701"/>
      </w:tblGrid>
      <w:tr w14:paraId="3812E052">
        <w:tblPrEx>
          <w:tblCellMar>
            <w:top w:w="0" w:type="dxa"/>
            <w:left w:w="108" w:type="dxa"/>
            <w:bottom w:w="0" w:type="dxa"/>
            <w:right w:w="108" w:type="dxa"/>
          </w:tblCellMar>
        </w:tblPrEx>
        <w:trPr>
          <w:trHeight w:val="9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EBE34">
            <w:pPr>
              <w:pStyle w:val="43"/>
              <w:rPr>
                <w:b/>
                <w:bCs/>
                <w:color w:val="auto"/>
                <w:sz w:val="18"/>
                <w:szCs w:val="18"/>
                <w:highlight w:val="none"/>
              </w:rPr>
            </w:pPr>
            <w:r>
              <w:rPr>
                <w:rFonts w:hint="eastAsia"/>
                <w:b/>
                <w:bCs/>
                <w:color w:val="auto"/>
                <w:sz w:val="18"/>
                <w:szCs w:val="18"/>
                <w:highlight w:val="none"/>
              </w:rPr>
              <w:t>序号</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A6A2">
            <w:pPr>
              <w:pStyle w:val="43"/>
              <w:rPr>
                <w:b/>
                <w:bCs/>
                <w:color w:val="auto"/>
                <w:sz w:val="18"/>
                <w:szCs w:val="18"/>
                <w:highlight w:val="none"/>
              </w:rPr>
            </w:pPr>
            <w:r>
              <w:rPr>
                <w:rFonts w:hint="eastAsia"/>
                <w:b/>
                <w:bCs/>
                <w:color w:val="auto"/>
                <w:sz w:val="18"/>
                <w:szCs w:val="18"/>
                <w:highlight w:val="none"/>
              </w:rPr>
              <w:t>连接构件名称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258A">
            <w:pPr>
              <w:pStyle w:val="43"/>
              <w:rPr>
                <w:b/>
                <w:bCs/>
                <w:color w:val="auto"/>
                <w:sz w:val="18"/>
                <w:szCs w:val="18"/>
                <w:highlight w:val="none"/>
              </w:rPr>
            </w:pPr>
            <w:r>
              <w:rPr>
                <w:rFonts w:hint="eastAsia"/>
                <w:b/>
                <w:bCs/>
                <w:color w:val="auto"/>
                <w:sz w:val="18"/>
                <w:szCs w:val="18"/>
                <w:highlight w:val="none"/>
              </w:rPr>
              <w:t>最小钉长</w:t>
            </w:r>
            <w:r>
              <w:rPr>
                <w:rFonts w:hint="eastAsia"/>
                <w:b/>
                <w:bCs/>
                <w:color w:val="auto"/>
                <w:sz w:val="18"/>
                <w:szCs w:val="18"/>
                <w:highlight w:val="none"/>
              </w:rPr>
              <w:br w:type="textWrapping"/>
            </w:r>
            <w:r>
              <w:rPr>
                <w:rFonts w:hint="eastAsia"/>
                <w:b/>
                <w:bCs/>
                <w:color w:val="auto"/>
                <w:sz w:val="18"/>
                <w:szCs w:val="18"/>
                <w:highlight w:val="none"/>
              </w:rPr>
              <w:t>(mm)</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1B52">
            <w:pPr>
              <w:pStyle w:val="43"/>
              <w:rPr>
                <w:b/>
                <w:bCs/>
                <w:color w:val="auto"/>
                <w:sz w:val="18"/>
                <w:szCs w:val="18"/>
                <w:highlight w:val="none"/>
              </w:rPr>
            </w:pPr>
            <w:r>
              <w:rPr>
                <w:rFonts w:hint="eastAsia"/>
                <w:b/>
                <w:bCs/>
                <w:color w:val="auto"/>
                <w:sz w:val="18"/>
                <w:szCs w:val="18"/>
                <w:highlight w:val="none"/>
              </w:rPr>
              <w:t>钉的最少数量或</w:t>
            </w:r>
            <w:r>
              <w:rPr>
                <w:rFonts w:hint="eastAsia"/>
                <w:b/>
                <w:bCs/>
                <w:color w:val="auto"/>
                <w:sz w:val="18"/>
                <w:szCs w:val="18"/>
                <w:highlight w:val="none"/>
              </w:rPr>
              <w:br w:type="textWrapping"/>
            </w:r>
            <w:r>
              <w:rPr>
                <w:rFonts w:hint="eastAsia"/>
                <w:b/>
                <w:bCs/>
                <w:color w:val="auto"/>
                <w:sz w:val="18"/>
                <w:szCs w:val="18"/>
                <w:highlight w:val="none"/>
              </w:rPr>
              <w:t>最大间距</w:t>
            </w:r>
            <w:r>
              <w:rPr>
                <w:rFonts w:hint="eastAsia"/>
                <w:b/>
                <w:bCs/>
                <w:color w:val="auto"/>
                <w:sz w:val="18"/>
                <w:szCs w:val="18"/>
                <w:highlight w:val="none"/>
              </w:rPr>
              <w:br w:type="textWrapping"/>
            </w:r>
            <w:r>
              <w:rPr>
                <w:rFonts w:hint="eastAsia"/>
                <w:b/>
                <w:bCs/>
                <w:color w:val="auto"/>
                <w:sz w:val="18"/>
                <w:szCs w:val="18"/>
                <w:highlight w:val="none"/>
              </w:rPr>
              <w:t>钉直径d≥2.8mm</w:t>
            </w:r>
          </w:p>
        </w:tc>
      </w:tr>
      <w:tr w14:paraId="1E5AEC88">
        <w:tblPrEx>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6AC96">
            <w:pPr>
              <w:pStyle w:val="43"/>
              <w:rPr>
                <w:color w:val="auto"/>
                <w:sz w:val="18"/>
                <w:szCs w:val="18"/>
                <w:highlight w:val="none"/>
              </w:rPr>
            </w:pPr>
            <w:r>
              <w:rPr>
                <w:rFonts w:hint="eastAsia"/>
                <w:color w:val="auto"/>
                <w:sz w:val="18"/>
                <w:szCs w:val="18"/>
                <w:highlight w:val="none"/>
              </w:rPr>
              <w:t xml:space="preserve">1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61DB">
            <w:pPr>
              <w:pStyle w:val="43"/>
              <w:jc w:val="both"/>
              <w:rPr>
                <w:color w:val="auto"/>
                <w:sz w:val="18"/>
                <w:szCs w:val="18"/>
                <w:highlight w:val="none"/>
              </w:rPr>
            </w:pPr>
            <w:r>
              <w:rPr>
                <w:rFonts w:hint="eastAsia"/>
                <w:color w:val="auto"/>
                <w:sz w:val="18"/>
                <w:szCs w:val="18"/>
                <w:highlight w:val="none"/>
              </w:rPr>
              <w:t xml:space="preserve">   楼盖搁栅与墙体顶梁板或底梁板——斜向钉合</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773B">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24D9">
            <w:pPr>
              <w:pStyle w:val="43"/>
              <w:rPr>
                <w:color w:val="auto"/>
                <w:sz w:val="18"/>
                <w:szCs w:val="18"/>
                <w:highlight w:val="none"/>
              </w:rPr>
            </w:pPr>
            <w:r>
              <w:rPr>
                <w:rFonts w:hint="eastAsia"/>
                <w:color w:val="auto"/>
                <w:sz w:val="18"/>
                <w:szCs w:val="18"/>
                <w:highlight w:val="none"/>
              </w:rPr>
              <w:t>2颗</w:t>
            </w:r>
          </w:p>
        </w:tc>
      </w:tr>
      <w:tr w14:paraId="01D27BC5">
        <w:tblPrEx>
          <w:tblCellMar>
            <w:top w:w="0" w:type="dxa"/>
            <w:left w:w="108" w:type="dxa"/>
            <w:bottom w:w="0" w:type="dxa"/>
            <w:right w:w="108" w:type="dxa"/>
          </w:tblCellMar>
        </w:tblPrEx>
        <w:trPr>
          <w:trHeight w:val="6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6C33B">
            <w:pPr>
              <w:pStyle w:val="43"/>
              <w:rPr>
                <w:color w:val="auto"/>
                <w:sz w:val="18"/>
                <w:szCs w:val="18"/>
                <w:highlight w:val="none"/>
              </w:rPr>
            </w:pPr>
            <w:r>
              <w:rPr>
                <w:rFonts w:hint="eastAsia"/>
                <w:color w:val="auto"/>
                <w:sz w:val="18"/>
                <w:szCs w:val="18"/>
                <w:highlight w:val="none"/>
              </w:rPr>
              <w:t xml:space="preserve">2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E900">
            <w:pPr>
              <w:pStyle w:val="43"/>
              <w:jc w:val="both"/>
              <w:rPr>
                <w:color w:val="auto"/>
                <w:sz w:val="18"/>
                <w:szCs w:val="18"/>
                <w:highlight w:val="none"/>
              </w:rPr>
            </w:pPr>
            <w:r>
              <w:rPr>
                <w:rFonts w:hint="eastAsia"/>
                <w:color w:val="auto"/>
                <w:sz w:val="18"/>
                <w:szCs w:val="18"/>
                <w:highlight w:val="none"/>
              </w:rPr>
              <w:t xml:space="preserve">  边框梁或封边板与墙体顶梁板或底梁板——斜向钉合</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89B2">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25E2">
            <w:pPr>
              <w:pStyle w:val="43"/>
              <w:rPr>
                <w:color w:val="auto"/>
                <w:sz w:val="18"/>
                <w:szCs w:val="18"/>
                <w:highlight w:val="none"/>
              </w:rPr>
            </w:pPr>
            <w:r>
              <w:rPr>
                <w:rFonts w:hint="eastAsia"/>
                <w:color w:val="auto"/>
                <w:sz w:val="18"/>
                <w:szCs w:val="18"/>
                <w:highlight w:val="none"/>
              </w:rPr>
              <w:t>150mm</w:t>
            </w:r>
          </w:p>
        </w:tc>
      </w:tr>
      <w:tr w14:paraId="71367E39">
        <w:tblPrEx>
          <w:tblCellMar>
            <w:top w:w="0" w:type="dxa"/>
            <w:left w:w="108" w:type="dxa"/>
            <w:bottom w:w="0" w:type="dxa"/>
            <w:right w:w="108" w:type="dxa"/>
          </w:tblCellMar>
        </w:tblPrEx>
        <w:trPr>
          <w:trHeight w:val="6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1EDA5">
            <w:pPr>
              <w:pStyle w:val="43"/>
              <w:rPr>
                <w:color w:val="auto"/>
                <w:sz w:val="18"/>
                <w:szCs w:val="18"/>
                <w:highlight w:val="none"/>
              </w:rPr>
            </w:pPr>
            <w:r>
              <w:rPr>
                <w:rFonts w:hint="eastAsia"/>
                <w:color w:val="auto"/>
                <w:sz w:val="18"/>
                <w:szCs w:val="18"/>
                <w:highlight w:val="none"/>
              </w:rPr>
              <w:t xml:space="preserve">3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0585">
            <w:pPr>
              <w:pStyle w:val="43"/>
              <w:jc w:val="both"/>
              <w:rPr>
                <w:color w:val="auto"/>
                <w:sz w:val="18"/>
                <w:szCs w:val="18"/>
                <w:highlight w:val="none"/>
              </w:rPr>
            </w:pPr>
            <w:r>
              <w:rPr>
                <w:rFonts w:hint="eastAsia"/>
                <w:color w:val="auto"/>
                <w:sz w:val="18"/>
                <w:szCs w:val="18"/>
                <w:highlight w:val="none"/>
              </w:rPr>
              <w:t xml:space="preserve">   楼盖搁栅木底撑或扁钢底撑与楼盖搁栅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833F">
            <w:pPr>
              <w:pStyle w:val="43"/>
              <w:rPr>
                <w:color w:val="auto"/>
                <w:sz w:val="18"/>
                <w:szCs w:val="18"/>
                <w:highlight w:val="none"/>
              </w:rPr>
            </w:pPr>
            <w:r>
              <w:rPr>
                <w:rFonts w:hint="eastAsia"/>
                <w:color w:val="auto"/>
                <w:sz w:val="18"/>
                <w:szCs w:val="18"/>
                <w:highlight w:val="none"/>
              </w:rPr>
              <w:t xml:space="preserve">60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709D">
            <w:pPr>
              <w:pStyle w:val="43"/>
              <w:rPr>
                <w:color w:val="auto"/>
                <w:sz w:val="18"/>
                <w:szCs w:val="18"/>
                <w:highlight w:val="none"/>
              </w:rPr>
            </w:pPr>
            <w:r>
              <w:rPr>
                <w:rFonts w:hint="eastAsia"/>
                <w:color w:val="auto"/>
                <w:sz w:val="18"/>
                <w:szCs w:val="18"/>
                <w:highlight w:val="none"/>
              </w:rPr>
              <w:t>2颗</w:t>
            </w:r>
          </w:p>
        </w:tc>
      </w:tr>
      <w:tr w14:paraId="433C99CD">
        <w:tblPrEx>
          <w:tblCellMar>
            <w:top w:w="0" w:type="dxa"/>
            <w:left w:w="108" w:type="dxa"/>
            <w:bottom w:w="0" w:type="dxa"/>
            <w:right w:w="108"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3D429">
            <w:pPr>
              <w:pStyle w:val="43"/>
              <w:rPr>
                <w:color w:val="auto"/>
                <w:sz w:val="18"/>
                <w:szCs w:val="18"/>
                <w:highlight w:val="none"/>
              </w:rPr>
            </w:pPr>
            <w:r>
              <w:rPr>
                <w:rFonts w:hint="eastAsia"/>
                <w:color w:val="auto"/>
                <w:sz w:val="18"/>
                <w:szCs w:val="18"/>
                <w:highlight w:val="none"/>
              </w:rPr>
              <w:t xml:space="preserve">4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061F">
            <w:pPr>
              <w:pStyle w:val="43"/>
              <w:ind w:firstLine="360" w:firstLineChars="200"/>
              <w:jc w:val="both"/>
              <w:rPr>
                <w:color w:val="auto"/>
                <w:sz w:val="18"/>
                <w:szCs w:val="18"/>
                <w:highlight w:val="none"/>
              </w:rPr>
            </w:pPr>
            <w:r>
              <w:rPr>
                <w:rFonts w:hint="eastAsia"/>
                <w:color w:val="auto"/>
                <w:sz w:val="18"/>
                <w:szCs w:val="18"/>
                <w:highlight w:val="none"/>
              </w:rPr>
              <w:t>搁栅间剪刀撑和横撑</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B546">
            <w:pPr>
              <w:pStyle w:val="43"/>
              <w:rPr>
                <w:color w:val="auto"/>
                <w:sz w:val="18"/>
                <w:szCs w:val="18"/>
                <w:highlight w:val="none"/>
              </w:rPr>
            </w:pPr>
            <w:r>
              <w:rPr>
                <w:rFonts w:hint="eastAsia"/>
                <w:color w:val="auto"/>
                <w:sz w:val="18"/>
                <w:szCs w:val="18"/>
                <w:highlight w:val="none"/>
              </w:rPr>
              <w:t xml:space="preserve">60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D9CA">
            <w:pPr>
              <w:pStyle w:val="43"/>
              <w:rPr>
                <w:color w:val="auto"/>
                <w:sz w:val="18"/>
                <w:szCs w:val="18"/>
                <w:highlight w:val="none"/>
              </w:rPr>
            </w:pPr>
            <w:r>
              <w:rPr>
                <w:rFonts w:hint="eastAsia"/>
                <w:color w:val="auto"/>
                <w:sz w:val="18"/>
                <w:szCs w:val="18"/>
                <w:highlight w:val="none"/>
              </w:rPr>
              <w:t>每端2颗</w:t>
            </w:r>
          </w:p>
        </w:tc>
      </w:tr>
      <w:tr w14:paraId="1DCD789B">
        <w:tblPrEx>
          <w:tblCellMar>
            <w:top w:w="0" w:type="dxa"/>
            <w:left w:w="108" w:type="dxa"/>
            <w:bottom w:w="0" w:type="dxa"/>
            <w:right w:w="108" w:type="dxa"/>
          </w:tblCellMar>
        </w:tblPrEx>
        <w:trPr>
          <w:trHeight w:val="60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08A5F">
            <w:pPr>
              <w:pStyle w:val="43"/>
              <w:rPr>
                <w:color w:val="auto"/>
                <w:sz w:val="18"/>
                <w:szCs w:val="18"/>
                <w:highlight w:val="none"/>
              </w:rPr>
            </w:pPr>
            <w:r>
              <w:rPr>
                <w:rFonts w:hint="eastAsia"/>
                <w:color w:val="auto"/>
                <w:sz w:val="18"/>
                <w:szCs w:val="18"/>
                <w:highlight w:val="none"/>
              </w:rPr>
              <w:t xml:space="preserve">5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136D">
            <w:pPr>
              <w:pStyle w:val="43"/>
              <w:jc w:val="both"/>
              <w:rPr>
                <w:color w:val="auto"/>
                <w:sz w:val="18"/>
                <w:szCs w:val="18"/>
                <w:highlight w:val="none"/>
              </w:rPr>
            </w:pPr>
            <w:r>
              <w:rPr>
                <w:rFonts w:hint="eastAsia"/>
                <w:color w:val="auto"/>
                <w:sz w:val="18"/>
                <w:szCs w:val="18"/>
                <w:highlight w:val="none"/>
              </w:rPr>
              <w:t xml:space="preserve">   开孔周边双层封边梁或双层加强搁栅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57E5">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FEBE">
            <w:pPr>
              <w:pStyle w:val="43"/>
              <w:rPr>
                <w:color w:val="auto"/>
                <w:sz w:val="18"/>
                <w:szCs w:val="18"/>
                <w:highlight w:val="none"/>
              </w:rPr>
            </w:pPr>
            <w:r>
              <w:rPr>
                <w:rFonts w:hint="eastAsia"/>
                <w:color w:val="auto"/>
                <w:sz w:val="18"/>
                <w:szCs w:val="18"/>
                <w:highlight w:val="none"/>
              </w:rPr>
              <w:t>2颗或3颗间距300mm</w:t>
            </w:r>
          </w:p>
        </w:tc>
      </w:tr>
      <w:tr w14:paraId="426C385A">
        <w:tblPrEx>
          <w:tblCellMar>
            <w:top w:w="0" w:type="dxa"/>
            <w:left w:w="108" w:type="dxa"/>
            <w:bottom w:w="0" w:type="dxa"/>
            <w:right w:w="108"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EB66F">
            <w:pPr>
              <w:pStyle w:val="43"/>
              <w:rPr>
                <w:color w:val="auto"/>
                <w:sz w:val="18"/>
                <w:szCs w:val="18"/>
                <w:highlight w:val="none"/>
              </w:rPr>
            </w:pPr>
            <w:r>
              <w:rPr>
                <w:rFonts w:hint="eastAsia"/>
                <w:color w:val="auto"/>
                <w:sz w:val="18"/>
                <w:szCs w:val="18"/>
                <w:highlight w:val="none"/>
              </w:rPr>
              <w:t xml:space="preserve">6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8357">
            <w:pPr>
              <w:pStyle w:val="43"/>
              <w:jc w:val="both"/>
              <w:rPr>
                <w:color w:val="auto"/>
                <w:sz w:val="18"/>
                <w:szCs w:val="18"/>
                <w:highlight w:val="none"/>
              </w:rPr>
            </w:pPr>
            <w:r>
              <w:rPr>
                <w:rFonts w:hint="eastAsia"/>
                <w:color w:val="auto"/>
                <w:sz w:val="18"/>
                <w:szCs w:val="18"/>
                <w:highlight w:val="none"/>
              </w:rPr>
              <w:t xml:space="preserve">   木梁两侧附加托木与木梁</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B217">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2C1D">
            <w:pPr>
              <w:pStyle w:val="43"/>
              <w:rPr>
                <w:color w:val="auto"/>
                <w:sz w:val="18"/>
                <w:szCs w:val="18"/>
                <w:highlight w:val="none"/>
              </w:rPr>
            </w:pPr>
            <w:r>
              <w:rPr>
                <w:rFonts w:hint="eastAsia"/>
                <w:color w:val="auto"/>
                <w:sz w:val="18"/>
                <w:szCs w:val="18"/>
                <w:highlight w:val="none"/>
              </w:rPr>
              <w:t>每根搁栅处2颗</w:t>
            </w:r>
          </w:p>
        </w:tc>
      </w:tr>
      <w:tr w14:paraId="606722D2">
        <w:tblPrEx>
          <w:tblCellMar>
            <w:top w:w="0" w:type="dxa"/>
            <w:left w:w="108" w:type="dxa"/>
            <w:bottom w:w="0" w:type="dxa"/>
            <w:right w:w="108"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2505F">
            <w:pPr>
              <w:pStyle w:val="43"/>
              <w:rPr>
                <w:color w:val="auto"/>
                <w:sz w:val="18"/>
                <w:szCs w:val="18"/>
                <w:highlight w:val="none"/>
              </w:rPr>
            </w:pPr>
            <w:r>
              <w:rPr>
                <w:rFonts w:hint="eastAsia"/>
                <w:color w:val="auto"/>
                <w:sz w:val="18"/>
                <w:szCs w:val="18"/>
                <w:highlight w:val="none"/>
              </w:rPr>
              <w:t xml:space="preserve">7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C0E9">
            <w:pPr>
              <w:pStyle w:val="43"/>
              <w:jc w:val="both"/>
              <w:rPr>
                <w:color w:val="auto"/>
                <w:sz w:val="18"/>
                <w:szCs w:val="18"/>
                <w:highlight w:val="none"/>
              </w:rPr>
            </w:pPr>
            <w:r>
              <w:rPr>
                <w:rFonts w:hint="eastAsia"/>
                <w:color w:val="auto"/>
                <w:sz w:val="18"/>
                <w:szCs w:val="18"/>
                <w:highlight w:val="none"/>
              </w:rPr>
              <w:t xml:space="preserve">   搁栅与搁栅连接板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4240">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DF9E">
            <w:pPr>
              <w:pStyle w:val="43"/>
              <w:rPr>
                <w:color w:val="auto"/>
                <w:sz w:val="18"/>
                <w:szCs w:val="18"/>
                <w:highlight w:val="none"/>
              </w:rPr>
            </w:pPr>
            <w:r>
              <w:rPr>
                <w:rFonts w:hint="eastAsia"/>
                <w:color w:val="auto"/>
                <w:sz w:val="18"/>
                <w:szCs w:val="18"/>
                <w:highlight w:val="none"/>
              </w:rPr>
              <w:t>每端2颗</w:t>
            </w:r>
          </w:p>
        </w:tc>
      </w:tr>
      <w:tr w14:paraId="14D5C446">
        <w:tblPrEx>
          <w:tblCellMar>
            <w:top w:w="0" w:type="dxa"/>
            <w:left w:w="108" w:type="dxa"/>
            <w:bottom w:w="0" w:type="dxa"/>
            <w:right w:w="108" w:type="dxa"/>
          </w:tblCellMar>
        </w:tblPrEx>
        <w:trPr>
          <w:trHeight w:val="6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5934A">
            <w:pPr>
              <w:pStyle w:val="43"/>
              <w:rPr>
                <w:color w:val="auto"/>
                <w:sz w:val="18"/>
                <w:szCs w:val="18"/>
                <w:highlight w:val="none"/>
              </w:rPr>
            </w:pPr>
            <w:r>
              <w:rPr>
                <w:rFonts w:hint="eastAsia"/>
                <w:color w:val="auto"/>
                <w:sz w:val="18"/>
                <w:szCs w:val="18"/>
                <w:highlight w:val="none"/>
              </w:rPr>
              <w:t xml:space="preserve">8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65F7">
            <w:pPr>
              <w:pStyle w:val="43"/>
              <w:jc w:val="both"/>
              <w:rPr>
                <w:color w:val="auto"/>
                <w:sz w:val="18"/>
                <w:szCs w:val="18"/>
                <w:highlight w:val="none"/>
              </w:rPr>
            </w:pPr>
            <w:r>
              <w:rPr>
                <w:rFonts w:hint="eastAsia"/>
                <w:color w:val="auto"/>
                <w:sz w:val="18"/>
                <w:szCs w:val="18"/>
                <w:highlight w:val="none"/>
              </w:rPr>
              <w:t xml:space="preserve">   被切搁栅与开孔封头搁栅(沿开孔周边垂直钉连接)</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E19E">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2EB1">
            <w:pPr>
              <w:pStyle w:val="43"/>
              <w:rPr>
                <w:color w:val="auto"/>
                <w:sz w:val="18"/>
                <w:szCs w:val="18"/>
                <w:highlight w:val="none"/>
              </w:rPr>
            </w:pPr>
            <w:r>
              <w:rPr>
                <w:rFonts w:hint="eastAsia"/>
                <w:color w:val="auto"/>
                <w:sz w:val="18"/>
                <w:szCs w:val="18"/>
                <w:highlight w:val="none"/>
              </w:rPr>
              <w:t>3颗</w:t>
            </w:r>
          </w:p>
        </w:tc>
      </w:tr>
      <w:tr w14:paraId="59144D8F">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05E62">
            <w:pPr>
              <w:pStyle w:val="43"/>
              <w:rPr>
                <w:color w:val="auto"/>
                <w:sz w:val="18"/>
                <w:szCs w:val="18"/>
                <w:highlight w:val="none"/>
              </w:rPr>
            </w:pPr>
            <w:r>
              <w:rPr>
                <w:rFonts w:hint="eastAsia"/>
                <w:color w:val="auto"/>
                <w:sz w:val="18"/>
                <w:szCs w:val="18"/>
                <w:highlight w:val="none"/>
              </w:rPr>
              <w:t xml:space="preserve">9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F62C">
            <w:pPr>
              <w:pStyle w:val="43"/>
              <w:jc w:val="both"/>
              <w:rPr>
                <w:color w:val="auto"/>
                <w:sz w:val="18"/>
                <w:szCs w:val="18"/>
                <w:highlight w:val="none"/>
              </w:rPr>
            </w:pPr>
            <w:r>
              <w:rPr>
                <w:rFonts w:hint="eastAsia"/>
                <w:color w:val="auto"/>
                <w:sz w:val="18"/>
                <w:szCs w:val="18"/>
                <w:highlight w:val="none"/>
              </w:rPr>
              <w:t xml:space="preserve">   开孔处每根封头搁栅与封边搁栅的连接(沿开孔周边垂直钉连接)</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9810">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3BEA">
            <w:pPr>
              <w:pStyle w:val="43"/>
              <w:rPr>
                <w:color w:val="auto"/>
                <w:sz w:val="18"/>
                <w:szCs w:val="18"/>
                <w:highlight w:val="none"/>
              </w:rPr>
            </w:pPr>
            <w:r>
              <w:rPr>
                <w:rFonts w:hint="eastAsia"/>
                <w:color w:val="auto"/>
                <w:sz w:val="18"/>
                <w:szCs w:val="18"/>
                <w:highlight w:val="none"/>
              </w:rPr>
              <w:t>5颗</w:t>
            </w:r>
          </w:p>
        </w:tc>
      </w:tr>
      <w:tr w14:paraId="512AC169">
        <w:tblPrEx>
          <w:tblCellMar>
            <w:top w:w="0" w:type="dxa"/>
            <w:left w:w="108" w:type="dxa"/>
            <w:bottom w:w="0" w:type="dxa"/>
            <w:right w:w="108" w:type="dxa"/>
          </w:tblCellMar>
        </w:tblPrEx>
        <w:trPr>
          <w:trHeight w:val="33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C02F0">
            <w:pPr>
              <w:pStyle w:val="43"/>
              <w:rPr>
                <w:color w:val="auto"/>
                <w:sz w:val="18"/>
                <w:szCs w:val="18"/>
                <w:highlight w:val="none"/>
              </w:rPr>
            </w:pPr>
            <w:r>
              <w:rPr>
                <w:rFonts w:hint="eastAsia"/>
                <w:color w:val="auto"/>
                <w:sz w:val="18"/>
                <w:szCs w:val="18"/>
                <w:highlight w:val="none"/>
              </w:rPr>
              <w:t xml:space="preserve">10 </w:t>
            </w:r>
          </w:p>
        </w:tc>
        <w:tc>
          <w:tcPr>
            <w:tcW w:w="4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FFA16">
            <w:pPr>
              <w:pStyle w:val="43"/>
              <w:jc w:val="both"/>
              <w:rPr>
                <w:color w:val="auto"/>
                <w:sz w:val="18"/>
                <w:szCs w:val="18"/>
                <w:highlight w:val="none"/>
              </w:rPr>
            </w:pPr>
            <w:r>
              <w:rPr>
                <w:rFonts w:hint="eastAsia"/>
                <w:color w:val="auto"/>
                <w:sz w:val="18"/>
                <w:szCs w:val="18"/>
                <w:highlight w:val="none"/>
              </w:rPr>
              <w:t xml:space="preserve">   墙骨柱与墙体顶梁板或底梁板，采用斜向钉合或垂直钉合</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CB1E">
            <w:pPr>
              <w:pStyle w:val="43"/>
              <w:rPr>
                <w:color w:val="auto"/>
                <w:sz w:val="18"/>
                <w:szCs w:val="18"/>
                <w:highlight w:val="none"/>
              </w:rPr>
            </w:pPr>
            <w:r>
              <w:rPr>
                <w:rFonts w:hint="eastAsia"/>
                <w:color w:val="auto"/>
                <w:sz w:val="18"/>
                <w:szCs w:val="18"/>
                <w:highlight w:val="none"/>
              </w:rPr>
              <w:t xml:space="preserve">60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492A">
            <w:pPr>
              <w:pStyle w:val="43"/>
              <w:rPr>
                <w:color w:val="auto"/>
                <w:sz w:val="18"/>
                <w:szCs w:val="18"/>
                <w:highlight w:val="none"/>
              </w:rPr>
            </w:pPr>
            <w:r>
              <w:rPr>
                <w:rFonts w:hint="eastAsia"/>
                <w:color w:val="auto"/>
                <w:sz w:val="18"/>
                <w:szCs w:val="18"/>
                <w:highlight w:val="none"/>
              </w:rPr>
              <w:t>4颗</w:t>
            </w:r>
          </w:p>
        </w:tc>
      </w:tr>
      <w:tr w14:paraId="18252ADE">
        <w:tblPrEx>
          <w:tblCellMar>
            <w:top w:w="0" w:type="dxa"/>
            <w:left w:w="108" w:type="dxa"/>
            <w:bottom w:w="0" w:type="dxa"/>
            <w:right w:w="108" w:type="dxa"/>
          </w:tblCellMar>
        </w:tblPrEx>
        <w:trPr>
          <w:trHeight w:val="3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1F24D">
            <w:pPr>
              <w:pStyle w:val="43"/>
              <w:rPr>
                <w:color w:val="auto"/>
                <w:sz w:val="18"/>
                <w:szCs w:val="18"/>
                <w:highlight w:val="none"/>
              </w:rPr>
            </w:pPr>
          </w:p>
        </w:tc>
        <w:tc>
          <w:tcPr>
            <w:tcW w:w="4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1F1FB">
            <w:pPr>
              <w:pStyle w:val="43"/>
              <w:jc w:val="both"/>
              <w:rPr>
                <w:color w:val="auto"/>
                <w:sz w:val="18"/>
                <w:szCs w:val="18"/>
                <w:highlight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07EE">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9FC7">
            <w:pPr>
              <w:pStyle w:val="43"/>
              <w:rPr>
                <w:color w:val="auto"/>
                <w:sz w:val="18"/>
                <w:szCs w:val="18"/>
                <w:highlight w:val="none"/>
              </w:rPr>
            </w:pPr>
            <w:r>
              <w:rPr>
                <w:rFonts w:hint="eastAsia"/>
                <w:color w:val="auto"/>
                <w:sz w:val="18"/>
                <w:szCs w:val="18"/>
                <w:highlight w:val="none"/>
              </w:rPr>
              <w:t>2颗</w:t>
            </w:r>
          </w:p>
        </w:tc>
      </w:tr>
      <w:tr w14:paraId="72150549">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932A2">
            <w:pPr>
              <w:pStyle w:val="43"/>
              <w:rPr>
                <w:color w:val="auto"/>
                <w:sz w:val="18"/>
                <w:szCs w:val="18"/>
                <w:highlight w:val="none"/>
              </w:rPr>
            </w:pPr>
            <w:r>
              <w:rPr>
                <w:rFonts w:hint="eastAsia"/>
                <w:color w:val="auto"/>
                <w:sz w:val="18"/>
                <w:szCs w:val="18"/>
                <w:highlight w:val="none"/>
              </w:rPr>
              <w:t xml:space="preserve">11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0743">
            <w:pPr>
              <w:pStyle w:val="43"/>
              <w:jc w:val="both"/>
              <w:rPr>
                <w:color w:val="auto"/>
                <w:sz w:val="18"/>
                <w:szCs w:val="18"/>
                <w:highlight w:val="none"/>
              </w:rPr>
            </w:pPr>
            <w:r>
              <w:rPr>
                <w:rFonts w:hint="eastAsia"/>
                <w:color w:val="auto"/>
                <w:sz w:val="18"/>
                <w:szCs w:val="18"/>
                <w:highlight w:val="none"/>
              </w:rPr>
              <w:t xml:space="preserve">   开孔两侧双根墙骨柱，或在墙体交接或转角处的墙骨柱</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2793">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2509">
            <w:pPr>
              <w:pStyle w:val="43"/>
              <w:rPr>
                <w:color w:val="auto"/>
                <w:sz w:val="18"/>
                <w:szCs w:val="18"/>
                <w:highlight w:val="none"/>
              </w:rPr>
            </w:pPr>
            <w:r>
              <w:rPr>
                <w:rFonts w:hint="eastAsia"/>
                <w:color w:val="auto"/>
                <w:sz w:val="18"/>
                <w:szCs w:val="18"/>
                <w:highlight w:val="none"/>
              </w:rPr>
              <w:t>610mm</w:t>
            </w:r>
          </w:p>
        </w:tc>
      </w:tr>
      <w:tr w14:paraId="7B4E4A0E">
        <w:tblPrEx>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278DB">
            <w:pPr>
              <w:pStyle w:val="43"/>
              <w:rPr>
                <w:color w:val="auto"/>
                <w:sz w:val="18"/>
                <w:szCs w:val="18"/>
                <w:highlight w:val="none"/>
              </w:rPr>
            </w:pPr>
            <w:r>
              <w:rPr>
                <w:rFonts w:hint="eastAsia"/>
                <w:color w:val="auto"/>
                <w:sz w:val="18"/>
                <w:szCs w:val="18"/>
                <w:highlight w:val="none"/>
              </w:rPr>
              <w:t xml:space="preserve">12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FFEA">
            <w:pPr>
              <w:pStyle w:val="43"/>
              <w:jc w:val="both"/>
              <w:rPr>
                <w:color w:val="auto"/>
                <w:sz w:val="18"/>
                <w:szCs w:val="18"/>
                <w:highlight w:val="none"/>
              </w:rPr>
            </w:pPr>
            <w:r>
              <w:rPr>
                <w:rFonts w:hint="eastAsia"/>
                <w:color w:val="auto"/>
                <w:sz w:val="18"/>
                <w:szCs w:val="18"/>
                <w:highlight w:val="none"/>
              </w:rPr>
              <w:t xml:space="preserve">   双层顶梁板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5B9B">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7D82">
            <w:pPr>
              <w:pStyle w:val="43"/>
              <w:rPr>
                <w:color w:val="auto"/>
                <w:sz w:val="18"/>
                <w:szCs w:val="18"/>
                <w:highlight w:val="none"/>
              </w:rPr>
            </w:pPr>
            <w:r>
              <w:rPr>
                <w:rFonts w:hint="eastAsia"/>
                <w:color w:val="auto"/>
                <w:sz w:val="18"/>
                <w:szCs w:val="18"/>
                <w:highlight w:val="none"/>
              </w:rPr>
              <w:t>610mm</w:t>
            </w:r>
          </w:p>
        </w:tc>
      </w:tr>
      <w:tr w14:paraId="75F1AE7C">
        <w:tblPrEx>
          <w:tblCellMar>
            <w:top w:w="0" w:type="dxa"/>
            <w:left w:w="108" w:type="dxa"/>
            <w:bottom w:w="0" w:type="dxa"/>
            <w:right w:w="108" w:type="dxa"/>
          </w:tblCellMar>
        </w:tblPrEx>
        <w:trPr>
          <w:trHeight w:val="6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B7C623">
            <w:pPr>
              <w:pStyle w:val="43"/>
              <w:rPr>
                <w:color w:val="auto"/>
                <w:sz w:val="18"/>
                <w:szCs w:val="18"/>
                <w:highlight w:val="none"/>
              </w:rPr>
            </w:pPr>
            <w:r>
              <w:rPr>
                <w:rFonts w:hint="eastAsia"/>
                <w:color w:val="auto"/>
                <w:sz w:val="18"/>
                <w:szCs w:val="18"/>
                <w:highlight w:val="none"/>
              </w:rPr>
              <w:t xml:space="preserve">13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6F13">
            <w:pPr>
              <w:pStyle w:val="43"/>
              <w:jc w:val="both"/>
              <w:rPr>
                <w:color w:val="auto"/>
                <w:sz w:val="18"/>
                <w:szCs w:val="18"/>
                <w:highlight w:val="none"/>
              </w:rPr>
            </w:pPr>
            <w:r>
              <w:rPr>
                <w:rFonts w:hint="eastAsia"/>
                <w:color w:val="auto"/>
                <w:sz w:val="18"/>
                <w:szCs w:val="18"/>
                <w:highlight w:val="none"/>
              </w:rPr>
              <w:t xml:space="preserve">   墙体底梁板或地梁板与搁栅或封头块(用于外墙)</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9F28">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E660">
            <w:pPr>
              <w:pStyle w:val="43"/>
              <w:rPr>
                <w:color w:val="auto"/>
                <w:sz w:val="18"/>
                <w:szCs w:val="18"/>
                <w:highlight w:val="none"/>
              </w:rPr>
            </w:pPr>
            <w:r>
              <w:rPr>
                <w:rFonts w:hint="eastAsia"/>
                <w:color w:val="auto"/>
                <w:sz w:val="18"/>
                <w:szCs w:val="18"/>
                <w:highlight w:val="none"/>
              </w:rPr>
              <w:t>400mm</w:t>
            </w:r>
          </w:p>
        </w:tc>
      </w:tr>
      <w:tr w14:paraId="26691FAB">
        <w:tblPrEx>
          <w:tblCellMar>
            <w:top w:w="0" w:type="dxa"/>
            <w:left w:w="108" w:type="dxa"/>
            <w:bottom w:w="0" w:type="dxa"/>
            <w:right w:w="108" w:type="dxa"/>
          </w:tblCellMar>
        </w:tblPrEx>
        <w:trPr>
          <w:trHeight w:val="3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E23FD">
            <w:pPr>
              <w:pStyle w:val="43"/>
              <w:rPr>
                <w:color w:val="auto"/>
                <w:sz w:val="18"/>
                <w:szCs w:val="18"/>
                <w:highlight w:val="none"/>
              </w:rPr>
            </w:pPr>
            <w:r>
              <w:rPr>
                <w:rFonts w:hint="eastAsia"/>
                <w:color w:val="auto"/>
                <w:sz w:val="18"/>
                <w:szCs w:val="18"/>
                <w:highlight w:val="none"/>
              </w:rPr>
              <w:t xml:space="preserve">14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7190">
            <w:pPr>
              <w:pStyle w:val="43"/>
              <w:jc w:val="both"/>
              <w:rPr>
                <w:color w:val="auto"/>
                <w:sz w:val="18"/>
                <w:szCs w:val="18"/>
                <w:highlight w:val="none"/>
              </w:rPr>
            </w:pPr>
            <w:r>
              <w:rPr>
                <w:rFonts w:hint="eastAsia"/>
                <w:color w:val="auto"/>
                <w:sz w:val="18"/>
                <w:szCs w:val="18"/>
                <w:highlight w:val="none"/>
              </w:rPr>
              <w:t xml:space="preserve">   内隔墙与框架或楼面板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326D">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914A">
            <w:pPr>
              <w:pStyle w:val="43"/>
              <w:rPr>
                <w:color w:val="auto"/>
                <w:sz w:val="18"/>
                <w:szCs w:val="18"/>
                <w:highlight w:val="none"/>
              </w:rPr>
            </w:pPr>
            <w:r>
              <w:rPr>
                <w:rFonts w:hint="eastAsia"/>
                <w:color w:val="auto"/>
                <w:sz w:val="18"/>
                <w:szCs w:val="18"/>
                <w:highlight w:val="none"/>
              </w:rPr>
              <w:t>610mm</w:t>
            </w:r>
          </w:p>
        </w:tc>
      </w:tr>
      <w:tr w14:paraId="5A24D445">
        <w:tblPrEx>
          <w:tblCellMar>
            <w:top w:w="0" w:type="dxa"/>
            <w:left w:w="108" w:type="dxa"/>
            <w:bottom w:w="0" w:type="dxa"/>
            <w:right w:w="108" w:type="dxa"/>
          </w:tblCellMar>
        </w:tblPrEx>
        <w:trPr>
          <w:trHeight w:val="9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3863F">
            <w:pPr>
              <w:pStyle w:val="43"/>
              <w:rPr>
                <w:color w:val="auto"/>
                <w:sz w:val="18"/>
                <w:szCs w:val="18"/>
                <w:highlight w:val="none"/>
              </w:rPr>
            </w:pPr>
            <w:r>
              <w:rPr>
                <w:rFonts w:hint="eastAsia"/>
                <w:color w:val="auto"/>
                <w:sz w:val="18"/>
                <w:szCs w:val="18"/>
                <w:highlight w:val="none"/>
              </w:rPr>
              <w:t xml:space="preserve">15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4987">
            <w:pPr>
              <w:pStyle w:val="43"/>
              <w:jc w:val="both"/>
              <w:rPr>
                <w:color w:val="auto"/>
                <w:sz w:val="18"/>
                <w:szCs w:val="18"/>
                <w:highlight w:val="none"/>
              </w:rPr>
            </w:pPr>
            <w:r>
              <w:rPr>
                <w:rFonts w:hint="eastAsia"/>
                <w:color w:val="auto"/>
                <w:sz w:val="18"/>
                <w:szCs w:val="18"/>
                <w:highlight w:val="none"/>
              </w:rPr>
              <w:t xml:space="preserve">   墙体底梁板或地梁板与搁栅或封头块；内隔墙与框架或楼面板(用于传递剪力墙的剪力时)</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5909">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FA01">
            <w:pPr>
              <w:pStyle w:val="43"/>
              <w:rPr>
                <w:color w:val="auto"/>
                <w:sz w:val="18"/>
                <w:szCs w:val="18"/>
                <w:highlight w:val="none"/>
              </w:rPr>
            </w:pPr>
            <w:r>
              <w:rPr>
                <w:rFonts w:hint="eastAsia"/>
                <w:color w:val="auto"/>
                <w:sz w:val="18"/>
                <w:szCs w:val="18"/>
                <w:highlight w:val="none"/>
              </w:rPr>
              <w:t>150mm</w:t>
            </w:r>
          </w:p>
        </w:tc>
      </w:tr>
      <w:tr w14:paraId="2BCC758B">
        <w:tblPrEx>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99A1D">
            <w:pPr>
              <w:pStyle w:val="43"/>
              <w:rPr>
                <w:color w:val="auto"/>
                <w:sz w:val="18"/>
                <w:szCs w:val="18"/>
                <w:highlight w:val="none"/>
              </w:rPr>
            </w:pPr>
            <w:r>
              <w:rPr>
                <w:rFonts w:hint="eastAsia"/>
                <w:color w:val="auto"/>
                <w:sz w:val="18"/>
                <w:szCs w:val="18"/>
                <w:highlight w:val="none"/>
              </w:rPr>
              <w:t xml:space="preserve">16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89CA">
            <w:pPr>
              <w:pStyle w:val="43"/>
              <w:jc w:val="both"/>
              <w:rPr>
                <w:color w:val="auto"/>
                <w:sz w:val="18"/>
                <w:szCs w:val="18"/>
                <w:highlight w:val="none"/>
              </w:rPr>
            </w:pPr>
            <w:r>
              <w:rPr>
                <w:rFonts w:hint="eastAsia"/>
                <w:color w:val="auto"/>
                <w:sz w:val="18"/>
                <w:szCs w:val="18"/>
                <w:highlight w:val="none"/>
              </w:rPr>
              <w:t xml:space="preserve">   非承重墙开孔顶部水平构件</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0CE3">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6F4F">
            <w:pPr>
              <w:pStyle w:val="43"/>
              <w:rPr>
                <w:color w:val="auto"/>
                <w:sz w:val="18"/>
                <w:szCs w:val="18"/>
                <w:highlight w:val="none"/>
              </w:rPr>
            </w:pPr>
            <w:r>
              <w:rPr>
                <w:rFonts w:hint="eastAsia"/>
                <w:color w:val="auto"/>
                <w:sz w:val="18"/>
                <w:szCs w:val="18"/>
                <w:highlight w:val="none"/>
              </w:rPr>
              <w:t>每端2颗</w:t>
            </w:r>
          </w:p>
        </w:tc>
      </w:tr>
      <w:tr w14:paraId="4DB27A43">
        <w:tblPrEx>
          <w:tblCellMar>
            <w:top w:w="0" w:type="dxa"/>
            <w:left w:w="108" w:type="dxa"/>
            <w:bottom w:w="0" w:type="dxa"/>
            <w:right w:w="108"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EE418">
            <w:pPr>
              <w:pStyle w:val="43"/>
              <w:rPr>
                <w:color w:val="auto"/>
                <w:sz w:val="18"/>
                <w:szCs w:val="18"/>
                <w:highlight w:val="none"/>
              </w:rPr>
            </w:pPr>
            <w:r>
              <w:rPr>
                <w:rFonts w:hint="eastAsia"/>
                <w:color w:val="auto"/>
                <w:sz w:val="18"/>
                <w:szCs w:val="18"/>
                <w:highlight w:val="none"/>
              </w:rPr>
              <w:t xml:space="preserve">17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BD34">
            <w:pPr>
              <w:pStyle w:val="43"/>
              <w:jc w:val="both"/>
              <w:rPr>
                <w:color w:val="auto"/>
                <w:sz w:val="18"/>
                <w:szCs w:val="18"/>
                <w:highlight w:val="none"/>
              </w:rPr>
            </w:pPr>
            <w:r>
              <w:rPr>
                <w:rFonts w:hint="eastAsia"/>
                <w:color w:val="auto"/>
                <w:sz w:val="18"/>
                <w:szCs w:val="18"/>
                <w:highlight w:val="none"/>
              </w:rPr>
              <w:t xml:space="preserve">   过梁与墙骨柱</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CFBB">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B428">
            <w:pPr>
              <w:pStyle w:val="43"/>
              <w:rPr>
                <w:color w:val="auto"/>
                <w:sz w:val="18"/>
                <w:szCs w:val="18"/>
                <w:highlight w:val="none"/>
              </w:rPr>
            </w:pPr>
            <w:r>
              <w:rPr>
                <w:rFonts w:hint="eastAsia"/>
                <w:color w:val="auto"/>
                <w:sz w:val="18"/>
                <w:szCs w:val="18"/>
                <w:highlight w:val="none"/>
              </w:rPr>
              <w:t>每端2颗</w:t>
            </w:r>
          </w:p>
        </w:tc>
      </w:tr>
      <w:tr w14:paraId="0BB86398">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3FFC77">
            <w:pPr>
              <w:pStyle w:val="43"/>
              <w:rPr>
                <w:color w:val="auto"/>
                <w:sz w:val="18"/>
                <w:szCs w:val="18"/>
                <w:highlight w:val="none"/>
              </w:rPr>
            </w:pPr>
            <w:r>
              <w:rPr>
                <w:rFonts w:hint="eastAsia"/>
                <w:color w:val="auto"/>
                <w:sz w:val="18"/>
                <w:szCs w:val="18"/>
                <w:highlight w:val="none"/>
              </w:rPr>
              <w:t xml:space="preserve">18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0E3C">
            <w:pPr>
              <w:pStyle w:val="43"/>
              <w:jc w:val="both"/>
              <w:rPr>
                <w:color w:val="auto"/>
                <w:sz w:val="18"/>
                <w:szCs w:val="18"/>
                <w:highlight w:val="none"/>
              </w:rPr>
            </w:pPr>
            <w:r>
              <w:rPr>
                <w:rFonts w:hint="eastAsia"/>
                <w:color w:val="auto"/>
                <w:sz w:val="18"/>
                <w:szCs w:val="18"/>
                <w:highlight w:val="none"/>
              </w:rPr>
              <w:t xml:space="preserve">   顶棚搁栅与墙体顶梁板——每侧采用斜向钉连接</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C164">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22B1">
            <w:pPr>
              <w:pStyle w:val="43"/>
              <w:rPr>
                <w:color w:val="auto"/>
                <w:sz w:val="18"/>
                <w:szCs w:val="18"/>
                <w:highlight w:val="none"/>
              </w:rPr>
            </w:pPr>
            <w:r>
              <w:rPr>
                <w:rFonts w:hint="eastAsia"/>
                <w:color w:val="auto"/>
                <w:sz w:val="18"/>
                <w:szCs w:val="18"/>
                <w:highlight w:val="none"/>
              </w:rPr>
              <w:t>2颗</w:t>
            </w:r>
          </w:p>
        </w:tc>
      </w:tr>
      <w:tr w14:paraId="4BAD3185">
        <w:tblPrEx>
          <w:tblCellMar>
            <w:top w:w="0" w:type="dxa"/>
            <w:left w:w="108" w:type="dxa"/>
            <w:bottom w:w="0" w:type="dxa"/>
            <w:right w:w="108" w:type="dxa"/>
          </w:tblCellMar>
        </w:tblPrEx>
        <w:trPr>
          <w:trHeight w:val="6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70363">
            <w:pPr>
              <w:pStyle w:val="43"/>
              <w:rPr>
                <w:color w:val="auto"/>
                <w:sz w:val="18"/>
                <w:szCs w:val="18"/>
                <w:highlight w:val="none"/>
              </w:rPr>
            </w:pPr>
            <w:r>
              <w:rPr>
                <w:rFonts w:hint="eastAsia"/>
                <w:color w:val="auto"/>
                <w:sz w:val="18"/>
                <w:szCs w:val="18"/>
                <w:highlight w:val="none"/>
              </w:rPr>
              <w:t xml:space="preserve">19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A0FD">
            <w:pPr>
              <w:pStyle w:val="43"/>
              <w:jc w:val="both"/>
              <w:rPr>
                <w:color w:val="auto"/>
                <w:sz w:val="18"/>
                <w:szCs w:val="18"/>
                <w:highlight w:val="none"/>
              </w:rPr>
            </w:pPr>
            <w:r>
              <w:rPr>
                <w:rFonts w:hint="eastAsia"/>
                <w:color w:val="auto"/>
                <w:sz w:val="18"/>
                <w:szCs w:val="18"/>
                <w:highlight w:val="none"/>
              </w:rPr>
              <w:t xml:space="preserve">   屋面椽条、桁架或屋面搁栅与墙体顶梁板——斜向钉连接</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C4F7">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4236">
            <w:pPr>
              <w:pStyle w:val="43"/>
              <w:rPr>
                <w:color w:val="auto"/>
                <w:sz w:val="18"/>
                <w:szCs w:val="18"/>
                <w:highlight w:val="none"/>
              </w:rPr>
            </w:pPr>
            <w:r>
              <w:rPr>
                <w:rFonts w:hint="eastAsia"/>
                <w:color w:val="auto"/>
                <w:sz w:val="18"/>
                <w:szCs w:val="18"/>
                <w:highlight w:val="none"/>
              </w:rPr>
              <w:t>3颗</w:t>
            </w:r>
          </w:p>
        </w:tc>
      </w:tr>
      <w:tr w14:paraId="45142F28">
        <w:tblPrEx>
          <w:tblCellMar>
            <w:top w:w="0" w:type="dxa"/>
            <w:left w:w="108" w:type="dxa"/>
            <w:bottom w:w="0" w:type="dxa"/>
            <w:right w:w="108"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5244A">
            <w:pPr>
              <w:pStyle w:val="43"/>
              <w:rPr>
                <w:color w:val="auto"/>
                <w:sz w:val="18"/>
                <w:szCs w:val="18"/>
                <w:highlight w:val="none"/>
              </w:rPr>
            </w:pPr>
            <w:r>
              <w:rPr>
                <w:rFonts w:hint="eastAsia"/>
                <w:color w:val="auto"/>
                <w:sz w:val="18"/>
                <w:szCs w:val="18"/>
                <w:highlight w:val="none"/>
              </w:rPr>
              <w:t xml:space="preserve">20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E3D4">
            <w:pPr>
              <w:pStyle w:val="43"/>
              <w:jc w:val="both"/>
              <w:rPr>
                <w:color w:val="auto"/>
                <w:sz w:val="18"/>
                <w:szCs w:val="18"/>
                <w:highlight w:val="none"/>
              </w:rPr>
            </w:pPr>
            <w:r>
              <w:rPr>
                <w:rFonts w:hint="eastAsia"/>
                <w:color w:val="auto"/>
                <w:sz w:val="18"/>
                <w:szCs w:val="18"/>
                <w:highlight w:val="none"/>
              </w:rPr>
              <w:t xml:space="preserve">   椽条板与顶棚搁栅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D3C4">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897B">
            <w:pPr>
              <w:pStyle w:val="43"/>
              <w:rPr>
                <w:color w:val="auto"/>
                <w:sz w:val="18"/>
                <w:szCs w:val="18"/>
                <w:highlight w:val="none"/>
              </w:rPr>
            </w:pPr>
            <w:r>
              <w:rPr>
                <w:rFonts w:hint="eastAsia"/>
                <w:color w:val="auto"/>
                <w:sz w:val="18"/>
                <w:szCs w:val="18"/>
                <w:highlight w:val="none"/>
              </w:rPr>
              <w:t>3颗</w:t>
            </w:r>
          </w:p>
        </w:tc>
      </w:tr>
      <w:tr w14:paraId="4C81D3FB">
        <w:tblPrEx>
          <w:tblCellMar>
            <w:top w:w="0" w:type="dxa"/>
            <w:left w:w="108" w:type="dxa"/>
            <w:bottom w:w="0" w:type="dxa"/>
            <w:right w:w="108" w:type="dxa"/>
          </w:tblCellMar>
        </w:tblPrEx>
        <w:trPr>
          <w:trHeight w:val="4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57085">
            <w:pPr>
              <w:pStyle w:val="43"/>
              <w:rPr>
                <w:color w:val="auto"/>
                <w:sz w:val="18"/>
                <w:szCs w:val="18"/>
                <w:highlight w:val="none"/>
              </w:rPr>
            </w:pPr>
            <w:r>
              <w:rPr>
                <w:rFonts w:hint="eastAsia"/>
                <w:color w:val="auto"/>
                <w:sz w:val="18"/>
                <w:szCs w:val="18"/>
                <w:highlight w:val="none"/>
              </w:rPr>
              <w:t xml:space="preserve">21 </w:t>
            </w:r>
          </w:p>
        </w:tc>
        <w:tc>
          <w:tcPr>
            <w:tcW w:w="4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5C58">
            <w:pPr>
              <w:pStyle w:val="43"/>
              <w:jc w:val="both"/>
              <w:rPr>
                <w:color w:val="auto"/>
                <w:sz w:val="18"/>
                <w:szCs w:val="18"/>
                <w:highlight w:val="none"/>
              </w:rPr>
            </w:pPr>
            <w:r>
              <w:rPr>
                <w:rFonts w:hint="eastAsia"/>
                <w:color w:val="auto"/>
                <w:sz w:val="18"/>
                <w:szCs w:val="18"/>
                <w:highlight w:val="none"/>
              </w:rPr>
              <w:t xml:space="preserve">   椽条与搁栅(屋脊板有支座时)</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0711">
            <w:pPr>
              <w:pStyle w:val="43"/>
              <w:rPr>
                <w:color w:val="auto"/>
                <w:sz w:val="18"/>
                <w:szCs w:val="18"/>
                <w:highlight w:val="none"/>
              </w:rPr>
            </w:pPr>
            <w:r>
              <w:rPr>
                <w:rFonts w:hint="eastAsia"/>
                <w:color w:val="auto"/>
                <w:sz w:val="18"/>
                <w:szCs w:val="18"/>
                <w:highlight w:val="none"/>
              </w:rPr>
              <w:t xml:space="preserve">80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C196">
            <w:pPr>
              <w:pStyle w:val="43"/>
              <w:rPr>
                <w:color w:val="auto"/>
                <w:sz w:val="18"/>
                <w:szCs w:val="18"/>
                <w:highlight w:val="none"/>
              </w:rPr>
            </w:pPr>
            <w:r>
              <w:rPr>
                <w:rFonts w:hint="eastAsia"/>
                <w:color w:val="auto"/>
                <w:sz w:val="18"/>
                <w:szCs w:val="18"/>
                <w:highlight w:val="none"/>
              </w:rPr>
              <w:t>3颗</w:t>
            </w:r>
          </w:p>
        </w:tc>
      </w:tr>
    </w:tbl>
    <w:p w14:paraId="26690F4A">
      <w:pPr>
        <w:rPr>
          <w:rFonts w:hint="eastAsia"/>
          <w:color w:val="auto"/>
          <w:highlight w:val="none"/>
          <w:lang w:eastAsia="zh-CN"/>
        </w:rPr>
      </w:pPr>
    </w:p>
    <w:p w14:paraId="1D8B82F7">
      <w:pPr>
        <w:rPr>
          <w:rFonts w:hint="eastAsia"/>
          <w:color w:val="auto"/>
          <w:highlight w:val="none"/>
          <w:lang w:eastAsia="zh-CN"/>
        </w:rPr>
      </w:pPr>
    </w:p>
    <w:p w14:paraId="39754E49">
      <w:pPr>
        <w:widowControl/>
        <w:rPr>
          <w:rFonts w:hint="eastAsia" w:cs="Times New Roman"/>
          <w:color w:val="auto"/>
          <w:highlight w:val="none"/>
          <w:lang w:eastAsia="zh-CN"/>
        </w:rPr>
      </w:pPr>
      <w:r>
        <w:rPr>
          <w:rFonts w:cs="Times New Roman"/>
          <w:color w:val="auto"/>
          <w:highlight w:val="none"/>
          <w:lang w:eastAsia="zh-CN"/>
        </w:rPr>
        <w:br w:type="page"/>
      </w:r>
    </w:p>
    <w:p w14:paraId="6D928EBC">
      <w:pPr>
        <w:pStyle w:val="2"/>
        <w:spacing w:before="312"/>
        <w:rPr>
          <w:color w:val="auto"/>
          <w:highlight w:val="none"/>
          <w:lang w:eastAsia="zh-CN"/>
        </w:rPr>
      </w:pPr>
      <w:bookmarkStart w:id="310" w:name="_Toc28044"/>
      <w:bookmarkStart w:id="311" w:name="_Toc20977"/>
      <w:bookmarkStart w:id="312" w:name="_Toc18973"/>
      <w:r>
        <w:rPr>
          <w:rFonts w:hint="eastAsia"/>
          <w:color w:val="auto"/>
          <w:highlight w:val="none"/>
          <w:lang w:eastAsia="zh-CN"/>
        </w:rPr>
        <w:t>本标准用词说明</w:t>
      </w:r>
      <w:bookmarkEnd w:id="290"/>
      <w:bookmarkEnd w:id="291"/>
      <w:bookmarkEnd w:id="292"/>
      <w:bookmarkEnd w:id="293"/>
      <w:bookmarkEnd w:id="294"/>
      <w:bookmarkEnd w:id="295"/>
      <w:bookmarkEnd w:id="296"/>
      <w:bookmarkEnd w:id="297"/>
      <w:bookmarkEnd w:id="310"/>
      <w:bookmarkEnd w:id="311"/>
      <w:bookmarkEnd w:id="312"/>
    </w:p>
    <w:p w14:paraId="73F15248">
      <w:pPr>
        <w:rPr>
          <w:b/>
          <w:color w:val="auto"/>
          <w:highlight w:val="none"/>
          <w:lang w:eastAsia="zh-CN"/>
        </w:rPr>
      </w:pPr>
    </w:p>
    <w:p w14:paraId="4C91245E">
      <w:pPr>
        <w:rPr>
          <w:color w:val="auto"/>
          <w:highlight w:val="none"/>
          <w:lang w:eastAsia="zh-CN"/>
        </w:rPr>
      </w:pPr>
      <w:r>
        <w:rPr>
          <w:b/>
          <w:color w:val="auto"/>
          <w:highlight w:val="none"/>
          <w:lang w:eastAsia="zh-CN"/>
        </w:rPr>
        <w:t>1</w:t>
      </w:r>
      <w:r>
        <w:rPr>
          <w:rFonts w:hint="eastAsia"/>
          <w:color w:val="auto"/>
          <w:highlight w:val="none"/>
          <w:lang w:eastAsia="zh-CN"/>
        </w:rPr>
        <w:t xml:space="preserve">  为便于在执行本标准条文时区别对待，对要求严格程度不同的用词说明如下：</w:t>
      </w:r>
    </w:p>
    <w:p w14:paraId="2E1E598D">
      <w:pPr>
        <w:pStyle w:val="33"/>
        <w:ind w:left="357" w:firstLine="0" w:firstLineChars="0"/>
        <w:rPr>
          <w:color w:val="auto"/>
          <w:highlight w:val="none"/>
          <w:lang w:eastAsia="zh-CN"/>
        </w:rPr>
      </w:pPr>
      <w:r>
        <w:rPr>
          <w:b/>
          <w:color w:val="auto"/>
          <w:highlight w:val="none"/>
          <w:lang w:eastAsia="zh-CN"/>
        </w:rPr>
        <w:t>1</w:t>
      </w:r>
      <w:r>
        <w:rPr>
          <w:rFonts w:hint="eastAsia"/>
          <w:color w:val="auto"/>
          <w:highlight w:val="none"/>
          <w:lang w:eastAsia="zh-CN"/>
        </w:rPr>
        <w:t>）表示很严格，非这样做不可的：</w:t>
      </w:r>
    </w:p>
    <w:p w14:paraId="6E3C555A">
      <w:pPr>
        <w:pStyle w:val="33"/>
        <w:ind w:left="888" w:leftChars="370" w:firstLine="0" w:firstLineChars="0"/>
        <w:rPr>
          <w:color w:val="auto"/>
          <w:highlight w:val="none"/>
          <w:lang w:eastAsia="zh-CN"/>
        </w:rPr>
      </w:pPr>
      <w:r>
        <w:rPr>
          <w:rFonts w:hint="eastAsia"/>
          <w:color w:val="auto"/>
          <w:highlight w:val="none"/>
          <w:lang w:eastAsia="zh-CN"/>
        </w:rPr>
        <w:t>正面词采用“必须”，反面词采用“严禁”。</w:t>
      </w:r>
    </w:p>
    <w:p w14:paraId="3DBE959C">
      <w:pPr>
        <w:pStyle w:val="33"/>
        <w:ind w:left="357" w:firstLine="0" w:firstLineChars="0"/>
        <w:rPr>
          <w:color w:val="auto"/>
          <w:highlight w:val="none"/>
          <w:lang w:eastAsia="zh-CN"/>
        </w:rPr>
      </w:pPr>
      <w:r>
        <w:rPr>
          <w:b/>
          <w:color w:val="auto"/>
          <w:highlight w:val="none"/>
          <w:lang w:eastAsia="zh-CN"/>
        </w:rPr>
        <w:t>2</w:t>
      </w:r>
      <w:r>
        <w:rPr>
          <w:rFonts w:hint="eastAsia"/>
          <w:color w:val="auto"/>
          <w:highlight w:val="none"/>
          <w:lang w:eastAsia="zh-CN"/>
        </w:rPr>
        <w:t>）表示严格，在正常情况下均应这样做的：</w:t>
      </w:r>
    </w:p>
    <w:p w14:paraId="21D650FC">
      <w:pPr>
        <w:pStyle w:val="33"/>
        <w:ind w:left="888" w:leftChars="370" w:firstLine="0" w:firstLineChars="0"/>
        <w:rPr>
          <w:color w:val="auto"/>
          <w:highlight w:val="none"/>
          <w:lang w:eastAsia="zh-CN"/>
        </w:rPr>
      </w:pPr>
      <w:r>
        <w:rPr>
          <w:rFonts w:hint="eastAsia"/>
          <w:color w:val="auto"/>
          <w:highlight w:val="none"/>
          <w:lang w:eastAsia="zh-CN"/>
        </w:rPr>
        <w:t>正面词采用“应”，反面词采用“不应”或“不得”。</w:t>
      </w:r>
    </w:p>
    <w:p w14:paraId="47F1704F">
      <w:pPr>
        <w:pStyle w:val="33"/>
        <w:ind w:left="357" w:firstLine="0" w:firstLineChars="0"/>
        <w:rPr>
          <w:color w:val="auto"/>
          <w:highlight w:val="none"/>
          <w:lang w:eastAsia="zh-CN"/>
        </w:rPr>
      </w:pPr>
      <w:r>
        <w:rPr>
          <w:b/>
          <w:color w:val="auto"/>
          <w:highlight w:val="none"/>
          <w:lang w:eastAsia="zh-CN"/>
        </w:rPr>
        <w:t>3</w:t>
      </w:r>
      <w:r>
        <w:rPr>
          <w:rFonts w:hint="eastAsia"/>
          <w:color w:val="auto"/>
          <w:highlight w:val="none"/>
          <w:lang w:eastAsia="zh-CN"/>
        </w:rPr>
        <w:t>）表示允许稍有选择，在条件许可时首先应这样做的：</w:t>
      </w:r>
    </w:p>
    <w:p w14:paraId="14D07E7C">
      <w:pPr>
        <w:pStyle w:val="33"/>
        <w:ind w:left="888" w:leftChars="370" w:firstLine="0" w:firstLineChars="0"/>
        <w:rPr>
          <w:color w:val="auto"/>
          <w:highlight w:val="none"/>
          <w:lang w:eastAsia="zh-CN"/>
        </w:rPr>
      </w:pPr>
      <w:r>
        <w:rPr>
          <w:rFonts w:hint="eastAsia"/>
          <w:color w:val="auto"/>
          <w:highlight w:val="none"/>
          <w:lang w:eastAsia="zh-CN"/>
        </w:rPr>
        <w:t>正面词采用“宜”，反面词采用“不宜”。</w:t>
      </w:r>
    </w:p>
    <w:p w14:paraId="75EE28EA">
      <w:pPr>
        <w:pStyle w:val="33"/>
        <w:ind w:firstLine="361" w:firstLineChars="150"/>
        <w:rPr>
          <w:color w:val="auto"/>
          <w:highlight w:val="none"/>
          <w:lang w:eastAsia="zh-CN"/>
        </w:rPr>
      </w:pPr>
      <w:r>
        <w:rPr>
          <w:b/>
          <w:color w:val="auto"/>
          <w:highlight w:val="none"/>
          <w:lang w:eastAsia="zh-CN"/>
        </w:rPr>
        <w:t>4</w:t>
      </w:r>
      <w:r>
        <w:rPr>
          <w:rFonts w:hint="eastAsia"/>
          <w:color w:val="auto"/>
          <w:highlight w:val="none"/>
          <w:lang w:eastAsia="zh-CN"/>
        </w:rPr>
        <w:t>）表示有选择，在一定条件下可以这样做的，采用“可”。</w:t>
      </w:r>
    </w:p>
    <w:p w14:paraId="3F88E525">
      <w:pPr>
        <w:rPr>
          <w:color w:val="auto"/>
          <w:highlight w:val="none"/>
          <w:lang w:eastAsia="zh-CN"/>
        </w:rPr>
      </w:pPr>
      <w:r>
        <w:rPr>
          <w:b/>
          <w:color w:val="auto"/>
          <w:highlight w:val="none"/>
          <w:lang w:eastAsia="zh-CN"/>
        </w:rPr>
        <w:t>2</w:t>
      </w:r>
      <w:r>
        <w:rPr>
          <w:rFonts w:hint="eastAsia"/>
          <w:color w:val="auto"/>
          <w:highlight w:val="none"/>
          <w:lang w:eastAsia="zh-CN"/>
        </w:rPr>
        <w:t xml:space="preserve">  条文中指明应按其他有关标准执行的写法为：“应符合……的规定”或“应按……执行”。</w:t>
      </w:r>
    </w:p>
    <w:p w14:paraId="7EFB4E92">
      <w:pPr>
        <w:pStyle w:val="2"/>
        <w:spacing w:before="312" w:line="300" w:lineRule="auto"/>
        <w:rPr>
          <w:color w:val="auto"/>
          <w:highlight w:val="none"/>
          <w:lang w:eastAsia="zh-CN"/>
        </w:rPr>
      </w:pPr>
      <w:bookmarkStart w:id="313" w:name="_Toc18335"/>
      <w:bookmarkStart w:id="314" w:name="_Toc30381"/>
      <w:bookmarkStart w:id="315" w:name="_Toc23700"/>
      <w:bookmarkStart w:id="316" w:name="_Toc16957"/>
      <w:bookmarkStart w:id="317" w:name="_Toc6217"/>
      <w:bookmarkStart w:id="318" w:name="_Toc25198"/>
      <w:bookmarkStart w:id="319" w:name="_Toc1939"/>
      <w:bookmarkStart w:id="320" w:name="_Toc19701"/>
      <w:bookmarkStart w:id="321" w:name="_Toc24118"/>
      <w:bookmarkStart w:id="322" w:name="_Toc13310"/>
      <w:bookmarkStart w:id="323" w:name="_Toc19989"/>
      <w:r>
        <w:rPr>
          <w:rFonts w:hint="eastAsia"/>
          <w:color w:val="auto"/>
          <w:highlight w:val="none"/>
          <w:lang w:eastAsia="zh-CN"/>
        </w:rPr>
        <w:t>引用标准名录</w:t>
      </w:r>
      <w:bookmarkEnd w:id="313"/>
      <w:bookmarkEnd w:id="314"/>
      <w:bookmarkEnd w:id="315"/>
      <w:bookmarkEnd w:id="316"/>
      <w:bookmarkEnd w:id="317"/>
      <w:bookmarkEnd w:id="318"/>
      <w:bookmarkEnd w:id="319"/>
      <w:bookmarkEnd w:id="320"/>
      <w:bookmarkEnd w:id="321"/>
      <w:bookmarkEnd w:id="322"/>
      <w:bookmarkEnd w:id="323"/>
    </w:p>
    <w:p w14:paraId="6A772935">
      <w:pPr>
        <w:rPr>
          <w:color w:val="auto"/>
          <w:highlight w:val="none"/>
        </w:rPr>
      </w:pPr>
      <w:r>
        <w:rPr>
          <w:rFonts w:hint="eastAsia"/>
          <w:color w:val="auto"/>
          <w:highlight w:val="none"/>
        </w:rPr>
        <w:t>《建筑模数协调标准》GB/T 50002</w:t>
      </w:r>
    </w:p>
    <w:p w14:paraId="242408FD">
      <w:pPr>
        <w:rPr>
          <w:color w:val="auto"/>
          <w:highlight w:val="none"/>
        </w:rPr>
      </w:pPr>
      <w:r>
        <w:rPr>
          <w:rFonts w:hint="eastAsia"/>
          <w:color w:val="auto"/>
          <w:highlight w:val="none"/>
        </w:rPr>
        <w:t>《木结构设计标准》GB 50005</w:t>
      </w:r>
    </w:p>
    <w:p w14:paraId="64CD3D19">
      <w:pPr>
        <w:rPr>
          <w:color w:val="auto"/>
          <w:highlight w:val="none"/>
        </w:rPr>
      </w:pPr>
      <w:r>
        <w:rPr>
          <w:rFonts w:hint="eastAsia"/>
          <w:color w:val="auto"/>
          <w:highlight w:val="none"/>
        </w:rPr>
        <w:t>《多高层木结构建筑技术标准》GB/T 51226</w:t>
      </w:r>
    </w:p>
    <w:p w14:paraId="29D06916">
      <w:pPr>
        <w:rPr>
          <w:color w:val="auto"/>
          <w:highlight w:val="none"/>
        </w:rPr>
      </w:pPr>
      <w:r>
        <w:rPr>
          <w:rFonts w:hint="eastAsia"/>
          <w:color w:val="auto"/>
          <w:highlight w:val="none"/>
        </w:rPr>
        <w:t>《装配式木结构建筑技术标准》GB/T 51233</w:t>
      </w:r>
    </w:p>
    <w:p w14:paraId="7E3E3D2C">
      <w:pPr>
        <w:rPr>
          <w:color w:val="auto"/>
          <w:highlight w:val="none"/>
        </w:rPr>
      </w:pPr>
      <w:r>
        <w:rPr>
          <w:rFonts w:hint="eastAsia"/>
          <w:color w:val="auto"/>
          <w:highlight w:val="none"/>
        </w:rPr>
        <w:t>《建筑结构荷载规范》GB 50009</w:t>
      </w:r>
    </w:p>
    <w:p w14:paraId="1616C56E">
      <w:pPr>
        <w:rPr>
          <w:color w:val="auto"/>
          <w:highlight w:val="none"/>
        </w:rPr>
      </w:pPr>
      <w:r>
        <w:rPr>
          <w:rFonts w:hint="eastAsia"/>
          <w:color w:val="auto"/>
          <w:highlight w:val="none"/>
        </w:rPr>
        <w:t>《混凝土结构设计规范》GB 50010</w:t>
      </w:r>
    </w:p>
    <w:p w14:paraId="36A7BB86">
      <w:pPr>
        <w:rPr>
          <w:color w:val="auto"/>
          <w:highlight w:val="none"/>
        </w:rPr>
      </w:pPr>
      <w:r>
        <w:rPr>
          <w:rFonts w:hint="eastAsia"/>
          <w:color w:val="auto"/>
          <w:highlight w:val="none"/>
        </w:rPr>
        <w:t>《建筑抗震设计规范》GB 50011</w:t>
      </w:r>
    </w:p>
    <w:p w14:paraId="0FB7262C">
      <w:pPr>
        <w:rPr>
          <w:color w:val="auto"/>
          <w:highlight w:val="none"/>
        </w:rPr>
      </w:pPr>
      <w:r>
        <w:rPr>
          <w:rFonts w:hint="eastAsia"/>
          <w:color w:val="auto"/>
          <w:highlight w:val="none"/>
        </w:rPr>
        <w:t>《建筑设计防火规范》GB 50016</w:t>
      </w:r>
    </w:p>
    <w:p w14:paraId="50F7CA55">
      <w:pPr>
        <w:rPr>
          <w:color w:val="auto"/>
          <w:highlight w:val="none"/>
        </w:rPr>
      </w:pPr>
      <w:r>
        <w:rPr>
          <w:rFonts w:hint="eastAsia"/>
          <w:color w:val="auto"/>
          <w:highlight w:val="none"/>
        </w:rPr>
        <w:t>《钢结构设计标准》GB 50017</w:t>
      </w:r>
    </w:p>
    <w:p w14:paraId="28B0291F">
      <w:pPr>
        <w:rPr>
          <w:color w:val="auto"/>
          <w:highlight w:val="none"/>
        </w:rPr>
      </w:pPr>
      <w:r>
        <w:rPr>
          <w:rFonts w:hint="eastAsia"/>
          <w:color w:val="auto"/>
          <w:highlight w:val="none"/>
        </w:rPr>
        <w:t>《建筑采光设计标准》GB 50033</w:t>
      </w:r>
    </w:p>
    <w:p w14:paraId="25FCE0A5">
      <w:pPr>
        <w:rPr>
          <w:color w:val="auto"/>
          <w:highlight w:val="none"/>
        </w:rPr>
      </w:pPr>
      <w:r>
        <w:rPr>
          <w:rFonts w:hint="eastAsia"/>
          <w:color w:val="auto"/>
          <w:highlight w:val="none"/>
        </w:rPr>
        <w:t>《民用建筑隔声 设计规范》GB 50118</w:t>
      </w:r>
    </w:p>
    <w:p w14:paraId="15436C4D">
      <w:pPr>
        <w:rPr>
          <w:color w:val="auto"/>
          <w:highlight w:val="none"/>
        </w:rPr>
      </w:pPr>
      <w:r>
        <w:rPr>
          <w:rFonts w:hint="eastAsia"/>
          <w:color w:val="auto"/>
          <w:highlight w:val="none"/>
        </w:rPr>
        <w:t>《建筑照明设计标准》GB 50034</w:t>
      </w:r>
    </w:p>
    <w:p w14:paraId="20EC5DF2">
      <w:pPr>
        <w:rPr>
          <w:color w:val="auto"/>
          <w:highlight w:val="none"/>
        </w:rPr>
      </w:pPr>
      <w:r>
        <w:rPr>
          <w:rFonts w:hint="eastAsia"/>
          <w:color w:val="auto"/>
          <w:highlight w:val="none"/>
        </w:rPr>
        <w:t>《建筑物防雷设计规范》GB 50057</w:t>
      </w:r>
    </w:p>
    <w:p w14:paraId="5BBF85E6">
      <w:pPr>
        <w:rPr>
          <w:color w:val="auto"/>
          <w:highlight w:val="none"/>
        </w:rPr>
      </w:pPr>
      <w:r>
        <w:rPr>
          <w:rFonts w:hint="eastAsia"/>
          <w:color w:val="auto"/>
          <w:highlight w:val="none"/>
        </w:rPr>
        <w:t>《建筑结构可靠性设计统一标准》GB 50068</w:t>
      </w:r>
    </w:p>
    <w:p w14:paraId="74AAFD8F">
      <w:pPr>
        <w:rPr>
          <w:color w:val="auto"/>
          <w:highlight w:val="none"/>
        </w:rPr>
      </w:pPr>
      <w:r>
        <w:rPr>
          <w:rFonts w:hint="eastAsia"/>
          <w:color w:val="auto"/>
          <w:highlight w:val="none"/>
        </w:rPr>
        <w:t>《民用灭火器配置设计规范》GB 50140</w:t>
      </w:r>
    </w:p>
    <w:p w14:paraId="5FCFBF94">
      <w:pPr>
        <w:rPr>
          <w:color w:val="auto"/>
          <w:highlight w:val="none"/>
        </w:rPr>
      </w:pPr>
      <w:r>
        <w:rPr>
          <w:rFonts w:hint="eastAsia"/>
          <w:color w:val="auto"/>
          <w:highlight w:val="none"/>
        </w:rPr>
        <w:t>《民用建筑热工设计规范》GB 50176</w:t>
      </w:r>
    </w:p>
    <w:p w14:paraId="5FBAE25E">
      <w:pPr>
        <w:rPr>
          <w:color w:val="auto"/>
          <w:highlight w:val="none"/>
        </w:rPr>
      </w:pPr>
      <w:r>
        <w:rPr>
          <w:rFonts w:hint="eastAsia"/>
          <w:color w:val="auto"/>
          <w:highlight w:val="none"/>
        </w:rPr>
        <w:t>《公共建筑节能设计标准》GB 50189</w:t>
      </w:r>
    </w:p>
    <w:p w14:paraId="3F4FCC8E">
      <w:pPr>
        <w:rPr>
          <w:color w:val="auto"/>
          <w:highlight w:val="none"/>
        </w:rPr>
      </w:pPr>
      <w:r>
        <w:rPr>
          <w:rFonts w:hint="eastAsia"/>
          <w:color w:val="auto"/>
          <w:highlight w:val="none"/>
        </w:rPr>
        <w:t>《混凝土结构工程施工质量验收规范》GB 50204</w:t>
      </w:r>
    </w:p>
    <w:p w14:paraId="0618BF93">
      <w:pPr>
        <w:rPr>
          <w:color w:val="auto"/>
          <w:highlight w:val="none"/>
        </w:rPr>
      </w:pPr>
      <w:r>
        <w:rPr>
          <w:rFonts w:hint="eastAsia"/>
          <w:color w:val="auto"/>
          <w:highlight w:val="none"/>
        </w:rPr>
        <w:t>《钢结构工程施工质量验收标准》GB 50205</w:t>
      </w:r>
    </w:p>
    <w:p w14:paraId="3C82A278">
      <w:pPr>
        <w:rPr>
          <w:color w:val="auto"/>
          <w:highlight w:val="none"/>
        </w:rPr>
      </w:pPr>
      <w:r>
        <w:rPr>
          <w:rFonts w:hint="eastAsia"/>
          <w:color w:val="auto"/>
          <w:highlight w:val="none"/>
        </w:rPr>
        <w:t>《木结构工程施工质量验收规范》GB 50206</w:t>
      </w:r>
    </w:p>
    <w:p w14:paraId="3C0E59D9">
      <w:pPr>
        <w:rPr>
          <w:color w:val="auto"/>
          <w:highlight w:val="none"/>
        </w:rPr>
      </w:pPr>
      <w:r>
        <w:rPr>
          <w:rFonts w:hint="eastAsia"/>
          <w:color w:val="auto"/>
          <w:highlight w:val="none"/>
        </w:rPr>
        <w:t>《木结构现场检测技术标准》JGJ/T488</w:t>
      </w:r>
    </w:p>
    <w:p w14:paraId="442EC8A0">
      <w:pPr>
        <w:rPr>
          <w:color w:val="auto"/>
          <w:highlight w:val="none"/>
        </w:rPr>
      </w:pPr>
      <w:r>
        <w:rPr>
          <w:rFonts w:hint="eastAsia"/>
          <w:color w:val="auto"/>
          <w:highlight w:val="none"/>
        </w:rPr>
        <w:t>《建筑装饰装修工程质量验收规范》GB 50210</w:t>
      </w:r>
    </w:p>
    <w:p w14:paraId="61AC5E4E">
      <w:pPr>
        <w:rPr>
          <w:color w:val="auto"/>
          <w:highlight w:val="none"/>
        </w:rPr>
      </w:pPr>
      <w:r>
        <w:rPr>
          <w:rFonts w:hint="eastAsia"/>
          <w:color w:val="auto"/>
          <w:highlight w:val="none"/>
        </w:rPr>
        <w:t>《建筑隔声评价标准》GB/T 50121</w:t>
      </w:r>
    </w:p>
    <w:p w14:paraId="291880F9">
      <w:pPr>
        <w:rPr>
          <w:color w:val="auto"/>
          <w:highlight w:val="none"/>
        </w:rPr>
      </w:pPr>
      <w:r>
        <w:rPr>
          <w:rFonts w:hint="eastAsia"/>
          <w:color w:val="auto"/>
          <w:highlight w:val="none"/>
        </w:rPr>
        <w:t>《建筑内部装修设计防火规范》GB 50222</w:t>
      </w:r>
    </w:p>
    <w:p w14:paraId="7C6FFCD4">
      <w:pPr>
        <w:rPr>
          <w:color w:val="auto"/>
          <w:highlight w:val="none"/>
        </w:rPr>
      </w:pPr>
      <w:r>
        <w:rPr>
          <w:rFonts w:hint="eastAsia"/>
          <w:color w:val="auto"/>
          <w:highlight w:val="none"/>
        </w:rPr>
        <w:t>《建筑工程抗震设防分类标准》GB 50223</w:t>
      </w:r>
    </w:p>
    <w:p w14:paraId="22E68491">
      <w:pPr>
        <w:rPr>
          <w:color w:val="auto"/>
          <w:highlight w:val="none"/>
        </w:rPr>
      </w:pPr>
      <w:r>
        <w:rPr>
          <w:rFonts w:hint="eastAsia"/>
          <w:color w:val="auto"/>
          <w:highlight w:val="none"/>
        </w:rPr>
        <w:t>《民用建筑工程室内环境污染控制规范》GB 50325</w:t>
      </w:r>
    </w:p>
    <w:p w14:paraId="4C466A48">
      <w:pPr>
        <w:rPr>
          <w:color w:val="auto"/>
          <w:highlight w:val="none"/>
        </w:rPr>
      </w:pPr>
      <w:r>
        <w:rPr>
          <w:rFonts w:hint="eastAsia"/>
          <w:color w:val="auto"/>
          <w:highlight w:val="none"/>
        </w:rPr>
        <w:t>《民用建筑设计统一标准》GB 50352</w:t>
      </w:r>
    </w:p>
    <w:p w14:paraId="000CE55B">
      <w:pPr>
        <w:rPr>
          <w:color w:val="auto"/>
          <w:highlight w:val="none"/>
        </w:rPr>
      </w:pPr>
      <w:r>
        <w:rPr>
          <w:rFonts w:hint="eastAsia"/>
          <w:color w:val="auto"/>
          <w:highlight w:val="none"/>
        </w:rPr>
        <w:t>《胶合木结构技术规范》GB/T 50708</w:t>
      </w:r>
    </w:p>
    <w:p w14:paraId="0C6DB543">
      <w:pPr>
        <w:rPr>
          <w:color w:val="auto"/>
          <w:highlight w:val="none"/>
        </w:rPr>
      </w:pPr>
      <w:r>
        <w:rPr>
          <w:rFonts w:hint="eastAsia"/>
          <w:color w:val="auto"/>
          <w:highlight w:val="none"/>
        </w:rPr>
        <w:t>《建设工程施工现场消防安全技术规范》GB 50720</w:t>
      </w:r>
    </w:p>
    <w:p w14:paraId="0C46E852">
      <w:pPr>
        <w:rPr>
          <w:color w:val="auto"/>
          <w:highlight w:val="none"/>
        </w:rPr>
      </w:pPr>
      <w:r>
        <w:rPr>
          <w:rFonts w:hint="eastAsia"/>
          <w:color w:val="auto"/>
          <w:highlight w:val="none"/>
        </w:rPr>
        <w:t>《木结构工程施工规范》GB/T 50772</w:t>
      </w:r>
    </w:p>
    <w:p w14:paraId="1A819B6B">
      <w:pPr>
        <w:rPr>
          <w:color w:val="auto"/>
          <w:highlight w:val="none"/>
        </w:rPr>
      </w:pPr>
      <w:r>
        <w:rPr>
          <w:rFonts w:hint="eastAsia"/>
          <w:color w:val="auto"/>
          <w:highlight w:val="none"/>
        </w:rPr>
        <w:t>《建筑外门窗气密、水密、抗风压性能分级及检测方法》GB/T 7106</w:t>
      </w:r>
    </w:p>
    <w:p w14:paraId="34549707">
      <w:pPr>
        <w:rPr>
          <w:color w:val="auto"/>
          <w:highlight w:val="none"/>
        </w:rPr>
      </w:pPr>
      <w:r>
        <w:rPr>
          <w:rFonts w:hint="eastAsia"/>
          <w:color w:val="auto"/>
          <w:highlight w:val="none"/>
        </w:rPr>
        <w:t>《室内空气质量标准》GB/T 18883</w:t>
      </w:r>
    </w:p>
    <w:p w14:paraId="3B69F006">
      <w:pPr>
        <w:rPr>
          <w:color w:val="auto"/>
          <w:highlight w:val="none"/>
        </w:rPr>
      </w:pPr>
      <w:r>
        <w:rPr>
          <w:rFonts w:hint="eastAsia"/>
          <w:color w:val="auto"/>
          <w:highlight w:val="none"/>
        </w:rPr>
        <w:t>《防火封堵材料》GB 23864</w:t>
      </w:r>
    </w:p>
    <w:p w14:paraId="0D13539E">
      <w:pPr>
        <w:rPr>
          <w:color w:val="auto"/>
          <w:highlight w:val="none"/>
        </w:rPr>
      </w:pPr>
      <w:r>
        <w:rPr>
          <w:rFonts w:hint="eastAsia"/>
          <w:color w:val="auto"/>
          <w:highlight w:val="none"/>
        </w:rPr>
        <w:t>《建筑用阻燃密封胶》GB/T 24267</w:t>
      </w:r>
    </w:p>
    <w:p w14:paraId="7478AED1">
      <w:pPr>
        <w:rPr>
          <w:color w:val="auto"/>
          <w:highlight w:val="none"/>
        </w:rPr>
      </w:pPr>
      <w:r>
        <w:rPr>
          <w:rFonts w:hint="eastAsia"/>
          <w:color w:val="auto"/>
          <w:highlight w:val="none"/>
        </w:rPr>
        <w:t>《结构用集成材》GB/T 26899</w:t>
      </w:r>
    </w:p>
    <w:p w14:paraId="34343722">
      <w:pPr>
        <w:rPr>
          <w:color w:val="auto"/>
          <w:highlight w:val="none"/>
        </w:rPr>
      </w:pPr>
      <w:r>
        <w:rPr>
          <w:rFonts w:hint="eastAsia"/>
          <w:color w:val="auto"/>
          <w:highlight w:val="none"/>
        </w:rPr>
        <w:t>《防腐木材的使用分类和要求》GB/T 27651</w:t>
      </w:r>
    </w:p>
    <w:p w14:paraId="06AE2C58">
      <w:pPr>
        <w:rPr>
          <w:color w:val="auto"/>
          <w:highlight w:val="none"/>
        </w:rPr>
      </w:pPr>
      <w:r>
        <w:rPr>
          <w:rFonts w:hint="eastAsia"/>
          <w:color w:val="auto"/>
          <w:highlight w:val="none"/>
        </w:rPr>
        <w:t>《木材防腐剂》GB/T 27654</w:t>
      </w:r>
    </w:p>
    <w:p w14:paraId="60084E43">
      <w:pPr>
        <w:rPr>
          <w:color w:val="auto"/>
          <w:highlight w:val="none"/>
        </w:rPr>
      </w:pPr>
      <w:r>
        <w:rPr>
          <w:rFonts w:hint="eastAsia"/>
          <w:color w:val="auto"/>
          <w:highlight w:val="none"/>
        </w:rPr>
        <w:t>《钢钉》GB 27704</w:t>
      </w:r>
    </w:p>
    <w:p w14:paraId="4E83F8A3">
      <w:pPr>
        <w:rPr>
          <w:color w:val="auto"/>
          <w:highlight w:val="none"/>
        </w:rPr>
      </w:pPr>
      <w:r>
        <w:rPr>
          <w:rFonts w:hint="eastAsia"/>
          <w:color w:val="auto"/>
          <w:highlight w:val="none"/>
        </w:rPr>
        <w:t>《夏热冬暖地区居住建筑节能设计标准》JGJ 75</w:t>
      </w:r>
    </w:p>
    <w:p w14:paraId="4F6D2E45">
      <w:pPr>
        <w:rPr>
          <w:color w:val="auto"/>
          <w:highlight w:val="none"/>
        </w:rPr>
      </w:pPr>
      <w:r>
        <w:rPr>
          <w:rFonts w:hint="eastAsia"/>
          <w:color w:val="auto"/>
          <w:highlight w:val="none"/>
        </w:rPr>
        <w:t>《高层民用建筑钢结构技术规程》JGJ 99</w:t>
      </w:r>
    </w:p>
    <w:p w14:paraId="6397B5CF">
      <w:pPr>
        <w:rPr>
          <w:color w:val="auto"/>
          <w:highlight w:val="none"/>
        </w:rPr>
      </w:pPr>
      <w:r>
        <w:rPr>
          <w:rFonts w:hint="eastAsia"/>
          <w:color w:val="auto"/>
          <w:highlight w:val="none"/>
        </w:rPr>
        <w:t>《夏热冬冷地区居住建筑节能设计标准》JGJ 134</w:t>
      </w:r>
    </w:p>
    <w:p w14:paraId="3E39CE76">
      <w:pPr>
        <w:rPr>
          <w:color w:val="auto"/>
          <w:highlight w:val="none"/>
        </w:rPr>
      </w:pPr>
      <w:r>
        <w:rPr>
          <w:rFonts w:hint="eastAsia"/>
          <w:color w:val="auto"/>
          <w:highlight w:val="none"/>
        </w:rPr>
        <w:t>《房屋白蚁预防技术规程》JGJ/T 245</w:t>
      </w:r>
    </w:p>
    <w:p w14:paraId="7C48CC1D">
      <w:pPr>
        <w:rPr>
          <w:color w:val="auto"/>
          <w:highlight w:val="none"/>
        </w:rPr>
      </w:pPr>
      <w:r>
        <w:rPr>
          <w:rFonts w:hint="eastAsia"/>
          <w:color w:val="auto"/>
          <w:highlight w:val="none"/>
        </w:rPr>
        <w:t>《广西壮族自治区 居住建筑节能设计标准》DBJ</w:t>
      </w:r>
      <w:r>
        <w:rPr>
          <w:rFonts w:hint="eastAsia"/>
          <w:color w:val="auto"/>
          <w:highlight w:val="none"/>
          <w:lang w:eastAsia="zh-CN"/>
        </w:rPr>
        <w:t xml:space="preserve"> </w:t>
      </w:r>
      <w:r>
        <w:rPr>
          <w:rFonts w:hint="eastAsia"/>
          <w:color w:val="auto"/>
          <w:highlight w:val="none"/>
        </w:rPr>
        <w:t>45/029</w:t>
      </w:r>
    </w:p>
    <w:p w14:paraId="058F82EE">
      <w:pPr>
        <w:rPr>
          <w:color w:val="auto"/>
          <w:highlight w:val="none"/>
        </w:rPr>
      </w:pPr>
      <w:r>
        <w:rPr>
          <w:rFonts w:hint="eastAsia"/>
          <w:color w:val="auto"/>
          <w:highlight w:val="none"/>
        </w:rPr>
        <w:t>《广西壮族自治区 公建节能设计标准》DBJ/T</w:t>
      </w:r>
      <w:r>
        <w:rPr>
          <w:rFonts w:hint="eastAsia"/>
          <w:color w:val="auto"/>
          <w:highlight w:val="none"/>
          <w:lang w:eastAsia="zh-CN"/>
        </w:rPr>
        <w:t xml:space="preserve"> </w:t>
      </w:r>
      <w:r>
        <w:rPr>
          <w:rFonts w:hint="eastAsia"/>
          <w:color w:val="auto"/>
          <w:highlight w:val="none"/>
        </w:rPr>
        <w:t>45</w:t>
      </w:r>
    </w:p>
    <w:p w14:paraId="06F64630">
      <w:pPr>
        <w:rPr>
          <w:color w:val="auto"/>
          <w:highlight w:val="none"/>
        </w:rPr>
      </w:pPr>
      <w:r>
        <w:rPr>
          <w:rFonts w:hint="eastAsia"/>
          <w:color w:val="auto"/>
          <w:highlight w:val="none"/>
        </w:rPr>
        <w:t>《广西壮族自治区工程建设地方标准 居住建筑节能</w:t>
      </w:r>
      <w:r>
        <w:rPr>
          <w:rFonts w:hint="eastAsia"/>
          <w:color w:val="auto"/>
          <w:highlight w:val="none"/>
          <w:lang w:eastAsia="zh-CN"/>
        </w:rPr>
        <w:t xml:space="preserve"> </w:t>
      </w:r>
      <w:r>
        <w:rPr>
          <w:rFonts w:hint="eastAsia"/>
          <w:color w:val="auto"/>
          <w:highlight w:val="none"/>
        </w:rPr>
        <w:t>65%</w:t>
      </w:r>
      <w:r>
        <w:rPr>
          <w:rFonts w:hint="eastAsia"/>
          <w:color w:val="auto"/>
          <w:highlight w:val="none"/>
          <w:lang w:eastAsia="zh-CN"/>
        </w:rPr>
        <w:t xml:space="preserve"> </w:t>
      </w:r>
      <w:r>
        <w:rPr>
          <w:rFonts w:hint="eastAsia"/>
          <w:color w:val="auto"/>
          <w:highlight w:val="none"/>
        </w:rPr>
        <w:t>设计标准》DBJ/T</w:t>
      </w:r>
      <w:r>
        <w:rPr>
          <w:rFonts w:hint="eastAsia"/>
          <w:color w:val="auto"/>
          <w:highlight w:val="none"/>
          <w:lang w:eastAsia="zh-CN"/>
        </w:rPr>
        <w:t xml:space="preserve"> </w:t>
      </w:r>
      <w:r>
        <w:rPr>
          <w:rFonts w:hint="eastAsia"/>
          <w:color w:val="auto"/>
          <w:highlight w:val="none"/>
        </w:rPr>
        <w:t>45-095</w:t>
      </w:r>
    </w:p>
    <w:p w14:paraId="059DC3D4">
      <w:pPr>
        <w:rPr>
          <w:color w:val="auto"/>
          <w:highlight w:val="none"/>
        </w:rPr>
      </w:pPr>
      <w:r>
        <w:rPr>
          <w:rFonts w:hint="eastAsia"/>
          <w:color w:val="auto"/>
          <w:highlight w:val="none"/>
        </w:rPr>
        <w:t>《广西壮族自治区工程建设地方标准 公共建筑节能</w:t>
      </w:r>
      <w:r>
        <w:rPr>
          <w:rFonts w:hint="eastAsia"/>
          <w:color w:val="auto"/>
          <w:highlight w:val="none"/>
          <w:lang w:eastAsia="zh-CN"/>
        </w:rPr>
        <w:t xml:space="preserve"> </w:t>
      </w:r>
      <w:r>
        <w:rPr>
          <w:rFonts w:hint="eastAsia"/>
          <w:color w:val="auto"/>
          <w:highlight w:val="none"/>
        </w:rPr>
        <w:t>65%</w:t>
      </w:r>
      <w:r>
        <w:rPr>
          <w:rFonts w:hint="eastAsia"/>
          <w:color w:val="auto"/>
          <w:highlight w:val="none"/>
          <w:lang w:eastAsia="zh-CN"/>
        </w:rPr>
        <w:t xml:space="preserve"> </w:t>
      </w:r>
      <w:r>
        <w:rPr>
          <w:rFonts w:hint="eastAsia"/>
          <w:color w:val="auto"/>
          <w:highlight w:val="none"/>
        </w:rPr>
        <w:t>设计标准》DBJ/T</w:t>
      </w:r>
      <w:r>
        <w:rPr>
          <w:rFonts w:hint="eastAsia"/>
          <w:color w:val="auto"/>
          <w:highlight w:val="none"/>
          <w:lang w:eastAsia="zh-CN"/>
        </w:rPr>
        <w:t xml:space="preserve"> </w:t>
      </w:r>
      <w:r>
        <w:rPr>
          <w:rFonts w:hint="eastAsia"/>
          <w:color w:val="auto"/>
          <w:highlight w:val="none"/>
        </w:rPr>
        <w:t>45-096</w:t>
      </w:r>
    </w:p>
    <w:p w14:paraId="6EA3E914">
      <w:pPr>
        <w:numPr>
          <w:ilvl w:val="0"/>
          <w:numId w:val="1"/>
        </w:numPr>
        <w:rPr>
          <w:color w:val="auto"/>
          <w:szCs w:val="24"/>
          <w:highlight w:val="none"/>
          <w:lang w:eastAsia="zh-CN"/>
        </w:rPr>
        <w:sectPr>
          <w:pgSz w:w="11906" w:h="16838"/>
          <w:pgMar w:top="1134" w:right="1020" w:bottom="1134" w:left="1020" w:header="851" w:footer="992" w:gutter="0"/>
          <w:cols w:space="720" w:num="1"/>
          <w:docGrid w:type="lines" w:linePitch="312" w:charSpace="0"/>
        </w:sectPr>
      </w:pPr>
    </w:p>
    <w:p w14:paraId="3122ED2F">
      <w:pPr>
        <w:adjustRightInd w:val="0"/>
        <w:snapToGrid w:val="0"/>
        <w:jc w:val="center"/>
        <w:rPr>
          <w:rFonts w:eastAsia="方正书宋_GBK"/>
          <w:snapToGrid w:val="0"/>
          <w:color w:val="auto"/>
          <w:szCs w:val="21"/>
          <w:highlight w:val="none"/>
          <w:lang w:eastAsia="zh-CN"/>
        </w:rPr>
      </w:pPr>
      <w:r>
        <w:rPr>
          <w:rFonts w:hint="eastAsia" w:eastAsia="方正书宋_GBK"/>
          <w:snapToGrid w:val="0"/>
          <w:color w:val="auto"/>
          <w:szCs w:val="21"/>
          <w:highlight w:val="none"/>
          <w:lang w:eastAsia="zh-CN"/>
        </w:rPr>
        <w:t xml:space="preserve">  </w:t>
      </w:r>
    </w:p>
    <w:p w14:paraId="67BB26EE">
      <w:pPr>
        <w:adjustRightInd w:val="0"/>
        <w:snapToGrid w:val="0"/>
        <w:jc w:val="center"/>
        <w:rPr>
          <w:rFonts w:eastAsia="方正书宋_GBK"/>
          <w:snapToGrid w:val="0"/>
          <w:color w:val="auto"/>
          <w:szCs w:val="21"/>
          <w:highlight w:val="none"/>
        </w:rPr>
      </w:pPr>
    </w:p>
    <w:p w14:paraId="08416F91">
      <w:pPr>
        <w:adjustRightInd w:val="0"/>
        <w:snapToGrid w:val="0"/>
        <w:jc w:val="center"/>
        <w:rPr>
          <w:snapToGrid w:val="0"/>
          <w:color w:val="auto"/>
          <w:sz w:val="28"/>
          <w:szCs w:val="28"/>
          <w:highlight w:val="none"/>
        </w:rPr>
      </w:pPr>
      <w:r>
        <w:rPr>
          <w:snapToGrid w:val="0"/>
          <w:color w:val="auto"/>
          <w:sz w:val="28"/>
          <w:szCs w:val="28"/>
          <w:highlight w:val="none"/>
        </w:rPr>
        <w:t>广西壮族自治区工程建设地方标准</w:t>
      </w:r>
    </w:p>
    <w:p w14:paraId="75A34ADC">
      <w:pPr>
        <w:adjustRightInd w:val="0"/>
        <w:snapToGrid w:val="0"/>
        <w:jc w:val="center"/>
        <w:rPr>
          <w:rFonts w:eastAsia="方正书宋_GBK"/>
          <w:snapToGrid w:val="0"/>
          <w:color w:val="auto"/>
          <w:szCs w:val="21"/>
          <w:highlight w:val="none"/>
        </w:rPr>
      </w:pPr>
    </w:p>
    <w:p w14:paraId="4F76818B">
      <w:pPr>
        <w:autoSpaceDE w:val="0"/>
        <w:autoSpaceDN w:val="0"/>
        <w:adjustRightInd w:val="0"/>
        <w:snapToGrid w:val="0"/>
        <w:spacing w:line="240" w:lineRule="auto"/>
        <w:jc w:val="center"/>
        <w:rPr>
          <w:rFonts w:ascii="黑体" w:eastAsia="黑体"/>
          <w:snapToGrid w:val="0"/>
          <w:color w:val="auto"/>
          <w:sz w:val="44"/>
          <w:szCs w:val="44"/>
          <w:highlight w:val="none"/>
          <w:lang w:eastAsia="zh-CN"/>
        </w:rPr>
      </w:pPr>
      <w:r>
        <w:rPr>
          <w:rFonts w:hint="eastAsia" w:ascii="黑体" w:eastAsia="黑体"/>
          <w:snapToGrid w:val="0"/>
          <w:color w:val="auto"/>
          <w:sz w:val="44"/>
          <w:szCs w:val="44"/>
          <w:highlight w:val="none"/>
          <w:lang w:eastAsia="zh-CN"/>
        </w:rPr>
        <w:t>现代木结构技术标准</w:t>
      </w:r>
    </w:p>
    <w:p w14:paraId="155D446E">
      <w:pPr>
        <w:rPr>
          <w:color w:val="auto"/>
          <w:highlight w:val="none"/>
        </w:rPr>
      </w:pPr>
    </w:p>
    <w:p w14:paraId="204604C7">
      <w:pPr>
        <w:adjustRightInd w:val="0"/>
        <w:snapToGrid w:val="0"/>
        <w:jc w:val="center"/>
        <w:rPr>
          <w:rFonts w:ascii="黑体" w:hAnsi="黑体" w:eastAsia="黑体" w:cs="黑体"/>
          <w:b/>
          <w:color w:val="auto"/>
          <w:sz w:val="28"/>
          <w:szCs w:val="28"/>
          <w:highlight w:val="none"/>
        </w:rPr>
      </w:pPr>
      <w:r>
        <w:rPr>
          <w:rFonts w:hint="eastAsia" w:ascii="黑体" w:hAnsi="黑体" w:eastAsia="黑体" w:cs="黑体"/>
          <w:b/>
          <w:color w:val="auto"/>
          <w:sz w:val="28"/>
          <w:szCs w:val="28"/>
          <w:highlight w:val="none"/>
        </w:rPr>
        <w:t>DBJ/TXX-</w:t>
      </w:r>
      <w:r>
        <w:rPr>
          <w:rFonts w:hint="eastAsia" w:ascii="黑体" w:hAnsi="黑体" w:eastAsia="黑体" w:cs="黑体"/>
          <w:b/>
          <w:color w:val="auto"/>
          <w:sz w:val="28"/>
          <w:szCs w:val="28"/>
          <w:highlight w:val="none"/>
          <w:lang w:eastAsia="zh-CN"/>
        </w:rPr>
        <w:t xml:space="preserve">  </w:t>
      </w:r>
      <w:r>
        <w:rPr>
          <w:rFonts w:hint="eastAsia" w:ascii="黑体" w:hAnsi="黑体" w:eastAsia="黑体" w:cs="黑体"/>
          <w:b/>
          <w:color w:val="auto"/>
          <w:sz w:val="28"/>
          <w:szCs w:val="28"/>
          <w:highlight w:val="none"/>
        </w:rPr>
        <w:t>XXX-202xx</w:t>
      </w:r>
    </w:p>
    <w:p w14:paraId="347CE6A4">
      <w:pPr>
        <w:rPr>
          <w:color w:val="auto"/>
          <w:highlight w:val="none"/>
        </w:rPr>
      </w:pPr>
    </w:p>
    <w:p w14:paraId="201E4302">
      <w:pPr>
        <w:adjustRightInd w:val="0"/>
        <w:snapToGrid w:val="0"/>
        <w:jc w:val="center"/>
        <w:textAlignment w:val="center"/>
        <w:outlineLvl w:val="0"/>
        <w:rPr>
          <w:snapToGrid w:val="0"/>
          <w:color w:val="auto"/>
          <w:sz w:val="32"/>
          <w:szCs w:val="32"/>
          <w:highlight w:val="none"/>
        </w:rPr>
      </w:pPr>
      <w:bookmarkStart w:id="324" w:name="_Toc4467"/>
      <w:bookmarkStart w:id="325" w:name="_Toc27258"/>
      <w:bookmarkStart w:id="326" w:name="_Toc7947"/>
      <w:bookmarkStart w:id="327" w:name="_Toc14380"/>
      <w:bookmarkStart w:id="328" w:name="_Toc13667"/>
      <w:r>
        <w:rPr>
          <w:snapToGrid w:val="0"/>
          <w:color w:val="auto"/>
          <w:sz w:val="32"/>
          <w:szCs w:val="32"/>
          <w:highlight w:val="none"/>
        </w:rPr>
        <w:t>条文说明</w:t>
      </w:r>
      <w:bookmarkEnd w:id="324"/>
      <w:bookmarkEnd w:id="325"/>
      <w:bookmarkEnd w:id="326"/>
      <w:bookmarkEnd w:id="327"/>
      <w:bookmarkEnd w:id="328"/>
    </w:p>
    <w:p w14:paraId="004D5916">
      <w:pPr>
        <w:pStyle w:val="39"/>
        <w:widowControl w:val="0"/>
        <w:autoSpaceDE/>
        <w:autoSpaceDN/>
        <w:adjustRightInd w:val="0"/>
        <w:snapToGrid w:val="0"/>
        <w:spacing w:line="384" w:lineRule="exact"/>
        <w:ind w:firstLine="420"/>
        <w:rPr>
          <w:rFonts w:ascii="Times New Roman"/>
          <w:b/>
          <w:snapToGrid w:val="0"/>
          <w:color w:val="auto"/>
          <w:kern w:val="2"/>
          <w:szCs w:val="21"/>
          <w:highlight w:val="none"/>
        </w:rPr>
      </w:pPr>
    </w:p>
    <w:p w14:paraId="1FE57012">
      <w:pPr>
        <w:pStyle w:val="39"/>
        <w:widowControl w:val="0"/>
        <w:autoSpaceDE/>
        <w:autoSpaceDN/>
        <w:adjustRightInd w:val="0"/>
        <w:snapToGrid w:val="0"/>
        <w:spacing w:line="384" w:lineRule="exact"/>
        <w:ind w:firstLine="420"/>
        <w:rPr>
          <w:rFonts w:ascii="Times New Roman"/>
          <w:snapToGrid w:val="0"/>
          <w:color w:val="auto"/>
          <w:kern w:val="2"/>
          <w:szCs w:val="21"/>
          <w:highlight w:val="none"/>
        </w:rPr>
      </w:pPr>
    </w:p>
    <w:p w14:paraId="3282FEBE">
      <w:pPr>
        <w:rPr>
          <w:color w:val="auto"/>
          <w:szCs w:val="24"/>
          <w:highlight w:val="none"/>
          <w:lang w:eastAsia="zh-CN"/>
        </w:rPr>
      </w:pPr>
      <w:r>
        <w:rPr>
          <w:snapToGrid w:val="0"/>
          <w:color w:val="auto"/>
          <w:kern w:val="2"/>
          <w:szCs w:val="21"/>
          <w:highlight w:val="none"/>
        </w:rPr>
        <w:br w:type="page"/>
      </w:r>
    </w:p>
    <w:p w14:paraId="1DBBF81A">
      <w:pPr>
        <w:rPr>
          <w:color w:val="auto"/>
          <w:highlight w:val="none"/>
          <w:lang w:eastAsia="zh-CN"/>
        </w:rPr>
      </w:pPr>
    </w:p>
    <w:sectPr>
      <w:footerReference r:id="rId12" w:type="default"/>
      <w:pgSz w:w="11906" w:h="16838"/>
      <w:pgMar w:top="1134" w:right="1020" w:bottom="1134" w:left="102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方正书宋_GBK">
    <w:altName w:val="宋体"/>
    <w:panose1 w:val="00000000000000000000"/>
    <w:charset w:val="86"/>
    <w:family w:val="roma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ADE77">
    <w:pPr>
      <w:pStyle w:val="10"/>
      <w:framePr w:wrap="around" w:vAnchor="text" w:hAnchor="margin" w:xAlign="outside" w:y="1"/>
      <w:rPr>
        <w:rStyle w:val="20"/>
      </w:rPr>
    </w:pPr>
    <w:r>
      <w:fldChar w:fldCharType="begin"/>
    </w:r>
    <w:r>
      <w:rPr>
        <w:rStyle w:val="20"/>
      </w:rPr>
      <w:instrText xml:space="preserve">PAGE  </w:instrText>
    </w:r>
    <w:r>
      <w:fldChar w:fldCharType="end"/>
    </w:r>
  </w:p>
  <w:p w14:paraId="6CD019FB">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D678">
    <w:pPr>
      <w:pStyle w:val="10"/>
      <w:framePr w:wrap="around" w:vAnchor="text" w:hAnchor="margin" w:xAlign="outside" w:y="1"/>
      <w:rPr>
        <w:rStyle w:val="20"/>
      </w:rPr>
    </w:pPr>
    <w:r>
      <w:fldChar w:fldCharType="begin"/>
    </w:r>
    <w:r>
      <w:rPr>
        <w:rStyle w:val="20"/>
      </w:rPr>
      <w:instrText xml:space="preserve">PAGE  </w:instrText>
    </w:r>
    <w:r>
      <w:fldChar w:fldCharType="separate"/>
    </w:r>
    <w:r>
      <w:rPr>
        <w:rStyle w:val="20"/>
      </w:rPr>
      <w:t>3</w:t>
    </w:r>
    <w:r>
      <w:fldChar w:fldCharType="end"/>
    </w:r>
  </w:p>
  <w:p w14:paraId="33954C78">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5D4DE">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6126">
    <w:pPr>
      <w:spacing w:line="14" w:lineRule="auto"/>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5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C6BAD58">
                          <w:pPr>
                            <w:pStyle w:val="10"/>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 MERGEFORMAT </w:instrText>
                          </w:r>
                          <w:r>
                            <w:rPr>
                              <w:rFonts w:ascii="Calibri" w:hAnsi="Calibri" w:cs="Calibri"/>
                              <w:sz w:val="20"/>
                              <w:szCs w:val="20"/>
                            </w:rPr>
                            <w:fldChar w:fldCharType="separate"/>
                          </w:r>
                          <w:r>
                            <w:rPr>
                              <w:rFonts w:ascii="Calibri" w:hAnsi="Calibri" w:cs="Calibri"/>
                              <w:sz w:val="20"/>
                              <w:szCs w:val="20"/>
                            </w:rPr>
                            <w:t>1</w:t>
                          </w:r>
                          <w:r>
                            <w:rPr>
                              <w:rFonts w:ascii="Calibri" w:hAnsi="Calibri" w:cs="Calibri"/>
                              <w:sz w:val="20"/>
                              <w:szCs w:val="20"/>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JFIXyzwEAAKkDAAAOAAAAAAAAAAEAIAAAAB4BAABkcnMv&#10;ZTJvRG9jLnhtbFBLBQYAAAAABgAGAFkBAABfBQAAAAA=&#10;">
              <v:fill on="f" focussize="0,0"/>
              <v:stroke on="f"/>
              <v:imagedata o:title=""/>
              <o:lock v:ext="edit" aspectratio="f"/>
              <v:textbox inset="0mm,0mm,0mm,0mm" style="mso-fit-shape-to-text:t;">
                <w:txbxContent>
                  <w:p w14:paraId="2C6BAD58">
                    <w:pPr>
                      <w:pStyle w:val="10"/>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 MERGEFORMAT </w:instrText>
                    </w:r>
                    <w:r>
                      <w:rPr>
                        <w:rFonts w:ascii="Calibri" w:hAnsi="Calibri" w:cs="Calibri"/>
                        <w:sz w:val="20"/>
                        <w:szCs w:val="20"/>
                      </w:rPr>
                      <w:fldChar w:fldCharType="separate"/>
                    </w:r>
                    <w:r>
                      <w:rPr>
                        <w:rFonts w:ascii="Calibri" w:hAnsi="Calibri" w:cs="Calibri"/>
                        <w:sz w:val="20"/>
                        <w:szCs w:val="20"/>
                      </w:rPr>
                      <w:t>1</w:t>
                    </w:r>
                    <w:r>
                      <w:rPr>
                        <w:rFonts w:ascii="Calibri" w:hAnsi="Calibri" w:cs="Calibri"/>
                        <w:sz w:val="20"/>
                        <w:szCs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77B0A">
    <w:pPr>
      <w:spacing w:line="14" w:lineRule="auto"/>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AD1C222">
                          <w:pPr>
                            <w:pStyle w:val="10"/>
                            <w:rPr>
                              <w:rFonts w:ascii="Calibri" w:hAnsi="Calibri" w:cs="Calibri"/>
                              <w:i/>
                              <w:iCs/>
                              <w:sz w:val="20"/>
                              <w:szCs w:val="20"/>
                            </w:rPr>
                          </w:pPr>
                          <w:r>
                            <w:rPr>
                              <w:rFonts w:ascii="Calibri" w:hAnsi="Calibri" w:cs="Calibri"/>
                              <w:i/>
                              <w:iCs/>
                              <w:sz w:val="20"/>
                              <w:szCs w:val="20"/>
                            </w:rPr>
                            <w:fldChar w:fldCharType="begin"/>
                          </w:r>
                          <w:r>
                            <w:rPr>
                              <w:rFonts w:ascii="Calibri" w:hAnsi="Calibri" w:cs="Calibri"/>
                              <w:i/>
                              <w:iCs/>
                              <w:sz w:val="20"/>
                              <w:szCs w:val="20"/>
                            </w:rPr>
                            <w:instrText xml:space="preserve"> PAGE  \* MERGEFORMAT </w:instrText>
                          </w:r>
                          <w:r>
                            <w:rPr>
                              <w:rFonts w:ascii="Calibri" w:hAnsi="Calibri" w:cs="Calibri"/>
                              <w:i/>
                              <w:iCs/>
                              <w:sz w:val="20"/>
                              <w:szCs w:val="20"/>
                            </w:rPr>
                            <w:fldChar w:fldCharType="separate"/>
                          </w:r>
                          <w:r>
                            <w:rPr>
                              <w:rFonts w:ascii="Calibri" w:hAnsi="Calibri" w:cs="Calibri"/>
                              <w:i/>
                              <w:iCs/>
                              <w:sz w:val="20"/>
                              <w:szCs w:val="20"/>
                            </w:rPr>
                            <w:t>1</w:t>
                          </w:r>
                          <w:r>
                            <w:rPr>
                              <w:rFonts w:ascii="Calibri" w:hAnsi="Calibri" w:cs="Calibri"/>
                              <w:i/>
                              <w:iCs/>
                              <w:sz w:val="20"/>
                              <w:szCs w:val="20"/>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usyQ6zAEAAKkDAAAOAAAAAAAAAAEAIAAAAB4BAABkcnMvZTJv&#10;RG9jLnhtbFBLBQYAAAAABgAGAFkBAABcBQAAAAA=&#10;">
              <v:fill on="f" focussize="0,0"/>
              <v:stroke on="f"/>
              <v:imagedata o:title=""/>
              <o:lock v:ext="edit" aspectratio="f"/>
              <v:textbox inset="0mm,0mm,0mm,0mm" style="mso-fit-shape-to-text:t;">
                <w:txbxContent>
                  <w:p w14:paraId="7AD1C222">
                    <w:pPr>
                      <w:pStyle w:val="10"/>
                      <w:rPr>
                        <w:rFonts w:ascii="Calibri" w:hAnsi="Calibri" w:cs="Calibri"/>
                        <w:i/>
                        <w:iCs/>
                        <w:sz w:val="20"/>
                        <w:szCs w:val="20"/>
                      </w:rPr>
                    </w:pPr>
                    <w:r>
                      <w:rPr>
                        <w:rFonts w:ascii="Calibri" w:hAnsi="Calibri" w:cs="Calibri"/>
                        <w:i/>
                        <w:iCs/>
                        <w:sz w:val="20"/>
                        <w:szCs w:val="20"/>
                      </w:rPr>
                      <w:fldChar w:fldCharType="begin"/>
                    </w:r>
                    <w:r>
                      <w:rPr>
                        <w:rFonts w:ascii="Calibri" w:hAnsi="Calibri" w:cs="Calibri"/>
                        <w:i/>
                        <w:iCs/>
                        <w:sz w:val="20"/>
                        <w:szCs w:val="20"/>
                      </w:rPr>
                      <w:instrText xml:space="preserve"> PAGE  \* MERGEFORMAT </w:instrText>
                    </w:r>
                    <w:r>
                      <w:rPr>
                        <w:rFonts w:ascii="Calibri" w:hAnsi="Calibri" w:cs="Calibri"/>
                        <w:i/>
                        <w:iCs/>
                        <w:sz w:val="20"/>
                        <w:szCs w:val="20"/>
                      </w:rPr>
                      <w:fldChar w:fldCharType="separate"/>
                    </w:r>
                    <w:r>
                      <w:rPr>
                        <w:rFonts w:ascii="Calibri" w:hAnsi="Calibri" w:cs="Calibri"/>
                        <w:i/>
                        <w:iCs/>
                        <w:sz w:val="20"/>
                        <w:szCs w:val="20"/>
                      </w:rPr>
                      <w:t>1</w:t>
                    </w:r>
                    <w:r>
                      <w:rPr>
                        <w:rFonts w:ascii="Calibri" w:hAnsi="Calibri" w:cs="Calibri"/>
                        <w:i/>
                        <w:iCs/>
                        <w:sz w:val="20"/>
                        <w:szCs w:val="20"/>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BDED9">
    <w:pPr>
      <w:spacing w:line="14" w:lineRule="auto"/>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4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EAF817">
                          <w:pPr>
                            <w:pStyle w:val="10"/>
                          </w:pPr>
                          <w:r>
                            <w:fldChar w:fldCharType="begin"/>
                          </w:r>
                          <w:r>
                            <w:instrText xml:space="preserve"> PAGE  \* MERGEFORMAT </w:instrText>
                          </w:r>
                          <w:r>
                            <w:fldChar w:fldCharType="separate"/>
                          </w:r>
                          <w:r>
                            <w:t>142</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0lY7tAA&#10;AAAFAQAADwAAAAAAAAABACAAAAAiAAAAZHJzL2Rvd25yZXYueG1sUEsBAhQAFAAAAAgAh07iQO8A&#10;gKPuAQAA1gMAAA4AAAAAAAAAAQAgAAAAHwEAAGRycy9lMm9Eb2MueG1sUEsFBgAAAAAGAAYAWQEA&#10;AH8FAAAAAA==&#10;">
              <v:fill on="f" focussize="0,0"/>
              <v:stroke on="f" weight="0.5pt"/>
              <v:imagedata o:title=""/>
              <o:lock v:ext="edit" aspectratio="f"/>
              <v:textbox inset="0mm,0mm,0mm,0mm" style="mso-fit-shape-to-text:t;">
                <w:txbxContent>
                  <w:p w14:paraId="3DEAF817">
                    <w:pPr>
                      <w:pStyle w:val="10"/>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E7F05">
    <w:pPr>
      <w:spacing w:line="240" w:lineRule="auto"/>
      <w:ind w:firstLine="720" w:firstLineChars="30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7F089">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099A0"/>
    <w:multiLevelType w:val="singleLevel"/>
    <w:tmpl w:val="E8E099A0"/>
    <w:lvl w:ilvl="0" w:tentative="0">
      <w:start w:val="1"/>
      <w:numFmt w:val="decimal"/>
      <w:lvlText w:val="%1"/>
      <w:lvlJc w:val="left"/>
      <w:pPr>
        <w:tabs>
          <w:tab w:val="left" w:pos="397"/>
        </w:tabs>
        <w:ind w:left="454" w:hanging="45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hNjZiYjMyYmQwOTBjNjFmNjdkMmJiOGYxNDYyYmQifQ=="/>
  </w:docVars>
  <w:rsids>
    <w:rsidRoot w:val="00172A27"/>
    <w:rsid w:val="000011CC"/>
    <w:rsid w:val="00017109"/>
    <w:rsid w:val="00023BDA"/>
    <w:rsid w:val="0002419F"/>
    <w:rsid w:val="00032F91"/>
    <w:rsid w:val="00060B5C"/>
    <w:rsid w:val="00064722"/>
    <w:rsid w:val="00076791"/>
    <w:rsid w:val="0008269C"/>
    <w:rsid w:val="00095260"/>
    <w:rsid w:val="00097767"/>
    <w:rsid w:val="000B5AEB"/>
    <w:rsid w:val="000B7C3E"/>
    <w:rsid w:val="000D2186"/>
    <w:rsid w:val="000D31F6"/>
    <w:rsid w:val="000F5026"/>
    <w:rsid w:val="00164E51"/>
    <w:rsid w:val="00172A27"/>
    <w:rsid w:val="0019726E"/>
    <w:rsid w:val="001A64C4"/>
    <w:rsid w:val="001F0229"/>
    <w:rsid w:val="00204826"/>
    <w:rsid w:val="0024156F"/>
    <w:rsid w:val="002545CE"/>
    <w:rsid w:val="00256F87"/>
    <w:rsid w:val="00260718"/>
    <w:rsid w:val="00263A2E"/>
    <w:rsid w:val="00285354"/>
    <w:rsid w:val="00290266"/>
    <w:rsid w:val="002A0162"/>
    <w:rsid w:val="002A032F"/>
    <w:rsid w:val="002B06B1"/>
    <w:rsid w:val="00316972"/>
    <w:rsid w:val="00321F69"/>
    <w:rsid w:val="00325EA3"/>
    <w:rsid w:val="00355363"/>
    <w:rsid w:val="003760A2"/>
    <w:rsid w:val="003B3C3F"/>
    <w:rsid w:val="003C0FB6"/>
    <w:rsid w:val="003C392C"/>
    <w:rsid w:val="003C7A0E"/>
    <w:rsid w:val="003D6E03"/>
    <w:rsid w:val="003E3633"/>
    <w:rsid w:val="003E3F74"/>
    <w:rsid w:val="00400175"/>
    <w:rsid w:val="00411CA3"/>
    <w:rsid w:val="004306A4"/>
    <w:rsid w:val="00446961"/>
    <w:rsid w:val="0045633C"/>
    <w:rsid w:val="00461CD9"/>
    <w:rsid w:val="004625C2"/>
    <w:rsid w:val="00467380"/>
    <w:rsid w:val="00482151"/>
    <w:rsid w:val="004870C0"/>
    <w:rsid w:val="004918B5"/>
    <w:rsid w:val="00496888"/>
    <w:rsid w:val="004B0E9C"/>
    <w:rsid w:val="00506725"/>
    <w:rsid w:val="005575FC"/>
    <w:rsid w:val="00583B2C"/>
    <w:rsid w:val="005A6697"/>
    <w:rsid w:val="005E7500"/>
    <w:rsid w:val="005F21B0"/>
    <w:rsid w:val="00617AC7"/>
    <w:rsid w:val="0062129C"/>
    <w:rsid w:val="006550A7"/>
    <w:rsid w:val="00663600"/>
    <w:rsid w:val="00665312"/>
    <w:rsid w:val="00665D1B"/>
    <w:rsid w:val="00671208"/>
    <w:rsid w:val="006862AA"/>
    <w:rsid w:val="00686592"/>
    <w:rsid w:val="006912EC"/>
    <w:rsid w:val="006939C6"/>
    <w:rsid w:val="006B5D10"/>
    <w:rsid w:val="006C298A"/>
    <w:rsid w:val="006D04FD"/>
    <w:rsid w:val="006E177B"/>
    <w:rsid w:val="006E21AD"/>
    <w:rsid w:val="006E2275"/>
    <w:rsid w:val="006F3DBC"/>
    <w:rsid w:val="006F6C98"/>
    <w:rsid w:val="00702051"/>
    <w:rsid w:val="007278D0"/>
    <w:rsid w:val="00733F3F"/>
    <w:rsid w:val="00741F54"/>
    <w:rsid w:val="00755DF0"/>
    <w:rsid w:val="007578DC"/>
    <w:rsid w:val="00774C9A"/>
    <w:rsid w:val="00781C07"/>
    <w:rsid w:val="007876CE"/>
    <w:rsid w:val="00796B50"/>
    <w:rsid w:val="007A3406"/>
    <w:rsid w:val="007B18C0"/>
    <w:rsid w:val="007B2FE9"/>
    <w:rsid w:val="007C2C5D"/>
    <w:rsid w:val="007C2CDB"/>
    <w:rsid w:val="00807B59"/>
    <w:rsid w:val="008500E2"/>
    <w:rsid w:val="00874AD0"/>
    <w:rsid w:val="00880F71"/>
    <w:rsid w:val="00883AB4"/>
    <w:rsid w:val="00892499"/>
    <w:rsid w:val="008A0CF5"/>
    <w:rsid w:val="008A24F4"/>
    <w:rsid w:val="008A4B90"/>
    <w:rsid w:val="008B2262"/>
    <w:rsid w:val="008B3E5C"/>
    <w:rsid w:val="008B7890"/>
    <w:rsid w:val="008C7FA6"/>
    <w:rsid w:val="008D6E24"/>
    <w:rsid w:val="009152FC"/>
    <w:rsid w:val="00923854"/>
    <w:rsid w:val="00967E39"/>
    <w:rsid w:val="00976088"/>
    <w:rsid w:val="009F7402"/>
    <w:rsid w:val="00A0613D"/>
    <w:rsid w:val="00A17662"/>
    <w:rsid w:val="00A306FC"/>
    <w:rsid w:val="00A3510C"/>
    <w:rsid w:val="00A707C5"/>
    <w:rsid w:val="00A72C4D"/>
    <w:rsid w:val="00A77DC2"/>
    <w:rsid w:val="00A844EC"/>
    <w:rsid w:val="00AA77F9"/>
    <w:rsid w:val="00AB4383"/>
    <w:rsid w:val="00AB65D0"/>
    <w:rsid w:val="00AD4C90"/>
    <w:rsid w:val="00AF3A4B"/>
    <w:rsid w:val="00AF5616"/>
    <w:rsid w:val="00AF6553"/>
    <w:rsid w:val="00B100DA"/>
    <w:rsid w:val="00B30B18"/>
    <w:rsid w:val="00B36F56"/>
    <w:rsid w:val="00B66884"/>
    <w:rsid w:val="00B70BAC"/>
    <w:rsid w:val="00B91203"/>
    <w:rsid w:val="00BA5544"/>
    <w:rsid w:val="00BB2277"/>
    <w:rsid w:val="00BB3243"/>
    <w:rsid w:val="00BC0299"/>
    <w:rsid w:val="00BC3A1F"/>
    <w:rsid w:val="00BD19E2"/>
    <w:rsid w:val="00BE543F"/>
    <w:rsid w:val="00BE599C"/>
    <w:rsid w:val="00BF407E"/>
    <w:rsid w:val="00BF6B2E"/>
    <w:rsid w:val="00C0740F"/>
    <w:rsid w:val="00C11035"/>
    <w:rsid w:val="00C4261D"/>
    <w:rsid w:val="00C528D4"/>
    <w:rsid w:val="00C627DB"/>
    <w:rsid w:val="00C633F1"/>
    <w:rsid w:val="00C66FE7"/>
    <w:rsid w:val="00C734DE"/>
    <w:rsid w:val="00CB7EB6"/>
    <w:rsid w:val="00D2283A"/>
    <w:rsid w:val="00D37718"/>
    <w:rsid w:val="00D70859"/>
    <w:rsid w:val="00D97371"/>
    <w:rsid w:val="00DB065D"/>
    <w:rsid w:val="00DC580D"/>
    <w:rsid w:val="00DF13F3"/>
    <w:rsid w:val="00E0669F"/>
    <w:rsid w:val="00E110DF"/>
    <w:rsid w:val="00E21A18"/>
    <w:rsid w:val="00E32D5A"/>
    <w:rsid w:val="00E43ABF"/>
    <w:rsid w:val="00E87B77"/>
    <w:rsid w:val="00E900F3"/>
    <w:rsid w:val="00EA233A"/>
    <w:rsid w:val="00EA6F4E"/>
    <w:rsid w:val="00EE6D21"/>
    <w:rsid w:val="00F10249"/>
    <w:rsid w:val="00F1250E"/>
    <w:rsid w:val="00F131C0"/>
    <w:rsid w:val="00F35D50"/>
    <w:rsid w:val="00F51421"/>
    <w:rsid w:val="00F71424"/>
    <w:rsid w:val="00F837EA"/>
    <w:rsid w:val="00F83F9E"/>
    <w:rsid w:val="00F869F2"/>
    <w:rsid w:val="00F96340"/>
    <w:rsid w:val="00F975A3"/>
    <w:rsid w:val="00FB1DEF"/>
    <w:rsid w:val="00FC388F"/>
    <w:rsid w:val="00FD4DA3"/>
    <w:rsid w:val="00FE1868"/>
    <w:rsid w:val="00FE7B32"/>
    <w:rsid w:val="00FE7B94"/>
    <w:rsid w:val="00FF1C6B"/>
    <w:rsid w:val="00FF4160"/>
    <w:rsid w:val="010351AA"/>
    <w:rsid w:val="010D1273"/>
    <w:rsid w:val="010E4EA3"/>
    <w:rsid w:val="010F52ED"/>
    <w:rsid w:val="01101675"/>
    <w:rsid w:val="01145609"/>
    <w:rsid w:val="01164DED"/>
    <w:rsid w:val="011E4DE2"/>
    <w:rsid w:val="011E5E26"/>
    <w:rsid w:val="01301E4F"/>
    <w:rsid w:val="01351408"/>
    <w:rsid w:val="013B20AD"/>
    <w:rsid w:val="014557C2"/>
    <w:rsid w:val="014F4893"/>
    <w:rsid w:val="01536B3C"/>
    <w:rsid w:val="015974C0"/>
    <w:rsid w:val="01603FC7"/>
    <w:rsid w:val="016327C0"/>
    <w:rsid w:val="016F6E46"/>
    <w:rsid w:val="017A764F"/>
    <w:rsid w:val="017B7E50"/>
    <w:rsid w:val="018D0F17"/>
    <w:rsid w:val="01912FE8"/>
    <w:rsid w:val="01943275"/>
    <w:rsid w:val="01A319FB"/>
    <w:rsid w:val="01AA7D1B"/>
    <w:rsid w:val="01B14C06"/>
    <w:rsid w:val="01BD420B"/>
    <w:rsid w:val="01BF5575"/>
    <w:rsid w:val="01CF3268"/>
    <w:rsid w:val="01D12DF8"/>
    <w:rsid w:val="01D32047"/>
    <w:rsid w:val="01E050CA"/>
    <w:rsid w:val="01E27A17"/>
    <w:rsid w:val="01E62509"/>
    <w:rsid w:val="01E86F70"/>
    <w:rsid w:val="01E943C2"/>
    <w:rsid w:val="01EF241B"/>
    <w:rsid w:val="01F27228"/>
    <w:rsid w:val="01F42D45"/>
    <w:rsid w:val="01F86854"/>
    <w:rsid w:val="01FE03AC"/>
    <w:rsid w:val="02004FB0"/>
    <w:rsid w:val="020104F6"/>
    <w:rsid w:val="02024C45"/>
    <w:rsid w:val="02036538"/>
    <w:rsid w:val="020E364B"/>
    <w:rsid w:val="0212689D"/>
    <w:rsid w:val="021F75A6"/>
    <w:rsid w:val="02295FB8"/>
    <w:rsid w:val="022E44A8"/>
    <w:rsid w:val="02352A6F"/>
    <w:rsid w:val="02430AAB"/>
    <w:rsid w:val="02505102"/>
    <w:rsid w:val="02535CBD"/>
    <w:rsid w:val="025477E9"/>
    <w:rsid w:val="025D09B2"/>
    <w:rsid w:val="02602EF3"/>
    <w:rsid w:val="028247F4"/>
    <w:rsid w:val="028265A2"/>
    <w:rsid w:val="02916292"/>
    <w:rsid w:val="02966DE3"/>
    <w:rsid w:val="02A459BA"/>
    <w:rsid w:val="02AD4DC3"/>
    <w:rsid w:val="02AE6292"/>
    <w:rsid w:val="02BB30D1"/>
    <w:rsid w:val="02C10E79"/>
    <w:rsid w:val="02C62933"/>
    <w:rsid w:val="02C646E1"/>
    <w:rsid w:val="02C77D5D"/>
    <w:rsid w:val="02CE2BC8"/>
    <w:rsid w:val="02E13E72"/>
    <w:rsid w:val="02F17F98"/>
    <w:rsid w:val="02F70D3E"/>
    <w:rsid w:val="02F76F90"/>
    <w:rsid w:val="02FD0060"/>
    <w:rsid w:val="031511C4"/>
    <w:rsid w:val="033A59A8"/>
    <w:rsid w:val="033A6ADF"/>
    <w:rsid w:val="034026E5"/>
    <w:rsid w:val="034468D0"/>
    <w:rsid w:val="035C6BEC"/>
    <w:rsid w:val="036D1000"/>
    <w:rsid w:val="03764651"/>
    <w:rsid w:val="037C5803"/>
    <w:rsid w:val="0384195A"/>
    <w:rsid w:val="038500F8"/>
    <w:rsid w:val="0385459C"/>
    <w:rsid w:val="03A31381"/>
    <w:rsid w:val="03AC7D7B"/>
    <w:rsid w:val="03AE707C"/>
    <w:rsid w:val="03B3040D"/>
    <w:rsid w:val="03B66504"/>
    <w:rsid w:val="03BA0BE5"/>
    <w:rsid w:val="03C234CE"/>
    <w:rsid w:val="03C3183F"/>
    <w:rsid w:val="03C465CD"/>
    <w:rsid w:val="03D04E2F"/>
    <w:rsid w:val="03D07AF0"/>
    <w:rsid w:val="03D42E2E"/>
    <w:rsid w:val="03D472D2"/>
    <w:rsid w:val="03E312C3"/>
    <w:rsid w:val="03E70DB3"/>
    <w:rsid w:val="03EC461B"/>
    <w:rsid w:val="03F80CEA"/>
    <w:rsid w:val="03FE7EAB"/>
    <w:rsid w:val="04090D29"/>
    <w:rsid w:val="04094F46"/>
    <w:rsid w:val="042B2A2D"/>
    <w:rsid w:val="043150CE"/>
    <w:rsid w:val="04352DFC"/>
    <w:rsid w:val="043B7CF7"/>
    <w:rsid w:val="043D7D33"/>
    <w:rsid w:val="044712E3"/>
    <w:rsid w:val="044C6E68"/>
    <w:rsid w:val="04536448"/>
    <w:rsid w:val="0456237A"/>
    <w:rsid w:val="04786F94"/>
    <w:rsid w:val="04802032"/>
    <w:rsid w:val="049213F5"/>
    <w:rsid w:val="04963FC8"/>
    <w:rsid w:val="04977016"/>
    <w:rsid w:val="04981509"/>
    <w:rsid w:val="049A4077"/>
    <w:rsid w:val="04A24CDA"/>
    <w:rsid w:val="04AB1D99"/>
    <w:rsid w:val="04B26322"/>
    <w:rsid w:val="04C335CE"/>
    <w:rsid w:val="04CE4FCD"/>
    <w:rsid w:val="04D934DB"/>
    <w:rsid w:val="04DF67C9"/>
    <w:rsid w:val="04DF7CDC"/>
    <w:rsid w:val="04E11CA6"/>
    <w:rsid w:val="04E5740E"/>
    <w:rsid w:val="04E87381"/>
    <w:rsid w:val="04ED30E2"/>
    <w:rsid w:val="04F05A45"/>
    <w:rsid w:val="04F062AC"/>
    <w:rsid w:val="04F25C61"/>
    <w:rsid w:val="04F76DD4"/>
    <w:rsid w:val="05012EC2"/>
    <w:rsid w:val="05045C3C"/>
    <w:rsid w:val="051305CF"/>
    <w:rsid w:val="05177D7E"/>
    <w:rsid w:val="051E00E3"/>
    <w:rsid w:val="052120A3"/>
    <w:rsid w:val="052424D8"/>
    <w:rsid w:val="052A3420"/>
    <w:rsid w:val="052F0FBF"/>
    <w:rsid w:val="05317378"/>
    <w:rsid w:val="054021BC"/>
    <w:rsid w:val="05420B35"/>
    <w:rsid w:val="05461B09"/>
    <w:rsid w:val="05573D16"/>
    <w:rsid w:val="05627961"/>
    <w:rsid w:val="05681A7F"/>
    <w:rsid w:val="05701D6C"/>
    <w:rsid w:val="0575419C"/>
    <w:rsid w:val="05832D5D"/>
    <w:rsid w:val="0589437B"/>
    <w:rsid w:val="058B6379"/>
    <w:rsid w:val="0591547A"/>
    <w:rsid w:val="05940AC6"/>
    <w:rsid w:val="05B8492F"/>
    <w:rsid w:val="05C375AD"/>
    <w:rsid w:val="05C375FE"/>
    <w:rsid w:val="05C71AE8"/>
    <w:rsid w:val="05C85397"/>
    <w:rsid w:val="05CB047D"/>
    <w:rsid w:val="05D2433A"/>
    <w:rsid w:val="05D6668E"/>
    <w:rsid w:val="05D709B3"/>
    <w:rsid w:val="05DB288E"/>
    <w:rsid w:val="05DC421B"/>
    <w:rsid w:val="05DE1820"/>
    <w:rsid w:val="05E71B14"/>
    <w:rsid w:val="05E829DD"/>
    <w:rsid w:val="05EF315A"/>
    <w:rsid w:val="06022AF2"/>
    <w:rsid w:val="06076855"/>
    <w:rsid w:val="06102CE8"/>
    <w:rsid w:val="06141C07"/>
    <w:rsid w:val="062A31D9"/>
    <w:rsid w:val="062C5FD6"/>
    <w:rsid w:val="06304C93"/>
    <w:rsid w:val="06356700"/>
    <w:rsid w:val="06383B48"/>
    <w:rsid w:val="065C4212"/>
    <w:rsid w:val="065C5052"/>
    <w:rsid w:val="06607DC8"/>
    <w:rsid w:val="066C1A43"/>
    <w:rsid w:val="06714493"/>
    <w:rsid w:val="067A5F0E"/>
    <w:rsid w:val="067D411E"/>
    <w:rsid w:val="06875778"/>
    <w:rsid w:val="06910C67"/>
    <w:rsid w:val="06961E27"/>
    <w:rsid w:val="069C40D7"/>
    <w:rsid w:val="069F585E"/>
    <w:rsid w:val="06A179B5"/>
    <w:rsid w:val="06A50DF3"/>
    <w:rsid w:val="06A66D03"/>
    <w:rsid w:val="06B225CD"/>
    <w:rsid w:val="06BB5193"/>
    <w:rsid w:val="06BF4C52"/>
    <w:rsid w:val="06C15CBA"/>
    <w:rsid w:val="06C26C3F"/>
    <w:rsid w:val="06C813BC"/>
    <w:rsid w:val="06CA2239"/>
    <w:rsid w:val="06D96F7C"/>
    <w:rsid w:val="06D976A1"/>
    <w:rsid w:val="06DB50B3"/>
    <w:rsid w:val="06E84A1A"/>
    <w:rsid w:val="06EB457E"/>
    <w:rsid w:val="06F65782"/>
    <w:rsid w:val="07101B05"/>
    <w:rsid w:val="071125FF"/>
    <w:rsid w:val="0714287C"/>
    <w:rsid w:val="071E0865"/>
    <w:rsid w:val="071F5B25"/>
    <w:rsid w:val="0728100B"/>
    <w:rsid w:val="072C1ACB"/>
    <w:rsid w:val="07300CC3"/>
    <w:rsid w:val="073267E9"/>
    <w:rsid w:val="073562D9"/>
    <w:rsid w:val="073A56A7"/>
    <w:rsid w:val="07413FF7"/>
    <w:rsid w:val="07436CE5"/>
    <w:rsid w:val="07463B0E"/>
    <w:rsid w:val="074C00CA"/>
    <w:rsid w:val="075360D2"/>
    <w:rsid w:val="076C4DC9"/>
    <w:rsid w:val="07742AC4"/>
    <w:rsid w:val="07761EBB"/>
    <w:rsid w:val="0776276A"/>
    <w:rsid w:val="077F1302"/>
    <w:rsid w:val="07886409"/>
    <w:rsid w:val="079307F3"/>
    <w:rsid w:val="079337C6"/>
    <w:rsid w:val="07991CFA"/>
    <w:rsid w:val="079A1059"/>
    <w:rsid w:val="079A613C"/>
    <w:rsid w:val="079B7455"/>
    <w:rsid w:val="079C0106"/>
    <w:rsid w:val="07A62681"/>
    <w:rsid w:val="07B23FB7"/>
    <w:rsid w:val="07B32AFF"/>
    <w:rsid w:val="07B416CC"/>
    <w:rsid w:val="07B90CB8"/>
    <w:rsid w:val="07BD7419"/>
    <w:rsid w:val="07BE62CF"/>
    <w:rsid w:val="07C07210"/>
    <w:rsid w:val="07C412DD"/>
    <w:rsid w:val="07C82CA9"/>
    <w:rsid w:val="07CC56E3"/>
    <w:rsid w:val="07CF4713"/>
    <w:rsid w:val="07E81898"/>
    <w:rsid w:val="07F7159D"/>
    <w:rsid w:val="07FE491D"/>
    <w:rsid w:val="08017F69"/>
    <w:rsid w:val="08031F33"/>
    <w:rsid w:val="08043F16"/>
    <w:rsid w:val="081B421B"/>
    <w:rsid w:val="081F2782"/>
    <w:rsid w:val="08243401"/>
    <w:rsid w:val="08253C58"/>
    <w:rsid w:val="082D51A8"/>
    <w:rsid w:val="083036D9"/>
    <w:rsid w:val="08326375"/>
    <w:rsid w:val="084C38DA"/>
    <w:rsid w:val="084E1AF7"/>
    <w:rsid w:val="08500E1B"/>
    <w:rsid w:val="08591B53"/>
    <w:rsid w:val="085D0891"/>
    <w:rsid w:val="085E2DCF"/>
    <w:rsid w:val="0862386E"/>
    <w:rsid w:val="0870581B"/>
    <w:rsid w:val="0872546B"/>
    <w:rsid w:val="087F3149"/>
    <w:rsid w:val="087F39C8"/>
    <w:rsid w:val="089316A8"/>
    <w:rsid w:val="089D3278"/>
    <w:rsid w:val="08A51966"/>
    <w:rsid w:val="08A659A8"/>
    <w:rsid w:val="08C75D38"/>
    <w:rsid w:val="08CE624E"/>
    <w:rsid w:val="08D15B8E"/>
    <w:rsid w:val="08D51B22"/>
    <w:rsid w:val="08D631A4"/>
    <w:rsid w:val="08D65C03"/>
    <w:rsid w:val="08DD41AE"/>
    <w:rsid w:val="08E12526"/>
    <w:rsid w:val="08EE243C"/>
    <w:rsid w:val="08EE6740"/>
    <w:rsid w:val="08F07F5B"/>
    <w:rsid w:val="08F54642"/>
    <w:rsid w:val="08FC20DE"/>
    <w:rsid w:val="090446B0"/>
    <w:rsid w:val="09045F63"/>
    <w:rsid w:val="090574DA"/>
    <w:rsid w:val="090C3A7D"/>
    <w:rsid w:val="092831A8"/>
    <w:rsid w:val="09285864"/>
    <w:rsid w:val="092D0B71"/>
    <w:rsid w:val="09352FA5"/>
    <w:rsid w:val="09370ACD"/>
    <w:rsid w:val="09391870"/>
    <w:rsid w:val="09436A8B"/>
    <w:rsid w:val="094C0719"/>
    <w:rsid w:val="09526CCE"/>
    <w:rsid w:val="09535827"/>
    <w:rsid w:val="09584598"/>
    <w:rsid w:val="09586605"/>
    <w:rsid w:val="09614A34"/>
    <w:rsid w:val="09631DB4"/>
    <w:rsid w:val="09652EA6"/>
    <w:rsid w:val="09741BF2"/>
    <w:rsid w:val="097846E4"/>
    <w:rsid w:val="097A67FC"/>
    <w:rsid w:val="098C3863"/>
    <w:rsid w:val="09A45050"/>
    <w:rsid w:val="09AB2883"/>
    <w:rsid w:val="09B57186"/>
    <w:rsid w:val="09B60E34"/>
    <w:rsid w:val="09B83AB4"/>
    <w:rsid w:val="09BD5316"/>
    <w:rsid w:val="09C01555"/>
    <w:rsid w:val="09C92F7C"/>
    <w:rsid w:val="09CD0A4B"/>
    <w:rsid w:val="09D86BCC"/>
    <w:rsid w:val="09D90354"/>
    <w:rsid w:val="09D973F0"/>
    <w:rsid w:val="09F67759"/>
    <w:rsid w:val="0A010738"/>
    <w:rsid w:val="0A051C63"/>
    <w:rsid w:val="0A092C79"/>
    <w:rsid w:val="0A0A1357"/>
    <w:rsid w:val="0A136046"/>
    <w:rsid w:val="0A15065D"/>
    <w:rsid w:val="0A157CFC"/>
    <w:rsid w:val="0A197D3C"/>
    <w:rsid w:val="0A2A4664"/>
    <w:rsid w:val="0A2C751F"/>
    <w:rsid w:val="0A3236FC"/>
    <w:rsid w:val="0A5461F3"/>
    <w:rsid w:val="0A57391B"/>
    <w:rsid w:val="0A5B026E"/>
    <w:rsid w:val="0A5B6057"/>
    <w:rsid w:val="0A6051D1"/>
    <w:rsid w:val="0A620783"/>
    <w:rsid w:val="0A6B6234"/>
    <w:rsid w:val="0A6E4C9D"/>
    <w:rsid w:val="0A7113D6"/>
    <w:rsid w:val="0A741E62"/>
    <w:rsid w:val="0A7D5FCD"/>
    <w:rsid w:val="0A8628A4"/>
    <w:rsid w:val="0A8A693C"/>
    <w:rsid w:val="0A8C0317"/>
    <w:rsid w:val="0A91551D"/>
    <w:rsid w:val="0AAE29CA"/>
    <w:rsid w:val="0AB063A2"/>
    <w:rsid w:val="0ABA0F86"/>
    <w:rsid w:val="0ABF72DE"/>
    <w:rsid w:val="0AC0410C"/>
    <w:rsid w:val="0AE41BA8"/>
    <w:rsid w:val="0AF142C5"/>
    <w:rsid w:val="0AF2383D"/>
    <w:rsid w:val="0AFA5897"/>
    <w:rsid w:val="0AFF4706"/>
    <w:rsid w:val="0B0C48B7"/>
    <w:rsid w:val="0B116715"/>
    <w:rsid w:val="0B164F06"/>
    <w:rsid w:val="0B253CB7"/>
    <w:rsid w:val="0B276871"/>
    <w:rsid w:val="0B2B5A29"/>
    <w:rsid w:val="0B356CC5"/>
    <w:rsid w:val="0B3735EA"/>
    <w:rsid w:val="0B3E2B2E"/>
    <w:rsid w:val="0B455C98"/>
    <w:rsid w:val="0B464611"/>
    <w:rsid w:val="0B4C63CA"/>
    <w:rsid w:val="0B4F7B5B"/>
    <w:rsid w:val="0B586057"/>
    <w:rsid w:val="0B62538F"/>
    <w:rsid w:val="0B635F6F"/>
    <w:rsid w:val="0B6C1441"/>
    <w:rsid w:val="0B792C38"/>
    <w:rsid w:val="0B867FFD"/>
    <w:rsid w:val="0B8A1198"/>
    <w:rsid w:val="0B8C6C48"/>
    <w:rsid w:val="0B8F6344"/>
    <w:rsid w:val="0B924A77"/>
    <w:rsid w:val="0B990382"/>
    <w:rsid w:val="0B9F1F73"/>
    <w:rsid w:val="0BB55B0D"/>
    <w:rsid w:val="0BB738DF"/>
    <w:rsid w:val="0BB77FDE"/>
    <w:rsid w:val="0BB814FF"/>
    <w:rsid w:val="0BBA4FFF"/>
    <w:rsid w:val="0BBC2B25"/>
    <w:rsid w:val="0BBE689D"/>
    <w:rsid w:val="0BC40159"/>
    <w:rsid w:val="0BC5602F"/>
    <w:rsid w:val="0BCA2083"/>
    <w:rsid w:val="0BCA3494"/>
    <w:rsid w:val="0BCB0994"/>
    <w:rsid w:val="0BD643AC"/>
    <w:rsid w:val="0BDA7513"/>
    <w:rsid w:val="0BDD4278"/>
    <w:rsid w:val="0BE45711"/>
    <w:rsid w:val="0BE5379A"/>
    <w:rsid w:val="0BEF5B28"/>
    <w:rsid w:val="0BF97B0A"/>
    <w:rsid w:val="0BFA514F"/>
    <w:rsid w:val="0C07544A"/>
    <w:rsid w:val="0C0A2400"/>
    <w:rsid w:val="0C0F631D"/>
    <w:rsid w:val="0C1E0F4C"/>
    <w:rsid w:val="0C311A9E"/>
    <w:rsid w:val="0C393A5D"/>
    <w:rsid w:val="0C4A107D"/>
    <w:rsid w:val="0C4B17E2"/>
    <w:rsid w:val="0C571391"/>
    <w:rsid w:val="0C6016DD"/>
    <w:rsid w:val="0C674BA7"/>
    <w:rsid w:val="0C6E02C3"/>
    <w:rsid w:val="0C734B8E"/>
    <w:rsid w:val="0C800F2E"/>
    <w:rsid w:val="0C8C272C"/>
    <w:rsid w:val="0C9615C8"/>
    <w:rsid w:val="0CA12CC9"/>
    <w:rsid w:val="0CA30F99"/>
    <w:rsid w:val="0CA57A5D"/>
    <w:rsid w:val="0CAD3D07"/>
    <w:rsid w:val="0CB427FE"/>
    <w:rsid w:val="0CBA3508"/>
    <w:rsid w:val="0CBD4DA7"/>
    <w:rsid w:val="0CC83CDB"/>
    <w:rsid w:val="0CCA39DF"/>
    <w:rsid w:val="0CCB23AD"/>
    <w:rsid w:val="0CD07525"/>
    <w:rsid w:val="0CD3486C"/>
    <w:rsid w:val="0CD57984"/>
    <w:rsid w:val="0CD801A0"/>
    <w:rsid w:val="0CE045F1"/>
    <w:rsid w:val="0CE44848"/>
    <w:rsid w:val="0CED022C"/>
    <w:rsid w:val="0CF15897"/>
    <w:rsid w:val="0CF21F7D"/>
    <w:rsid w:val="0CF70986"/>
    <w:rsid w:val="0CF802C2"/>
    <w:rsid w:val="0CFC317C"/>
    <w:rsid w:val="0D05510F"/>
    <w:rsid w:val="0D065E12"/>
    <w:rsid w:val="0D0D3811"/>
    <w:rsid w:val="0D2E700C"/>
    <w:rsid w:val="0D352B8F"/>
    <w:rsid w:val="0D3F57BC"/>
    <w:rsid w:val="0D444B80"/>
    <w:rsid w:val="0D4637E2"/>
    <w:rsid w:val="0D464D9C"/>
    <w:rsid w:val="0D464F9D"/>
    <w:rsid w:val="0D4D1C36"/>
    <w:rsid w:val="0D531267"/>
    <w:rsid w:val="0D5F34C2"/>
    <w:rsid w:val="0D61743C"/>
    <w:rsid w:val="0D760362"/>
    <w:rsid w:val="0D8557F5"/>
    <w:rsid w:val="0D910C60"/>
    <w:rsid w:val="0D9C2C0E"/>
    <w:rsid w:val="0D9E2BEB"/>
    <w:rsid w:val="0DA25D4B"/>
    <w:rsid w:val="0DA27AF9"/>
    <w:rsid w:val="0DB13073"/>
    <w:rsid w:val="0DB429A2"/>
    <w:rsid w:val="0DB8556E"/>
    <w:rsid w:val="0DB8731C"/>
    <w:rsid w:val="0DBF3C6C"/>
    <w:rsid w:val="0DC61A39"/>
    <w:rsid w:val="0DC778BB"/>
    <w:rsid w:val="0DCF4736"/>
    <w:rsid w:val="0DD3235A"/>
    <w:rsid w:val="0DD6308B"/>
    <w:rsid w:val="0DD82DC0"/>
    <w:rsid w:val="0DD87EE9"/>
    <w:rsid w:val="0DD95C10"/>
    <w:rsid w:val="0DDA3B1D"/>
    <w:rsid w:val="0DDC300B"/>
    <w:rsid w:val="0DDF48E9"/>
    <w:rsid w:val="0DE1181F"/>
    <w:rsid w:val="0DE63E89"/>
    <w:rsid w:val="0DED2467"/>
    <w:rsid w:val="0DEE2993"/>
    <w:rsid w:val="0DF854CB"/>
    <w:rsid w:val="0DFC5D03"/>
    <w:rsid w:val="0E0155B6"/>
    <w:rsid w:val="0E0770AD"/>
    <w:rsid w:val="0E0A6EB5"/>
    <w:rsid w:val="0E194D6D"/>
    <w:rsid w:val="0E1E0A3E"/>
    <w:rsid w:val="0E242BC9"/>
    <w:rsid w:val="0E2A1FC8"/>
    <w:rsid w:val="0E2D7D0A"/>
    <w:rsid w:val="0E333F62"/>
    <w:rsid w:val="0E447CE5"/>
    <w:rsid w:val="0E526D1E"/>
    <w:rsid w:val="0E536A33"/>
    <w:rsid w:val="0E55371B"/>
    <w:rsid w:val="0E562110"/>
    <w:rsid w:val="0E5D25E9"/>
    <w:rsid w:val="0E5F1598"/>
    <w:rsid w:val="0E6354DA"/>
    <w:rsid w:val="0E651252"/>
    <w:rsid w:val="0E653000"/>
    <w:rsid w:val="0E74069C"/>
    <w:rsid w:val="0E8006AC"/>
    <w:rsid w:val="0E8A3350"/>
    <w:rsid w:val="0E9611FA"/>
    <w:rsid w:val="0E963B01"/>
    <w:rsid w:val="0EA1533C"/>
    <w:rsid w:val="0EAE0E4B"/>
    <w:rsid w:val="0EAF071F"/>
    <w:rsid w:val="0EB277B5"/>
    <w:rsid w:val="0EBE66C8"/>
    <w:rsid w:val="0EC30C8F"/>
    <w:rsid w:val="0EC32CD5"/>
    <w:rsid w:val="0EC7201D"/>
    <w:rsid w:val="0ECA07E3"/>
    <w:rsid w:val="0ECF13E4"/>
    <w:rsid w:val="0ED14B39"/>
    <w:rsid w:val="0ED40727"/>
    <w:rsid w:val="0EDC6254"/>
    <w:rsid w:val="0EE811CA"/>
    <w:rsid w:val="0EED0C84"/>
    <w:rsid w:val="0EFE38B6"/>
    <w:rsid w:val="0F023D03"/>
    <w:rsid w:val="0F0933C3"/>
    <w:rsid w:val="0F0C3DC3"/>
    <w:rsid w:val="0F0E3698"/>
    <w:rsid w:val="0F0F2601"/>
    <w:rsid w:val="0F10132E"/>
    <w:rsid w:val="0F12423D"/>
    <w:rsid w:val="0F176734"/>
    <w:rsid w:val="0F1778CD"/>
    <w:rsid w:val="0F177DCA"/>
    <w:rsid w:val="0F1A64A4"/>
    <w:rsid w:val="0F1A77C8"/>
    <w:rsid w:val="0F1D0D89"/>
    <w:rsid w:val="0F256C33"/>
    <w:rsid w:val="0F286843"/>
    <w:rsid w:val="0F2E3D3A"/>
    <w:rsid w:val="0F323C9D"/>
    <w:rsid w:val="0F3D5822"/>
    <w:rsid w:val="0F563C3A"/>
    <w:rsid w:val="0F5C3CDC"/>
    <w:rsid w:val="0F5C43B2"/>
    <w:rsid w:val="0F5D7FB3"/>
    <w:rsid w:val="0F5F5FB0"/>
    <w:rsid w:val="0F64775C"/>
    <w:rsid w:val="0F692FC4"/>
    <w:rsid w:val="0F711AE9"/>
    <w:rsid w:val="0F744163"/>
    <w:rsid w:val="0F7A6F7F"/>
    <w:rsid w:val="0F7C1DF5"/>
    <w:rsid w:val="0F825D72"/>
    <w:rsid w:val="0F8748E1"/>
    <w:rsid w:val="0F94399E"/>
    <w:rsid w:val="0F984C53"/>
    <w:rsid w:val="0FAC53B1"/>
    <w:rsid w:val="0FB029A1"/>
    <w:rsid w:val="0FBD50BE"/>
    <w:rsid w:val="0FBE7479"/>
    <w:rsid w:val="0FBF0014"/>
    <w:rsid w:val="0FC15E75"/>
    <w:rsid w:val="0FCA3424"/>
    <w:rsid w:val="0FCB77DB"/>
    <w:rsid w:val="0FD348E1"/>
    <w:rsid w:val="0FD93148"/>
    <w:rsid w:val="0FDA51C5"/>
    <w:rsid w:val="0FDB78DE"/>
    <w:rsid w:val="0FDF38FC"/>
    <w:rsid w:val="0FE32D76"/>
    <w:rsid w:val="0FE723C5"/>
    <w:rsid w:val="0FEF6134"/>
    <w:rsid w:val="0FF46D31"/>
    <w:rsid w:val="10066E92"/>
    <w:rsid w:val="101271B8"/>
    <w:rsid w:val="101420A5"/>
    <w:rsid w:val="1025693D"/>
    <w:rsid w:val="102C2E35"/>
    <w:rsid w:val="102D3FF1"/>
    <w:rsid w:val="103175D3"/>
    <w:rsid w:val="103B3A8A"/>
    <w:rsid w:val="103C7C86"/>
    <w:rsid w:val="103D2D65"/>
    <w:rsid w:val="104024BB"/>
    <w:rsid w:val="104071FE"/>
    <w:rsid w:val="104B7290"/>
    <w:rsid w:val="104F21BA"/>
    <w:rsid w:val="105A6708"/>
    <w:rsid w:val="105F10BE"/>
    <w:rsid w:val="1062284E"/>
    <w:rsid w:val="10657457"/>
    <w:rsid w:val="106B1EF6"/>
    <w:rsid w:val="106B768D"/>
    <w:rsid w:val="106F6CB8"/>
    <w:rsid w:val="107F6F93"/>
    <w:rsid w:val="108005C5"/>
    <w:rsid w:val="10853E2D"/>
    <w:rsid w:val="10861954"/>
    <w:rsid w:val="10972147"/>
    <w:rsid w:val="10A67935"/>
    <w:rsid w:val="10B4026F"/>
    <w:rsid w:val="10B63FE7"/>
    <w:rsid w:val="10B75766"/>
    <w:rsid w:val="10C5247C"/>
    <w:rsid w:val="10C60FC4"/>
    <w:rsid w:val="10C761F4"/>
    <w:rsid w:val="10CA7802"/>
    <w:rsid w:val="10D40B33"/>
    <w:rsid w:val="10D82DDA"/>
    <w:rsid w:val="10D87EB1"/>
    <w:rsid w:val="10D95F27"/>
    <w:rsid w:val="10DA0964"/>
    <w:rsid w:val="10DD33D3"/>
    <w:rsid w:val="10EB1FB3"/>
    <w:rsid w:val="10F62606"/>
    <w:rsid w:val="11020FDA"/>
    <w:rsid w:val="11070953"/>
    <w:rsid w:val="110B19A9"/>
    <w:rsid w:val="11117A69"/>
    <w:rsid w:val="111E10FD"/>
    <w:rsid w:val="111F52FE"/>
    <w:rsid w:val="111F62D1"/>
    <w:rsid w:val="1129747F"/>
    <w:rsid w:val="112A0531"/>
    <w:rsid w:val="112F4685"/>
    <w:rsid w:val="11321FAA"/>
    <w:rsid w:val="11325DA5"/>
    <w:rsid w:val="11387906"/>
    <w:rsid w:val="1143033E"/>
    <w:rsid w:val="11472E91"/>
    <w:rsid w:val="115E0F04"/>
    <w:rsid w:val="116220E5"/>
    <w:rsid w:val="11624233"/>
    <w:rsid w:val="11667AE7"/>
    <w:rsid w:val="116A6A33"/>
    <w:rsid w:val="116C053B"/>
    <w:rsid w:val="11755C50"/>
    <w:rsid w:val="117D68B3"/>
    <w:rsid w:val="1182036D"/>
    <w:rsid w:val="119107BF"/>
    <w:rsid w:val="119675B3"/>
    <w:rsid w:val="119C5C83"/>
    <w:rsid w:val="11C07F30"/>
    <w:rsid w:val="11C122B3"/>
    <w:rsid w:val="11CC221E"/>
    <w:rsid w:val="11D22345"/>
    <w:rsid w:val="11D633D2"/>
    <w:rsid w:val="11DB2B2B"/>
    <w:rsid w:val="11E626AA"/>
    <w:rsid w:val="11E701D0"/>
    <w:rsid w:val="11EE398D"/>
    <w:rsid w:val="11F04EEA"/>
    <w:rsid w:val="11F254F3"/>
    <w:rsid w:val="11FE3E97"/>
    <w:rsid w:val="11FF19BD"/>
    <w:rsid w:val="120414B5"/>
    <w:rsid w:val="12106D49"/>
    <w:rsid w:val="12114284"/>
    <w:rsid w:val="12170AB5"/>
    <w:rsid w:val="12190F2C"/>
    <w:rsid w:val="12224E20"/>
    <w:rsid w:val="12225BA9"/>
    <w:rsid w:val="122370C7"/>
    <w:rsid w:val="122D6C2F"/>
    <w:rsid w:val="122F6D00"/>
    <w:rsid w:val="12323B41"/>
    <w:rsid w:val="12435D4E"/>
    <w:rsid w:val="12463148"/>
    <w:rsid w:val="12484BE2"/>
    <w:rsid w:val="124B4C03"/>
    <w:rsid w:val="12551EFE"/>
    <w:rsid w:val="12681311"/>
    <w:rsid w:val="12751C80"/>
    <w:rsid w:val="127557DC"/>
    <w:rsid w:val="12773454"/>
    <w:rsid w:val="127A580F"/>
    <w:rsid w:val="12850115"/>
    <w:rsid w:val="128D0D77"/>
    <w:rsid w:val="128E689D"/>
    <w:rsid w:val="12900868"/>
    <w:rsid w:val="12B76DFD"/>
    <w:rsid w:val="12B93CFF"/>
    <w:rsid w:val="12B943A5"/>
    <w:rsid w:val="12BD4102"/>
    <w:rsid w:val="12C531C6"/>
    <w:rsid w:val="12CB126D"/>
    <w:rsid w:val="12CB7DF1"/>
    <w:rsid w:val="12D270D2"/>
    <w:rsid w:val="12D90BC9"/>
    <w:rsid w:val="12F02F14"/>
    <w:rsid w:val="12F11306"/>
    <w:rsid w:val="13021412"/>
    <w:rsid w:val="131A5339"/>
    <w:rsid w:val="131E40C5"/>
    <w:rsid w:val="132B4418"/>
    <w:rsid w:val="132D60B6"/>
    <w:rsid w:val="133053DB"/>
    <w:rsid w:val="13337596"/>
    <w:rsid w:val="13364FF6"/>
    <w:rsid w:val="13385187"/>
    <w:rsid w:val="133C49AB"/>
    <w:rsid w:val="134433C2"/>
    <w:rsid w:val="134542B6"/>
    <w:rsid w:val="134D553D"/>
    <w:rsid w:val="13516249"/>
    <w:rsid w:val="135E44C2"/>
    <w:rsid w:val="136452DF"/>
    <w:rsid w:val="13676832"/>
    <w:rsid w:val="136D222C"/>
    <w:rsid w:val="136D34D7"/>
    <w:rsid w:val="13727EBE"/>
    <w:rsid w:val="137A3155"/>
    <w:rsid w:val="137A557A"/>
    <w:rsid w:val="137B3C64"/>
    <w:rsid w:val="13924995"/>
    <w:rsid w:val="139D323C"/>
    <w:rsid w:val="139F7F2B"/>
    <w:rsid w:val="13A03D5D"/>
    <w:rsid w:val="13A10F7E"/>
    <w:rsid w:val="13A93132"/>
    <w:rsid w:val="13AB4421"/>
    <w:rsid w:val="13B11191"/>
    <w:rsid w:val="13B50FA2"/>
    <w:rsid w:val="13BD743A"/>
    <w:rsid w:val="13C36EB4"/>
    <w:rsid w:val="13CE33F5"/>
    <w:rsid w:val="13D6674E"/>
    <w:rsid w:val="13DD7927"/>
    <w:rsid w:val="13E9022F"/>
    <w:rsid w:val="13EC5CD8"/>
    <w:rsid w:val="13EC5F71"/>
    <w:rsid w:val="13EF7C2B"/>
    <w:rsid w:val="14016C1E"/>
    <w:rsid w:val="14080738"/>
    <w:rsid w:val="140B76FE"/>
    <w:rsid w:val="14224636"/>
    <w:rsid w:val="142E0338"/>
    <w:rsid w:val="143300D2"/>
    <w:rsid w:val="14363266"/>
    <w:rsid w:val="143D057B"/>
    <w:rsid w:val="143E4A1F"/>
    <w:rsid w:val="14444FA7"/>
    <w:rsid w:val="14471F61"/>
    <w:rsid w:val="144C1DB5"/>
    <w:rsid w:val="1457407E"/>
    <w:rsid w:val="145A737F"/>
    <w:rsid w:val="146742AC"/>
    <w:rsid w:val="146D2C0E"/>
    <w:rsid w:val="14725C60"/>
    <w:rsid w:val="147709FD"/>
    <w:rsid w:val="147D797B"/>
    <w:rsid w:val="14841B74"/>
    <w:rsid w:val="14903D07"/>
    <w:rsid w:val="14A140BF"/>
    <w:rsid w:val="14B163DC"/>
    <w:rsid w:val="14B922F8"/>
    <w:rsid w:val="14B9341C"/>
    <w:rsid w:val="14CE0A81"/>
    <w:rsid w:val="14CF1B1B"/>
    <w:rsid w:val="14CF201C"/>
    <w:rsid w:val="14D62D7B"/>
    <w:rsid w:val="14D7048E"/>
    <w:rsid w:val="14D91B8F"/>
    <w:rsid w:val="14EA0CFE"/>
    <w:rsid w:val="14ED3D4F"/>
    <w:rsid w:val="14F00CE7"/>
    <w:rsid w:val="14F72E20"/>
    <w:rsid w:val="15023C9F"/>
    <w:rsid w:val="150A4D1B"/>
    <w:rsid w:val="15160CE7"/>
    <w:rsid w:val="151A29D3"/>
    <w:rsid w:val="152B4878"/>
    <w:rsid w:val="152D239E"/>
    <w:rsid w:val="15311E8E"/>
    <w:rsid w:val="15467B35"/>
    <w:rsid w:val="155D7127"/>
    <w:rsid w:val="155E223E"/>
    <w:rsid w:val="156A21BD"/>
    <w:rsid w:val="156E2B63"/>
    <w:rsid w:val="157F1C29"/>
    <w:rsid w:val="158419FF"/>
    <w:rsid w:val="158F12AA"/>
    <w:rsid w:val="159D0885"/>
    <w:rsid w:val="159D4C03"/>
    <w:rsid w:val="159E4C39"/>
    <w:rsid w:val="15A925B7"/>
    <w:rsid w:val="15AB29A5"/>
    <w:rsid w:val="15B91655"/>
    <w:rsid w:val="15BC38F3"/>
    <w:rsid w:val="15BD56DF"/>
    <w:rsid w:val="15C471A6"/>
    <w:rsid w:val="15C54CCC"/>
    <w:rsid w:val="15C57D5B"/>
    <w:rsid w:val="15CC605B"/>
    <w:rsid w:val="15D449DD"/>
    <w:rsid w:val="15D54F0F"/>
    <w:rsid w:val="15D56E4C"/>
    <w:rsid w:val="15DA0777"/>
    <w:rsid w:val="15E639DB"/>
    <w:rsid w:val="15E6730D"/>
    <w:rsid w:val="15EC2C3C"/>
    <w:rsid w:val="15FC2B6A"/>
    <w:rsid w:val="16021A7C"/>
    <w:rsid w:val="16050881"/>
    <w:rsid w:val="160F5567"/>
    <w:rsid w:val="161539E0"/>
    <w:rsid w:val="161B073C"/>
    <w:rsid w:val="161C2C4B"/>
    <w:rsid w:val="16243D41"/>
    <w:rsid w:val="1632555F"/>
    <w:rsid w:val="16337E88"/>
    <w:rsid w:val="16350CCD"/>
    <w:rsid w:val="16350E1D"/>
    <w:rsid w:val="1637067E"/>
    <w:rsid w:val="1639789A"/>
    <w:rsid w:val="163E0F41"/>
    <w:rsid w:val="16464F7E"/>
    <w:rsid w:val="16481B85"/>
    <w:rsid w:val="164A312A"/>
    <w:rsid w:val="16546664"/>
    <w:rsid w:val="16573A76"/>
    <w:rsid w:val="16604705"/>
    <w:rsid w:val="16606A36"/>
    <w:rsid w:val="16614A1F"/>
    <w:rsid w:val="166242C9"/>
    <w:rsid w:val="167B0137"/>
    <w:rsid w:val="167C4F45"/>
    <w:rsid w:val="167D1693"/>
    <w:rsid w:val="167F02EB"/>
    <w:rsid w:val="167F50EA"/>
    <w:rsid w:val="16836B12"/>
    <w:rsid w:val="169528F0"/>
    <w:rsid w:val="16A63AAF"/>
    <w:rsid w:val="16AF7354"/>
    <w:rsid w:val="16B67B44"/>
    <w:rsid w:val="16B72867"/>
    <w:rsid w:val="16BB1925"/>
    <w:rsid w:val="16C374C9"/>
    <w:rsid w:val="16CA07EC"/>
    <w:rsid w:val="16CF18F6"/>
    <w:rsid w:val="16D01D2B"/>
    <w:rsid w:val="16D231FD"/>
    <w:rsid w:val="16D34456"/>
    <w:rsid w:val="16D94EAE"/>
    <w:rsid w:val="16E15751"/>
    <w:rsid w:val="16F26962"/>
    <w:rsid w:val="16F33791"/>
    <w:rsid w:val="16F460C2"/>
    <w:rsid w:val="16FE3FF2"/>
    <w:rsid w:val="170576D4"/>
    <w:rsid w:val="170F2459"/>
    <w:rsid w:val="171001C9"/>
    <w:rsid w:val="17127A9D"/>
    <w:rsid w:val="17283764"/>
    <w:rsid w:val="1732013F"/>
    <w:rsid w:val="17352603"/>
    <w:rsid w:val="17452F98"/>
    <w:rsid w:val="174D6D27"/>
    <w:rsid w:val="174E2C4C"/>
    <w:rsid w:val="174F6F43"/>
    <w:rsid w:val="17562080"/>
    <w:rsid w:val="175B4A52"/>
    <w:rsid w:val="17627421"/>
    <w:rsid w:val="176A0874"/>
    <w:rsid w:val="176D5C4E"/>
    <w:rsid w:val="177222A4"/>
    <w:rsid w:val="177A738E"/>
    <w:rsid w:val="179B1A27"/>
    <w:rsid w:val="179C3FF5"/>
    <w:rsid w:val="17AB0484"/>
    <w:rsid w:val="17B005C2"/>
    <w:rsid w:val="17B339D8"/>
    <w:rsid w:val="17BD2BCC"/>
    <w:rsid w:val="17CF3BE0"/>
    <w:rsid w:val="17CF4183"/>
    <w:rsid w:val="17D52699"/>
    <w:rsid w:val="17D64BAC"/>
    <w:rsid w:val="17DE3E23"/>
    <w:rsid w:val="17E8477C"/>
    <w:rsid w:val="17FF61E5"/>
    <w:rsid w:val="180F42D7"/>
    <w:rsid w:val="181B1EAC"/>
    <w:rsid w:val="181C7BD1"/>
    <w:rsid w:val="182418CA"/>
    <w:rsid w:val="182F10F1"/>
    <w:rsid w:val="18300B23"/>
    <w:rsid w:val="18326CA3"/>
    <w:rsid w:val="18335F1D"/>
    <w:rsid w:val="183844A4"/>
    <w:rsid w:val="183D3240"/>
    <w:rsid w:val="183D69D3"/>
    <w:rsid w:val="184719C8"/>
    <w:rsid w:val="1850514F"/>
    <w:rsid w:val="185202D2"/>
    <w:rsid w:val="185B5474"/>
    <w:rsid w:val="18641105"/>
    <w:rsid w:val="18694BF1"/>
    <w:rsid w:val="186E51A7"/>
    <w:rsid w:val="18836C66"/>
    <w:rsid w:val="18860743"/>
    <w:rsid w:val="188D645C"/>
    <w:rsid w:val="188E6361"/>
    <w:rsid w:val="188F56CB"/>
    <w:rsid w:val="189030B5"/>
    <w:rsid w:val="18903A4D"/>
    <w:rsid w:val="1891615A"/>
    <w:rsid w:val="18A35240"/>
    <w:rsid w:val="18A94431"/>
    <w:rsid w:val="18CC437C"/>
    <w:rsid w:val="18D47700"/>
    <w:rsid w:val="18D70712"/>
    <w:rsid w:val="19021284"/>
    <w:rsid w:val="191044B0"/>
    <w:rsid w:val="19157D18"/>
    <w:rsid w:val="191B0AA7"/>
    <w:rsid w:val="1922569C"/>
    <w:rsid w:val="19292C8A"/>
    <w:rsid w:val="192D0BBE"/>
    <w:rsid w:val="19307B2E"/>
    <w:rsid w:val="19317418"/>
    <w:rsid w:val="19395A62"/>
    <w:rsid w:val="1941507E"/>
    <w:rsid w:val="194270DE"/>
    <w:rsid w:val="19466124"/>
    <w:rsid w:val="194F7AA2"/>
    <w:rsid w:val="19516FA3"/>
    <w:rsid w:val="19566367"/>
    <w:rsid w:val="19572765"/>
    <w:rsid w:val="195C14A3"/>
    <w:rsid w:val="196C5B8A"/>
    <w:rsid w:val="196D2485"/>
    <w:rsid w:val="19793C95"/>
    <w:rsid w:val="198C7832"/>
    <w:rsid w:val="199E1F8E"/>
    <w:rsid w:val="199E386A"/>
    <w:rsid w:val="19A473AC"/>
    <w:rsid w:val="19A67FF5"/>
    <w:rsid w:val="19B467EC"/>
    <w:rsid w:val="19C04EA2"/>
    <w:rsid w:val="19CA5F83"/>
    <w:rsid w:val="19CD1CDB"/>
    <w:rsid w:val="19CE6C41"/>
    <w:rsid w:val="19F16090"/>
    <w:rsid w:val="19F56590"/>
    <w:rsid w:val="19F81710"/>
    <w:rsid w:val="19FB6F0E"/>
    <w:rsid w:val="1A02029D"/>
    <w:rsid w:val="1A09162B"/>
    <w:rsid w:val="1A0970EA"/>
    <w:rsid w:val="1A1B310D"/>
    <w:rsid w:val="1A1F5268"/>
    <w:rsid w:val="1A220FF0"/>
    <w:rsid w:val="1A23160D"/>
    <w:rsid w:val="1A2F667A"/>
    <w:rsid w:val="1A3126AD"/>
    <w:rsid w:val="1A351433"/>
    <w:rsid w:val="1A364C38"/>
    <w:rsid w:val="1A3760D7"/>
    <w:rsid w:val="1A3B555D"/>
    <w:rsid w:val="1A425421"/>
    <w:rsid w:val="1A462260"/>
    <w:rsid w:val="1A494467"/>
    <w:rsid w:val="1A4F4614"/>
    <w:rsid w:val="1A554870"/>
    <w:rsid w:val="1A61265D"/>
    <w:rsid w:val="1A6333FE"/>
    <w:rsid w:val="1A703458"/>
    <w:rsid w:val="1A7C0BFD"/>
    <w:rsid w:val="1A847E44"/>
    <w:rsid w:val="1A8F063F"/>
    <w:rsid w:val="1A9334AF"/>
    <w:rsid w:val="1A9615B1"/>
    <w:rsid w:val="1AA24A94"/>
    <w:rsid w:val="1AA50C28"/>
    <w:rsid w:val="1AA71539"/>
    <w:rsid w:val="1AB71087"/>
    <w:rsid w:val="1AB75BA5"/>
    <w:rsid w:val="1ABC044C"/>
    <w:rsid w:val="1AC757D1"/>
    <w:rsid w:val="1ACB7F49"/>
    <w:rsid w:val="1ACC02F4"/>
    <w:rsid w:val="1AD52C1E"/>
    <w:rsid w:val="1ADB5EF8"/>
    <w:rsid w:val="1AE856E5"/>
    <w:rsid w:val="1AEB2ADF"/>
    <w:rsid w:val="1AF51BB0"/>
    <w:rsid w:val="1B042208"/>
    <w:rsid w:val="1B086FA3"/>
    <w:rsid w:val="1B124510"/>
    <w:rsid w:val="1B140EFE"/>
    <w:rsid w:val="1B1A3F99"/>
    <w:rsid w:val="1B1B222F"/>
    <w:rsid w:val="1B27381F"/>
    <w:rsid w:val="1B2C7A13"/>
    <w:rsid w:val="1B300E3A"/>
    <w:rsid w:val="1B326960"/>
    <w:rsid w:val="1B351FAC"/>
    <w:rsid w:val="1B3609F4"/>
    <w:rsid w:val="1B3A4D3D"/>
    <w:rsid w:val="1B4031F1"/>
    <w:rsid w:val="1B430B6D"/>
    <w:rsid w:val="1B4618C5"/>
    <w:rsid w:val="1B47366A"/>
    <w:rsid w:val="1B4D11E8"/>
    <w:rsid w:val="1B52116A"/>
    <w:rsid w:val="1B694D32"/>
    <w:rsid w:val="1B7077C3"/>
    <w:rsid w:val="1B7A20B5"/>
    <w:rsid w:val="1B7A2F0A"/>
    <w:rsid w:val="1B7E7CEF"/>
    <w:rsid w:val="1B824A4D"/>
    <w:rsid w:val="1B83337F"/>
    <w:rsid w:val="1B83540D"/>
    <w:rsid w:val="1B8F790E"/>
    <w:rsid w:val="1B954455"/>
    <w:rsid w:val="1B974A15"/>
    <w:rsid w:val="1BA500C9"/>
    <w:rsid w:val="1BA9560D"/>
    <w:rsid w:val="1BA95C55"/>
    <w:rsid w:val="1BC33A5C"/>
    <w:rsid w:val="1BC42F18"/>
    <w:rsid w:val="1BCE087A"/>
    <w:rsid w:val="1BD21EF1"/>
    <w:rsid w:val="1BD36B92"/>
    <w:rsid w:val="1BE01BE7"/>
    <w:rsid w:val="1BE35EAC"/>
    <w:rsid w:val="1BEC0C12"/>
    <w:rsid w:val="1BF46D94"/>
    <w:rsid w:val="1BF9122C"/>
    <w:rsid w:val="1C076199"/>
    <w:rsid w:val="1C0B3008"/>
    <w:rsid w:val="1C1E15F1"/>
    <w:rsid w:val="1C221071"/>
    <w:rsid w:val="1C2F2E9F"/>
    <w:rsid w:val="1C330BE1"/>
    <w:rsid w:val="1C36422E"/>
    <w:rsid w:val="1C3727A7"/>
    <w:rsid w:val="1C395ACC"/>
    <w:rsid w:val="1C3B5B33"/>
    <w:rsid w:val="1C3D1980"/>
    <w:rsid w:val="1C40573B"/>
    <w:rsid w:val="1C4A0385"/>
    <w:rsid w:val="1C5158F1"/>
    <w:rsid w:val="1C5172BA"/>
    <w:rsid w:val="1C5648D0"/>
    <w:rsid w:val="1C6704EA"/>
    <w:rsid w:val="1C6E39C8"/>
    <w:rsid w:val="1C750FCB"/>
    <w:rsid w:val="1C872CDB"/>
    <w:rsid w:val="1C8F18DD"/>
    <w:rsid w:val="1C9176B6"/>
    <w:rsid w:val="1CAB1727"/>
    <w:rsid w:val="1CAE2016"/>
    <w:rsid w:val="1CB10A94"/>
    <w:rsid w:val="1CBF2475"/>
    <w:rsid w:val="1CBF2869"/>
    <w:rsid w:val="1CC062F8"/>
    <w:rsid w:val="1CC17F9B"/>
    <w:rsid w:val="1CCB0361"/>
    <w:rsid w:val="1CE27F12"/>
    <w:rsid w:val="1CE745A3"/>
    <w:rsid w:val="1CF245F9"/>
    <w:rsid w:val="1CF52E26"/>
    <w:rsid w:val="1CF77E61"/>
    <w:rsid w:val="1CF82E13"/>
    <w:rsid w:val="1CFA2C37"/>
    <w:rsid w:val="1D0100A8"/>
    <w:rsid w:val="1D054AB6"/>
    <w:rsid w:val="1D1B5F27"/>
    <w:rsid w:val="1D1F2F14"/>
    <w:rsid w:val="1D246425"/>
    <w:rsid w:val="1D284574"/>
    <w:rsid w:val="1D2F70B5"/>
    <w:rsid w:val="1D322C47"/>
    <w:rsid w:val="1D330BFC"/>
    <w:rsid w:val="1D3B4F91"/>
    <w:rsid w:val="1D3C3E7A"/>
    <w:rsid w:val="1D4467CC"/>
    <w:rsid w:val="1D48444D"/>
    <w:rsid w:val="1D4D748F"/>
    <w:rsid w:val="1D53621B"/>
    <w:rsid w:val="1D540532"/>
    <w:rsid w:val="1D5675F2"/>
    <w:rsid w:val="1D5B2463"/>
    <w:rsid w:val="1D66585C"/>
    <w:rsid w:val="1D6E79F7"/>
    <w:rsid w:val="1D8B7701"/>
    <w:rsid w:val="1D930C2F"/>
    <w:rsid w:val="1D994440"/>
    <w:rsid w:val="1DA11B98"/>
    <w:rsid w:val="1DA33B45"/>
    <w:rsid w:val="1DA92FE7"/>
    <w:rsid w:val="1DAB2CDC"/>
    <w:rsid w:val="1DB06180"/>
    <w:rsid w:val="1DB50D67"/>
    <w:rsid w:val="1DB7314C"/>
    <w:rsid w:val="1DC77942"/>
    <w:rsid w:val="1DD11A0B"/>
    <w:rsid w:val="1DD37BE4"/>
    <w:rsid w:val="1DD57D5B"/>
    <w:rsid w:val="1DDC2BB3"/>
    <w:rsid w:val="1DE17A6D"/>
    <w:rsid w:val="1DF72C14"/>
    <w:rsid w:val="1DF85F59"/>
    <w:rsid w:val="1E032835"/>
    <w:rsid w:val="1E165394"/>
    <w:rsid w:val="1E192F15"/>
    <w:rsid w:val="1E1A24E0"/>
    <w:rsid w:val="1E222CBC"/>
    <w:rsid w:val="1E2B1061"/>
    <w:rsid w:val="1E2D751B"/>
    <w:rsid w:val="1E323AB9"/>
    <w:rsid w:val="1E3824DF"/>
    <w:rsid w:val="1E450758"/>
    <w:rsid w:val="1E45637F"/>
    <w:rsid w:val="1E4861D9"/>
    <w:rsid w:val="1E510406"/>
    <w:rsid w:val="1E553290"/>
    <w:rsid w:val="1E62755C"/>
    <w:rsid w:val="1E634DE1"/>
    <w:rsid w:val="1E651BF0"/>
    <w:rsid w:val="1E674025"/>
    <w:rsid w:val="1E6854F8"/>
    <w:rsid w:val="1E7352C5"/>
    <w:rsid w:val="1E7D4396"/>
    <w:rsid w:val="1E7F302F"/>
    <w:rsid w:val="1E80442A"/>
    <w:rsid w:val="1EA23DFC"/>
    <w:rsid w:val="1EB63404"/>
    <w:rsid w:val="1EBC6804"/>
    <w:rsid w:val="1EC3690B"/>
    <w:rsid w:val="1EC45B21"/>
    <w:rsid w:val="1EC46CD6"/>
    <w:rsid w:val="1ECD2283"/>
    <w:rsid w:val="1ECE0049"/>
    <w:rsid w:val="1ED55F80"/>
    <w:rsid w:val="1EDE49B5"/>
    <w:rsid w:val="1EE36279"/>
    <w:rsid w:val="1EF1152D"/>
    <w:rsid w:val="1EF26B32"/>
    <w:rsid w:val="1EFE461A"/>
    <w:rsid w:val="1F064CDB"/>
    <w:rsid w:val="1F0871D4"/>
    <w:rsid w:val="1F0B3750"/>
    <w:rsid w:val="1F291E28"/>
    <w:rsid w:val="1F2A55BE"/>
    <w:rsid w:val="1F301EB6"/>
    <w:rsid w:val="1F3265F1"/>
    <w:rsid w:val="1F3F0242"/>
    <w:rsid w:val="1F406EC1"/>
    <w:rsid w:val="1F486752"/>
    <w:rsid w:val="1F52137F"/>
    <w:rsid w:val="1F561608"/>
    <w:rsid w:val="1F5A41F8"/>
    <w:rsid w:val="1F5C044F"/>
    <w:rsid w:val="1F6139F7"/>
    <w:rsid w:val="1F6A31B5"/>
    <w:rsid w:val="1F6E1F30"/>
    <w:rsid w:val="1F6E5490"/>
    <w:rsid w:val="1F7C1719"/>
    <w:rsid w:val="1F8329A2"/>
    <w:rsid w:val="1F855A8D"/>
    <w:rsid w:val="1F8B663F"/>
    <w:rsid w:val="1F8D0609"/>
    <w:rsid w:val="1F8D1E7C"/>
    <w:rsid w:val="1F9D458E"/>
    <w:rsid w:val="1FA140B4"/>
    <w:rsid w:val="1FA172F2"/>
    <w:rsid w:val="1FA621D6"/>
    <w:rsid w:val="1FAF67D1"/>
    <w:rsid w:val="1FB37987"/>
    <w:rsid w:val="1FB679B5"/>
    <w:rsid w:val="1FB84577"/>
    <w:rsid w:val="1FC220F2"/>
    <w:rsid w:val="1FC85AE5"/>
    <w:rsid w:val="1FC94706"/>
    <w:rsid w:val="1FD516E8"/>
    <w:rsid w:val="1FD85ED2"/>
    <w:rsid w:val="1FD95867"/>
    <w:rsid w:val="1FDC333E"/>
    <w:rsid w:val="1FDC6BF8"/>
    <w:rsid w:val="1FE176AE"/>
    <w:rsid w:val="1FE467EC"/>
    <w:rsid w:val="1FE8159A"/>
    <w:rsid w:val="1FE81CE3"/>
    <w:rsid w:val="1FEE2FFA"/>
    <w:rsid w:val="1FF22B62"/>
    <w:rsid w:val="1FF95FDC"/>
    <w:rsid w:val="1FFB58CE"/>
    <w:rsid w:val="1FFC578E"/>
    <w:rsid w:val="20017DFE"/>
    <w:rsid w:val="200A7EAB"/>
    <w:rsid w:val="200E50DC"/>
    <w:rsid w:val="200F7675"/>
    <w:rsid w:val="201B29E0"/>
    <w:rsid w:val="201D539F"/>
    <w:rsid w:val="201E74B3"/>
    <w:rsid w:val="20260738"/>
    <w:rsid w:val="202A22FB"/>
    <w:rsid w:val="202B1653"/>
    <w:rsid w:val="202D76F6"/>
    <w:rsid w:val="20343C94"/>
    <w:rsid w:val="20390790"/>
    <w:rsid w:val="204B1825"/>
    <w:rsid w:val="20500291"/>
    <w:rsid w:val="20523600"/>
    <w:rsid w:val="20555808"/>
    <w:rsid w:val="20656F2E"/>
    <w:rsid w:val="20765D40"/>
    <w:rsid w:val="20772C61"/>
    <w:rsid w:val="20783067"/>
    <w:rsid w:val="20806787"/>
    <w:rsid w:val="20827A42"/>
    <w:rsid w:val="209122D7"/>
    <w:rsid w:val="209539A8"/>
    <w:rsid w:val="20A335DF"/>
    <w:rsid w:val="20A7394C"/>
    <w:rsid w:val="20A774A8"/>
    <w:rsid w:val="20A9582C"/>
    <w:rsid w:val="20AE5872"/>
    <w:rsid w:val="20B340F8"/>
    <w:rsid w:val="20BF07A2"/>
    <w:rsid w:val="20C00BEC"/>
    <w:rsid w:val="20C04176"/>
    <w:rsid w:val="20C4658A"/>
    <w:rsid w:val="20CC6A8D"/>
    <w:rsid w:val="20E20797"/>
    <w:rsid w:val="20F024C9"/>
    <w:rsid w:val="20F4534A"/>
    <w:rsid w:val="20FA7F20"/>
    <w:rsid w:val="20FB5A46"/>
    <w:rsid w:val="20FD356C"/>
    <w:rsid w:val="21204986"/>
    <w:rsid w:val="21313216"/>
    <w:rsid w:val="213757BA"/>
    <w:rsid w:val="213D1BBA"/>
    <w:rsid w:val="2149055F"/>
    <w:rsid w:val="21577120"/>
    <w:rsid w:val="21582E98"/>
    <w:rsid w:val="21627873"/>
    <w:rsid w:val="217B0148"/>
    <w:rsid w:val="21895DEE"/>
    <w:rsid w:val="219536BB"/>
    <w:rsid w:val="219E4D4F"/>
    <w:rsid w:val="219F4623"/>
    <w:rsid w:val="219F768A"/>
    <w:rsid w:val="21A03BE3"/>
    <w:rsid w:val="21A12149"/>
    <w:rsid w:val="21A45EEF"/>
    <w:rsid w:val="21A51915"/>
    <w:rsid w:val="21A63EE3"/>
    <w:rsid w:val="21BA145D"/>
    <w:rsid w:val="21BA76AF"/>
    <w:rsid w:val="21BF0E96"/>
    <w:rsid w:val="21C422DC"/>
    <w:rsid w:val="21CB366A"/>
    <w:rsid w:val="21D17CF2"/>
    <w:rsid w:val="21D249F9"/>
    <w:rsid w:val="21D27F99"/>
    <w:rsid w:val="21D47B0C"/>
    <w:rsid w:val="21D646B0"/>
    <w:rsid w:val="21DF1970"/>
    <w:rsid w:val="21E604A4"/>
    <w:rsid w:val="220145F8"/>
    <w:rsid w:val="22081361"/>
    <w:rsid w:val="22082216"/>
    <w:rsid w:val="220E4DAA"/>
    <w:rsid w:val="22214121"/>
    <w:rsid w:val="2221772E"/>
    <w:rsid w:val="222974A1"/>
    <w:rsid w:val="2235430A"/>
    <w:rsid w:val="22370D00"/>
    <w:rsid w:val="22410D26"/>
    <w:rsid w:val="2245341D"/>
    <w:rsid w:val="22482F0D"/>
    <w:rsid w:val="224A0233"/>
    <w:rsid w:val="224C2DA8"/>
    <w:rsid w:val="22651FAF"/>
    <w:rsid w:val="226F3F88"/>
    <w:rsid w:val="22765384"/>
    <w:rsid w:val="22834D13"/>
    <w:rsid w:val="229346A0"/>
    <w:rsid w:val="22957731"/>
    <w:rsid w:val="229677D4"/>
    <w:rsid w:val="22A75977"/>
    <w:rsid w:val="22A77C33"/>
    <w:rsid w:val="22AC349C"/>
    <w:rsid w:val="22B81423"/>
    <w:rsid w:val="22BA197A"/>
    <w:rsid w:val="22C17D13"/>
    <w:rsid w:val="22D4654E"/>
    <w:rsid w:val="22D958DB"/>
    <w:rsid w:val="22EA7B20"/>
    <w:rsid w:val="22F34C27"/>
    <w:rsid w:val="22F83EE6"/>
    <w:rsid w:val="230A01C2"/>
    <w:rsid w:val="230B4392"/>
    <w:rsid w:val="231132FF"/>
    <w:rsid w:val="231F7AD8"/>
    <w:rsid w:val="232079C4"/>
    <w:rsid w:val="232100F9"/>
    <w:rsid w:val="23240E85"/>
    <w:rsid w:val="232748D0"/>
    <w:rsid w:val="232A5278"/>
    <w:rsid w:val="232B2BEA"/>
    <w:rsid w:val="233049C2"/>
    <w:rsid w:val="23323177"/>
    <w:rsid w:val="233D3D5B"/>
    <w:rsid w:val="23447230"/>
    <w:rsid w:val="23482ABE"/>
    <w:rsid w:val="2358717F"/>
    <w:rsid w:val="235D757B"/>
    <w:rsid w:val="235E0388"/>
    <w:rsid w:val="236C27EF"/>
    <w:rsid w:val="236E0751"/>
    <w:rsid w:val="237058F9"/>
    <w:rsid w:val="2391488F"/>
    <w:rsid w:val="239312F5"/>
    <w:rsid w:val="23961665"/>
    <w:rsid w:val="23A61C99"/>
    <w:rsid w:val="23AF2745"/>
    <w:rsid w:val="23B11BB7"/>
    <w:rsid w:val="23B343B6"/>
    <w:rsid w:val="23B720F8"/>
    <w:rsid w:val="23B90DC7"/>
    <w:rsid w:val="23CE7442"/>
    <w:rsid w:val="23D06D16"/>
    <w:rsid w:val="23D8482B"/>
    <w:rsid w:val="23D97AB7"/>
    <w:rsid w:val="23E11DA7"/>
    <w:rsid w:val="23EC1A96"/>
    <w:rsid w:val="23ED49BB"/>
    <w:rsid w:val="23ED5B1A"/>
    <w:rsid w:val="23EE4A85"/>
    <w:rsid w:val="23F30C56"/>
    <w:rsid w:val="23F63C20"/>
    <w:rsid w:val="23FD01D9"/>
    <w:rsid w:val="24052423"/>
    <w:rsid w:val="24084CBF"/>
    <w:rsid w:val="240A29B2"/>
    <w:rsid w:val="24102BD7"/>
    <w:rsid w:val="241A17A9"/>
    <w:rsid w:val="241E4DC2"/>
    <w:rsid w:val="24210D8D"/>
    <w:rsid w:val="242502D3"/>
    <w:rsid w:val="24294678"/>
    <w:rsid w:val="24374FE7"/>
    <w:rsid w:val="243C59A9"/>
    <w:rsid w:val="243D3D65"/>
    <w:rsid w:val="243F5C4A"/>
    <w:rsid w:val="2442472A"/>
    <w:rsid w:val="244336A1"/>
    <w:rsid w:val="24480FA2"/>
    <w:rsid w:val="24575628"/>
    <w:rsid w:val="24593179"/>
    <w:rsid w:val="24594F5D"/>
    <w:rsid w:val="2467311B"/>
    <w:rsid w:val="24690285"/>
    <w:rsid w:val="247753E3"/>
    <w:rsid w:val="2480393B"/>
    <w:rsid w:val="24833D88"/>
    <w:rsid w:val="24852164"/>
    <w:rsid w:val="248F4E23"/>
    <w:rsid w:val="2495748E"/>
    <w:rsid w:val="24A02C63"/>
    <w:rsid w:val="24A30154"/>
    <w:rsid w:val="24A85EE5"/>
    <w:rsid w:val="24B37AB8"/>
    <w:rsid w:val="24B5474B"/>
    <w:rsid w:val="24B672B1"/>
    <w:rsid w:val="24B71552"/>
    <w:rsid w:val="24C22911"/>
    <w:rsid w:val="24C7636B"/>
    <w:rsid w:val="24CA5E5B"/>
    <w:rsid w:val="24CF6FCD"/>
    <w:rsid w:val="24D522A4"/>
    <w:rsid w:val="24DD104F"/>
    <w:rsid w:val="24DF76A0"/>
    <w:rsid w:val="24ED77B4"/>
    <w:rsid w:val="24F648CD"/>
    <w:rsid w:val="2501044E"/>
    <w:rsid w:val="25034EC9"/>
    <w:rsid w:val="250824DF"/>
    <w:rsid w:val="2508378D"/>
    <w:rsid w:val="25112CA0"/>
    <w:rsid w:val="25157034"/>
    <w:rsid w:val="251B3DAB"/>
    <w:rsid w:val="25282AC8"/>
    <w:rsid w:val="252E6126"/>
    <w:rsid w:val="25302162"/>
    <w:rsid w:val="253C0A50"/>
    <w:rsid w:val="253F05F7"/>
    <w:rsid w:val="254259F1"/>
    <w:rsid w:val="25493224"/>
    <w:rsid w:val="25537BFE"/>
    <w:rsid w:val="255F47F5"/>
    <w:rsid w:val="256E557D"/>
    <w:rsid w:val="25702E42"/>
    <w:rsid w:val="257C35E6"/>
    <w:rsid w:val="258778A8"/>
    <w:rsid w:val="25970CCB"/>
    <w:rsid w:val="25A03D3B"/>
    <w:rsid w:val="25A04D8B"/>
    <w:rsid w:val="25A42208"/>
    <w:rsid w:val="25AB7A3A"/>
    <w:rsid w:val="25B06DFF"/>
    <w:rsid w:val="25B61957"/>
    <w:rsid w:val="25C718A8"/>
    <w:rsid w:val="25D105C8"/>
    <w:rsid w:val="25D55EC9"/>
    <w:rsid w:val="25D87E90"/>
    <w:rsid w:val="25EC28D8"/>
    <w:rsid w:val="25F767DC"/>
    <w:rsid w:val="25F919A9"/>
    <w:rsid w:val="25F94EEE"/>
    <w:rsid w:val="25FC7E3F"/>
    <w:rsid w:val="26017C84"/>
    <w:rsid w:val="260352F7"/>
    <w:rsid w:val="2611775D"/>
    <w:rsid w:val="261540C0"/>
    <w:rsid w:val="261C64C7"/>
    <w:rsid w:val="261F5D33"/>
    <w:rsid w:val="262301D1"/>
    <w:rsid w:val="262E5F76"/>
    <w:rsid w:val="26393298"/>
    <w:rsid w:val="263F00C5"/>
    <w:rsid w:val="264439EB"/>
    <w:rsid w:val="264B2FCC"/>
    <w:rsid w:val="264D055F"/>
    <w:rsid w:val="26502164"/>
    <w:rsid w:val="26591E30"/>
    <w:rsid w:val="265C41DF"/>
    <w:rsid w:val="265E0AC9"/>
    <w:rsid w:val="2661634B"/>
    <w:rsid w:val="26651535"/>
    <w:rsid w:val="266F5C95"/>
    <w:rsid w:val="2672726E"/>
    <w:rsid w:val="26745514"/>
    <w:rsid w:val="26747E2C"/>
    <w:rsid w:val="267F0A80"/>
    <w:rsid w:val="269272DC"/>
    <w:rsid w:val="2698203F"/>
    <w:rsid w:val="269A0E13"/>
    <w:rsid w:val="269F0C21"/>
    <w:rsid w:val="26B11081"/>
    <w:rsid w:val="26BC05C1"/>
    <w:rsid w:val="26BD25C2"/>
    <w:rsid w:val="26C03976"/>
    <w:rsid w:val="26C37006"/>
    <w:rsid w:val="26C40A08"/>
    <w:rsid w:val="26D625F8"/>
    <w:rsid w:val="26D829E9"/>
    <w:rsid w:val="26DC25E9"/>
    <w:rsid w:val="26E135C5"/>
    <w:rsid w:val="26E44BFC"/>
    <w:rsid w:val="26E73EC1"/>
    <w:rsid w:val="26FC6074"/>
    <w:rsid w:val="27005399"/>
    <w:rsid w:val="27045EE0"/>
    <w:rsid w:val="27062384"/>
    <w:rsid w:val="270F224B"/>
    <w:rsid w:val="27123243"/>
    <w:rsid w:val="27133AE9"/>
    <w:rsid w:val="271F3365"/>
    <w:rsid w:val="272555CB"/>
    <w:rsid w:val="272C4667"/>
    <w:rsid w:val="27351CB2"/>
    <w:rsid w:val="273B4DEE"/>
    <w:rsid w:val="273E4625"/>
    <w:rsid w:val="273E7D5C"/>
    <w:rsid w:val="274A3287"/>
    <w:rsid w:val="274F59D9"/>
    <w:rsid w:val="27547C5E"/>
    <w:rsid w:val="27594FDF"/>
    <w:rsid w:val="275F6B18"/>
    <w:rsid w:val="276F6846"/>
    <w:rsid w:val="277335AD"/>
    <w:rsid w:val="27764078"/>
    <w:rsid w:val="2777690D"/>
    <w:rsid w:val="277E3DF7"/>
    <w:rsid w:val="27871E95"/>
    <w:rsid w:val="278A3680"/>
    <w:rsid w:val="278E278E"/>
    <w:rsid w:val="278E731F"/>
    <w:rsid w:val="278F0C96"/>
    <w:rsid w:val="27906EE8"/>
    <w:rsid w:val="27932534"/>
    <w:rsid w:val="27952750"/>
    <w:rsid w:val="279B2C17"/>
    <w:rsid w:val="279E3F73"/>
    <w:rsid w:val="27A209C9"/>
    <w:rsid w:val="27A36F0C"/>
    <w:rsid w:val="27A76101"/>
    <w:rsid w:val="27B5050A"/>
    <w:rsid w:val="27B72868"/>
    <w:rsid w:val="27CD3179"/>
    <w:rsid w:val="27CF123F"/>
    <w:rsid w:val="27D843EB"/>
    <w:rsid w:val="27DD40F7"/>
    <w:rsid w:val="27E126B6"/>
    <w:rsid w:val="27EB5572"/>
    <w:rsid w:val="27FB620D"/>
    <w:rsid w:val="27FF498C"/>
    <w:rsid w:val="280478D6"/>
    <w:rsid w:val="28060C67"/>
    <w:rsid w:val="28153891"/>
    <w:rsid w:val="281A572A"/>
    <w:rsid w:val="281B4AE7"/>
    <w:rsid w:val="281D62A2"/>
    <w:rsid w:val="28221B0A"/>
    <w:rsid w:val="282A0A7A"/>
    <w:rsid w:val="282E2F5D"/>
    <w:rsid w:val="282E38DD"/>
    <w:rsid w:val="283006CB"/>
    <w:rsid w:val="283B73C3"/>
    <w:rsid w:val="284303FE"/>
    <w:rsid w:val="28496AE0"/>
    <w:rsid w:val="284E40F5"/>
    <w:rsid w:val="2852419D"/>
    <w:rsid w:val="285412E4"/>
    <w:rsid w:val="287274AE"/>
    <w:rsid w:val="28902F18"/>
    <w:rsid w:val="289522DC"/>
    <w:rsid w:val="28A459F5"/>
    <w:rsid w:val="28B12FDA"/>
    <w:rsid w:val="28BB4E66"/>
    <w:rsid w:val="28BE1833"/>
    <w:rsid w:val="28C17575"/>
    <w:rsid w:val="28C50E13"/>
    <w:rsid w:val="28D12D98"/>
    <w:rsid w:val="28D458AD"/>
    <w:rsid w:val="28D74A8E"/>
    <w:rsid w:val="28DB23E5"/>
    <w:rsid w:val="28E84B02"/>
    <w:rsid w:val="28FD67FF"/>
    <w:rsid w:val="290132B0"/>
    <w:rsid w:val="290D66FF"/>
    <w:rsid w:val="291048B1"/>
    <w:rsid w:val="291458F7"/>
    <w:rsid w:val="29162181"/>
    <w:rsid w:val="29187F2C"/>
    <w:rsid w:val="291A7161"/>
    <w:rsid w:val="29212A52"/>
    <w:rsid w:val="29287392"/>
    <w:rsid w:val="292D4156"/>
    <w:rsid w:val="293C106B"/>
    <w:rsid w:val="2944442E"/>
    <w:rsid w:val="294837F2"/>
    <w:rsid w:val="294A756A"/>
    <w:rsid w:val="29530BA4"/>
    <w:rsid w:val="295423C7"/>
    <w:rsid w:val="29583A35"/>
    <w:rsid w:val="29601A2C"/>
    <w:rsid w:val="29673C78"/>
    <w:rsid w:val="297939AC"/>
    <w:rsid w:val="297D16EE"/>
    <w:rsid w:val="29802F8C"/>
    <w:rsid w:val="29884CED"/>
    <w:rsid w:val="298B1246"/>
    <w:rsid w:val="299114A7"/>
    <w:rsid w:val="29934A6D"/>
    <w:rsid w:val="299C4D2B"/>
    <w:rsid w:val="29A0647A"/>
    <w:rsid w:val="29A273A6"/>
    <w:rsid w:val="29A8109B"/>
    <w:rsid w:val="29B33362"/>
    <w:rsid w:val="29C55991"/>
    <w:rsid w:val="29CA2459"/>
    <w:rsid w:val="29CE5AA6"/>
    <w:rsid w:val="29D3130E"/>
    <w:rsid w:val="29DE0161"/>
    <w:rsid w:val="29DF7CB3"/>
    <w:rsid w:val="29E05449"/>
    <w:rsid w:val="29E36A18"/>
    <w:rsid w:val="29EB48A9"/>
    <w:rsid w:val="29EB5C8F"/>
    <w:rsid w:val="29F25A7E"/>
    <w:rsid w:val="29F4052B"/>
    <w:rsid w:val="29F55728"/>
    <w:rsid w:val="29F60EFA"/>
    <w:rsid w:val="29F82F90"/>
    <w:rsid w:val="2A0C5D48"/>
    <w:rsid w:val="2A164599"/>
    <w:rsid w:val="2A254C1D"/>
    <w:rsid w:val="2A260A48"/>
    <w:rsid w:val="2A2F3305"/>
    <w:rsid w:val="2A32089F"/>
    <w:rsid w:val="2A36189D"/>
    <w:rsid w:val="2A4310B4"/>
    <w:rsid w:val="2A436E74"/>
    <w:rsid w:val="2A444F6D"/>
    <w:rsid w:val="2A48159F"/>
    <w:rsid w:val="2A4D205E"/>
    <w:rsid w:val="2A513B27"/>
    <w:rsid w:val="2A53597C"/>
    <w:rsid w:val="2A58434E"/>
    <w:rsid w:val="2A5D6D30"/>
    <w:rsid w:val="2A701253"/>
    <w:rsid w:val="2A726D79"/>
    <w:rsid w:val="2A7319B4"/>
    <w:rsid w:val="2A757E5C"/>
    <w:rsid w:val="2A836854"/>
    <w:rsid w:val="2A97233B"/>
    <w:rsid w:val="2A9A5517"/>
    <w:rsid w:val="2A9E191C"/>
    <w:rsid w:val="2AA1571E"/>
    <w:rsid w:val="2AA94324"/>
    <w:rsid w:val="2AAA6513"/>
    <w:rsid w:val="2AAF3B29"/>
    <w:rsid w:val="2AAF5F7E"/>
    <w:rsid w:val="2AC33130"/>
    <w:rsid w:val="2AC36E4B"/>
    <w:rsid w:val="2ACD31B9"/>
    <w:rsid w:val="2AD43732"/>
    <w:rsid w:val="2ADF07C0"/>
    <w:rsid w:val="2AE74AF2"/>
    <w:rsid w:val="2AE83FAE"/>
    <w:rsid w:val="2AEB5E9D"/>
    <w:rsid w:val="2AF04EFB"/>
    <w:rsid w:val="2AFB31D6"/>
    <w:rsid w:val="2B033E75"/>
    <w:rsid w:val="2B067D9D"/>
    <w:rsid w:val="2B0A0D5F"/>
    <w:rsid w:val="2B0A5203"/>
    <w:rsid w:val="2B12376B"/>
    <w:rsid w:val="2B125E66"/>
    <w:rsid w:val="2B14513C"/>
    <w:rsid w:val="2B17347C"/>
    <w:rsid w:val="2B2E03BE"/>
    <w:rsid w:val="2B3D7387"/>
    <w:rsid w:val="2B493B77"/>
    <w:rsid w:val="2B4E6E2C"/>
    <w:rsid w:val="2B5C5333"/>
    <w:rsid w:val="2B5E135B"/>
    <w:rsid w:val="2B617E7A"/>
    <w:rsid w:val="2B667F60"/>
    <w:rsid w:val="2B674404"/>
    <w:rsid w:val="2B6E2C42"/>
    <w:rsid w:val="2B7E174D"/>
    <w:rsid w:val="2B7F799F"/>
    <w:rsid w:val="2B8A00F2"/>
    <w:rsid w:val="2BA03CE8"/>
    <w:rsid w:val="2BA72A52"/>
    <w:rsid w:val="2BA94A1C"/>
    <w:rsid w:val="2BC22F57"/>
    <w:rsid w:val="2BD96984"/>
    <w:rsid w:val="2BDE6429"/>
    <w:rsid w:val="2BE51E7D"/>
    <w:rsid w:val="2BEC2B5B"/>
    <w:rsid w:val="2BF642AA"/>
    <w:rsid w:val="2C0003B4"/>
    <w:rsid w:val="2C0762C3"/>
    <w:rsid w:val="2C131E96"/>
    <w:rsid w:val="2C167BD8"/>
    <w:rsid w:val="2C183950"/>
    <w:rsid w:val="2C1E4BA3"/>
    <w:rsid w:val="2C20566B"/>
    <w:rsid w:val="2C2372FA"/>
    <w:rsid w:val="2C274940"/>
    <w:rsid w:val="2C2E0A7D"/>
    <w:rsid w:val="2C3B5D40"/>
    <w:rsid w:val="2C3D5164"/>
    <w:rsid w:val="2C4315A8"/>
    <w:rsid w:val="2C597C75"/>
    <w:rsid w:val="2C6201EE"/>
    <w:rsid w:val="2C675627"/>
    <w:rsid w:val="2C6A3B68"/>
    <w:rsid w:val="2C6B67B5"/>
    <w:rsid w:val="2C932C3A"/>
    <w:rsid w:val="2C9D7C23"/>
    <w:rsid w:val="2CA23219"/>
    <w:rsid w:val="2CAE2D25"/>
    <w:rsid w:val="2CB010E4"/>
    <w:rsid w:val="2CC43C49"/>
    <w:rsid w:val="2CC530E9"/>
    <w:rsid w:val="2CC838BF"/>
    <w:rsid w:val="2CCA5D86"/>
    <w:rsid w:val="2CCB37BB"/>
    <w:rsid w:val="2CD94E8D"/>
    <w:rsid w:val="2CE01F20"/>
    <w:rsid w:val="2CE33F5E"/>
    <w:rsid w:val="2CF3514C"/>
    <w:rsid w:val="2CF67876"/>
    <w:rsid w:val="2D047A30"/>
    <w:rsid w:val="2D0F79B5"/>
    <w:rsid w:val="2D1302BF"/>
    <w:rsid w:val="2D22059E"/>
    <w:rsid w:val="2D390B59"/>
    <w:rsid w:val="2D3D0399"/>
    <w:rsid w:val="2D3D572C"/>
    <w:rsid w:val="2D4542D1"/>
    <w:rsid w:val="2D4A2D33"/>
    <w:rsid w:val="2D512A7E"/>
    <w:rsid w:val="2D5704A8"/>
    <w:rsid w:val="2D580BED"/>
    <w:rsid w:val="2D5C786C"/>
    <w:rsid w:val="2D6D2812"/>
    <w:rsid w:val="2D7707D2"/>
    <w:rsid w:val="2D784BE0"/>
    <w:rsid w:val="2D786702"/>
    <w:rsid w:val="2D834DF9"/>
    <w:rsid w:val="2D853E99"/>
    <w:rsid w:val="2D855015"/>
    <w:rsid w:val="2D8868B3"/>
    <w:rsid w:val="2D94167B"/>
    <w:rsid w:val="2D990AC0"/>
    <w:rsid w:val="2D991C06"/>
    <w:rsid w:val="2D9C6DE6"/>
    <w:rsid w:val="2D9E60D7"/>
    <w:rsid w:val="2DA34EFD"/>
    <w:rsid w:val="2DA97D95"/>
    <w:rsid w:val="2DB11966"/>
    <w:rsid w:val="2DBD671A"/>
    <w:rsid w:val="2DC51DFC"/>
    <w:rsid w:val="2DC747E2"/>
    <w:rsid w:val="2DCA61D0"/>
    <w:rsid w:val="2DCC1B3F"/>
    <w:rsid w:val="2DCF6290"/>
    <w:rsid w:val="2DD56F1C"/>
    <w:rsid w:val="2DDB2E87"/>
    <w:rsid w:val="2DE52022"/>
    <w:rsid w:val="2DE5704F"/>
    <w:rsid w:val="2DF31F7F"/>
    <w:rsid w:val="2DF434B8"/>
    <w:rsid w:val="2DF43EAD"/>
    <w:rsid w:val="2DFF521E"/>
    <w:rsid w:val="2E0D3509"/>
    <w:rsid w:val="2E1321AB"/>
    <w:rsid w:val="2E143129"/>
    <w:rsid w:val="2E1A72A5"/>
    <w:rsid w:val="2E1B49C8"/>
    <w:rsid w:val="2E3305CD"/>
    <w:rsid w:val="2E46786D"/>
    <w:rsid w:val="2E55472B"/>
    <w:rsid w:val="2E61338C"/>
    <w:rsid w:val="2E7C01C6"/>
    <w:rsid w:val="2E8B665B"/>
    <w:rsid w:val="2E935775"/>
    <w:rsid w:val="2E942B39"/>
    <w:rsid w:val="2E9A4AF0"/>
    <w:rsid w:val="2EA46591"/>
    <w:rsid w:val="2EA71B10"/>
    <w:rsid w:val="2EAC339F"/>
    <w:rsid w:val="2EAF5B2D"/>
    <w:rsid w:val="2EB45BB2"/>
    <w:rsid w:val="2EB72FAC"/>
    <w:rsid w:val="2EBD06E1"/>
    <w:rsid w:val="2EBF195F"/>
    <w:rsid w:val="2EC50E19"/>
    <w:rsid w:val="2EC529EA"/>
    <w:rsid w:val="2ECB6480"/>
    <w:rsid w:val="2ECD0A22"/>
    <w:rsid w:val="2ED25194"/>
    <w:rsid w:val="2ED3590C"/>
    <w:rsid w:val="2ED956FE"/>
    <w:rsid w:val="2EDA390E"/>
    <w:rsid w:val="2EDA53E9"/>
    <w:rsid w:val="2EE3501E"/>
    <w:rsid w:val="2EE45D6B"/>
    <w:rsid w:val="2EE63891"/>
    <w:rsid w:val="2EF266DA"/>
    <w:rsid w:val="2EF67C47"/>
    <w:rsid w:val="2EFC52E2"/>
    <w:rsid w:val="2EFC7851"/>
    <w:rsid w:val="2F0401BB"/>
    <w:rsid w:val="2F0C4CE3"/>
    <w:rsid w:val="2F0E55BE"/>
    <w:rsid w:val="2F1877C3"/>
    <w:rsid w:val="2F1B6430"/>
    <w:rsid w:val="2F2230E3"/>
    <w:rsid w:val="2F250C8C"/>
    <w:rsid w:val="2F2B230B"/>
    <w:rsid w:val="2F2F348A"/>
    <w:rsid w:val="2F3C6F86"/>
    <w:rsid w:val="2F4E3C2F"/>
    <w:rsid w:val="2F564966"/>
    <w:rsid w:val="2F5838AD"/>
    <w:rsid w:val="2F5A149A"/>
    <w:rsid w:val="2F5B1004"/>
    <w:rsid w:val="2F621497"/>
    <w:rsid w:val="2F623FC1"/>
    <w:rsid w:val="2FA36FB5"/>
    <w:rsid w:val="2FA40CEF"/>
    <w:rsid w:val="2FAA0330"/>
    <w:rsid w:val="2FAA223D"/>
    <w:rsid w:val="2FB50143"/>
    <w:rsid w:val="2FB57496"/>
    <w:rsid w:val="2FB90FA6"/>
    <w:rsid w:val="2FBA03B4"/>
    <w:rsid w:val="2FBC45F2"/>
    <w:rsid w:val="2FC160E4"/>
    <w:rsid w:val="2FCA571B"/>
    <w:rsid w:val="2FD77813"/>
    <w:rsid w:val="2FDE577C"/>
    <w:rsid w:val="30110DE2"/>
    <w:rsid w:val="30182FEE"/>
    <w:rsid w:val="30193D24"/>
    <w:rsid w:val="301C38BE"/>
    <w:rsid w:val="301D31C7"/>
    <w:rsid w:val="30236D88"/>
    <w:rsid w:val="303354AA"/>
    <w:rsid w:val="303625F7"/>
    <w:rsid w:val="303C512C"/>
    <w:rsid w:val="303F07CC"/>
    <w:rsid w:val="3040584C"/>
    <w:rsid w:val="30484B1E"/>
    <w:rsid w:val="304940D8"/>
    <w:rsid w:val="304B158E"/>
    <w:rsid w:val="304B3A81"/>
    <w:rsid w:val="30502D59"/>
    <w:rsid w:val="305C74BB"/>
    <w:rsid w:val="305D2645"/>
    <w:rsid w:val="30676C54"/>
    <w:rsid w:val="3068767A"/>
    <w:rsid w:val="308772AD"/>
    <w:rsid w:val="308A649E"/>
    <w:rsid w:val="308C5F1F"/>
    <w:rsid w:val="30913CD1"/>
    <w:rsid w:val="30967AE2"/>
    <w:rsid w:val="309E74DA"/>
    <w:rsid w:val="309F019C"/>
    <w:rsid w:val="30A40FEC"/>
    <w:rsid w:val="30A931F7"/>
    <w:rsid w:val="30B51FC9"/>
    <w:rsid w:val="30BD1F4D"/>
    <w:rsid w:val="30BE4502"/>
    <w:rsid w:val="30C32136"/>
    <w:rsid w:val="30C45E54"/>
    <w:rsid w:val="30C50A75"/>
    <w:rsid w:val="30C65728"/>
    <w:rsid w:val="30C73D20"/>
    <w:rsid w:val="30C86E2A"/>
    <w:rsid w:val="30C9346B"/>
    <w:rsid w:val="30CD17D7"/>
    <w:rsid w:val="30D27C22"/>
    <w:rsid w:val="30D314EE"/>
    <w:rsid w:val="30D81900"/>
    <w:rsid w:val="30DF7B80"/>
    <w:rsid w:val="30E107B4"/>
    <w:rsid w:val="30E60BEB"/>
    <w:rsid w:val="30ED1130"/>
    <w:rsid w:val="30EE2B85"/>
    <w:rsid w:val="30EE7D8F"/>
    <w:rsid w:val="30F5600E"/>
    <w:rsid w:val="30F63FAC"/>
    <w:rsid w:val="30F66243"/>
    <w:rsid w:val="30F81237"/>
    <w:rsid w:val="30FB030B"/>
    <w:rsid w:val="311D7312"/>
    <w:rsid w:val="31211C85"/>
    <w:rsid w:val="313259E5"/>
    <w:rsid w:val="313A6116"/>
    <w:rsid w:val="314029AF"/>
    <w:rsid w:val="314E4A9B"/>
    <w:rsid w:val="31510410"/>
    <w:rsid w:val="31532C6E"/>
    <w:rsid w:val="31551635"/>
    <w:rsid w:val="31553103"/>
    <w:rsid w:val="31641B5D"/>
    <w:rsid w:val="3169494D"/>
    <w:rsid w:val="316E1A51"/>
    <w:rsid w:val="31711667"/>
    <w:rsid w:val="318B24CE"/>
    <w:rsid w:val="318B3415"/>
    <w:rsid w:val="319122CB"/>
    <w:rsid w:val="3198735A"/>
    <w:rsid w:val="31A16195"/>
    <w:rsid w:val="31BD23A5"/>
    <w:rsid w:val="31C37EBA"/>
    <w:rsid w:val="31C8317F"/>
    <w:rsid w:val="31D16A7B"/>
    <w:rsid w:val="31D2228D"/>
    <w:rsid w:val="31D24055"/>
    <w:rsid w:val="31D420C7"/>
    <w:rsid w:val="31D62318"/>
    <w:rsid w:val="31D64091"/>
    <w:rsid w:val="31D71BB7"/>
    <w:rsid w:val="31DC5C3F"/>
    <w:rsid w:val="31E542D4"/>
    <w:rsid w:val="31F65BC5"/>
    <w:rsid w:val="320504D2"/>
    <w:rsid w:val="320A5AE9"/>
    <w:rsid w:val="321A0F82"/>
    <w:rsid w:val="322546D1"/>
    <w:rsid w:val="32270FDF"/>
    <w:rsid w:val="3227704B"/>
    <w:rsid w:val="322A7FAB"/>
    <w:rsid w:val="322C5A5F"/>
    <w:rsid w:val="322E7A29"/>
    <w:rsid w:val="32314D46"/>
    <w:rsid w:val="323B2146"/>
    <w:rsid w:val="323C5C13"/>
    <w:rsid w:val="32402E59"/>
    <w:rsid w:val="324C6402"/>
    <w:rsid w:val="32566F80"/>
    <w:rsid w:val="325D1A87"/>
    <w:rsid w:val="325F4F7E"/>
    <w:rsid w:val="32701C79"/>
    <w:rsid w:val="32747406"/>
    <w:rsid w:val="32803FFD"/>
    <w:rsid w:val="32811CA1"/>
    <w:rsid w:val="32812D01"/>
    <w:rsid w:val="32842463"/>
    <w:rsid w:val="32870A87"/>
    <w:rsid w:val="329C74D9"/>
    <w:rsid w:val="32A37E25"/>
    <w:rsid w:val="32A74481"/>
    <w:rsid w:val="32AB2C84"/>
    <w:rsid w:val="32AD1D1E"/>
    <w:rsid w:val="32B06690"/>
    <w:rsid w:val="32B202B4"/>
    <w:rsid w:val="32B36180"/>
    <w:rsid w:val="32B67A1F"/>
    <w:rsid w:val="32BB6DE3"/>
    <w:rsid w:val="32BF2D77"/>
    <w:rsid w:val="32C27716"/>
    <w:rsid w:val="32CB4FAC"/>
    <w:rsid w:val="32CC0414"/>
    <w:rsid w:val="32D87995"/>
    <w:rsid w:val="32DA44F0"/>
    <w:rsid w:val="32DC56D7"/>
    <w:rsid w:val="32E63272"/>
    <w:rsid w:val="32E672DE"/>
    <w:rsid w:val="32EC4142"/>
    <w:rsid w:val="32EF2E0A"/>
    <w:rsid w:val="32EF7EFD"/>
    <w:rsid w:val="32FB17B4"/>
    <w:rsid w:val="3304078A"/>
    <w:rsid w:val="330662B0"/>
    <w:rsid w:val="33102119"/>
    <w:rsid w:val="331D33FC"/>
    <w:rsid w:val="332B6001"/>
    <w:rsid w:val="333C3BC2"/>
    <w:rsid w:val="33424F22"/>
    <w:rsid w:val="33447B2B"/>
    <w:rsid w:val="33462B51"/>
    <w:rsid w:val="3350577D"/>
    <w:rsid w:val="33525999"/>
    <w:rsid w:val="33550FE6"/>
    <w:rsid w:val="335C6818"/>
    <w:rsid w:val="336400BF"/>
    <w:rsid w:val="336B25B7"/>
    <w:rsid w:val="337165D8"/>
    <w:rsid w:val="337C6572"/>
    <w:rsid w:val="337D6238"/>
    <w:rsid w:val="33810294"/>
    <w:rsid w:val="338326E6"/>
    <w:rsid w:val="3388795B"/>
    <w:rsid w:val="338A5A42"/>
    <w:rsid w:val="339931EC"/>
    <w:rsid w:val="33AF4B9A"/>
    <w:rsid w:val="33AF7B4B"/>
    <w:rsid w:val="33B12096"/>
    <w:rsid w:val="33B65F28"/>
    <w:rsid w:val="33B937AE"/>
    <w:rsid w:val="33BA709B"/>
    <w:rsid w:val="33C037C6"/>
    <w:rsid w:val="33CB12A8"/>
    <w:rsid w:val="33CB2B25"/>
    <w:rsid w:val="33CF032C"/>
    <w:rsid w:val="33D20888"/>
    <w:rsid w:val="33D30872"/>
    <w:rsid w:val="33D644E0"/>
    <w:rsid w:val="33E54E57"/>
    <w:rsid w:val="33FF7DD1"/>
    <w:rsid w:val="3400397B"/>
    <w:rsid w:val="340053F5"/>
    <w:rsid w:val="340225C1"/>
    <w:rsid w:val="340421C0"/>
    <w:rsid w:val="340B52AC"/>
    <w:rsid w:val="341D7D55"/>
    <w:rsid w:val="34210E80"/>
    <w:rsid w:val="34216C6E"/>
    <w:rsid w:val="342509B8"/>
    <w:rsid w:val="3426451E"/>
    <w:rsid w:val="342866FA"/>
    <w:rsid w:val="342B031E"/>
    <w:rsid w:val="34306033"/>
    <w:rsid w:val="343174F8"/>
    <w:rsid w:val="3438259F"/>
    <w:rsid w:val="343D03F7"/>
    <w:rsid w:val="343E1A7A"/>
    <w:rsid w:val="343F2D3C"/>
    <w:rsid w:val="344434AA"/>
    <w:rsid w:val="34454601"/>
    <w:rsid w:val="346F257B"/>
    <w:rsid w:val="34757B91"/>
    <w:rsid w:val="347E7A04"/>
    <w:rsid w:val="34833670"/>
    <w:rsid w:val="348B70ED"/>
    <w:rsid w:val="348F3CC4"/>
    <w:rsid w:val="3490075C"/>
    <w:rsid w:val="34AF18BD"/>
    <w:rsid w:val="34AF6494"/>
    <w:rsid w:val="34BB131C"/>
    <w:rsid w:val="34BC5B05"/>
    <w:rsid w:val="34BF77AC"/>
    <w:rsid w:val="34CA4F44"/>
    <w:rsid w:val="34CA7D5B"/>
    <w:rsid w:val="34E42621"/>
    <w:rsid w:val="34EF7417"/>
    <w:rsid w:val="34F1381F"/>
    <w:rsid w:val="34F860CC"/>
    <w:rsid w:val="34FF6AFD"/>
    <w:rsid w:val="350C5F2A"/>
    <w:rsid w:val="350D1656"/>
    <w:rsid w:val="35156C7E"/>
    <w:rsid w:val="35170C48"/>
    <w:rsid w:val="351A6693"/>
    <w:rsid w:val="351C600B"/>
    <w:rsid w:val="352A01FB"/>
    <w:rsid w:val="352B64A2"/>
    <w:rsid w:val="353427B6"/>
    <w:rsid w:val="353E374D"/>
    <w:rsid w:val="353E4427"/>
    <w:rsid w:val="353F2D47"/>
    <w:rsid w:val="354E4AE3"/>
    <w:rsid w:val="35664FA4"/>
    <w:rsid w:val="35867B7C"/>
    <w:rsid w:val="358A057D"/>
    <w:rsid w:val="358D13E5"/>
    <w:rsid w:val="35913833"/>
    <w:rsid w:val="359152E1"/>
    <w:rsid w:val="35A6148D"/>
    <w:rsid w:val="35A85D44"/>
    <w:rsid w:val="35AE5AAF"/>
    <w:rsid w:val="35B71AE4"/>
    <w:rsid w:val="35BF4E3C"/>
    <w:rsid w:val="35C062AF"/>
    <w:rsid w:val="35C479B9"/>
    <w:rsid w:val="35C91817"/>
    <w:rsid w:val="35D07049"/>
    <w:rsid w:val="35D62449"/>
    <w:rsid w:val="35E017A1"/>
    <w:rsid w:val="35E21FE4"/>
    <w:rsid w:val="35E6686D"/>
    <w:rsid w:val="35E816D5"/>
    <w:rsid w:val="35F1149A"/>
    <w:rsid w:val="35F6716C"/>
    <w:rsid w:val="35FC399A"/>
    <w:rsid w:val="36017203"/>
    <w:rsid w:val="36041DB2"/>
    <w:rsid w:val="36043793"/>
    <w:rsid w:val="360B0081"/>
    <w:rsid w:val="36203B2D"/>
    <w:rsid w:val="36274B47"/>
    <w:rsid w:val="363864B1"/>
    <w:rsid w:val="363A6C6B"/>
    <w:rsid w:val="36443E2B"/>
    <w:rsid w:val="3647730B"/>
    <w:rsid w:val="36536868"/>
    <w:rsid w:val="366120DA"/>
    <w:rsid w:val="36621384"/>
    <w:rsid w:val="36653CCF"/>
    <w:rsid w:val="367763B7"/>
    <w:rsid w:val="367814F7"/>
    <w:rsid w:val="36877708"/>
    <w:rsid w:val="36930522"/>
    <w:rsid w:val="36941E25"/>
    <w:rsid w:val="369D33CF"/>
    <w:rsid w:val="36B44275"/>
    <w:rsid w:val="36B933B3"/>
    <w:rsid w:val="36B96CD0"/>
    <w:rsid w:val="36BA5F77"/>
    <w:rsid w:val="36BA76ED"/>
    <w:rsid w:val="36BD5820"/>
    <w:rsid w:val="36C1114B"/>
    <w:rsid w:val="36C33AC3"/>
    <w:rsid w:val="36C61C10"/>
    <w:rsid w:val="36CE0F9D"/>
    <w:rsid w:val="36CE77CA"/>
    <w:rsid w:val="36D703D0"/>
    <w:rsid w:val="36E27AE8"/>
    <w:rsid w:val="36F17277"/>
    <w:rsid w:val="36F62AE0"/>
    <w:rsid w:val="36FD7411"/>
    <w:rsid w:val="36FE4793"/>
    <w:rsid w:val="37061419"/>
    <w:rsid w:val="37073116"/>
    <w:rsid w:val="37081803"/>
    <w:rsid w:val="371056DD"/>
    <w:rsid w:val="371E6540"/>
    <w:rsid w:val="37250EFB"/>
    <w:rsid w:val="372907BF"/>
    <w:rsid w:val="372A1930"/>
    <w:rsid w:val="37305FF2"/>
    <w:rsid w:val="37335E10"/>
    <w:rsid w:val="37362EDC"/>
    <w:rsid w:val="373950C8"/>
    <w:rsid w:val="373C1EC0"/>
    <w:rsid w:val="373E607A"/>
    <w:rsid w:val="373F59C5"/>
    <w:rsid w:val="3740339A"/>
    <w:rsid w:val="37413B8C"/>
    <w:rsid w:val="37445A13"/>
    <w:rsid w:val="37476A3A"/>
    <w:rsid w:val="374920E7"/>
    <w:rsid w:val="374A0840"/>
    <w:rsid w:val="374A1B78"/>
    <w:rsid w:val="375A7447"/>
    <w:rsid w:val="37667C65"/>
    <w:rsid w:val="377866CE"/>
    <w:rsid w:val="378620B5"/>
    <w:rsid w:val="37870D15"/>
    <w:rsid w:val="378D6AAE"/>
    <w:rsid w:val="37937923"/>
    <w:rsid w:val="37941808"/>
    <w:rsid w:val="379672CC"/>
    <w:rsid w:val="379C3687"/>
    <w:rsid w:val="37A57191"/>
    <w:rsid w:val="37AD24E7"/>
    <w:rsid w:val="37BC1239"/>
    <w:rsid w:val="37C334A0"/>
    <w:rsid w:val="37C708DE"/>
    <w:rsid w:val="37C91FA2"/>
    <w:rsid w:val="37CE1367"/>
    <w:rsid w:val="37DA39D0"/>
    <w:rsid w:val="37E0592C"/>
    <w:rsid w:val="37EE2BEA"/>
    <w:rsid w:val="37EF7C5B"/>
    <w:rsid w:val="37F54B45"/>
    <w:rsid w:val="37F93088"/>
    <w:rsid w:val="37FC4126"/>
    <w:rsid w:val="37FF2CDF"/>
    <w:rsid w:val="38003C16"/>
    <w:rsid w:val="380450EE"/>
    <w:rsid w:val="380544F1"/>
    <w:rsid w:val="38072F85"/>
    <w:rsid w:val="380B4A2F"/>
    <w:rsid w:val="381126F5"/>
    <w:rsid w:val="381274A5"/>
    <w:rsid w:val="38131D55"/>
    <w:rsid w:val="38172D0E"/>
    <w:rsid w:val="38224F69"/>
    <w:rsid w:val="3829508D"/>
    <w:rsid w:val="38376875"/>
    <w:rsid w:val="3838582C"/>
    <w:rsid w:val="383A57F6"/>
    <w:rsid w:val="383C4522"/>
    <w:rsid w:val="383D1317"/>
    <w:rsid w:val="38451070"/>
    <w:rsid w:val="384635F3"/>
    <w:rsid w:val="3847606F"/>
    <w:rsid w:val="384F44DE"/>
    <w:rsid w:val="385839D6"/>
    <w:rsid w:val="3862667F"/>
    <w:rsid w:val="386A2F4E"/>
    <w:rsid w:val="386C3059"/>
    <w:rsid w:val="387D01B4"/>
    <w:rsid w:val="38807E5C"/>
    <w:rsid w:val="3881462B"/>
    <w:rsid w:val="38853C98"/>
    <w:rsid w:val="3894435E"/>
    <w:rsid w:val="38A10829"/>
    <w:rsid w:val="38A73A87"/>
    <w:rsid w:val="38A92785"/>
    <w:rsid w:val="38AA285E"/>
    <w:rsid w:val="38AF00B2"/>
    <w:rsid w:val="38B35A1A"/>
    <w:rsid w:val="38B95B73"/>
    <w:rsid w:val="38C3056C"/>
    <w:rsid w:val="38C31508"/>
    <w:rsid w:val="38C5282D"/>
    <w:rsid w:val="38C66880"/>
    <w:rsid w:val="38CA3D89"/>
    <w:rsid w:val="38CD161E"/>
    <w:rsid w:val="38CE04EE"/>
    <w:rsid w:val="38D34E86"/>
    <w:rsid w:val="38D72C07"/>
    <w:rsid w:val="38D75095"/>
    <w:rsid w:val="38D90929"/>
    <w:rsid w:val="38DB3D3B"/>
    <w:rsid w:val="38EC24CB"/>
    <w:rsid w:val="38ED1A37"/>
    <w:rsid w:val="38F17A02"/>
    <w:rsid w:val="39007423"/>
    <w:rsid w:val="39033292"/>
    <w:rsid w:val="3908417F"/>
    <w:rsid w:val="390F461C"/>
    <w:rsid w:val="391878CA"/>
    <w:rsid w:val="391A2AB5"/>
    <w:rsid w:val="392F73CD"/>
    <w:rsid w:val="393C2526"/>
    <w:rsid w:val="394418E0"/>
    <w:rsid w:val="39495149"/>
    <w:rsid w:val="395064D7"/>
    <w:rsid w:val="395C1320"/>
    <w:rsid w:val="395D0DDE"/>
    <w:rsid w:val="3975784B"/>
    <w:rsid w:val="39761D9B"/>
    <w:rsid w:val="397E6E35"/>
    <w:rsid w:val="39832C9C"/>
    <w:rsid w:val="398E5251"/>
    <w:rsid w:val="39903E56"/>
    <w:rsid w:val="399F3513"/>
    <w:rsid w:val="399F551B"/>
    <w:rsid w:val="39A14377"/>
    <w:rsid w:val="39A14595"/>
    <w:rsid w:val="39AB5653"/>
    <w:rsid w:val="39B275C5"/>
    <w:rsid w:val="39B90520"/>
    <w:rsid w:val="39C550E6"/>
    <w:rsid w:val="39D210D0"/>
    <w:rsid w:val="39D722E7"/>
    <w:rsid w:val="39DC420F"/>
    <w:rsid w:val="39E210F9"/>
    <w:rsid w:val="39E71685"/>
    <w:rsid w:val="39E82910"/>
    <w:rsid w:val="39ED5672"/>
    <w:rsid w:val="39F23A32"/>
    <w:rsid w:val="39F36841"/>
    <w:rsid w:val="39FA28E7"/>
    <w:rsid w:val="39FE23D7"/>
    <w:rsid w:val="3A091639"/>
    <w:rsid w:val="3A0C3897"/>
    <w:rsid w:val="3A1514CF"/>
    <w:rsid w:val="3A190FBF"/>
    <w:rsid w:val="3A1A4D37"/>
    <w:rsid w:val="3A1E4827"/>
    <w:rsid w:val="3A236898"/>
    <w:rsid w:val="3A283FE8"/>
    <w:rsid w:val="3A377697"/>
    <w:rsid w:val="3A405AE0"/>
    <w:rsid w:val="3A4D6EBA"/>
    <w:rsid w:val="3A4F2AA6"/>
    <w:rsid w:val="3A5271C6"/>
    <w:rsid w:val="3A545A9D"/>
    <w:rsid w:val="3A58700F"/>
    <w:rsid w:val="3A5B3385"/>
    <w:rsid w:val="3A6458C1"/>
    <w:rsid w:val="3A685AA2"/>
    <w:rsid w:val="3A690FB9"/>
    <w:rsid w:val="3A6E2AB6"/>
    <w:rsid w:val="3A721D04"/>
    <w:rsid w:val="3A841370"/>
    <w:rsid w:val="3A85143D"/>
    <w:rsid w:val="3A886145"/>
    <w:rsid w:val="3A90095A"/>
    <w:rsid w:val="3A9D5FEF"/>
    <w:rsid w:val="3AA32AB9"/>
    <w:rsid w:val="3AAD3FCD"/>
    <w:rsid w:val="3AB34B09"/>
    <w:rsid w:val="3ABB3AC8"/>
    <w:rsid w:val="3AC811AE"/>
    <w:rsid w:val="3ACB530F"/>
    <w:rsid w:val="3ACC5237"/>
    <w:rsid w:val="3ACE1709"/>
    <w:rsid w:val="3AD32B92"/>
    <w:rsid w:val="3AD77EA7"/>
    <w:rsid w:val="3AE02149"/>
    <w:rsid w:val="3AE75B60"/>
    <w:rsid w:val="3AED5FA8"/>
    <w:rsid w:val="3AF70BD4"/>
    <w:rsid w:val="3B042005"/>
    <w:rsid w:val="3B0C0187"/>
    <w:rsid w:val="3B0F304E"/>
    <w:rsid w:val="3B181276"/>
    <w:rsid w:val="3B190B4B"/>
    <w:rsid w:val="3B282CE6"/>
    <w:rsid w:val="3B29654C"/>
    <w:rsid w:val="3B30520F"/>
    <w:rsid w:val="3B3745A3"/>
    <w:rsid w:val="3B385475"/>
    <w:rsid w:val="3B454F21"/>
    <w:rsid w:val="3B4E2EEA"/>
    <w:rsid w:val="3B5E7D66"/>
    <w:rsid w:val="3B5E7F82"/>
    <w:rsid w:val="3B64626A"/>
    <w:rsid w:val="3B6C7053"/>
    <w:rsid w:val="3B6D5ABF"/>
    <w:rsid w:val="3B6E0271"/>
    <w:rsid w:val="3B7346FF"/>
    <w:rsid w:val="3B7921C4"/>
    <w:rsid w:val="3B857C0F"/>
    <w:rsid w:val="3B8E778B"/>
    <w:rsid w:val="3B8F2D0E"/>
    <w:rsid w:val="3BA1126C"/>
    <w:rsid w:val="3BA26E3E"/>
    <w:rsid w:val="3BA743A8"/>
    <w:rsid w:val="3BB865B6"/>
    <w:rsid w:val="3BC35F6B"/>
    <w:rsid w:val="3BCC6F70"/>
    <w:rsid w:val="3BD038FF"/>
    <w:rsid w:val="3BD05797"/>
    <w:rsid w:val="3BD10D36"/>
    <w:rsid w:val="3BDA69DA"/>
    <w:rsid w:val="3BDD601C"/>
    <w:rsid w:val="3BE3515A"/>
    <w:rsid w:val="3BE61F50"/>
    <w:rsid w:val="3BED0DC8"/>
    <w:rsid w:val="3BEF5FA9"/>
    <w:rsid w:val="3BF515B8"/>
    <w:rsid w:val="3BFA042E"/>
    <w:rsid w:val="3BFC46F4"/>
    <w:rsid w:val="3BFD1B6B"/>
    <w:rsid w:val="3C1D4F87"/>
    <w:rsid w:val="3C213BF5"/>
    <w:rsid w:val="3C251EB4"/>
    <w:rsid w:val="3C325ABF"/>
    <w:rsid w:val="3C3814A4"/>
    <w:rsid w:val="3C3C17BE"/>
    <w:rsid w:val="3C400C82"/>
    <w:rsid w:val="3C4F3592"/>
    <w:rsid w:val="3C502C92"/>
    <w:rsid w:val="3C5213D1"/>
    <w:rsid w:val="3C60554B"/>
    <w:rsid w:val="3C6E5ADB"/>
    <w:rsid w:val="3C722C08"/>
    <w:rsid w:val="3C7626F9"/>
    <w:rsid w:val="3C8918A9"/>
    <w:rsid w:val="3C8B5A78"/>
    <w:rsid w:val="3C8D7634"/>
    <w:rsid w:val="3CA3075F"/>
    <w:rsid w:val="3CA52FDE"/>
    <w:rsid w:val="3CA561E7"/>
    <w:rsid w:val="3CA81E8E"/>
    <w:rsid w:val="3CAD3C40"/>
    <w:rsid w:val="3CB21EE9"/>
    <w:rsid w:val="3CB348FB"/>
    <w:rsid w:val="3CBC3ECE"/>
    <w:rsid w:val="3CBD22CA"/>
    <w:rsid w:val="3CCA2A44"/>
    <w:rsid w:val="3CCE45CD"/>
    <w:rsid w:val="3CD01B69"/>
    <w:rsid w:val="3CD04E10"/>
    <w:rsid w:val="3CDD6623"/>
    <w:rsid w:val="3CE352F4"/>
    <w:rsid w:val="3CE516EF"/>
    <w:rsid w:val="3CED04E1"/>
    <w:rsid w:val="3CFA33AA"/>
    <w:rsid w:val="3D006466"/>
    <w:rsid w:val="3D012608"/>
    <w:rsid w:val="3D075F89"/>
    <w:rsid w:val="3D1B67BE"/>
    <w:rsid w:val="3D1C6E75"/>
    <w:rsid w:val="3D211F38"/>
    <w:rsid w:val="3D2748D8"/>
    <w:rsid w:val="3D2775FF"/>
    <w:rsid w:val="3D2A34E3"/>
    <w:rsid w:val="3D2B758E"/>
    <w:rsid w:val="3D2F0AF9"/>
    <w:rsid w:val="3D3D773B"/>
    <w:rsid w:val="3D3E20F2"/>
    <w:rsid w:val="3D474095"/>
    <w:rsid w:val="3D5E6263"/>
    <w:rsid w:val="3D684A0B"/>
    <w:rsid w:val="3D68628A"/>
    <w:rsid w:val="3D695010"/>
    <w:rsid w:val="3D6A3534"/>
    <w:rsid w:val="3D741B32"/>
    <w:rsid w:val="3D812C15"/>
    <w:rsid w:val="3D8726E3"/>
    <w:rsid w:val="3D917B23"/>
    <w:rsid w:val="3D9646D4"/>
    <w:rsid w:val="3D98669F"/>
    <w:rsid w:val="3D987E28"/>
    <w:rsid w:val="3D9B25C9"/>
    <w:rsid w:val="3D9C6E8A"/>
    <w:rsid w:val="3DA623A1"/>
    <w:rsid w:val="3DAA0180"/>
    <w:rsid w:val="3DB41F8C"/>
    <w:rsid w:val="3DBD1502"/>
    <w:rsid w:val="3DBD5A21"/>
    <w:rsid w:val="3DD2455F"/>
    <w:rsid w:val="3DE257B1"/>
    <w:rsid w:val="3DE55091"/>
    <w:rsid w:val="3DF02630"/>
    <w:rsid w:val="3DF32FC8"/>
    <w:rsid w:val="3DFE0BF8"/>
    <w:rsid w:val="3E156146"/>
    <w:rsid w:val="3E164476"/>
    <w:rsid w:val="3E171CB9"/>
    <w:rsid w:val="3E1B5E09"/>
    <w:rsid w:val="3E1E66F6"/>
    <w:rsid w:val="3E483851"/>
    <w:rsid w:val="3E502AD5"/>
    <w:rsid w:val="3E532077"/>
    <w:rsid w:val="3E5500EC"/>
    <w:rsid w:val="3E5A7DF8"/>
    <w:rsid w:val="3E5C5757"/>
    <w:rsid w:val="3E5D330A"/>
    <w:rsid w:val="3E740560"/>
    <w:rsid w:val="3E7B465D"/>
    <w:rsid w:val="3E7C62F9"/>
    <w:rsid w:val="3E7E2A01"/>
    <w:rsid w:val="3E7E5894"/>
    <w:rsid w:val="3E891477"/>
    <w:rsid w:val="3E8C7FB4"/>
    <w:rsid w:val="3E9414EB"/>
    <w:rsid w:val="3E9450B8"/>
    <w:rsid w:val="3E9A366A"/>
    <w:rsid w:val="3E9E08BA"/>
    <w:rsid w:val="3E9F1D3A"/>
    <w:rsid w:val="3EA472ED"/>
    <w:rsid w:val="3EB05C6A"/>
    <w:rsid w:val="3ED2798E"/>
    <w:rsid w:val="3ED9093A"/>
    <w:rsid w:val="3EDB3EC8"/>
    <w:rsid w:val="3EDF3E59"/>
    <w:rsid w:val="3EE002FD"/>
    <w:rsid w:val="3EE6343A"/>
    <w:rsid w:val="3EEE1F3F"/>
    <w:rsid w:val="3EF40282"/>
    <w:rsid w:val="3EF53FC6"/>
    <w:rsid w:val="3EFC1E31"/>
    <w:rsid w:val="3EFE4C27"/>
    <w:rsid w:val="3F057D64"/>
    <w:rsid w:val="3F180A9E"/>
    <w:rsid w:val="3F180FFC"/>
    <w:rsid w:val="3F257E08"/>
    <w:rsid w:val="3F270238"/>
    <w:rsid w:val="3F336B48"/>
    <w:rsid w:val="3F373C95"/>
    <w:rsid w:val="3F3B53DF"/>
    <w:rsid w:val="3F3C5ABC"/>
    <w:rsid w:val="3F462C97"/>
    <w:rsid w:val="3F47037C"/>
    <w:rsid w:val="3F514327"/>
    <w:rsid w:val="3F57308D"/>
    <w:rsid w:val="3F576C6F"/>
    <w:rsid w:val="3F5E1222"/>
    <w:rsid w:val="3F5E627C"/>
    <w:rsid w:val="3F674671"/>
    <w:rsid w:val="3F6E7B73"/>
    <w:rsid w:val="3F6F0DE1"/>
    <w:rsid w:val="3F7559D6"/>
    <w:rsid w:val="3F76453A"/>
    <w:rsid w:val="3F8C5D4D"/>
    <w:rsid w:val="3F9B3A66"/>
    <w:rsid w:val="3FA0699A"/>
    <w:rsid w:val="3FA27361"/>
    <w:rsid w:val="3FA462C7"/>
    <w:rsid w:val="3FAE3F57"/>
    <w:rsid w:val="3FB13A48"/>
    <w:rsid w:val="3FBB6674"/>
    <w:rsid w:val="3FBE7242"/>
    <w:rsid w:val="3FC62645"/>
    <w:rsid w:val="3FCD0C15"/>
    <w:rsid w:val="3FD45693"/>
    <w:rsid w:val="3FD55988"/>
    <w:rsid w:val="3FDF4941"/>
    <w:rsid w:val="3FE1257F"/>
    <w:rsid w:val="3FE63F67"/>
    <w:rsid w:val="3FF1653A"/>
    <w:rsid w:val="3FF21918"/>
    <w:rsid w:val="3FF31806"/>
    <w:rsid w:val="3FF762AF"/>
    <w:rsid w:val="40004BA4"/>
    <w:rsid w:val="40007389"/>
    <w:rsid w:val="40076632"/>
    <w:rsid w:val="400B13AA"/>
    <w:rsid w:val="400F3A5F"/>
    <w:rsid w:val="400F5703"/>
    <w:rsid w:val="401A5ED4"/>
    <w:rsid w:val="401F3A29"/>
    <w:rsid w:val="401F4E55"/>
    <w:rsid w:val="401F6C03"/>
    <w:rsid w:val="4021297B"/>
    <w:rsid w:val="4021472D"/>
    <w:rsid w:val="40254073"/>
    <w:rsid w:val="40271F5C"/>
    <w:rsid w:val="402B654B"/>
    <w:rsid w:val="40324E07"/>
    <w:rsid w:val="40352509"/>
    <w:rsid w:val="403A57EB"/>
    <w:rsid w:val="403B7F18"/>
    <w:rsid w:val="4063553F"/>
    <w:rsid w:val="4067011C"/>
    <w:rsid w:val="406C497A"/>
    <w:rsid w:val="40710FDC"/>
    <w:rsid w:val="408353E4"/>
    <w:rsid w:val="40923C4F"/>
    <w:rsid w:val="40962C5C"/>
    <w:rsid w:val="40965701"/>
    <w:rsid w:val="409B7103"/>
    <w:rsid w:val="40A4535A"/>
    <w:rsid w:val="40A47108"/>
    <w:rsid w:val="40A71723"/>
    <w:rsid w:val="40A92908"/>
    <w:rsid w:val="40AC3EF0"/>
    <w:rsid w:val="40AD06B3"/>
    <w:rsid w:val="40AD420F"/>
    <w:rsid w:val="40AE3EF3"/>
    <w:rsid w:val="40B06AAB"/>
    <w:rsid w:val="40B3001D"/>
    <w:rsid w:val="40B51316"/>
    <w:rsid w:val="40C773AC"/>
    <w:rsid w:val="40D55514"/>
    <w:rsid w:val="40D92C20"/>
    <w:rsid w:val="40DC2916"/>
    <w:rsid w:val="40E25AA6"/>
    <w:rsid w:val="40E63BC5"/>
    <w:rsid w:val="40E93594"/>
    <w:rsid w:val="40E944FF"/>
    <w:rsid w:val="40F053F7"/>
    <w:rsid w:val="41055709"/>
    <w:rsid w:val="410A1661"/>
    <w:rsid w:val="41106798"/>
    <w:rsid w:val="411403E5"/>
    <w:rsid w:val="411E510D"/>
    <w:rsid w:val="4125452D"/>
    <w:rsid w:val="41257D97"/>
    <w:rsid w:val="41285F8B"/>
    <w:rsid w:val="4134048C"/>
    <w:rsid w:val="41353EE1"/>
    <w:rsid w:val="41366EDF"/>
    <w:rsid w:val="413722F8"/>
    <w:rsid w:val="41427D1A"/>
    <w:rsid w:val="414E23FA"/>
    <w:rsid w:val="414F3518"/>
    <w:rsid w:val="41517D2D"/>
    <w:rsid w:val="415648A7"/>
    <w:rsid w:val="415669EA"/>
    <w:rsid w:val="415E375B"/>
    <w:rsid w:val="41651580"/>
    <w:rsid w:val="416843CE"/>
    <w:rsid w:val="416965E3"/>
    <w:rsid w:val="4179064F"/>
    <w:rsid w:val="417A7F65"/>
    <w:rsid w:val="418238EE"/>
    <w:rsid w:val="41964CD9"/>
    <w:rsid w:val="4198549E"/>
    <w:rsid w:val="41997F4B"/>
    <w:rsid w:val="419F48E6"/>
    <w:rsid w:val="41A35612"/>
    <w:rsid w:val="41A46BD8"/>
    <w:rsid w:val="41B271D1"/>
    <w:rsid w:val="41B44F2C"/>
    <w:rsid w:val="41B63597"/>
    <w:rsid w:val="41B809EC"/>
    <w:rsid w:val="41C35145"/>
    <w:rsid w:val="41CA7C1B"/>
    <w:rsid w:val="41CB5D4C"/>
    <w:rsid w:val="41CE4490"/>
    <w:rsid w:val="41D56CFF"/>
    <w:rsid w:val="41D65295"/>
    <w:rsid w:val="41E345C1"/>
    <w:rsid w:val="41ED5F20"/>
    <w:rsid w:val="41EF5009"/>
    <w:rsid w:val="41F353C0"/>
    <w:rsid w:val="41F36599"/>
    <w:rsid w:val="41F67E38"/>
    <w:rsid w:val="41FF32C7"/>
    <w:rsid w:val="42016373"/>
    <w:rsid w:val="420F1107"/>
    <w:rsid w:val="4210335F"/>
    <w:rsid w:val="42130460"/>
    <w:rsid w:val="421B2E93"/>
    <w:rsid w:val="422A6DE4"/>
    <w:rsid w:val="422C5224"/>
    <w:rsid w:val="422D1435"/>
    <w:rsid w:val="42312C1E"/>
    <w:rsid w:val="42344C8A"/>
    <w:rsid w:val="423A7D24"/>
    <w:rsid w:val="424E4C37"/>
    <w:rsid w:val="425E1279"/>
    <w:rsid w:val="426171AF"/>
    <w:rsid w:val="426357B0"/>
    <w:rsid w:val="42645B8A"/>
    <w:rsid w:val="42786A9F"/>
    <w:rsid w:val="428121EA"/>
    <w:rsid w:val="428A2D72"/>
    <w:rsid w:val="428A7C17"/>
    <w:rsid w:val="428C584E"/>
    <w:rsid w:val="4292698B"/>
    <w:rsid w:val="429E3EF8"/>
    <w:rsid w:val="42A11B51"/>
    <w:rsid w:val="42AE051C"/>
    <w:rsid w:val="42BA1FE8"/>
    <w:rsid w:val="42C41794"/>
    <w:rsid w:val="42C57F36"/>
    <w:rsid w:val="42CA4A19"/>
    <w:rsid w:val="42D53EF1"/>
    <w:rsid w:val="42D569A5"/>
    <w:rsid w:val="42DF08CC"/>
    <w:rsid w:val="42E25935"/>
    <w:rsid w:val="42ED328D"/>
    <w:rsid w:val="42EE04F8"/>
    <w:rsid w:val="42EE4356"/>
    <w:rsid w:val="430F38CB"/>
    <w:rsid w:val="431A45DB"/>
    <w:rsid w:val="43320C1A"/>
    <w:rsid w:val="4335673E"/>
    <w:rsid w:val="43364990"/>
    <w:rsid w:val="43427A0C"/>
    <w:rsid w:val="43430E5B"/>
    <w:rsid w:val="434633FD"/>
    <w:rsid w:val="43595962"/>
    <w:rsid w:val="435C3CCA"/>
    <w:rsid w:val="43603FF7"/>
    <w:rsid w:val="436332AB"/>
    <w:rsid w:val="436C1C33"/>
    <w:rsid w:val="436F1315"/>
    <w:rsid w:val="43714522"/>
    <w:rsid w:val="43727992"/>
    <w:rsid w:val="43754D8C"/>
    <w:rsid w:val="437E7C29"/>
    <w:rsid w:val="438374A9"/>
    <w:rsid w:val="438576C5"/>
    <w:rsid w:val="438A4CDB"/>
    <w:rsid w:val="439671DC"/>
    <w:rsid w:val="4399570E"/>
    <w:rsid w:val="439F0A26"/>
    <w:rsid w:val="43B41D58"/>
    <w:rsid w:val="43BB3A2C"/>
    <w:rsid w:val="43E230C3"/>
    <w:rsid w:val="43E4263E"/>
    <w:rsid w:val="43E42E1F"/>
    <w:rsid w:val="43E462C9"/>
    <w:rsid w:val="43E72B76"/>
    <w:rsid w:val="43F3785F"/>
    <w:rsid w:val="440525B4"/>
    <w:rsid w:val="440A7BCA"/>
    <w:rsid w:val="440B0B40"/>
    <w:rsid w:val="441E4DA1"/>
    <w:rsid w:val="442C552A"/>
    <w:rsid w:val="44332D6D"/>
    <w:rsid w:val="443B3088"/>
    <w:rsid w:val="443F3C08"/>
    <w:rsid w:val="444B3541"/>
    <w:rsid w:val="444E4AAE"/>
    <w:rsid w:val="444F1165"/>
    <w:rsid w:val="445157F9"/>
    <w:rsid w:val="44531C3D"/>
    <w:rsid w:val="44557097"/>
    <w:rsid w:val="446442C4"/>
    <w:rsid w:val="44694FA1"/>
    <w:rsid w:val="446B0669"/>
    <w:rsid w:val="446C7220"/>
    <w:rsid w:val="447A7F72"/>
    <w:rsid w:val="448C74E9"/>
    <w:rsid w:val="448D7134"/>
    <w:rsid w:val="448E23D7"/>
    <w:rsid w:val="449344A5"/>
    <w:rsid w:val="449B32D9"/>
    <w:rsid w:val="44A8440D"/>
    <w:rsid w:val="44AA0B8D"/>
    <w:rsid w:val="44B02520"/>
    <w:rsid w:val="44B429B0"/>
    <w:rsid w:val="44B50DCE"/>
    <w:rsid w:val="44C773CD"/>
    <w:rsid w:val="44C91472"/>
    <w:rsid w:val="44CE6E4A"/>
    <w:rsid w:val="44D179A5"/>
    <w:rsid w:val="44D46964"/>
    <w:rsid w:val="44DE0AAF"/>
    <w:rsid w:val="44E747F5"/>
    <w:rsid w:val="44F2120D"/>
    <w:rsid w:val="44F3461D"/>
    <w:rsid w:val="44FC7513"/>
    <w:rsid w:val="44FE14DD"/>
    <w:rsid w:val="450165F4"/>
    <w:rsid w:val="45140D01"/>
    <w:rsid w:val="45144D67"/>
    <w:rsid w:val="451457B8"/>
    <w:rsid w:val="45181E73"/>
    <w:rsid w:val="452151CC"/>
    <w:rsid w:val="45216F46"/>
    <w:rsid w:val="452516DB"/>
    <w:rsid w:val="45252F0E"/>
    <w:rsid w:val="45260A34"/>
    <w:rsid w:val="452D591E"/>
    <w:rsid w:val="453C7530"/>
    <w:rsid w:val="453F4E68"/>
    <w:rsid w:val="45402EB7"/>
    <w:rsid w:val="45455877"/>
    <w:rsid w:val="454616F4"/>
    <w:rsid w:val="4550160D"/>
    <w:rsid w:val="455C2C32"/>
    <w:rsid w:val="45634BB1"/>
    <w:rsid w:val="457E261E"/>
    <w:rsid w:val="45893BB7"/>
    <w:rsid w:val="458C25C6"/>
    <w:rsid w:val="459B5A31"/>
    <w:rsid w:val="45A42AA2"/>
    <w:rsid w:val="45A73C2E"/>
    <w:rsid w:val="45B6251C"/>
    <w:rsid w:val="45B918A8"/>
    <w:rsid w:val="45B93656"/>
    <w:rsid w:val="45BE02AC"/>
    <w:rsid w:val="45C64D7A"/>
    <w:rsid w:val="45CF0D25"/>
    <w:rsid w:val="45D27FDE"/>
    <w:rsid w:val="45D830A1"/>
    <w:rsid w:val="45E47342"/>
    <w:rsid w:val="45E508BA"/>
    <w:rsid w:val="45EE1552"/>
    <w:rsid w:val="45F4643C"/>
    <w:rsid w:val="45F823D0"/>
    <w:rsid w:val="46030112"/>
    <w:rsid w:val="460366D7"/>
    <w:rsid w:val="4605689B"/>
    <w:rsid w:val="460C0DB4"/>
    <w:rsid w:val="460E02E4"/>
    <w:rsid w:val="462B481A"/>
    <w:rsid w:val="462F1CE7"/>
    <w:rsid w:val="46323802"/>
    <w:rsid w:val="46335C51"/>
    <w:rsid w:val="46342CDD"/>
    <w:rsid w:val="463C16DD"/>
    <w:rsid w:val="46431276"/>
    <w:rsid w:val="464D1C38"/>
    <w:rsid w:val="464D7120"/>
    <w:rsid w:val="464E1599"/>
    <w:rsid w:val="464F65A7"/>
    <w:rsid w:val="465C1DF3"/>
    <w:rsid w:val="46647CCB"/>
    <w:rsid w:val="467232DF"/>
    <w:rsid w:val="46794B93"/>
    <w:rsid w:val="46810644"/>
    <w:rsid w:val="468C4A5D"/>
    <w:rsid w:val="468C5BE8"/>
    <w:rsid w:val="468E4AE3"/>
    <w:rsid w:val="46BE6B5C"/>
    <w:rsid w:val="46CF7A10"/>
    <w:rsid w:val="46D1677D"/>
    <w:rsid w:val="46D5060B"/>
    <w:rsid w:val="46D85D5E"/>
    <w:rsid w:val="46E22739"/>
    <w:rsid w:val="46EA2791"/>
    <w:rsid w:val="46EB494F"/>
    <w:rsid w:val="46ED7A5B"/>
    <w:rsid w:val="46EE4FD8"/>
    <w:rsid w:val="46F506BE"/>
    <w:rsid w:val="46FA7B2E"/>
    <w:rsid w:val="47006969"/>
    <w:rsid w:val="470C4453"/>
    <w:rsid w:val="471F2E35"/>
    <w:rsid w:val="47240FA3"/>
    <w:rsid w:val="47262F6D"/>
    <w:rsid w:val="472B40E0"/>
    <w:rsid w:val="472D7E58"/>
    <w:rsid w:val="473144C7"/>
    <w:rsid w:val="4731550D"/>
    <w:rsid w:val="47326302"/>
    <w:rsid w:val="47375346"/>
    <w:rsid w:val="47455B21"/>
    <w:rsid w:val="47456DDE"/>
    <w:rsid w:val="4746424D"/>
    <w:rsid w:val="475278BE"/>
    <w:rsid w:val="475B0560"/>
    <w:rsid w:val="475E44B5"/>
    <w:rsid w:val="476310AA"/>
    <w:rsid w:val="47634EFE"/>
    <w:rsid w:val="4766448E"/>
    <w:rsid w:val="476B6BD2"/>
    <w:rsid w:val="47723ABC"/>
    <w:rsid w:val="477E4B57"/>
    <w:rsid w:val="478B054B"/>
    <w:rsid w:val="478F0B12"/>
    <w:rsid w:val="47930F8F"/>
    <w:rsid w:val="47971775"/>
    <w:rsid w:val="479B1265"/>
    <w:rsid w:val="47A91D54"/>
    <w:rsid w:val="47BE4F54"/>
    <w:rsid w:val="47C167F2"/>
    <w:rsid w:val="47C274F8"/>
    <w:rsid w:val="47C46DF8"/>
    <w:rsid w:val="47D40183"/>
    <w:rsid w:val="47D574F1"/>
    <w:rsid w:val="47EC1AC1"/>
    <w:rsid w:val="47EE0AE2"/>
    <w:rsid w:val="47EE0C41"/>
    <w:rsid w:val="4800731A"/>
    <w:rsid w:val="4802059D"/>
    <w:rsid w:val="48073570"/>
    <w:rsid w:val="480D7C89"/>
    <w:rsid w:val="48143C2C"/>
    <w:rsid w:val="481D7ECC"/>
    <w:rsid w:val="481E772F"/>
    <w:rsid w:val="482229EA"/>
    <w:rsid w:val="482A48FE"/>
    <w:rsid w:val="483114A0"/>
    <w:rsid w:val="483A4518"/>
    <w:rsid w:val="48403BBB"/>
    <w:rsid w:val="4846779D"/>
    <w:rsid w:val="48497EE3"/>
    <w:rsid w:val="484C6980"/>
    <w:rsid w:val="484F2050"/>
    <w:rsid w:val="484F3305"/>
    <w:rsid w:val="48572131"/>
    <w:rsid w:val="48585503"/>
    <w:rsid w:val="485F349F"/>
    <w:rsid w:val="486057F4"/>
    <w:rsid w:val="4866146B"/>
    <w:rsid w:val="48662CAB"/>
    <w:rsid w:val="4868376D"/>
    <w:rsid w:val="487702BD"/>
    <w:rsid w:val="487A34B7"/>
    <w:rsid w:val="487C2B71"/>
    <w:rsid w:val="487D4E0F"/>
    <w:rsid w:val="488A3088"/>
    <w:rsid w:val="4893018E"/>
    <w:rsid w:val="48981C49"/>
    <w:rsid w:val="489B5155"/>
    <w:rsid w:val="48A12BF9"/>
    <w:rsid w:val="48A558BF"/>
    <w:rsid w:val="48BC4EFE"/>
    <w:rsid w:val="48C40EB3"/>
    <w:rsid w:val="48CC2994"/>
    <w:rsid w:val="48CD1D55"/>
    <w:rsid w:val="48CE77DB"/>
    <w:rsid w:val="48D44300"/>
    <w:rsid w:val="48D80297"/>
    <w:rsid w:val="48DD58AD"/>
    <w:rsid w:val="48DD765B"/>
    <w:rsid w:val="48F77D53"/>
    <w:rsid w:val="4910358D"/>
    <w:rsid w:val="491C3D37"/>
    <w:rsid w:val="491E0E0B"/>
    <w:rsid w:val="491E5440"/>
    <w:rsid w:val="491F5EC6"/>
    <w:rsid w:val="49216048"/>
    <w:rsid w:val="4926601A"/>
    <w:rsid w:val="492E05EF"/>
    <w:rsid w:val="49362DA9"/>
    <w:rsid w:val="493679E2"/>
    <w:rsid w:val="494C43B1"/>
    <w:rsid w:val="494F67AB"/>
    <w:rsid w:val="495055EB"/>
    <w:rsid w:val="4957740E"/>
    <w:rsid w:val="495B0E0B"/>
    <w:rsid w:val="495D254A"/>
    <w:rsid w:val="49632FA2"/>
    <w:rsid w:val="49724248"/>
    <w:rsid w:val="497A134E"/>
    <w:rsid w:val="498A3B1A"/>
    <w:rsid w:val="498F44A1"/>
    <w:rsid w:val="499E09AD"/>
    <w:rsid w:val="49A52E6F"/>
    <w:rsid w:val="49AB2384"/>
    <w:rsid w:val="49AE2CF1"/>
    <w:rsid w:val="49B61A41"/>
    <w:rsid w:val="49BD73EB"/>
    <w:rsid w:val="49C16F7D"/>
    <w:rsid w:val="49C75524"/>
    <w:rsid w:val="49CF3448"/>
    <w:rsid w:val="49D03506"/>
    <w:rsid w:val="49E3262A"/>
    <w:rsid w:val="49E367A2"/>
    <w:rsid w:val="49F15899"/>
    <w:rsid w:val="49F21470"/>
    <w:rsid w:val="4A0963DA"/>
    <w:rsid w:val="4A19010D"/>
    <w:rsid w:val="4A1C2405"/>
    <w:rsid w:val="4A24303A"/>
    <w:rsid w:val="4A2D016F"/>
    <w:rsid w:val="4A41604F"/>
    <w:rsid w:val="4A423698"/>
    <w:rsid w:val="4A443E36"/>
    <w:rsid w:val="4A4F2DB8"/>
    <w:rsid w:val="4A501080"/>
    <w:rsid w:val="4A5429A2"/>
    <w:rsid w:val="4A5B4CDC"/>
    <w:rsid w:val="4A6956DC"/>
    <w:rsid w:val="4A6A67F4"/>
    <w:rsid w:val="4A8204BA"/>
    <w:rsid w:val="4A851D59"/>
    <w:rsid w:val="4A8A58B4"/>
    <w:rsid w:val="4A8E3303"/>
    <w:rsid w:val="4A90021F"/>
    <w:rsid w:val="4A981A8C"/>
    <w:rsid w:val="4A9A07FB"/>
    <w:rsid w:val="4AB127DD"/>
    <w:rsid w:val="4AB33BD3"/>
    <w:rsid w:val="4AB40A96"/>
    <w:rsid w:val="4AB92767"/>
    <w:rsid w:val="4AC75CB4"/>
    <w:rsid w:val="4AD30D16"/>
    <w:rsid w:val="4AD8632C"/>
    <w:rsid w:val="4AE62735"/>
    <w:rsid w:val="4AE72A13"/>
    <w:rsid w:val="4AEB6C72"/>
    <w:rsid w:val="4AF62644"/>
    <w:rsid w:val="4AFF0013"/>
    <w:rsid w:val="4AFF39A7"/>
    <w:rsid w:val="4B0A763B"/>
    <w:rsid w:val="4B0E15AA"/>
    <w:rsid w:val="4B0E1D4E"/>
    <w:rsid w:val="4B261E15"/>
    <w:rsid w:val="4B2D2D7F"/>
    <w:rsid w:val="4B313C8F"/>
    <w:rsid w:val="4B550208"/>
    <w:rsid w:val="4B573E28"/>
    <w:rsid w:val="4B63017A"/>
    <w:rsid w:val="4B676CA9"/>
    <w:rsid w:val="4B94275C"/>
    <w:rsid w:val="4B9504F3"/>
    <w:rsid w:val="4B9A1834"/>
    <w:rsid w:val="4B9A352F"/>
    <w:rsid w:val="4B9E38CC"/>
    <w:rsid w:val="4B9E4197"/>
    <w:rsid w:val="4B9F4836"/>
    <w:rsid w:val="4BA90FEB"/>
    <w:rsid w:val="4BAE52DF"/>
    <w:rsid w:val="4BB73AF0"/>
    <w:rsid w:val="4BC36FDC"/>
    <w:rsid w:val="4BC44509"/>
    <w:rsid w:val="4BC777D9"/>
    <w:rsid w:val="4BCB7C3F"/>
    <w:rsid w:val="4BCF73F8"/>
    <w:rsid w:val="4BD129A4"/>
    <w:rsid w:val="4BD66E16"/>
    <w:rsid w:val="4BD901CF"/>
    <w:rsid w:val="4BE17463"/>
    <w:rsid w:val="4BE60BE6"/>
    <w:rsid w:val="4BF4363A"/>
    <w:rsid w:val="4BF63FCD"/>
    <w:rsid w:val="4BFB18F7"/>
    <w:rsid w:val="4C100250"/>
    <w:rsid w:val="4C1F236E"/>
    <w:rsid w:val="4C235268"/>
    <w:rsid w:val="4C2A2BB8"/>
    <w:rsid w:val="4C3451BF"/>
    <w:rsid w:val="4C347831"/>
    <w:rsid w:val="4C514F2E"/>
    <w:rsid w:val="4C555B8F"/>
    <w:rsid w:val="4C5B7215"/>
    <w:rsid w:val="4C64349E"/>
    <w:rsid w:val="4C667968"/>
    <w:rsid w:val="4C6C1422"/>
    <w:rsid w:val="4C746529"/>
    <w:rsid w:val="4C786019"/>
    <w:rsid w:val="4C7A0F88"/>
    <w:rsid w:val="4C826E81"/>
    <w:rsid w:val="4C87625C"/>
    <w:rsid w:val="4C8A188D"/>
    <w:rsid w:val="4C8D3147"/>
    <w:rsid w:val="4C8D78F9"/>
    <w:rsid w:val="4C912C37"/>
    <w:rsid w:val="4C9778D3"/>
    <w:rsid w:val="4CA30BBC"/>
    <w:rsid w:val="4CAA32C0"/>
    <w:rsid w:val="4CAF17DC"/>
    <w:rsid w:val="4CB13E44"/>
    <w:rsid w:val="4CB15FE4"/>
    <w:rsid w:val="4CB54403"/>
    <w:rsid w:val="4CB5540A"/>
    <w:rsid w:val="4CB6271A"/>
    <w:rsid w:val="4CC36A5F"/>
    <w:rsid w:val="4CCD5AED"/>
    <w:rsid w:val="4CD82614"/>
    <w:rsid w:val="4CDA2830"/>
    <w:rsid w:val="4CE433EB"/>
    <w:rsid w:val="4CE4720A"/>
    <w:rsid w:val="4CE83F1B"/>
    <w:rsid w:val="4CE90CC5"/>
    <w:rsid w:val="4CEB1110"/>
    <w:rsid w:val="4CF20306"/>
    <w:rsid w:val="4CF64C11"/>
    <w:rsid w:val="4CFA65AB"/>
    <w:rsid w:val="4D03339A"/>
    <w:rsid w:val="4D0C6761"/>
    <w:rsid w:val="4D137AF0"/>
    <w:rsid w:val="4D164AFA"/>
    <w:rsid w:val="4D183ABE"/>
    <w:rsid w:val="4D1A2CE8"/>
    <w:rsid w:val="4D1F6B46"/>
    <w:rsid w:val="4D243AAB"/>
    <w:rsid w:val="4D260FE9"/>
    <w:rsid w:val="4D295BD4"/>
    <w:rsid w:val="4D330192"/>
    <w:rsid w:val="4D447DD6"/>
    <w:rsid w:val="4D461C73"/>
    <w:rsid w:val="4D4B2B1A"/>
    <w:rsid w:val="4D4C4DB0"/>
    <w:rsid w:val="4D52686A"/>
    <w:rsid w:val="4D626891"/>
    <w:rsid w:val="4D665E71"/>
    <w:rsid w:val="4D7F5581"/>
    <w:rsid w:val="4D8602C2"/>
    <w:rsid w:val="4D8D33A9"/>
    <w:rsid w:val="4D924EB8"/>
    <w:rsid w:val="4D930C30"/>
    <w:rsid w:val="4D987FF5"/>
    <w:rsid w:val="4D994499"/>
    <w:rsid w:val="4DA526F5"/>
    <w:rsid w:val="4DA95FBC"/>
    <w:rsid w:val="4DAB1FDE"/>
    <w:rsid w:val="4DAB7D28"/>
    <w:rsid w:val="4DB316D4"/>
    <w:rsid w:val="4DB52955"/>
    <w:rsid w:val="4DB8751E"/>
    <w:rsid w:val="4DBF22CB"/>
    <w:rsid w:val="4DC223A4"/>
    <w:rsid w:val="4DCD5EF0"/>
    <w:rsid w:val="4DE05162"/>
    <w:rsid w:val="4DE84AD8"/>
    <w:rsid w:val="4DF23BA9"/>
    <w:rsid w:val="4DF30C68"/>
    <w:rsid w:val="4DF85291"/>
    <w:rsid w:val="4DFA0CB0"/>
    <w:rsid w:val="4E0071B7"/>
    <w:rsid w:val="4E0D2791"/>
    <w:rsid w:val="4E180FF4"/>
    <w:rsid w:val="4E1A61E7"/>
    <w:rsid w:val="4E262178"/>
    <w:rsid w:val="4E2D4BE1"/>
    <w:rsid w:val="4E373FB2"/>
    <w:rsid w:val="4E3D70E2"/>
    <w:rsid w:val="4E442F4C"/>
    <w:rsid w:val="4E456798"/>
    <w:rsid w:val="4E497F1B"/>
    <w:rsid w:val="4E4D47D4"/>
    <w:rsid w:val="4E4E209C"/>
    <w:rsid w:val="4E535B14"/>
    <w:rsid w:val="4E5403C0"/>
    <w:rsid w:val="4E5419E3"/>
    <w:rsid w:val="4E5F47B9"/>
    <w:rsid w:val="4E631FE0"/>
    <w:rsid w:val="4E632B75"/>
    <w:rsid w:val="4E7937FC"/>
    <w:rsid w:val="4E946765"/>
    <w:rsid w:val="4E9C6544"/>
    <w:rsid w:val="4EA04DD3"/>
    <w:rsid w:val="4EA40AAA"/>
    <w:rsid w:val="4EB04235"/>
    <w:rsid w:val="4EC9360D"/>
    <w:rsid w:val="4ECA013B"/>
    <w:rsid w:val="4ECA0682"/>
    <w:rsid w:val="4ED1072C"/>
    <w:rsid w:val="4EDA4744"/>
    <w:rsid w:val="4EDF611A"/>
    <w:rsid w:val="4EEC2678"/>
    <w:rsid w:val="4EFD6A3E"/>
    <w:rsid w:val="4F022943"/>
    <w:rsid w:val="4F0C3F4E"/>
    <w:rsid w:val="4F0D7A7C"/>
    <w:rsid w:val="4F0E056F"/>
    <w:rsid w:val="4F1F635F"/>
    <w:rsid w:val="4F211FCB"/>
    <w:rsid w:val="4F29184C"/>
    <w:rsid w:val="4F2B07E8"/>
    <w:rsid w:val="4F2F157D"/>
    <w:rsid w:val="4F372C60"/>
    <w:rsid w:val="4F377770"/>
    <w:rsid w:val="4F525653"/>
    <w:rsid w:val="4F542F5F"/>
    <w:rsid w:val="4F564C8A"/>
    <w:rsid w:val="4F5D52DE"/>
    <w:rsid w:val="4F621108"/>
    <w:rsid w:val="4F7800DE"/>
    <w:rsid w:val="4F7978D6"/>
    <w:rsid w:val="4F7E2887"/>
    <w:rsid w:val="4F85275A"/>
    <w:rsid w:val="4F8D6A55"/>
    <w:rsid w:val="4F8E537E"/>
    <w:rsid w:val="4F90440F"/>
    <w:rsid w:val="4F911345"/>
    <w:rsid w:val="4F9171E6"/>
    <w:rsid w:val="4F980780"/>
    <w:rsid w:val="4F9D18F3"/>
    <w:rsid w:val="4FA36773"/>
    <w:rsid w:val="4FA50512"/>
    <w:rsid w:val="4FB0062B"/>
    <w:rsid w:val="4FB15B09"/>
    <w:rsid w:val="4FB21842"/>
    <w:rsid w:val="4FB46C68"/>
    <w:rsid w:val="4FC20464"/>
    <w:rsid w:val="4FC3725F"/>
    <w:rsid w:val="4FC74D60"/>
    <w:rsid w:val="4FCD667C"/>
    <w:rsid w:val="4FCF55C1"/>
    <w:rsid w:val="4FDB3FDD"/>
    <w:rsid w:val="4FE439C5"/>
    <w:rsid w:val="4FF20C57"/>
    <w:rsid w:val="4FF33517"/>
    <w:rsid w:val="4FF945E2"/>
    <w:rsid w:val="50015117"/>
    <w:rsid w:val="500272A2"/>
    <w:rsid w:val="500D20D1"/>
    <w:rsid w:val="500E0D9B"/>
    <w:rsid w:val="50107625"/>
    <w:rsid w:val="501503D6"/>
    <w:rsid w:val="501A0647"/>
    <w:rsid w:val="50202421"/>
    <w:rsid w:val="502025E6"/>
    <w:rsid w:val="50214130"/>
    <w:rsid w:val="502353D6"/>
    <w:rsid w:val="50281B04"/>
    <w:rsid w:val="50284B4D"/>
    <w:rsid w:val="502F5A21"/>
    <w:rsid w:val="503474F4"/>
    <w:rsid w:val="50395AF7"/>
    <w:rsid w:val="503F29AA"/>
    <w:rsid w:val="50412BC6"/>
    <w:rsid w:val="50437A74"/>
    <w:rsid w:val="504F0E3F"/>
    <w:rsid w:val="505B2296"/>
    <w:rsid w:val="50681F00"/>
    <w:rsid w:val="50700EDF"/>
    <w:rsid w:val="50712142"/>
    <w:rsid w:val="507373DF"/>
    <w:rsid w:val="50795EBC"/>
    <w:rsid w:val="507C1B5D"/>
    <w:rsid w:val="50830AE8"/>
    <w:rsid w:val="5092043F"/>
    <w:rsid w:val="5097135A"/>
    <w:rsid w:val="50984202"/>
    <w:rsid w:val="50A27FF1"/>
    <w:rsid w:val="50A373DC"/>
    <w:rsid w:val="50AC4E53"/>
    <w:rsid w:val="50B066D9"/>
    <w:rsid w:val="50B33884"/>
    <w:rsid w:val="50B907F3"/>
    <w:rsid w:val="50BC0F82"/>
    <w:rsid w:val="50C706E7"/>
    <w:rsid w:val="50C83106"/>
    <w:rsid w:val="50D2343A"/>
    <w:rsid w:val="50DA797E"/>
    <w:rsid w:val="50DB3A34"/>
    <w:rsid w:val="50E2722A"/>
    <w:rsid w:val="50ED0658"/>
    <w:rsid w:val="50F6575E"/>
    <w:rsid w:val="50F76050"/>
    <w:rsid w:val="50FC6C5E"/>
    <w:rsid w:val="50FD4D3F"/>
    <w:rsid w:val="50FE0AB7"/>
    <w:rsid w:val="511679E3"/>
    <w:rsid w:val="5119769F"/>
    <w:rsid w:val="51264C98"/>
    <w:rsid w:val="512978E2"/>
    <w:rsid w:val="512E0606"/>
    <w:rsid w:val="512E314A"/>
    <w:rsid w:val="514A408D"/>
    <w:rsid w:val="515B1A65"/>
    <w:rsid w:val="51626F77"/>
    <w:rsid w:val="516923D4"/>
    <w:rsid w:val="516F4062"/>
    <w:rsid w:val="5199023D"/>
    <w:rsid w:val="519F0C5F"/>
    <w:rsid w:val="51A258E6"/>
    <w:rsid w:val="51A60B93"/>
    <w:rsid w:val="51B11329"/>
    <w:rsid w:val="51B3364F"/>
    <w:rsid w:val="51BF1FF4"/>
    <w:rsid w:val="51C40AA9"/>
    <w:rsid w:val="51CB3027"/>
    <w:rsid w:val="51D13AD5"/>
    <w:rsid w:val="51D23567"/>
    <w:rsid w:val="51DD2FEF"/>
    <w:rsid w:val="51E1640E"/>
    <w:rsid w:val="51E41A5B"/>
    <w:rsid w:val="51E55035"/>
    <w:rsid w:val="51EB103B"/>
    <w:rsid w:val="51F23909"/>
    <w:rsid w:val="51F429D1"/>
    <w:rsid w:val="51F72313"/>
    <w:rsid w:val="52013097"/>
    <w:rsid w:val="52090ACB"/>
    <w:rsid w:val="52132340"/>
    <w:rsid w:val="52194486"/>
    <w:rsid w:val="521A1920"/>
    <w:rsid w:val="521D24D3"/>
    <w:rsid w:val="522105B9"/>
    <w:rsid w:val="52251976"/>
    <w:rsid w:val="52262073"/>
    <w:rsid w:val="522A2B4C"/>
    <w:rsid w:val="52306A4E"/>
    <w:rsid w:val="524076F7"/>
    <w:rsid w:val="524C499A"/>
    <w:rsid w:val="525A7F6F"/>
    <w:rsid w:val="525E5B53"/>
    <w:rsid w:val="526512C0"/>
    <w:rsid w:val="526679D0"/>
    <w:rsid w:val="526F3A1A"/>
    <w:rsid w:val="527551F9"/>
    <w:rsid w:val="52762A77"/>
    <w:rsid w:val="52763E85"/>
    <w:rsid w:val="52803148"/>
    <w:rsid w:val="52831274"/>
    <w:rsid w:val="52833022"/>
    <w:rsid w:val="528678FF"/>
    <w:rsid w:val="528B1ED6"/>
    <w:rsid w:val="528D20F2"/>
    <w:rsid w:val="52900F78"/>
    <w:rsid w:val="52A53388"/>
    <w:rsid w:val="52A82A88"/>
    <w:rsid w:val="52AA70AB"/>
    <w:rsid w:val="52AE5344"/>
    <w:rsid w:val="52BA5C46"/>
    <w:rsid w:val="52C06024"/>
    <w:rsid w:val="52C84E80"/>
    <w:rsid w:val="52D13A64"/>
    <w:rsid w:val="52D23671"/>
    <w:rsid w:val="52D71FC3"/>
    <w:rsid w:val="52D970E6"/>
    <w:rsid w:val="52DC7DB4"/>
    <w:rsid w:val="52DD31AF"/>
    <w:rsid w:val="52E408AF"/>
    <w:rsid w:val="52E77A54"/>
    <w:rsid w:val="52E82E4C"/>
    <w:rsid w:val="52E837CD"/>
    <w:rsid w:val="52EF4B5B"/>
    <w:rsid w:val="52F21FDA"/>
    <w:rsid w:val="52F749BC"/>
    <w:rsid w:val="52FC377B"/>
    <w:rsid w:val="52FE7257"/>
    <w:rsid w:val="530C2B5D"/>
    <w:rsid w:val="53165C44"/>
    <w:rsid w:val="531A7D56"/>
    <w:rsid w:val="531B0A57"/>
    <w:rsid w:val="531B3AF5"/>
    <w:rsid w:val="53216B63"/>
    <w:rsid w:val="532272D6"/>
    <w:rsid w:val="53230361"/>
    <w:rsid w:val="532365B3"/>
    <w:rsid w:val="5325057D"/>
    <w:rsid w:val="532A5B93"/>
    <w:rsid w:val="532E5683"/>
    <w:rsid w:val="53325E24"/>
    <w:rsid w:val="53373E0C"/>
    <w:rsid w:val="53397B84"/>
    <w:rsid w:val="534A1D91"/>
    <w:rsid w:val="535D761C"/>
    <w:rsid w:val="53655A86"/>
    <w:rsid w:val="5366378B"/>
    <w:rsid w:val="536752FD"/>
    <w:rsid w:val="536949FA"/>
    <w:rsid w:val="536B3351"/>
    <w:rsid w:val="5371731E"/>
    <w:rsid w:val="538047FB"/>
    <w:rsid w:val="53945AAC"/>
    <w:rsid w:val="53984ED9"/>
    <w:rsid w:val="53A96AB8"/>
    <w:rsid w:val="53B111A8"/>
    <w:rsid w:val="53B51901"/>
    <w:rsid w:val="53B637BC"/>
    <w:rsid w:val="53BD6670"/>
    <w:rsid w:val="53BF6A31"/>
    <w:rsid w:val="53C32D17"/>
    <w:rsid w:val="53D83AAD"/>
    <w:rsid w:val="53E915AA"/>
    <w:rsid w:val="53F131C4"/>
    <w:rsid w:val="53F34A72"/>
    <w:rsid w:val="53F421C2"/>
    <w:rsid w:val="53F95491"/>
    <w:rsid w:val="54071AC8"/>
    <w:rsid w:val="540E72EB"/>
    <w:rsid w:val="540F28EC"/>
    <w:rsid w:val="541A0B61"/>
    <w:rsid w:val="541F7F99"/>
    <w:rsid w:val="54284ECE"/>
    <w:rsid w:val="542B7E0E"/>
    <w:rsid w:val="54322F51"/>
    <w:rsid w:val="54352E81"/>
    <w:rsid w:val="54393799"/>
    <w:rsid w:val="543E18F6"/>
    <w:rsid w:val="544100F5"/>
    <w:rsid w:val="54471223"/>
    <w:rsid w:val="54582F22"/>
    <w:rsid w:val="545A24A8"/>
    <w:rsid w:val="545E06AE"/>
    <w:rsid w:val="546155E5"/>
    <w:rsid w:val="546A7068"/>
    <w:rsid w:val="54772666"/>
    <w:rsid w:val="54787E55"/>
    <w:rsid w:val="547E76AB"/>
    <w:rsid w:val="548638E3"/>
    <w:rsid w:val="548E3F00"/>
    <w:rsid w:val="549274BA"/>
    <w:rsid w:val="5495703C"/>
    <w:rsid w:val="549B36D9"/>
    <w:rsid w:val="549F610D"/>
    <w:rsid w:val="54A43723"/>
    <w:rsid w:val="54A61249"/>
    <w:rsid w:val="54B27D1E"/>
    <w:rsid w:val="54B576DE"/>
    <w:rsid w:val="54BA7A6B"/>
    <w:rsid w:val="54D71DAA"/>
    <w:rsid w:val="54D77655"/>
    <w:rsid w:val="54DE118C"/>
    <w:rsid w:val="54E1735C"/>
    <w:rsid w:val="54E27FBC"/>
    <w:rsid w:val="54E315C3"/>
    <w:rsid w:val="54EC2D4D"/>
    <w:rsid w:val="54EC7C5B"/>
    <w:rsid w:val="54F07B19"/>
    <w:rsid w:val="54F62D15"/>
    <w:rsid w:val="54FB5435"/>
    <w:rsid w:val="550D3076"/>
    <w:rsid w:val="550D751A"/>
    <w:rsid w:val="551519ED"/>
    <w:rsid w:val="5523289A"/>
    <w:rsid w:val="55292147"/>
    <w:rsid w:val="552B2728"/>
    <w:rsid w:val="55342CF9"/>
    <w:rsid w:val="5539030F"/>
    <w:rsid w:val="553D6174"/>
    <w:rsid w:val="55452B7E"/>
    <w:rsid w:val="554B4D08"/>
    <w:rsid w:val="55502285"/>
    <w:rsid w:val="5554288D"/>
    <w:rsid w:val="55562C6F"/>
    <w:rsid w:val="555A4E33"/>
    <w:rsid w:val="555D72E5"/>
    <w:rsid w:val="55780C75"/>
    <w:rsid w:val="559E53A8"/>
    <w:rsid w:val="55A35789"/>
    <w:rsid w:val="55AD3A12"/>
    <w:rsid w:val="55B17EA6"/>
    <w:rsid w:val="55BB7F03"/>
    <w:rsid w:val="55BF3021"/>
    <w:rsid w:val="55BF794C"/>
    <w:rsid w:val="55C53951"/>
    <w:rsid w:val="55C54B71"/>
    <w:rsid w:val="55C56DE7"/>
    <w:rsid w:val="55C67DF5"/>
    <w:rsid w:val="55CC6156"/>
    <w:rsid w:val="55DD0C9B"/>
    <w:rsid w:val="55EB123E"/>
    <w:rsid w:val="55EB6C16"/>
    <w:rsid w:val="55ED230E"/>
    <w:rsid w:val="56005C82"/>
    <w:rsid w:val="5600684A"/>
    <w:rsid w:val="5603479C"/>
    <w:rsid w:val="56085295"/>
    <w:rsid w:val="560B1317"/>
    <w:rsid w:val="560C67FF"/>
    <w:rsid w:val="560E7DD9"/>
    <w:rsid w:val="56106A38"/>
    <w:rsid w:val="561660B1"/>
    <w:rsid w:val="56240464"/>
    <w:rsid w:val="56305F2D"/>
    <w:rsid w:val="5639446D"/>
    <w:rsid w:val="56456B47"/>
    <w:rsid w:val="56474FC8"/>
    <w:rsid w:val="564F67BB"/>
    <w:rsid w:val="56503B63"/>
    <w:rsid w:val="565704F6"/>
    <w:rsid w:val="56574EF1"/>
    <w:rsid w:val="56617B95"/>
    <w:rsid w:val="56625644"/>
    <w:rsid w:val="56644F18"/>
    <w:rsid w:val="566A53D4"/>
    <w:rsid w:val="56723AD9"/>
    <w:rsid w:val="567C04B4"/>
    <w:rsid w:val="567C0AA8"/>
    <w:rsid w:val="56851571"/>
    <w:rsid w:val="56892BD1"/>
    <w:rsid w:val="568A056B"/>
    <w:rsid w:val="568D2EB8"/>
    <w:rsid w:val="569972B8"/>
    <w:rsid w:val="56B016A1"/>
    <w:rsid w:val="56B063AF"/>
    <w:rsid w:val="56B20379"/>
    <w:rsid w:val="56B23ED5"/>
    <w:rsid w:val="56B36104"/>
    <w:rsid w:val="56B45E9F"/>
    <w:rsid w:val="56B7102D"/>
    <w:rsid w:val="56B76406"/>
    <w:rsid w:val="56BF4844"/>
    <w:rsid w:val="56C22086"/>
    <w:rsid w:val="56C80405"/>
    <w:rsid w:val="56C8194B"/>
    <w:rsid w:val="56CE4961"/>
    <w:rsid w:val="56CF5BAD"/>
    <w:rsid w:val="56D24CC4"/>
    <w:rsid w:val="56D46542"/>
    <w:rsid w:val="56D774FE"/>
    <w:rsid w:val="56DF0A43"/>
    <w:rsid w:val="56E147BB"/>
    <w:rsid w:val="56EE46AD"/>
    <w:rsid w:val="56EF512A"/>
    <w:rsid w:val="56F563A5"/>
    <w:rsid w:val="56FA587C"/>
    <w:rsid w:val="56FB78CF"/>
    <w:rsid w:val="56FC15F5"/>
    <w:rsid w:val="570040BA"/>
    <w:rsid w:val="57067286"/>
    <w:rsid w:val="570A5ABF"/>
    <w:rsid w:val="57103ECE"/>
    <w:rsid w:val="57127566"/>
    <w:rsid w:val="5714060E"/>
    <w:rsid w:val="5714096B"/>
    <w:rsid w:val="57175DF7"/>
    <w:rsid w:val="57266671"/>
    <w:rsid w:val="572842A9"/>
    <w:rsid w:val="57287B8B"/>
    <w:rsid w:val="572F3778"/>
    <w:rsid w:val="574326B2"/>
    <w:rsid w:val="575578BF"/>
    <w:rsid w:val="57567448"/>
    <w:rsid w:val="57573528"/>
    <w:rsid w:val="5757545B"/>
    <w:rsid w:val="575840B8"/>
    <w:rsid w:val="575928C9"/>
    <w:rsid w:val="57637F09"/>
    <w:rsid w:val="576A2D00"/>
    <w:rsid w:val="576A775E"/>
    <w:rsid w:val="576F0D8B"/>
    <w:rsid w:val="57707866"/>
    <w:rsid w:val="57723665"/>
    <w:rsid w:val="5778439E"/>
    <w:rsid w:val="577E025B"/>
    <w:rsid w:val="577E6A3F"/>
    <w:rsid w:val="5782720C"/>
    <w:rsid w:val="578C4726"/>
    <w:rsid w:val="57913D66"/>
    <w:rsid w:val="579730CB"/>
    <w:rsid w:val="579746D8"/>
    <w:rsid w:val="579B2499"/>
    <w:rsid w:val="579E061E"/>
    <w:rsid w:val="57A63600"/>
    <w:rsid w:val="57A94831"/>
    <w:rsid w:val="57AE25EF"/>
    <w:rsid w:val="57AE6D93"/>
    <w:rsid w:val="57B65C47"/>
    <w:rsid w:val="57BB03CD"/>
    <w:rsid w:val="57BE40C5"/>
    <w:rsid w:val="57C71C02"/>
    <w:rsid w:val="57CA6A53"/>
    <w:rsid w:val="57CF54CC"/>
    <w:rsid w:val="57CF6D09"/>
    <w:rsid w:val="57DE484E"/>
    <w:rsid w:val="57DE6F4C"/>
    <w:rsid w:val="57E2517A"/>
    <w:rsid w:val="57F03274"/>
    <w:rsid w:val="57F7019C"/>
    <w:rsid w:val="58045AD3"/>
    <w:rsid w:val="580512D6"/>
    <w:rsid w:val="580E5A83"/>
    <w:rsid w:val="581F685D"/>
    <w:rsid w:val="58221682"/>
    <w:rsid w:val="5822508B"/>
    <w:rsid w:val="58283BAC"/>
    <w:rsid w:val="5829790F"/>
    <w:rsid w:val="58414415"/>
    <w:rsid w:val="584722A5"/>
    <w:rsid w:val="58664911"/>
    <w:rsid w:val="586C66E9"/>
    <w:rsid w:val="587A4208"/>
    <w:rsid w:val="587C5421"/>
    <w:rsid w:val="588B0E82"/>
    <w:rsid w:val="58935B48"/>
    <w:rsid w:val="5895585D"/>
    <w:rsid w:val="5898467A"/>
    <w:rsid w:val="589A2E73"/>
    <w:rsid w:val="589F0489"/>
    <w:rsid w:val="58AC0BB6"/>
    <w:rsid w:val="58B20EEC"/>
    <w:rsid w:val="58B37928"/>
    <w:rsid w:val="58CB127E"/>
    <w:rsid w:val="58CC5F8E"/>
    <w:rsid w:val="58CE5813"/>
    <w:rsid w:val="58DE0E74"/>
    <w:rsid w:val="58DF6BA8"/>
    <w:rsid w:val="58E40958"/>
    <w:rsid w:val="58EA5B6A"/>
    <w:rsid w:val="58ED4BFB"/>
    <w:rsid w:val="58F05189"/>
    <w:rsid w:val="58FE4CED"/>
    <w:rsid w:val="590D7163"/>
    <w:rsid w:val="590F3861"/>
    <w:rsid w:val="59106321"/>
    <w:rsid w:val="59123351"/>
    <w:rsid w:val="591311F4"/>
    <w:rsid w:val="59140E77"/>
    <w:rsid w:val="59360753"/>
    <w:rsid w:val="59362A6F"/>
    <w:rsid w:val="593867FC"/>
    <w:rsid w:val="59386988"/>
    <w:rsid w:val="5939268C"/>
    <w:rsid w:val="593A0C41"/>
    <w:rsid w:val="594D4389"/>
    <w:rsid w:val="59653481"/>
    <w:rsid w:val="59657925"/>
    <w:rsid w:val="596A0A97"/>
    <w:rsid w:val="59790E32"/>
    <w:rsid w:val="597E7F30"/>
    <w:rsid w:val="59815DE1"/>
    <w:rsid w:val="59895314"/>
    <w:rsid w:val="59975508"/>
    <w:rsid w:val="59994DBA"/>
    <w:rsid w:val="599E4D33"/>
    <w:rsid w:val="59A10C55"/>
    <w:rsid w:val="59C16B55"/>
    <w:rsid w:val="59CA7C9C"/>
    <w:rsid w:val="59CC2C8B"/>
    <w:rsid w:val="59D3440F"/>
    <w:rsid w:val="59D62FD0"/>
    <w:rsid w:val="59D73B53"/>
    <w:rsid w:val="59D800F7"/>
    <w:rsid w:val="59EB2B82"/>
    <w:rsid w:val="59EB58B2"/>
    <w:rsid w:val="59EC5EEB"/>
    <w:rsid w:val="5A0274ED"/>
    <w:rsid w:val="5A054C64"/>
    <w:rsid w:val="5A0F163F"/>
    <w:rsid w:val="5A1412D7"/>
    <w:rsid w:val="5A184FEC"/>
    <w:rsid w:val="5A1901EF"/>
    <w:rsid w:val="5A1976E0"/>
    <w:rsid w:val="5A2275C4"/>
    <w:rsid w:val="5A2B6A1D"/>
    <w:rsid w:val="5A3512DA"/>
    <w:rsid w:val="5A37379F"/>
    <w:rsid w:val="5A4168EC"/>
    <w:rsid w:val="5A4C4F0B"/>
    <w:rsid w:val="5A576F72"/>
    <w:rsid w:val="5A5804D2"/>
    <w:rsid w:val="5A602E80"/>
    <w:rsid w:val="5A603B0E"/>
    <w:rsid w:val="5A7D5B5D"/>
    <w:rsid w:val="5A8646B8"/>
    <w:rsid w:val="5A915D0C"/>
    <w:rsid w:val="5A981526"/>
    <w:rsid w:val="5A983E90"/>
    <w:rsid w:val="5AA77AC9"/>
    <w:rsid w:val="5AB04891"/>
    <w:rsid w:val="5AB43AE8"/>
    <w:rsid w:val="5AB53F94"/>
    <w:rsid w:val="5AB56D93"/>
    <w:rsid w:val="5ABB5B7A"/>
    <w:rsid w:val="5ABE1750"/>
    <w:rsid w:val="5AC16DDD"/>
    <w:rsid w:val="5AC30CBD"/>
    <w:rsid w:val="5AD76600"/>
    <w:rsid w:val="5ADC4F12"/>
    <w:rsid w:val="5ADE46C9"/>
    <w:rsid w:val="5AE9353A"/>
    <w:rsid w:val="5AFA5E4B"/>
    <w:rsid w:val="5AFD547C"/>
    <w:rsid w:val="5AFE3B8D"/>
    <w:rsid w:val="5B022F52"/>
    <w:rsid w:val="5B0347A3"/>
    <w:rsid w:val="5B0D5B7E"/>
    <w:rsid w:val="5B106018"/>
    <w:rsid w:val="5B136F0D"/>
    <w:rsid w:val="5B173696"/>
    <w:rsid w:val="5B1C2265"/>
    <w:rsid w:val="5B1C32AC"/>
    <w:rsid w:val="5B1E7EFD"/>
    <w:rsid w:val="5B2067FA"/>
    <w:rsid w:val="5B242EC8"/>
    <w:rsid w:val="5B24389D"/>
    <w:rsid w:val="5B2D24CC"/>
    <w:rsid w:val="5B2F5728"/>
    <w:rsid w:val="5B330807"/>
    <w:rsid w:val="5B437CBF"/>
    <w:rsid w:val="5B464ECE"/>
    <w:rsid w:val="5B4B3D9A"/>
    <w:rsid w:val="5B672793"/>
    <w:rsid w:val="5B6D45E9"/>
    <w:rsid w:val="5B751929"/>
    <w:rsid w:val="5B8027F4"/>
    <w:rsid w:val="5B815166"/>
    <w:rsid w:val="5B8D2B5D"/>
    <w:rsid w:val="5B962018"/>
    <w:rsid w:val="5B9F77F4"/>
    <w:rsid w:val="5BA831A9"/>
    <w:rsid w:val="5BB60E5B"/>
    <w:rsid w:val="5BB932CB"/>
    <w:rsid w:val="5BBB49F2"/>
    <w:rsid w:val="5BBD0F04"/>
    <w:rsid w:val="5BBE478D"/>
    <w:rsid w:val="5BC26EC3"/>
    <w:rsid w:val="5BC310C5"/>
    <w:rsid w:val="5BCA244D"/>
    <w:rsid w:val="5BCA59D0"/>
    <w:rsid w:val="5BCB77E7"/>
    <w:rsid w:val="5BDD21DF"/>
    <w:rsid w:val="5BE30FD5"/>
    <w:rsid w:val="5BEA5EBF"/>
    <w:rsid w:val="5BEF5FA4"/>
    <w:rsid w:val="5BFA340D"/>
    <w:rsid w:val="5C052CF9"/>
    <w:rsid w:val="5C177EA3"/>
    <w:rsid w:val="5C1B4497"/>
    <w:rsid w:val="5C1D6295"/>
    <w:rsid w:val="5C200558"/>
    <w:rsid w:val="5C283EC9"/>
    <w:rsid w:val="5C2869E8"/>
    <w:rsid w:val="5C4C717C"/>
    <w:rsid w:val="5C50666A"/>
    <w:rsid w:val="5C591976"/>
    <w:rsid w:val="5C690E31"/>
    <w:rsid w:val="5C6E5F4F"/>
    <w:rsid w:val="5C7101EB"/>
    <w:rsid w:val="5C717EF2"/>
    <w:rsid w:val="5C7240A4"/>
    <w:rsid w:val="5C7579EF"/>
    <w:rsid w:val="5C922E65"/>
    <w:rsid w:val="5C972C81"/>
    <w:rsid w:val="5C9B1B86"/>
    <w:rsid w:val="5C9C18B0"/>
    <w:rsid w:val="5CAB3A3E"/>
    <w:rsid w:val="5CB73125"/>
    <w:rsid w:val="5CB84210"/>
    <w:rsid w:val="5CB926F5"/>
    <w:rsid w:val="5CBD7798"/>
    <w:rsid w:val="5CBE22D2"/>
    <w:rsid w:val="5CC212FA"/>
    <w:rsid w:val="5CC741DE"/>
    <w:rsid w:val="5CD821BC"/>
    <w:rsid w:val="5CE44338"/>
    <w:rsid w:val="5CE80A74"/>
    <w:rsid w:val="5CEE21E8"/>
    <w:rsid w:val="5CF76BF6"/>
    <w:rsid w:val="5D0A02A6"/>
    <w:rsid w:val="5D0B60B1"/>
    <w:rsid w:val="5D2418A5"/>
    <w:rsid w:val="5D291599"/>
    <w:rsid w:val="5D2C4DF7"/>
    <w:rsid w:val="5D35760E"/>
    <w:rsid w:val="5D3F0BE9"/>
    <w:rsid w:val="5D46181B"/>
    <w:rsid w:val="5D527F72"/>
    <w:rsid w:val="5D557D53"/>
    <w:rsid w:val="5D6126EA"/>
    <w:rsid w:val="5D62274A"/>
    <w:rsid w:val="5D641CA2"/>
    <w:rsid w:val="5D7967F9"/>
    <w:rsid w:val="5D8D2AF9"/>
    <w:rsid w:val="5D9E28AA"/>
    <w:rsid w:val="5DA2270B"/>
    <w:rsid w:val="5DA402F0"/>
    <w:rsid w:val="5DC23966"/>
    <w:rsid w:val="5DD4371D"/>
    <w:rsid w:val="5DD62B9F"/>
    <w:rsid w:val="5DD92690"/>
    <w:rsid w:val="5DDC5CDC"/>
    <w:rsid w:val="5DDD3DAA"/>
    <w:rsid w:val="5DEE7C26"/>
    <w:rsid w:val="5DF11787"/>
    <w:rsid w:val="5DF63C18"/>
    <w:rsid w:val="5DFD5C52"/>
    <w:rsid w:val="5DFE5B24"/>
    <w:rsid w:val="5E021DB5"/>
    <w:rsid w:val="5E032066"/>
    <w:rsid w:val="5E0E0B57"/>
    <w:rsid w:val="5E11482D"/>
    <w:rsid w:val="5E167440"/>
    <w:rsid w:val="5E1F693B"/>
    <w:rsid w:val="5E2733FB"/>
    <w:rsid w:val="5E277466"/>
    <w:rsid w:val="5E317DD6"/>
    <w:rsid w:val="5E330695"/>
    <w:rsid w:val="5E333339"/>
    <w:rsid w:val="5E427124"/>
    <w:rsid w:val="5E443FAD"/>
    <w:rsid w:val="5E4915C3"/>
    <w:rsid w:val="5E554BB1"/>
    <w:rsid w:val="5E596EDD"/>
    <w:rsid w:val="5E5B7AAE"/>
    <w:rsid w:val="5E5D0E54"/>
    <w:rsid w:val="5E6009F6"/>
    <w:rsid w:val="5E653868"/>
    <w:rsid w:val="5E6F0EAC"/>
    <w:rsid w:val="5E6F69C2"/>
    <w:rsid w:val="5E702B14"/>
    <w:rsid w:val="5E736640"/>
    <w:rsid w:val="5E7E46C2"/>
    <w:rsid w:val="5E826883"/>
    <w:rsid w:val="5E84084D"/>
    <w:rsid w:val="5E8412B9"/>
    <w:rsid w:val="5E8F0FA0"/>
    <w:rsid w:val="5E90625B"/>
    <w:rsid w:val="5E912F6A"/>
    <w:rsid w:val="5E9F7435"/>
    <w:rsid w:val="5EA75EFF"/>
    <w:rsid w:val="5EAC3664"/>
    <w:rsid w:val="5EAC7607"/>
    <w:rsid w:val="5EAF628E"/>
    <w:rsid w:val="5EB10F16"/>
    <w:rsid w:val="5EBD78BB"/>
    <w:rsid w:val="5ED67504"/>
    <w:rsid w:val="5EDB3283"/>
    <w:rsid w:val="5EEE49D1"/>
    <w:rsid w:val="5EF414B4"/>
    <w:rsid w:val="5EF534F9"/>
    <w:rsid w:val="5EF64741"/>
    <w:rsid w:val="5EF72E99"/>
    <w:rsid w:val="5EFC6BC4"/>
    <w:rsid w:val="5EFF1C82"/>
    <w:rsid w:val="5F014081"/>
    <w:rsid w:val="5F020092"/>
    <w:rsid w:val="5F04373C"/>
    <w:rsid w:val="5F0E29EA"/>
    <w:rsid w:val="5F1117B9"/>
    <w:rsid w:val="5F13397F"/>
    <w:rsid w:val="5F230066"/>
    <w:rsid w:val="5F2534E9"/>
    <w:rsid w:val="5F3375C2"/>
    <w:rsid w:val="5F356467"/>
    <w:rsid w:val="5F357F20"/>
    <w:rsid w:val="5F36189D"/>
    <w:rsid w:val="5F3E6C4E"/>
    <w:rsid w:val="5F482EDD"/>
    <w:rsid w:val="5F4D7B24"/>
    <w:rsid w:val="5F505015"/>
    <w:rsid w:val="5F5505EA"/>
    <w:rsid w:val="5F5E18C2"/>
    <w:rsid w:val="5F6441DB"/>
    <w:rsid w:val="5F6B366F"/>
    <w:rsid w:val="5F6D7556"/>
    <w:rsid w:val="5F9242FA"/>
    <w:rsid w:val="5F9C05C8"/>
    <w:rsid w:val="5FA25CD8"/>
    <w:rsid w:val="5FA913B5"/>
    <w:rsid w:val="5FA91B00"/>
    <w:rsid w:val="5FAC5E44"/>
    <w:rsid w:val="5FAC5F1E"/>
    <w:rsid w:val="5FD502D9"/>
    <w:rsid w:val="5FD50BDC"/>
    <w:rsid w:val="5FE07218"/>
    <w:rsid w:val="5FE64BF0"/>
    <w:rsid w:val="5FE711A5"/>
    <w:rsid w:val="5FEB1311"/>
    <w:rsid w:val="5FF11F12"/>
    <w:rsid w:val="5FFC4413"/>
    <w:rsid w:val="5FFE1F39"/>
    <w:rsid w:val="5FFE29B9"/>
    <w:rsid w:val="601F79F5"/>
    <w:rsid w:val="60353C14"/>
    <w:rsid w:val="6035734C"/>
    <w:rsid w:val="60367925"/>
    <w:rsid w:val="604069F6"/>
    <w:rsid w:val="60414011"/>
    <w:rsid w:val="6045400C"/>
    <w:rsid w:val="60555C4E"/>
    <w:rsid w:val="605D6C75"/>
    <w:rsid w:val="606303E1"/>
    <w:rsid w:val="606C3200"/>
    <w:rsid w:val="606D50EF"/>
    <w:rsid w:val="60732927"/>
    <w:rsid w:val="60782C97"/>
    <w:rsid w:val="607C127E"/>
    <w:rsid w:val="609B00D0"/>
    <w:rsid w:val="609C3EDB"/>
    <w:rsid w:val="60AD570E"/>
    <w:rsid w:val="60B00F1E"/>
    <w:rsid w:val="60B04DE4"/>
    <w:rsid w:val="60BB42CE"/>
    <w:rsid w:val="60BD0047"/>
    <w:rsid w:val="60C2740B"/>
    <w:rsid w:val="60C42B17"/>
    <w:rsid w:val="60CE5DB0"/>
    <w:rsid w:val="60D406C8"/>
    <w:rsid w:val="60D5735C"/>
    <w:rsid w:val="60DD7564"/>
    <w:rsid w:val="60DF620F"/>
    <w:rsid w:val="60E47F5F"/>
    <w:rsid w:val="60E64E71"/>
    <w:rsid w:val="60E91546"/>
    <w:rsid w:val="60EC0B8B"/>
    <w:rsid w:val="60F04CC1"/>
    <w:rsid w:val="60F15600"/>
    <w:rsid w:val="60F851B6"/>
    <w:rsid w:val="60F94E4D"/>
    <w:rsid w:val="60FF3534"/>
    <w:rsid w:val="60FF78C8"/>
    <w:rsid w:val="61021EFD"/>
    <w:rsid w:val="61241E74"/>
    <w:rsid w:val="61251748"/>
    <w:rsid w:val="613C7BA6"/>
    <w:rsid w:val="61421119"/>
    <w:rsid w:val="614652AC"/>
    <w:rsid w:val="61471ACE"/>
    <w:rsid w:val="61496F78"/>
    <w:rsid w:val="614D0978"/>
    <w:rsid w:val="614D4577"/>
    <w:rsid w:val="615F3904"/>
    <w:rsid w:val="615F4C5A"/>
    <w:rsid w:val="61641C99"/>
    <w:rsid w:val="61644289"/>
    <w:rsid w:val="616710AC"/>
    <w:rsid w:val="616B7AA3"/>
    <w:rsid w:val="61730B8F"/>
    <w:rsid w:val="617701F5"/>
    <w:rsid w:val="617A5F38"/>
    <w:rsid w:val="618A5EFC"/>
    <w:rsid w:val="61946FF9"/>
    <w:rsid w:val="61951838"/>
    <w:rsid w:val="6198087A"/>
    <w:rsid w:val="61A14E27"/>
    <w:rsid w:val="61A86601"/>
    <w:rsid w:val="61B85D74"/>
    <w:rsid w:val="61BB3CA7"/>
    <w:rsid w:val="61BC20AC"/>
    <w:rsid w:val="61BE3D62"/>
    <w:rsid w:val="61C96577"/>
    <w:rsid w:val="61CF4135"/>
    <w:rsid w:val="61CF4CDE"/>
    <w:rsid w:val="61D571F7"/>
    <w:rsid w:val="61DB584F"/>
    <w:rsid w:val="61FA77B7"/>
    <w:rsid w:val="62035F2D"/>
    <w:rsid w:val="62056C63"/>
    <w:rsid w:val="6206515D"/>
    <w:rsid w:val="62084329"/>
    <w:rsid w:val="62092E18"/>
    <w:rsid w:val="62143C96"/>
    <w:rsid w:val="621450DD"/>
    <w:rsid w:val="62172DD7"/>
    <w:rsid w:val="62174A37"/>
    <w:rsid w:val="621B73F8"/>
    <w:rsid w:val="621E2D67"/>
    <w:rsid w:val="62207C52"/>
    <w:rsid w:val="622F00BF"/>
    <w:rsid w:val="623E6DF1"/>
    <w:rsid w:val="62467BC8"/>
    <w:rsid w:val="62522023"/>
    <w:rsid w:val="62533ECD"/>
    <w:rsid w:val="625E4DBB"/>
    <w:rsid w:val="62612E95"/>
    <w:rsid w:val="62632B06"/>
    <w:rsid w:val="62633DD6"/>
    <w:rsid w:val="62682234"/>
    <w:rsid w:val="626C5FA0"/>
    <w:rsid w:val="626D4D30"/>
    <w:rsid w:val="626F14F4"/>
    <w:rsid w:val="62743998"/>
    <w:rsid w:val="62744735"/>
    <w:rsid w:val="629065E6"/>
    <w:rsid w:val="62924AF6"/>
    <w:rsid w:val="6299419B"/>
    <w:rsid w:val="629C5241"/>
    <w:rsid w:val="62A56FE4"/>
    <w:rsid w:val="62B17737"/>
    <w:rsid w:val="62B47227"/>
    <w:rsid w:val="62C126EC"/>
    <w:rsid w:val="62D17337"/>
    <w:rsid w:val="62DA50F4"/>
    <w:rsid w:val="62DE6052"/>
    <w:rsid w:val="62F15D85"/>
    <w:rsid w:val="62F51D1A"/>
    <w:rsid w:val="62F775D9"/>
    <w:rsid w:val="62F92E8C"/>
    <w:rsid w:val="62FC03A2"/>
    <w:rsid w:val="630D0714"/>
    <w:rsid w:val="63117E56"/>
    <w:rsid w:val="631A1780"/>
    <w:rsid w:val="631E66C4"/>
    <w:rsid w:val="63211F05"/>
    <w:rsid w:val="63250BED"/>
    <w:rsid w:val="63285E07"/>
    <w:rsid w:val="632D2659"/>
    <w:rsid w:val="633E6DDC"/>
    <w:rsid w:val="635051A2"/>
    <w:rsid w:val="63555B37"/>
    <w:rsid w:val="635A392B"/>
    <w:rsid w:val="636724EC"/>
    <w:rsid w:val="63780255"/>
    <w:rsid w:val="637B0BF4"/>
    <w:rsid w:val="637D586B"/>
    <w:rsid w:val="63952BB5"/>
    <w:rsid w:val="639A01CB"/>
    <w:rsid w:val="63AB687C"/>
    <w:rsid w:val="63AF7071"/>
    <w:rsid w:val="63B3128D"/>
    <w:rsid w:val="63B61D8B"/>
    <w:rsid w:val="63BD2B61"/>
    <w:rsid w:val="63C416EC"/>
    <w:rsid w:val="63C87B70"/>
    <w:rsid w:val="63CB7FCA"/>
    <w:rsid w:val="63CF256B"/>
    <w:rsid w:val="63D43986"/>
    <w:rsid w:val="63DD7D2B"/>
    <w:rsid w:val="63E92F01"/>
    <w:rsid w:val="63EE06EE"/>
    <w:rsid w:val="63EF60A3"/>
    <w:rsid w:val="63FE6E01"/>
    <w:rsid w:val="640F5CFD"/>
    <w:rsid w:val="6410335F"/>
    <w:rsid w:val="641549CE"/>
    <w:rsid w:val="64155AA4"/>
    <w:rsid w:val="641B57B0"/>
    <w:rsid w:val="641F57D1"/>
    <w:rsid w:val="6420379D"/>
    <w:rsid w:val="64216B3E"/>
    <w:rsid w:val="642F62A3"/>
    <w:rsid w:val="643E4FFA"/>
    <w:rsid w:val="6444263E"/>
    <w:rsid w:val="644840CB"/>
    <w:rsid w:val="644A7E43"/>
    <w:rsid w:val="64521F65"/>
    <w:rsid w:val="645223A8"/>
    <w:rsid w:val="645F553D"/>
    <w:rsid w:val="646F1A49"/>
    <w:rsid w:val="648A6753"/>
    <w:rsid w:val="648F4D29"/>
    <w:rsid w:val="64A67846"/>
    <w:rsid w:val="64A82DBC"/>
    <w:rsid w:val="64AA6B34"/>
    <w:rsid w:val="64B96D77"/>
    <w:rsid w:val="64C01EB3"/>
    <w:rsid w:val="64CD26CE"/>
    <w:rsid w:val="64D2001F"/>
    <w:rsid w:val="64D771FD"/>
    <w:rsid w:val="64DB5B96"/>
    <w:rsid w:val="64DC5A55"/>
    <w:rsid w:val="64EC323A"/>
    <w:rsid w:val="64ED07CF"/>
    <w:rsid w:val="64EE3EB2"/>
    <w:rsid w:val="64F251CE"/>
    <w:rsid w:val="64F729DB"/>
    <w:rsid w:val="64F93617"/>
    <w:rsid w:val="64FD5FBF"/>
    <w:rsid w:val="65013FCF"/>
    <w:rsid w:val="65063F1E"/>
    <w:rsid w:val="65075542"/>
    <w:rsid w:val="650A680C"/>
    <w:rsid w:val="651600E5"/>
    <w:rsid w:val="651B2BF0"/>
    <w:rsid w:val="65200BA4"/>
    <w:rsid w:val="652E32C1"/>
    <w:rsid w:val="65303DD9"/>
    <w:rsid w:val="65332434"/>
    <w:rsid w:val="653A2515"/>
    <w:rsid w:val="65416D64"/>
    <w:rsid w:val="654849F0"/>
    <w:rsid w:val="65607EBC"/>
    <w:rsid w:val="65631E72"/>
    <w:rsid w:val="65652ADD"/>
    <w:rsid w:val="65765F2C"/>
    <w:rsid w:val="658F15CC"/>
    <w:rsid w:val="659F4C10"/>
    <w:rsid w:val="65A842A2"/>
    <w:rsid w:val="65AA6DD0"/>
    <w:rsid w:val="65B21C6C"/>
    <w:rsid w:val="65BB2119"/>
    <w:rsid w:val="65C05C1F"/>
    <w:rsid w:val="65C16DB1"/>
    <w:rsid w:val="65C47781"/>
    <w:rsid w:val="65C56EE9"/>
    <w:rsid w:val="65D72852"/>
    <w:rsid w:val="65D74B46"/>
    <w:rsid w:val="65D914CF"/>
    <w:rsid w:val="65E928CD"/>
    <w:rsid w:val="65EB2F60"/>
    <w:rsid w:val="65EC74F1"/>
    <w:rsid w:val="65FF07B9"/>
    <w:rsid w:val="6604670C"/>
    <w:rsid w:val="660918F9"/>
    <w:rsid w:val="6609788A"/>
    <w:rsid w:val="661B78FF"/>
    <w:rsid w:val="66245A6A"/>
    <w:rsid w:val="662A2BA3"/>
    <w:rsid w:val="662D6DDD"/>
    <w:rsid w:val="66534E24"/>
    <w:rsid w:val="66552ACF"/>
    <w:rsid w:val="66566C6B"/>
    <w:rsid w:val="665931F4"/>
    <w:rsid w:val="665C5C0C"/>
    <w:rsid w:val="665E1984"/>
    <w:rsid w:val="666112BC"/>
    <w:rsid w:val="66633B59"/>
    <w:rsid w:val="666B22F3"/>
    <w:rsid w:val="667121EB"/>
    <w:rsid w:val="6675128B"/>
    <w:rsid w:val="667E25EE"/>
    <w:rsid w:val="66996B38"/>
    <w:rsid w:val="669C24AC"/>
    <w:rsid w:val="66B01A27"/>
    <w:rsid w:val="66B15F8B"/>
    <w:rsid w:val="66B26298"/>
    <w:rsid w:val="66B27D9D"/>
    <w:rsid w:val="66B33BFC"/>
    <w:rsid w:val="66B843BC"/>
    <w:rsid w:val="66C0263F"/>
    <w:rsid w:val="66C20165"/>
    <w:rsid w:val="66CB4B3F"/>
    <w:rsid w:val="66CF6AB4"/>
    <w:rsid w:val="66D25AEA"/>
    <w:rsid w:val="66D439F4"/>
    <w:rsid w:val="66DB1226"/>
    <w:rsid w:val="66E017B6"/>
    <w:rsid w:val="66E14363"/>
    <w:rsid w:val="66E418B0"/>
    <w:rsid w:val="66E71979"/>
    <w:rsid w:val="66EE3467"/>
    <w:rsid w:val="66EF4CD2"/>
    <w:rsid w:val="66F542F4"/>
    <w:rsid w:val="66F75934"/>
    <w:rsid w:val="670371F7"/>
    <w:rsid w:val="67060F1C"/>
    <w:rsid w:val="670B4811"/>
    <w:rsid w:val="671250CD"/>
    <w:rsid w:val="67140294"/>
    <w:rsid w:val="671D539B"/>
    <w:rsid w:val="672030DD"/>
    <w:rsid w:val="67220C03"/>
    <w:rsid w:val="672415A1"/>
    <w:rsid w:val="672476E2"/>
    <w:rsid w:val="672C1A82"/>
    <w:rsid w:val="672C4C66"/>
    <w:rsid w:val="672F524D"/>
    <w:rsid w:val="67316662"/>
    <w:rsid w:val="67336716"/>
    <w:rsid w:val="673F63AB"/>
    <w:rsid w:val="6740552D"/>
    <w:rsid w:val="67414BB2"/>
    <w:rsid w:val="674D7F78"/>
    <w:rsid w:val="675D1C3B"/>
    <w:rsid w:val="676502F9"/>
    <w:rsid w:val="676A4358"/>
    <w:rsid w:val="676F7BC1"/>
    <w:rsid w:val="67731E26"/>
    <w:rsid w:val="6777710B"/>
    <w:rsid w:val="67784CC7"/>
    <w:rsid w:val="677D0826"/>
    <w:rsid w:val="6787237B"/>
    <w:rsid w:val="678D7B11"/>
    <w:rsid w:val="67982C74"/>
    <w:rsid w:val="67985076"/>
    <w:rsid w:val="679A4C3E"/>
    <w:rsid w:val="67AA7A24"/>
    <w:rsid w:val="67AB00A0"/>
    <w:rsid w:val="67B37AAD"/>
    <w:rsid w:val="67BA7B47"/>
    <w:rsid w:val="67C30DF4"/>
    <w:rsid w:val="67DA14DE"/>
    <w:rsid w:val="67E10ABE"/>
    <w:rsid w:val="67E747A6"/>
    <w:rsid w:val="67F2359A"/>
    <w:rsid w:val="67FC0863"/>
    <w:rsid w:val="68010E11"/>
    <w:rsid w:val="680B0AB8"/>
    <w:rsid w:val="680D7446"/>
    <w:rsid w:val="681A5D7E"/>
    <w:rsid w:val="681D761D"/>
    <w:rsid w:val="682644AC"/>
    <w:rsid w:val="6828369A"/>
    <w:rsid w:val="682E5386"/>
    <w:rsid w:val="684A6664"/>
    <w:rsid w:val="684D54BF"/>
    <w:rsid w:val="685017A0"/>
    <w:rsid w:val="685272C6"/>
    <w:rsid w:val="685D4F2F"/>
    <w:rsid w:val="685F08A4"/>
    <w:rsid w:val="685F1F4E"/>
    <w:rsid w:val="68622195"/>
    <w:rsid w:val="686616DB"/>
    <w:rsid w:val="686653FB"/>
    <w:rsid w:val="686A72C8"/>
    <w:rsid w:val="686C2F70"/>
    <w:rsid w:val="686E3175"/>
    <w:rsid w:val="68761C27"/>
    <w:rsid w:val="687721ED"/>
    <w:rsid w:val="687E75F4"/>
    <w:rsid w:val="687F3395"/>
    <w:rsid w:val="68815DFE"/>
    <w:rsid w:val="68872F66"/>
    <w:rsid w:val="688A754B"/>
    <w:rsid w:val="688F6149"/>
    <w:rsid w:val="68925915"/>
    <w:rsid w:val="689C5636"/>
    <w:rsid w:val="689D7F6A"/>
    <w:rsid w:val="68A24735"/>
    <w:rsid w:val="68A4085D"/>
    <w:rsid w:val="68B06C04"/>
    <w:rsid w:val="68B12786"/>
    <w:rsid w:val="68B2108B"/>
    <w:rsid w:val="68B7181F"/>
    <w:rsid w:val="68BA5AC8"/>
    <w:rsid w:val="68C748AC"/>
    <w:rsid w:val="68CD1FBF"/>
    <w:rsid w:val="68D073D9"/>
    <w:rsid w:val="68D331C7"/>
    <w:rsid w:val="68D40623"/>
    <w:rsid w:val="68DA0082"/>
    <w:rsid w:val="68DA777A"/>
    <w:rsid w:val="68E12D15"/>
    <w:rsid w:val="68E50078"/>
    <w:rsid w:val="68E54B13"/>
    <w:rsid w:val="68F71C1C"/>
    <w:rsid w:val="690F366B"/>
    <w:rsid w:val="69100842"/>
    <w:rsid w:val="691058E2"/>
    <w:rsid w:val="69110F2F"/>
    <w:rsid w:val="69140A20"/>
    <w:rsid w:val="69166546"/>
    <w:rsid w:val="691A5012"/>
    <w:rsid w:val="692F7608"/>
    <w:rsid w:val="693457D7"/>
    <w:rsid w:val="6938470E"/>
    <w:rsid w:val="693B41FE"/>
    <w:rsid w:val="69426D67"/>
    <w:rsid w:val="694806C9"/>
    <w:rsid w:val="6949237B"/>
    <w:rsid w:val="694F3806"/>
    <w:rsid w:val="69544383"/>
    <w:rsid w:val="695D23C7"/>
    <w:rsid w:val="696E6382"/>
    <w:rsid w:val="696F1249"/>
    <w:rsid w:val="6972099C"/>
    <w:rsid w:val="697435A9"/>
    <w:rsid w:val="69794255"/>
    <w:rsid w:val="697D0373"/>
    <w:rsid w:val="697D4817"/>
    <w:rsid w:val="697F233D"/>
    <w:rsid w:val="69932C45"/>
    <w:rsid w:val="699F5140"/>
    <w:rsid w:val="69A5479C"/>
    <w:rsid w:val="69B05A82"/>
    <w:rsid w:val="69B37430"/>
    <w:rsid w:val="69BC24F9"/>
    <w:rsid w:val="69BE713E"/>
    <w:rsid w:val="69BF098B"/>
    <w:rsid w:val="69C12C70"/>
    <w:rsid w:val="69C355AA"/>
    <w:rsid w:val="69CC68F7"/>
    <w:rsid w:val="69D03328"/>
    <w:rsid w:val="69D20350"/>
    <w:rsid w:val="69D24748"/>
    <w:rsid w:val="69D81A4D"/>
    <w:rsid w:val="69DA57C5"/>
    <w:rsid w:val="69E06FC0"/>
    <w:rsid w:val="69E36773"/>
    <w:rsid w:val="69F406AF"/>
    <w:rsid w:val="69F8774C"/>
    <w:rsid w:val="6A050B73"/>
    <w:rsid w:val="6A0E36C1"/>
    <w:rsid w:val="6A0E546F"/>
    <w:rsid w:val="6A17395F"/>
    <w:rsid w:val="6A200C08"/>
    <w:rsid w:val="6A216A2B"/>
    <w:rsid w:val="6A2E311B"/>
    <w:rsid w:val="6A333509"/>
    <w:rsid w:val="6A362DE3"/>
    <w:rsid w:val="6A3D7B02"/>
    <w:rsid w:val="6A4728D8"/>
    <w:rsid w:val="6A4E4ADE"/>
    <w:rsid w:val="6A595DFF"/>
    <w:rsid w:val="6A6556E7"/>
    <w:rsid w:val="6A673F2C"/>
    <w:rsid w:val="6A697C19"/>
    <w:rsid w:val="6A6A39AA"/>
    <w:rsid w:val="6A7A5CFD"/>
    <w:rsid w:val="6A7D0C4F"/>
    <w:rsid w:val="6A8079C5"/>
    <w:rsid w:val="6A845731"/>
    <w:rsid w:val="6A955B90"/>
    <w:rsid w:val="6A986706"/>
    <w:rsid w:val="6AA277E9"/>
    <w:rsid w:val="6AA32632"/>
    <w:rsid w:val="6AA819BB"/>
    <w:rsid w:val="6AAB66D6"/>
    <w:rsid w:val="6AB02A3C"/>
    <w:rsid w:val="6AB57FE0"/>
    <w:rsid w:val="6AB9187F"/>
    <w:rsid w:val="6ABF49BB"/>
    <w:rsid w:val="6AD22940"/>
    <w:rsid w:val="6AD42215"/>
    <w:rsid w:val="6AD72F36"/>
    <w:rsid w:val="6AD902D3"/>
    <w:rsid w:val="6ADA17F5"/>
    <w:rsid w:val="6AE14931"/>
    <w:rsid w:val="6AE83F12"/>
    <w:rsid w:val="6AEA2C9B"/>
    <w:rsid w:val="6AF35329"/>
    <w:rsid w:val="6AFE3735"/>
    <w:rsid w:val="6AFE54C2"/>
    <w:rsid w:val="6B013226"/>
    <w:rsid w:val="6B0F4925"/>
    <w:rsid w:val="6B19056F"/>
    <w:rsid w:val="6B3B2900"/>
    <w:rsid w:val="6B492E19"/>
    <w:rsid w:val="6B4F3682"/>
    <w:rsid w:val="6B52164E"/>
    <w:rsid w:val="6B537D6A"/>
    <w:rsid w:val="6B555ED8"/>
    <w:rsid w:val="6B64759D"/>
    <w:rsid w:val="6B7925B5"/>
    <w:rsid w:val="6B7B01F3"/>
    <w:rsid w:val="6B8A6D77"/>
    <w:rsid w:val="6B951E5C"/>
    <w:rsid w:val="6BA53BB1"/>
    <w:rsid w:val="6BA96872"/>
    <w:rsid w:val="6BAA11C7"/>
    <w:rsid w:val="6BAC24FF"/>
    <w:rsid w:val="6BB34F40"/>
    <w:rsid w:val="6BBE4E5F"/>
    <w:rsid w:val="6BC32289"/>
    <w:rsid w:val="6BC40AAF"/>
    <w:rsid w:val="6BCC6FAC"/>
    <w:rsid w:val="6BE071F2"/>
    <w:rsid w:val="6BE47E28"/>
    <w:rsid w:val="6BF46260"/>
    <w:rsid w:val="6BF822B7"/>
    <w:rsid w:val="6BF95CAB"/>
    <w:rsid w:val="6C0055C4"/>
    <w:rsid w:val="6C0B34E9"/>
    <w:rsid w:val="6C1024E2"/>
    <w:rsid w:val="6C186A79"/>
    <w:rsid w:val="6C21592D"/>
    <w:rsid w:val="6C2D7278"/>
    <w:rsid w:val="6C392F83"/>
    <w:rsid w:val="6C44161C"/>
    <w:rsid w:val="6C442DDA"/>
    <w:rsid w:val="6C4F72BC"/>
    <w:rsid w:val="6C5A0E3F"/>
    <w:rsid w:val="6C5C29D3"/>
    <w:rsid w:val="6C692E30"/>
    <w:rsid w:val="6C7175FA"/>
    <w:rsid w:val="6C733391"/>
    <w:rsid w:val="6C7A669A"/>
    <w:rsid w:val="6C7D68DC"/>
    <w:rsid w:val="6C837FF5"/>
    <w:rsid w:val="6C8D3102"/>
    <w:rsid w:val="6C933351"/>
    <w:rsid w:val="6CA51091"/>
    <w:rsid w:val="6CA67BE1"/>
    <w:rsid w:val="6CAE2F39"/>
    <w:rsid w:val="6CB5686E"/>
    <w:rsid w:val="6CB73B9C"/>
    <w:rsid w:val="6CB87914"/>
    <w:rsid w:val="6CB94F80"/>
    <w:rsid w:val="6CC132EE"/>
    <w:rsid w:val="6CC4450B"/>
    <w:rsid w:val="6CC53523"/>
    <w:rsid w:val="6CC9665E"/>
    <w:rsid w:val="6CD91ADE"/>
    <w:rsid w:val="6CDC1854"/>
    <w:rsid w:val="6CEC361C"/>
    <w:rsid w:val="6CF44C70"/>
    <w:rsid w:val="6CF51FA2"/>
    <w:rsid w:val="6D064B23"/>
    <w:rsid w:val="6D0B73F9"/>
    <w:rsid w:val="6D0C1994"/>
    <w:rsid w:val="6D1737F3"/>
    <w:rsid w:val="6D194857"/>
    <w:rsid w:val="6D1F7993"/>
    <w:rsid w:val="6D2E7C79"/>
    <w:rsid w:val="6D306C8A"/>
    <w:rsid w:val="6D3B47CD"/>
    <w:rsid w:val="6D3E3736"/>
    <w:rsid w:val="6D3E5C87"/>
    <w:rsid w:val="6D423397"/>
    <w:rsid w:val="6D4D71AC"/>
    <w:rsid w:val="6D543AE1"/>
    <w:rsid w:val="6D5B7690"/>
    <w:rsid w:val="6D6A0C3B"/>
    <w:rsid w:val="6D747729"/>
    <w:rsid w:val="6D7B4FEB"/>
    <w:rsid w:val="6D7E5723"/>
    <w:rsid w:val="6D8223FC"/>
    <w:rsid w:val="6D8A305E"/>
    <w:rsid w:val="6D9A6934"/>
    <w:rsid w:val="6D9B40CC"/>
    <w:rsid w:val="6DA07CFD"/>
    <w:rsid w:val="6DA73C0F"/>
    <w:rsid w:val="6DBB7398"/>
    <w:rsid w:val="6DC06A80"/>
    <w:rsid w:val="6DD61051"/>
    <w:rsid w:val="6DD67BCE"/>
    <w:rsid w:val="6DD76259"/>
    <w:rsid w:val="6DD97D37"/>
    <w:rsid w:val="6DDA2576"/>
    <w:rsid w:val="6DE230CF"/>
    <w:rsid w:val="6DEC2CF6"/>
    <w:rsid w:val="6DF0240C"/>
    <w:rsid w:val="6DF07E48"/>
    <w:rsid w:val="6E010102"/>
    <w:rsid w:val="6E062135"/>
    <w:rsid w:val="6E0D5593"/>
    <w:rsid w:val="6E27182F"/>
    <w:rsid w:val="6E2A068D"/>
    <w:rsid w:val="6E353F7C"/>
    <w:rsid w:val="6E475B3F"/>
    <w:rsid w:val="6E4D2BD7"/>
    <w:rsid w:val="6E4E7458"/>
    <w:rsid w:val="6E50156F"/>
    <w:rsid w:val="6E5518EF"/>
    <w:rsid w:val="6E5F098F"/>
    <w:rsid w:val="6E6508B3"/>
    <w:rsid w:val="6E661D1D"/>
    <w:rsid w:val="6E680FFF"/>
    <w:rsid w:val="6E700D11"/>
    <w:rsid w:val="6E7159DC"/>
    <w:rsid w:val="6E793AD4"/>
    <w:rsid w:val="6E7A1CD3"/>
    <w:rsid w:val="6E7A7577"/>
    <w:rsid w:val="6E7C509D"/>
    <w:rsid w:val="6E7D45F7"/>
    <w:rsid w:val="6E8757F0"/>
    <w:rsid w:val="6E8842D7"/>
    <w:rsid w:val="6E8E2D18"/>
    <w:rsid w:val="6E8E3022"/>
    <w:rsid w:val="6E930639"/>
    <w:rsid w:val="6E9C573F"/>
    <w:rsid w:val="6EA15077"/>
    <w:rsid w:val="6EA72431"/>
    <w:rsid w:val="6EA77C40"/>
    <w:rsid w:val="6EAA3313"/>
    <w:rsid w:val="6ECB3E6A"/>
    <w:rsid w:val="6ECC76A7"/>
    <w:rsid w:val="6ED30A35"/>
    <w:rsid w:val="6EE54B11"/>
    <w:rsid w:val="6EE54D39"/>
    <w:rsid w:val="6EE82732"/>
    <w:rsid w:val="6EF2710D"/>
    <w:rsid w:val="6EF94940"/>
    <w:rsid w:val="6EFA4214"/>
    <w:rsid w:val="6F070479"/>
    <w:rsid w:val="6F1E43A6"/>
    <w:rsid w:val="6F1E6154"/>
    <w:rsid w:val="6F241722"/>
    <w:rsid w:val="6F246A17"/>
    <w:rsid w:val="6F273616"/>
    <w:rsid w:val="6F2F7A80"/>
    <w:rsid w:val="6F3040D9"/>
    <w:rsid w:val="6F307C36"/>
    <w:rsid w:val="6F3D4F52"/>
    <w:rsid w:val="6F41677D"/>
    <w:rsid w:val="6F433BCC"/>
    <w:rsid w:val="6F4B0F13"/>
    <w:rsid w:val="6F523DFA"/>
    <w:rsid w:val="6F563B40"/>
    <w:rsid w:val="6F573414"/>
    <w:rsid w:val="6F5B5AA7"/>
    <w:rsid w:val="6F6064F5"/>
    <w:rsid w:val="6F655B31"/>
    <w:rsid w:val="6F715ECB"/>
    <w:rsid w:val="6F743AD1"/>
    <w:rsid w:val="6F753C7B"/>
    <w:rsid w:val="6F7B68FB"/>
    <w:rsid w:val="6F7D40BC"/>
    <w:rsid w:val="6F7E3097"/>
    <w:rsid w:val="6F814935"/>
    <w:rsid w:val="6F816384"/>
    <w:rsid w:val="6F854425"/>
    <w:rsid w:val="6F856571"/>
    <w:rsid w:val="6F8618E5"/>
    <w:rsid w:val="6F8866D3"/>
    <w:rsid w:val="6F8A763A"/>
    <w:rsid w:val="6F8C767B"/>
    <w:rsid w:val="6F9E5C99"/>
    <w:rsid w:val="6FA95287"/>
    <w:rsid w:val="6FB40867"/>
    <w:rsid w:val="6FC809FE"/>
    <w:rsid w:val="6FCE10E6"/>
    <w:rsid w:val="6FEC08D5"/>
    <w:rsid w:val="6FEC1DAE"/>
    <w:rsid w:val="6FED5B27"/>
    <w:rsid w:val="6FF13869"/>
    <w:rsid w:val="7003534A"/>
    <w:rsid w:val="70057314"/>
    <w:rsid w:val="700C0959"/>
    <w:rsid w:val="700C72C4"/>
    <w:rsid w:val="70141305"/>
    <w:rsid w:val="70191E8F"/>
    <w:rsid w:val="70292F5C"/>
    <w:rsid w:val="70335C2F"/>
    <w:rsid w:val="70384FF4"/>
    <w:rsid w:val="703B5596"/>
    <w:rsid w:val="70413A40"/>
    <w:rsid w:val="70675C74"/>
    <w:rsid w:val="70676F30"/>
    <w:rsid w:val="706C20C5"/>
    <w:rsid w:val="706D5F5F"/>
    <w:rsid w:val="707F5C97"/>
    <w:rsid w:val="708126AE"/>
    <w:rsid w:val="7089297C"/>
    <w:rsid w:val="70912956"/>
    <w:rsid w:val="70916637"/>
    <w:rsid w:val="70972ADE"/>
    <w:rsid w:val="709760D6"/>
    <w:rsid w:val="709D696B"/>
    <w:rsid w:val="70AC3F78"/>
    <w:rsid w:val="70BF5715"/>
    <w:rsid w:val="70CF1B3E"/>
    <w:rsid w:val="70D50190"/>
    <w:rsid w:val="70EE7344"/>
    <w:rsid w:val="70FB4AAE"/>
    <w:rsid w:val="710870BC"/>
    <w:rsid w:val="711726A0"/>
    <w:rsid w:val="711772FF"/>
    <w:rsid w:val="71211F2C"/>
    <w:rsid w:val="7127304C"/>
    <w:rsid w:val="712A59E4"/>
    <w:rsid w:val="712D377D"/>
    <w:rsid w:val="712E54BC"/>
    <w:rsid w:val="712F39D9"/>
    <w:rsid w:val="71346C20"/>
    <w:rsid w:val="71353C29"/>
    <w:rsid w:val="713952F0"/>
    <w:rsid w:val="7139733C"/>
    <w:rsid w:val="714B0D57"/>
    <w:rsid w:val="714C1439"/>
    <w:rsid w:val="714F0151"/>
    <w:rsid w:val="7150636D"/>
    <w:rsid w:val="715F0AFA"/>
    <w:rsid w:val="716301F2"/>
    <w:rsid w:val="716A5126"/>
    <w:rsid w:val="718B3849"/>
    <w:rsid w:val="718F60EA"/>
    <w:rsid w:val="71940950"/>
    <w:rsid w:val="71B0505E"/>
    <w:rsid w:val="71C11DF7"/>
    <w:rsid w:val="71C823A7"/>
    <w:rsid w:val="71D074AE"/>
    <w:rsid w:val="71DA0BE5"/>
    <w:rsid w:val="71DD5031"/>
    <w:rsid w:val="71EE4E44"/>
    <w:rsid w:val="71F72789"/>
    <w:rsid w:val="71F950A9"/>
    <w:rsid w:val="720C2BDC"/>
    <w:rsid w:val="720F447A"/>
    <w:rsid w:val="721455EC"/>
    <w:rsid w:val="723143F0"/>
    <w:rsid w:val="72334BFF"/>
    <w:rsid w:val="723D4B43"/>
    <w:rsid w:val="725556EE"/>
    <w:rsid w:val="7256135B"/>
    <w:rsid w:val="72564B05"/>
    <w:rsid w:val="726A7902"/>
    <w:rsid w:val="726F0862"/>
    <w:rsid w:val="7278201F"/>
    <w:rsid w:val="727E1A1D"/>
    <w:rsid w:val="728072BD"/>
    <w:rsid w:val="72834FDD"/>
    <w:rsid w:val="728510F3"/>
    <w:rsid w:val="7292109E"/>
    <w:rsid w:val="729726DA"/>
    <w:rsid w:val="72AA4100"/>
    <w:rsid w:val="72AC4390"/>
    <w:rsid w:val="72B21FF4"/>
    <w:rsid w:val="72B33057"/>
    <w:rsid w:val="72BE7763"/>
    <w:rsid w:val="72C619A7"/>
    <w:rsid w:val="72CE6BB8"/>
    <w:rsid w:val="72CF0C43"/>
    <w:rsid w:val="72D13149"/>
    <w:rsid w:val="72D52FC8"/>
    <w:rsid w:val="72E77EDF"/>
    <w:rsid w:val="72F01BB6"/>
    <w:rsid w:val="730F2712"/>
    <w:rsid w:val="73151BA1"/>
    <w:rsid w:val="731B43AB"/>
    <w:rsid w:val="731E2BC7"/>
    <w:rsid w:val="732469F1"/>
    <w:rsid w:val="7329156C"/>
    <w:rsid w:val="732E6B82"/>
    <w:rsid w:val="73326672"/>
    <w:rsid w:val="733A10F5"/>
    <w:rsid w:val="733C4DFB"/>
    <w:rsid w:val="73406CFF"/>
    <w:rsid w:val="73412E69"/>
    <w:rsid w:val="73481ADA"/>
    <w:rsid w:val="73536931"/>
    <w:rsid w:val="73594FEE"/>
    <w:rsid w:val="735B7814"/>
    <w:rsid w:val="73664B86"/>
    <w:rsid w:val="73754CED"/>
    <w:rsid w:val="73810EA8"/>
    <w:rsid w:val="73820AE6"/>
    <w:rsid w:val="738446CD"/>
    <w:rsid w:val="73860117"/>
    <w:rsid w:val="7389251C"/>
    <w:rsid w:val="738B7B30"/>
    <w:rsid w:val="738D19B3"/>
    <w:rsid w:val="738F53D1"/>
    <w:rsid w:val="73952CB2"/>
    <w:rsid w:val="73974727"/>
    <w:rsid w:val="739A1232"/>
    <w:rsid w:val="739E2B65"/>
    <w:rsid w:val="73A40EF6"/>
    <w:rsid w:val="73AC703E"/>
    <w:rsid w:val="73AE074E"/>
    <w:rsid w:val="73B726D3"/>
    <w:rsid w:val="73BD2CD2"/>
    <w:rsid w:val="73CD1EF7"/>
    <w:rsid w:val="73CE0271"/>
    <w:rsid w:val="73D547B7"/>
    <w:rsid w:val="73DD4A86"/>
    <w:rsid w:val="73E7745D"/>
    <w:rsid w:val="73EA2E5D"/>
    <w:rsid w:val="73EB05CF"/>
    <w:rsid w:val="73EB25D1"/>
    <w:rsid w:val="73EF60EE"/>
    <w:rsid w:val="73F65FFA"/>
    <w:rsid w:val="73FF2CA7"/>
    <w:rsid w:val="74033B6B"/>
    <w:rsid w:val="74062CC9"/>
    <w:rsid w:val="74084B9C"/>
    <w:rsid w:val="741522F2"/>
    <w:rsid w:val="74251C07"/>
    <w:rsid w:val="7428537F"/>
    <w:rsid w:val="742D385E"/>
    <w:rsid w:val="742D6E66"/>
    <w:rsid w:val="74365E7F"/>
    <w:rsid w:val="74381A66"/>
    <w:rsid w:val="743D707D"/>
    <w:rsid w:val="7448148E"/>
    <w:rsid w:val="74511A27"/>
    <w:rsid w:val="745D771F"/>
    <w:rsid w:val="74610A05"/>
    <w:rsid w:val="74644EAC"/>
    <w:rsid w:val="746565D3"/>
    <w:rsid w:val="7468372F"/>
    <w:rsid w:val="746E36DA"/>
    <w:rsid w:val="747405C4"/>
    <w:rsid w:val="747601B3"/>
    <w:rsid w:val="74796352"/>
    <w:rsid w:val="747E50C9"/>
    <w:rsid w:val="74842EFD"/>
    <w:rsid w:val="74845F23"/>
    <w:rsid w:val="748C7BA9"/>
    <w:rsid w:val="748E5765"/>
    <w:rsid w:val="74A22B7E"/>
    <w:rsid w:val="74A52E74"/>
    <w:rsid w:val="74A569D0"/>
    <w:rsid w:val="74B91900"/>
    <w:rsid w:val="74BD203D"/>
    <w:rsid w:val="74C3388D"/>
    <w:rsid w:val="74C652C4"/>
    <w:rsid w:val="74CA11F8"/>
    <w:rsid w:val="74D06143"/>
    <w:rsid w:val="74D13C69"/>
    <w:rsid w:val="74D177C5"/>
    <w:rsid w:val="74D67627"/>
    <w:rsid w:val="74D74EDF"/>
    <w:rsid w:val="74E219D2"/>
    <w:rsid w:val="74E95CF6"/>
    <w:rsid w:val="74EC1CAE"/>
    <w:rsid w:val="74F4602E"/>
    <w:rsid w:val="74F51705"/>
    <w:rsid w:val="74FE1728"/>
    <w:rsid w:val="750B717B"/>
    <w:rsid w:val="75396923"/>
    <w:rsid w:val="753E12F6"/>
    <w:rsid w:val="754206C3"/>
    <w:rsid w:val="75564BA8"/>
    <w:rsid w:val="75635C03"/>
    <w:rsid w:val="75695C4F"/>
    <w:rsid w:val="756D573F"/>
    <w:rsid w:val="75776108"/>
    <w:rsid w:val="75831D21"/>
    <w:rsid w:val="75A10061"/>
    <w:rsid w:val="75A650F5"/>
    <w:rsid w:val="75AD1FE0"/>
    <w:rsid w:val="75B452ED"/>
    <w:rsid w:val="75B50E95"/>
    <w:rsid w:val="75BE0C1D"/>
    <w:rsid w:val="75BE5BB7"/>
    <w:rsid w:val="75C54C3D"/>
    <w:rsid w:val="75CB303F"/>
    <w:rsid w:val="75CC4C57"/>
    <w:rsid w:val="75D45BCF"/>
    <w:rsid w:val="75DB556D"/>
    <w:rsid w:val="75E207DE"/>
    <w:rsid w:val="75E65DDF"/>
    <w:rsid w:val="75EA4FE2"/>
    <w:rsid w:val="75EC246C"/>
    <w:rsid w:val="75ED5B45"/>
    <w:rsid w:val="75F05853"/>
    <w:rsid w:val="75F87EB9"/>
    <w:rsid w:val="75FA2D4B"/>
    <w:rsid w:val="75FC6AC3"/>
    <w:rsid w:val="760457D3"/>
    <w:rsid w:val="7605052B"/>
    <w:rsid w:val="76065B94"/>
    <w:rsid w:val="76120095"/>
    <w:rsid w:val="76156E62"/>
    <w:rsid w:val="762027B2"/>
    <w:rsid w:val="76224E84"/>
    <w:rsid w:val="762427E8"/>
    <w:rsid w:val="762B1157"/>
    <w:rsid w:val="762B3F1A"/>
    <w:rsid w:val="76302578"/>
    <w:rsid w:val="76323D0E"/>
    <w:rsid w:val="7634073A"/>
    <w:rsid w:val="763508E5"/>
    <w:rsid w:val="763816C7"/>
    <w:rsid w:val="76421DCF"/>
    <w:rsid w:val="764D66BA"/>
    <w:rsid w:val="764F3AA6"/>
    <w:rsid w:val="765406AD"/>
    <w:rsid w:val="76585061"/>
    <w:rsid w:val="766537ED"/>
    <w:rsid w:val="76692C0E"/>
    <w:rsid w:val="76780610"/>
    <w:rsid w:val="767C4198"/>
    <w:rsid w:val="768A54E6"/>
    <w:rsid w:val="769D3E02"/>
    <w:rsid w:val="76A2766B"/>
    <w:rsid w:val="76A41635"/>
    <w:rsid w:val="76A553AD"/>
    <w:rsid w:val="76B136C6"/>
    <w:rsid w:val="76C1417F"/>
    <w:rsid w:val="76CE60FC"/>
    <w:rsid w:val="76DB0DCF"/>
    <w:rsid w:val="76E557A9"/>
    <w:rsid w:val="76E653D5"/>
    <w:rsid w:val="76E801BB"/>
    <w:rsid w:val="76E94FCC"/>
    <w:rsid w:val="76EB7264"/>
    <w:rsid w:val="77004391"/>
    <w:rsid w:val="770D7444"/>
    <w:rsid w:val="770E4D00"/>
    <w:rsid w:val="770E6AAE"/>
    <w:rsid w:val="770E758D"/>
    <w:rsid w:val="770F0FEE"/>
    <w:rsid w:val="77110B96"/>
    <w:rsid w:val="77133B35"/>
    <w:rsid w:val="77152EE5"/>
    <w:rsid w:val="771E2F38"/>
    <w:rsid w:val="77285B17"/>
    <w:rsid w:val="772B0910"/>
    <w:rsid w:val="77316C41"/>
    <w:rsid w:val="77352A49"/>
    <w:rsid w:val="77356731"/>
    <w:rsid w:val="77445EF3"/>
    <w:rsid w:val="77461575"/>
    <w:rsid w:val="774C1FAD"/>
    <w:rsid w:val="77542199"/>
    <w:rsid w:val="775748F9"/>
    <w:rsid w:val="776A319C"/>
    <w:rsid w:val="776D40C1"/>
    <w:rsid w:val="7778661E"/>
    <w:rsid w:val="777D3C34"/>
    <w:rsid w:val="7780031A"/>
    <w:rsid w:val="77822FF8"/>
    <w:rsid w:val="77846D70"/>
    <w:rsid w:val="77926833"/>
    <w:rsid w:val="77935205"/>
    <w:rsid w:val="77A72086"/>
    <w:rsid w:val="77BB191A"/>
    <w:rsid w:val="77BE6726"/>
    <w:rsid w:val="77CA6328"/>
    <w:rsid w:val="77CB6CC7"/>
    <w:rsid w:val="77D80E20"/>
    <w:rsid w:val="77DD6021"/>
    <w:rsid w:val="77E31CE9"/>
    <w:rsid w:val="77E3618D"/>
    <w:rsid w:val="77E64AD5"/>
    <w:rsid w:val="77E6577A"/>
    <w:rsid w:val="77EF4B32"/>
    <w:rsid w:val="77EF73AE"/>
    <w:rsid w:val="77F008AA"/>
    <w:rsid w:val="77F02658"/>
    <w:rsid w:val="77F235D7"/>
    <w:rsid w:val="77F51A1C"/>
    <w:rsid w:val="77F7266A"/>
    <w:rsid w:val="780122B4"/>
    <w:rsid w:val="78126A72"/>
    <w:rsid w:val="782072BD"/>
    <w:rsid w:val="782A6ECF"/>
    <w:rsid w:val="78320EC2"/>
    <w:rsid w:val="783469E8"/>
    <w:rsid w:val="783D2F74"/>
    <w:rsid w:val="78446BBD"/>
    <w:rsid w:val="784F3822"/>
    <w:rsid w:val="785176F9"/>
    <w:rsid w:val="78644D65"/>
    <w:rsid w:val="786C7F30"/>
    <w:rsid w:val="786E553C"/>
    <w:rsid w:val="786F7DA0"/>
    <w:rsid w:val="78792CC1"/>
    <w:rsid w:val="788039DC"/>
    <w:rsid w:val="788133E3"/>
    <w:rsid w:val="78822EDB"/>
    <w:rsid w:val="78832440"/>
    <w:rsid w:val="788A03B6"/>
    <w:rsid w:val="788B6952"/>
    <w:rsid w:val="7890124A"/>
    <w:rsid w:val="78A55DFF"/>
    <w:rsid w:val="78AD22F7"/>
    <w:rsid w:val="78B21C21"/>
    <w:rsid w:val="78BD4328"/>
    <w:rsid w:val="78C80335"/>
    <w:rsid w:val="78C853FD"/>
    <w:rsid w:val="78CE0BEB"/>
    <w:rsid w:val="78DD139E"/>
    <w:rsid w:val="78E24696"/>
    <w:rsid w:val="78E554C6"/>
    <w:rsid w:val="78EF0B61"/>
    <w:rsid w:val="78F06817"/>
    <w:rsid w:val="78F30652"/>
    <w:rsid w:val="78FB7506"/>
    <w:rsid w:val="79001BC7"/>
    <w:rsid w:val="790243F1"/>
    <w:rsid w:val="790A757E"/>
    <w:rsid w:val="790F0555"/>
    <w:rsid w:val="790F1DDE"/>
    <w:rsid w:val="79194A9F"/>
    <w:rsid w:val="791A5BDE"/>
    <w:rsid w:val="791F1447"/>
    <w:rsid w:val="791F3DB4"/>
    <w:rsid w:val="792048D2"/>
    <w:rsid w:val="792151BF"/>
    <w:rsid w:val="79261D7C"/>
    <w:rsid w:val="792F0F5E"/>
    <w:rsid w:val="793A122E"/>
    <w:rsid w:val="79416B9B"/>
    <w:rsid w:val="794460B9"/>
    <w:rsid w:val="794A0230"/>
    <w:rsid w:val="794F0F42"/>
    <w:rsid w:val="795B1DD4"/>
    <w:rsid w:val="795D38CC"/>
    <w:rsid w:val="79652D54"/>
    <w:rsid w:val="79692F9A"/>
    <w:rsid w:val="796C21B2"/>
    <w:rsid w:val="79711AA2"/>
    <w:rsid w:val="797A168E"/>
    <w:rsid w:val="797D616D"/>
    <w:rsid w:val="79823784"/>
    <w:rsid w:val="79861AE8"/>
    <w:rsid w:val="79870D9A"/>
    <w:rsid w:val="79911E21"/>
    <w:rsid w:val="79975AC4"/>
    <w:rsid w:val="799C6D83"/>
    <w:rsid w:val="799E692D"/>
    <w:rsid w:val="79A157D2"/>
    <w:rsid w:val="79A25BD4"/>
    <w:rsid w:val="79A83E29"/>
    <w:rsid w:val="79AA44C7"/>
    <w:rsid w:val="79AB21C0"/>
    <w:rsid w:val="79B853F7"/>
    <w:rsid w:val="79BC7DFD"/>
    <w:rsid w:val="79C42BF2"/>
    <w:rsid w:val="79C75017"/>
    <w:rsid w:val="79D04C7F"/>
    <w:rsid w:val="79D20267"/>
    <w:rsid w:val="79D51B05"/>
    <w:rsid w:val="79D815F5"/>
    <w:rsid w:val="79ED50A1"/>
    <w:rsid w:val="79EE268F"/>
    <w:rsid w:val="79EE2F80"/>
    <w:rsid w:val="79EE6C0D"/>
    <w:rsid w:val="79F41980"/>
    <w:rsid w:val="79F63B3A"/>
    <w:rsid w:val="79FC0B44"/>
    <w:rsid w:val="79FF31C2"/>
    <w:rsid w:val="7A014471"/>
    <w:rsid w:val="7A115CEF"/>
    <w:rsid w:val="7A12330D"/>
    <w:rsid w:val="7A203E8B"/>
    <w:rsid w:val="7A236E6C"/>
    <w:rsid w:val="7A3107DE"/>
    <w:rsid w:val="7A392094"/>
    <w:rsid w:val="7A441F94"/>
    <w:rsid w:val="7A454EDD"/>
    <w:rsid w:val="7A551C2F"/>
    <w:rsid w:val="7A6335B5"/>
    <w:rsid w:val="7A687C2E"/>
    <w:rsid w:val="7A6B7604"/>
    <w:rsid w:val="7A750E83"/>
    <w:rsid w:val="7A7660E7"/>
    <w:rsid w:val="7A782570"/>
    <w:rsid w:val="7A8208A6"/>
    <w:rsid w:val="7A853883"/>
    <w:rsid w:val="7A897628"/>
    <w:rsid w:val="7A903C7E"/>
    <w:rsid w:val="7AA17C39"/>
    <w:rsid w:val="7AAE1455"/>
    <w:rsid w:val="7AAE4C6D"/>
    <w:rsid w:val="7AC44C54"/>
    <w:rsid w:val="7AC67584"/>
    <w:rsid w:val="7ACA3DAA"/>
    <w:rsid w:val="7AD85B3C"/>
    <w:rsid w:val="7ADE7679"/>
    <w:rsid w:val="7AE53FCA"/>
    <w:rsid w:val="7AE70843"/>
    <w:rsid w:val="7AE75F94"/>
    <w:rsid w:val="7AE77D42"/>
    <w:rsid w:val="7AE85868"/>
    <w:rsid w:val="7AEC5D56"/>
    <w:rsid w:val="7AF12A6F"/>
    <w:rsid w:val="7AF451A2"/>
    <w:rsid w:val="7B0271A1"/>
    <w:rsid w:val="7B08559E"/>
    <w:rsid w:val="7B140B9D"/>
    <w:rsid w:val="7B18439F"/>
    <w:rsid w:val="7B184602"/>
    <w:rsid w:val="7B1D4B83"/>
    <w:rsid w:val="7B1F1A4A"/>
    <w:rsid w:val="7B2A231A"/>
    <w:rsid w:val="7B374A5A"/>
    <w:rsid w:val="7B3F7C8B"/>
    <w:rsid w:val="7B487E2F"/>
    <w:rsid w:val="7B4E50F2"/>
    <w:rsid w:val="7B5A4A4A"/>
    <w:rsid w:val="7B685128"/>
    <w:rsid w:val="7B6A318A"/>
    <w:rsid w:val="7B6F68ED"/>
    <w:rsid w:val="7B740F0D"/>
    <w:rsid w:val="7B775F35"/>
    <w:rsid w:val="7B7A6E08"/>
    <w:rsid w:val="7B8D79B4"/>
    <w:rsid w:val="7B982EFC"/>
    <w:rsid w:val="7B997D56"/>
    <w:rsid w:val="7B997E2A"/>
    <w:rsid w:val="7B9B7095"/>
    <w:rsid w:val="7B9F47D4"/>
    <w:rsid w:val="7BAC23E4"/>
    <w:rsid w:val="7BAD2EC7"/>
    <w:rsid w:val="7BC63DFB"/>
    <w:rsid w:val="7BC818DA"/>
    <w:rsid w:val="7BCB1412"/>
    <w:rsid w:val="7BD02338"/>
    <w:rsid w:val="7BD1011A"/>
    <w:rsid w:val="7BD76009"/>
    <w:rsid w:val="7BDB0F6E"/>
    <w:rsid w:val="7BDB1459"/>
    <w:rsid w:val="7BDC3E98"/>
    <w:rsid w:val="7BDC717B"/>
    <w:rsid w:val="7BE519AE"/>
    <w:rsid w:val="7BF27E78"/>
    <w:rsid w:val="7BF67150"/>
    <w:rsid w:val="7BF73FB5"/>
    <w:rsid w:val="7BFA3AA5"/>
    <w:rsid w:val="7BFE4C56"/>
    <w:rsid w:val="7C05676B"/>
    <w:rsid w:val="7C0A1B55"/>
    <w:rsid w:val="7C127041"/>
    <w:rsid w:val="7C174657"/>
    <w:rsid w:val="7C1D13B6"/>
    <w:rsid w:val="7C1D21B1"/>
    <w:rsid w:val="7C232FFC"/>
    <w:rsid w:val="7C26489A"/>
    <w:rsid w:val="7C286864"/>
    <w:rsid w:val="7C2B1EB0"/>
    <w:rsid w:val="7C3264FA"/>
    <w:rsid w:val="7C3467E0"/>
    <w:rsid w:val="7C3505BC"/>
    <w:rsid w:val="7C402806"/>
    <w:rsid w:val="7C416A52"/>
    <w:rsid w:val="7C43544C"/>
    <w:rsid w:val="7C4B7958"/>
    <w:rsid w:val="7C4C5492"/>
    <w:rsid w:val="7C525093"/>
    <w:rsid w:val="7C6212C3"/>
    <w:rsid w:val="7C6D071B"/>
    <w:rsid w:val="7C721890"/>
    <w:rsid w:val="7C774B0B"/>
    <w:rsid w:val="7C7E0232"/>
    <w:rsid w:val="7C805633"/>
    <w:rsid w:val="7C9B0D99"/>
    <w:rsid w:val="7CA62C40"/>
    <w:rsid w:val="7CA73CD8"/>
    <w:rsid w:val="7CA86DD5"/>
    <w:rsid w:val="7CAD6D69"/>
    <w:rsid w:val="7CB15915"/>
    <w:rsid w:val="7CB73744"/>
    <w:rsid w:val="7CBB3234"/>
    <w:rsid w:val="7CBF7B20"/>
    <w:rsid w:val="7CCD7CA5"/>
    <w:rsid w:val="7CCE23D8"/>
    <w:rsid w:val="7CD2361A"/>
    <w:rsid w:val="7CF16F95"/>
    <w:rsid w:val="7CFB5325"/>
    <w:rsid w:val="7CFE1373"/>
    <w:rsid w:val="7D026525"/>
    <w:rsid w:val="7D0531CF"/>
    <w:rsid w:val="7D0828EF"/>
    <w:rsid w:val="7D1F03EE"/>
    <w:rsid w:val="7D2C34EF"/>
    <w:rsid w:val="7D2C6680"/>
    <w:rsid w:val="7D381EA9"/>
    <w:rsid w:val="7D485B16"/>
    <w:rsid w:val="7D4E40A8"/>
    <w:rsid w:val="7D505115"/>
    <w:rsid w:val="7D562F5D"/>
    <w:rsid w:val="7D5C7354"/>
    <w:rsid w:val="7D5D2D64"/>
    <w:rsid w:val="7D6E1C6E"/>
    <w:rsid w:val="7D796C4C"/>
    <w:rsid w:val="7D7C64A1"/>
    <w:rsid w:val="7D7D673C"/>
    <w:rsid w:val="7D7F24B4"/>
    <w:rsid w:val="7D825F18"/>
    <w:rsid w:val="7D841415"/>
    <w:rsid w:val="7D8D727A"/>
    <w:rsid w:val="7D902913"/>
    <w:rsid w:val="7DB87774"/>
    <w:rsid w:val="7DBC47F0"/>
    <w:rsid w:val="7DBE5814"/>
    <w:rsid w:val="7DCB394B"/>
    <w:rsid w:val="7DD1015E"/>
    <w:rsid w:val="7DD23A04"/>
    <w:rsid w:val="7DD305B4"/>
    <w:rsid w:val="7DD706B0"/>
    <w:rsid w:val="7DDA25AC"/>
    <w:rsid w:val="7DDA33C5"/>
    <w:rsid w:val="7DDF6FA8"/>
    <w:rsid w:val="7DE66CD4"/>
    <w:rsid w:val="7DF23F6C"/>
    <w:rsid w:val="7DFD164B"/>
    <w:rsid w:val="7DFD4B8A"/>
    <w:rsid w:val="7E013E0C"/>
    <w:rsid w:val="7E0230E5"/>
    <w:rsid w:val="7E0914BC"/>
    <w:rsid w:val="7E21356B"/>
    <w:rsid w:val="7E2547CF"/>
    <w:rsid w:val="7E262746"/>
    <w:rsid w:val="7E2D0162"/>
    <w:rsid w:val="7E33145B"/>
    <w:rsid w:val="7E3B0039"/>
    <w:rsid w:val="7E3E43EE"/>
    <w:rsid w:val="7E3F6BFA"/>
    <w:rsid w:val="7E477265"/>
    <w:rsid w:val="7E630894"/>
    <w:rsid w:val="7E6D4A02"/>
    <w:rsid w:val="7E6F0070"/>
    <w:rsid w:val="7E6F0F3C"/>
    <w:rsid w:val="7E7161CA"/>
    <w:rsid w:val="7E7472D5"/>
    <w:rsid w:val="7E751B09"/>
    <w:rsid w:val="7E775881"/>
    <w:rsid w:val="7E7E09BD"/>
    <w:rsid w:val="7E8104AE"/>
    <w:rsid w:val="7E8201A3"/>
    <w:rsid w:val="7E8D0C00"/>
    <w:rsid w:val="7E92027A"/>
    <w:rsid w:val="7E9D0340"/>
    <w:rsid w:val="7EA36676"/>
    <w:rsid w:val="7EA97EBE"/>
    <w:rsid w:val="7EB20667"/>
    <w:rsid w:val="7EB4618D"/>
    <w:rsid w:val="7EB51A08"/>
    <w:rsid w:val="7EBC6049"/>
    <w:rsid w:val="7EC16C6B"/>
    <w:rsid w:val="7EC87E8B"/>
    <w:rsid w:val="7ECC58F7"/>
    <w:rsid w:val="7ED700CE"/>
    <w:rsid w:val="7EE25DA0"/>
    <w:rsid w:val="7EE82167"/>
    <w:rsid w:val="7EEC02EB"/>
    <w:rsid w:val="7EF0118F"/>
    <w:rsid w:val="7EF173E1"/>
    <w:rsid w:val="7EF364CA"/>
    <w:rsid w:val="7EFC5AF6"/>
    <w:rsid w:val="7EFF115B"/>
    <w:rsid w:val="7F033CA0"/>
    <w:rsid w:val="7F042C1B"/>
    <w:rsid w:val="7F08297D"/>
    <w:rsid w:val="7F0B3F10"/>
    <w:rsid w:val="7F170D81"/>
    <w:rsid w:val="7F173D36"/>
    <w:rsid w:val="7F1B445E"/>
    <w:rsid w:val="7F1C0F06"/>
    <w:rsid w:val="7F1C3D32"/>
    <w:rsid w:val="7F211349"/>
    <w:rsid w:val="7F3217A8"/>
    <w:rsid w:val="7F374E3E"/>
    <w:rsid w:val="7F382599"/>
    <w:rsid w:val="7F3E3FD7"/>
    <w:rsid w:val="7F44685D"/>
    <w:rsid w:val="7F4F3D5B"/>
    <w:rsid w:val="7F570E2A"/>
    <w:rsid w:val="7F58120E"/>
    <w:rsid w:val="7F782B0F"/>
    <w:rsid w:val="7F7D5010"/>
    <w:rsid w:val="7F8A6DEB"/>
    <w:rsid w:val="7F8C710A"/>
    <w:rsid w:val="7F8E4C30"/>
    <w:rsid w:val="7F954211"/>
    <w:rsid w:val="7FA66FBF"/>
    <w:rsid w:val="7FA91A6A"/>
    <w:rsid w:val="7FAF2DF8"/>
    <w:rsid w:val="7FAF4BA7"/>
    <w:rsid w:val="7FBB179D"/>
    <w:rsid w:val="7FBF5108"/>
    <w:rsid w:val="7FC1240A"/>
    <w:rsid w:val="7FC22BD2"/>
    <w:rsid w:val="7FC86DFC"/>
    <w:rsid w:val="7FCC159B"/>
    <w:rsid w:val="7FCE14D1"/>
    <w:rsid w:val="7FD13C33"/>
    <w:rsid w:val="7FD76E2B"/>
    <w:rsid w:val="7FE5681A"/>
    <w:rsid w:val="7FEE0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line="360" w:lineRule="auto"/>
    </w:pPr>
    <w:rPr>
      <w:rFonts w:ascii="Times New Roman" w:hAnsi="Times New Roman" w:eastAsia="宋体" w:cs="宋体"/>
      <w:sz w:val="24"/>
      <w:szCs w:val="22"/>
      <w:lang w:val="en-US" w:eastAsia="en-US" w:bidi="ar-SA"/>
    </w:rPr>
  </w:style>
  <w:style w:type="paragraph" w:styleId="2">
    <w:name w:val="heading 1"/>
    <w:basedOn w:val="1"/>
    <w:next w:val="1"/>
    <w:link w:val="23"/>
    <w:qFormat/>
    <w:uiPriority w:val="0"/>
    <w:pPr>
      <w:pageBreakBefore/>
      <w:spacing w:beforeLines="100"/>
      <w:jc w:val="center"/>
      <w:outlineLvl w:val="0"/>
    </w:pPr>
    <w:rPr>
      <w:rFonts w:eastAsia="黑体"/>
      <w:bCs/>
      <w:kern w:val="44"/>
      <w:sz w:val="28"/>
      <w:szCs w:val="44"/>
    </w:rPr>
  </w:style>
  <w:style w:type="paragraph" w:styleId="3">
    <w:name w:val="heading 2"/>
    <w:basedOn w:val="1"/>
    <w:next w:val="1"/>
    <w:link w:val="24"/>
    <w:qFormat/>
    <w:uiPriority w:val="0"/>
    <w:pPr>
      <w:spacing w:beforeLines="50" w:afterLines="50"/>
      <w:jc w:val="center"/>
      <w:outlineLvl w:val="1"/>
    </w:pPr>
    <w:rPr>
      <w:rFonts w:eastAsia="黑体"/>
    </w:rPr>
  </w:style>
  <w:style w:type="paragraph" w:styleId="4">
    <w:name w:val="heading 3"/>
    <w:basedOn w:val="1"/>
    <w:next w:val="1"/>
    <w:link w:val="25"/>
    <w:qFormat/>
    <w:uiPriority w:val="0"/>
    <w:pPr>
      <w:outlineLvl w:val="2"/>
    </w:pPr>
  </w:style>
  <w:style w:type="paragraph" w:styleId="5">
    <w:name w:val="heading 5"/>
    <w:basedOn w:val="1"/>
    <w:next w:val="1"/>
    <w:qFormat/>
    <w:uiPriority w:val="0"/>
    <w:pPr>
      <w:keepNext/>
      <w:keepLines/>
      <w:spacing w:before="280" w:after="290" w:line="372" w:lineRule="auto"/>
      <w:outlineLvl w:val="4"/>
    </w:pPr>
    <w:rPr>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style>
  <w:style w:type="paragraph" w:styleId="7">
    <w:name w:val="Body Text"/>
    <w:basedOn w:val="1"/>
    <w:qFormat/>
    <w:uiPriority w:val="1"/>
    <w:rPr>
      <w:szCs w:val="29"/>
    </w:rPr>
  </w:style>
  <w:style w:type="paragraph" w:styleId="8">
    <w:name w:val="Body Text Indent"/>
    <w:basedOn w:val="1"/>
    <w:qFormat/>
    <w:uiPriority w:val="0"/>
    <w:pPr>
      <w:spacing w:line="600" w:lineRule="exact"/>
      <w:ind w:firstLine="640" w:firstLineChars="200"/>
      <w:jc w:val="both"/>
    </w:pPr>
    <w:rPr>
      <w:rFonts w:ascii="楷体_GB2312" w:hAnsi="Calibri" w:eastAsia="楷体_GB2312" w:cs="Times New Roman"/>
      <w:kern w:val="2"/>
      <w:sz w:val="32"/>
      <w:szCs w:val="32"/>
      <w:lang w:eastAsia="zh-CN"/>
    </w:rPr>
  </w:style>
  <w:style w:type="paragraph" w:styleId="9">
    <w:name w:val="Balloon Text"/>
    <w:basedOn w:val="1"/>
    <w:link w:val="48"/>
    <w:qFormat/>
    <w:uiPriority w:val="0"/>
    <w:pPr>
      <w:spacing w:line="240" w:lineRule="auto"/>
    </w:pPr>
    <w:rPr>
      <w:sz w:val="18"/>
      <w:szCs w:val="18"/>
    </w:rPr>
  </w:style>
  <w:style w:type="paragraph" w:styleId="10">
    <w:name w:val="footer"/>
    <w:basedOn w:val="1"/>
    <w:link w:val="26"/>
    <w:qFormat/>
    <w:uiPriority w:val="0"/>
    <w:pPr>
      <w:tabs>
        <w:tab w:val="center" w:pos="4153"/>
        <w:tab w:val="right" w:pos="8306"/>
      </w:tabs>
      <w:snapToGrid w:val="0"/>
      <w:spacing w:line="240" w:lineRule="auto"/>
    </w:pPr>
    <w:rPr>
      <w:sz w:val="18"/>
      <w:szCs w:val="18"/>
    </w:rPr>
  </w:style>
  <w:style w:type="paragraph" w:styleId="11">
    <w:name w:val="header"/>
    <w:basedOn w:val="1"/>
    <w:link w:val="2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pPr>
      <w:jc w:val="center"/>
    </w:pPr>
    <w:rPr>
      <w:szCs w:val="32"/>
    </w:rPr>
  </w:style>
  <w:style w:type="paragraph" w:styleId="13">
    <w:name w:val="toc 2"/>
    <w:basedOn w:val="1"/>
    <w:next w:val="1"/>
    <w:qFormat/>
    <w:uiPriority w:val="0"/>
    <w:pPr>
      <w:ind w:left="315" w:leftChars="150"/>
    </w:pPr>
  </w:style>
  <w:style w:type="paragraph" w:styleId="14">
    <w:name w:val="Normal (Web)"/>
    <w:basedOn w:val="1"/>
    <w:unhideWhenUsed/>
    <w:qFormat/>
    <w:uiPriority w:val="99"/>
    <w:pPr>
      <w:widowControl/>
      <w:spacing w:before="100" w:beforeAutospacing="1" w:after="100" w:afterAutospacing="1" w:line="330" w:lineRule="atLeast"/>
    </w:pPr>
    <w:rPr>
      <w:rFonts w:ascii="宋体" w:hAnsi="宋体"/>
      <w:sz w:val="22"/>
    </w:rPr>
  </w:style>
  <w:style w:type="paragraph" w:styleId="15">
    <w:name w:val="Body Text First Indent 2"/>
    <w:basedOn w:val="8"/>
    <w:unhideWhenUsed/>
    <w:qFormat/>
    <w:uiPriority w:val="99"/>
    <w:pPr>
      <w:ind w:firstLine="42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22"/>
    <w:rPr>
      <w:b/>
      <w:bCs/>
    </w:rPr>
  </w:style>
  <w:style w:type="character" w:styleId="20">
    <w:name w:val="page number"/>
    <w:qFormat/>
    <w:uiPriority w:val="0"/>
    <w:rPr>
      <w:rFonts w:ascii="Times New Roman" w:hAnsi="Times New Roman" w:eastAsia="宋体" w:cs="Times New Roman"/>
      <w:sz w:val="18"/>
    </w:rPr>
  </w:style>
  <w:style w:type="character" w:styleId="21">
    <w:name w:val="Emphasis"/>
    <w:qFormat/>
    <w:uiPriority w:val="0"/>
    <w:rPr>
      <w:i/>
    </w:rPr>
  </w:style>
  <w:style w:type="character" w:styleId="22">
    <w:name w:val="annotation reference"/>
    <w:basedOn w:val="18"/>
    <w:qFormat/>
    <w:uiPriority w:val="0"/>
    <w:rPr>
      <w:sz w:val="21"/>
      <w:szCs w:val="21"/>
    </w:rPr>
  </w:style>
  <w:style w:type="character" w:customStyle="1" w:styleId="23">
    <w:name w:val="标题 1 Char"/>
    <w:link w:val="2"/>
    <w:qFormat/>
    <w:uiPriority w:val="0"/>
    <w:rPr>
      <w:rFonts w:eastAsia="黑体"/>
      <w:bCs/>
      <w:kern w:val="44"/>
      <w:sz w:val="28"/>
      <w:szCs w:val="44"/>
    </w:rPr>
  </w:style>
  <w:style w:type="character" w:customStyle="1" w:styleId="24">
    <w:name w:val="标题 2 Char"/>
    <w:link w:val="3"/>
    <w:qFormat/>
    <w:uiPriority w:val="0"/>
    <w:rPr>
      <w:rFonts w:ascii="Times New Roman" w:hAnsi="Times New Roman" w:eastAsia="黑体"/>
    </w:rPr>
  </w:style>
  <w:style w:type="character" w:customStyle="1" w:styleId="25">
    <w:name w:val="标题 3 Char"/>
    <w:link w:val="4"/>
    <w:qFormat/>
    <w:uiPriority w:val="0"/>
    <w:rPr>
      <w:rFonts w:ascii="Times New Roman" w:hAnsi="Times New Roman" w:eastAsia="宋体"/>
    </w:rPr>
  </w:style>
  <w:style w:type="character" w:customStyle="1" w:styleId="26">
    <w:name w:val="页脚 Char"/>
    <w:link w:val="10"/>
    <w:qFormat/>
    <w:uiPriority w:val="0"/>
    <w:rPr>
      <w:rFonts w:ascii="宋体" w:hAnsi="宋体" w:cs="宋体"/>
      <w:sz w:val="18"/>
      <w:szCs w:val="18"/>
      <w:lang w:eastAsia="en-US"/>
    </w:rPr>
  </w:style>
  <w:style w:type="character" w:customStyle="1" w:styleId="27">
    <w:name w:val="页眉 Char"/>
    <w:link w:val="11"/>
    <w:qFormat/>
    <w:uiPriority w:val="0"/>
    <w:rPr>
      <w:rFonts w:ascii="宋体" w:hAnsi="宋体" w:cs="宋体"/>
      <w:sz w:val="18"/>
      <w:szCs w:val="18"/>
      <w:lang w:eastAsia="en-US"/>
    </w:rPr>
  </w:style>
  <w:style w:type="paragraph" w:customStyle="1" w:styleId="28">
    <w:name w:val="封面标准英文名称"/>
    <w:basedOn w:val="1"/>
    <w:qFormat/>
    <w:uiPriority w:val="0"/>
    <w:pPr>
      <w:framePr w:w="9639" w:h="6917" w:hRule="exact" w:wrap="around" w:vAnchor="page" w:hAnchor="page" w:xAlign="center" w:y="6408" w:anchorLock="1"/>
      <w:spacing w:before="370" w:line="400" w:lineRule="exact"/>
      <w:jc w:val="center"/>
      <w:textAlignment w:val="center"/>
    </w:pPr>
    <w:rPr>
      <w:rFonts w:eastAsia="黑体"/>
      <w:sz w:val="28"/>
      <w:szCs w:val="28"/>
    </w:rPr>
  </w:style>
  <w:style w:type="paragraph" w:customStyle="1" w:styleId="29">
    <w:name w:val="Table Paragraph"/>
    <w:basedOn w:val="1"/>
    <w:qFormat/>
    <w:uiPriority w:val="1"/>
    <w:pPr>
      <w:jc w:val="center"/>
    </w:pPr>
  </w:style>
  <w:style w:type="paragraph" w:customStyle="1" w:styleId="30">
    <w:name w:val="条文"/>
    <w:basedOn w:val="1"/>
    <w:qFormat/>
    <w:uiPriority w:val="99"/>
    <w:pPr>
      <w:adjustRightInd w:val="0"/>
      <w:spacing w:line="300" w:lineRule="auto"/>
      <w:ind w:firstLine="200" w:firstLineChars="200"/>
      <w:outlineLvl w:val="2"/>
    </w:pPr>
    <w:rPr>
      <w:szCs w:val="20"/>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列出段落1"/>
    <w:basedOn w:val="1"/>
    <w:qFormat/>
    <w:uiPriority w:val="0"/>
    <w:pPr>
      <w:ind w:firstLine="420" w:firstLineChars="200"/>
    </w:pPr>
  </w:style>
  <w:style w:type="paragraph" w:customStyle="1" w:styleId="34">
    <w:name w:val="TOC 标题1"/>
    <w:basedOn w:val="2"/>
    <w:next w:val="1"/>
    <w:qFormat/>
    <w:uiPriority w:val="0"/>
    <w:pPr>
      <w:widowControl/>
      <w:spacing w:before="240" w:line="259" w:lineRule="auto"/>
      <w:jc w:val="left"/>
      <w:outlineLvl w:val="9"/>
    </w:pPr>
    <w:rPr>
      <w:rFonts w:ascii="等线 Light" w:hAnsi="等线 Light" w:eastAsia="等线 Light"/>
      <w:bCs w:val="0"/>
      <w:color w:val="2E74B5"/>
      <w:kern w:val="0"/>
      <w:szCs w:val="32"/>
    </w:rPr>
  </w:style>
  <w:style w:type="paragraph" w:styleId="35">
    <w:name w:val="List Paragraph"/>
    <w:basedOn w:val="1"/>
    <w:qFormat/>
    <w:uiPriority w:val="1"/>
    <w:pPr>
      <w:ind w:left="1713" w:hanging="1"/>
    </w:pPr>
  </w:style>
  <w:style w:type="paragraph" w:customStyle="1" w:styleId="3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TOC 标题2"/>
    <w:basedOn w:val="2"/>
    <w:next w:val="1"/>
    <w:qFormat/>
    <w:uiPriority w:val="0"/>
    <w:pPr>
      <w:widowControl/>
      <w:spacing w:before="240" w:line="259" w:lineRule="auto"/>
      <w:jc w:val="left"/>
      <w:outlineLvl w:val="9"/>
    </w:pPr>
    <w:rPr>
      <w:rFonts w:ascii="等线 Light" w:hAnsi="等线 Light" w:eastAsia="等线 Light"/>
      <w:bCs w:val="0"/>
      <w:color w:val="2E74B5"/>
      <w:kern w:val="0"/>
      <w:sz w:val="32"/>
      <w:szCs w:val="32"/>
    </w:rPr>
  </w:style>
  <w:style w:type="paragraph" w:customStyle="1" w:styleId="38">
    <w:name w:val="其他发布日期"/>
    <w:basedOn w:val="1"/>
    <w:qFormat/>
    <w:uiPriority w:val="0"/>
    <w:pPr>
      <w:widowControl/>
      <w:spacing w:line="324" w:lineRule="auto"/>
    </w:pPr>
    <w:rPr>
      <w:rFonts w:eastAsia="黑体"/>
      <w:sz w:val="28"/>
      <w:szCs w:val="20"/>
    </w:rPr>
  </w:style>
  <w:style w:type="paragraph" w:customStyle="1" w:styleId="39">
    <w:name w:val="段"/>
    <w:qFormat/>
    <w:uiPriority w:val="0"/>
    <w:pPr>
      <w:autoSpaceDE w:val="0"/>
      <w:autoSpaceDN w:val="0"/>
      <w:spacing w:line="320" w:lineRule="exact"/>
      <w:ind w:firstLine="200" w:firstLineChars="200"/>
      <w:jc w:val="both"/>
    </w:pPr>
    <w:rPr>
      <w:rFonts w:ascii="宋体" w:hAnsi="Calibri" w:eastAsia="微软雅黑" w:cs="Times New Roman"/>
      <w:sz w:val="21"/>
      <w:lang w:val="en-US" w:eastAsia="zh-CN" w:bidi="ar-SA"/>
    </w:rPr>
  </w:style>
  <w:style w:type="paragraph" w:customStyle="1" w:styleId="40">
    <w:name w:val="表头"/>
    <w:basedOn w:val="41"/>
    <w:link w:val="47"/>
    <w:qFormat/>
    <w:uiPriority w:val="0"/>
    <w:pPr>
      <w:keepNext/>
      <w:ind w:firstLine="226" w:firstLineChars="94"/>
      <w:jc w:val="center"/>
    </w:pPr>
    <w:rPr>
      <w:rFonts w:eastAsia="黑体"/>
      <w:b/>
      <w:color w:val="000000"/>
      <w:szCs w:val="24"/>
    </w:rPr>
  </w:style>
  <w:style w:type="paragraph" w:customStyle="1" w:styleId="41">
    <w:name w:val="正文new"/>
    <w:basedOn w:val="42"/>
    <w:qFormat/>
    <w:uiPriority w:val="0"/>
    <w:pPr>
      <w:spacing w:beforeLines="0" w:afterLines="0"/>
      <w:ind w:firstLine="200" w:firstLineChars="200"/>
      <w:jc w:val="both"/>
      <w:outlineLvl w:val="9"/>
    </w:pPr>
    <w:rPr>
      <w:rFonts w:eastAsia="宋体"/>
    </w:rPr>
  </w:style>
  <w:style w:type="paragraph" w:customStyle="1" w:styleId="42">
    <w:name w:val="标题二"/>
    <w:basedOn w:val="1"/>
    <w:qFormat/>
    <w:uiPriority w:val="0"/>
    <w:pPr>
      <w:spacing w:beforeLines="50" w:afterLines="50"/>
      <w:jc w:val="center"/>
      <w:outlineLvl w:val="1"/>
    </w:pPr>
    <w:rPr>
      <w:rFonts w:eastAsia="黑体"/>
    </w:rPr>
  </w:style>
  <w:style w:type="paragraph" w:customStyle="1" w:styleId="43">
    <w:name w:val="表格"/>
    <w:basedOn w:val="40"/>
    <w:qFormat/>
    <w:uiPriority w:val="0"/>
    <w:pPr>
      <w:ind w:firstLine="0" w:firstLineChars="0"/>
    </w:pPr>
    <w:rPr>
      <w:rFonts w:eastAsia="宋体"/>
      <w:b w:val="0"/>
      <w:sz w:val="21"/>
      <w:lang w:eastAsia="zh-CN"/>
    </w:rPr>
  </w:style>
  <w:style w:type="paragraph" w:customStyle="1" w:styleId="44">
    <w:name w:val="图名"/>
    <w:basedOn w:val="1"/>
    <w:link w:val="46"/>
    <w:qFormat/>
    <w:uiPriority w:val="0"/>
    <w:pPr>
      <w:ind w:firstLine="226" w:firstLineChars="94"/>
      <w:jc w:val="center"/>
    </w:pPr>
    <w:rPr>
      <w:b/>
      <w:color w:val="000000"/>
      <w:sz w:val="21"/>
      <w:szCs w:val="24"/>
      <w:lang w:eastAsia="zh-CN"/>
    </w:rPr>
  </w:style>
  <w:style w:type="paragraph" w:customStyle="1" w:styleId="45">
    <w:name w:val="Table Text"/>
    <w:basedOn w:val="1"/>
    <w:semiHidden/>
    <w:qFormat/>
    <w:uiPriority w:val="0"/>
    <w:rPr>
      <w:rFonts w:ascii="宋体" w:hAnsi="宋体"/>
      <w:sz w:val="16"/>
      <w:szCs w:val="16"/>
    </w:rPr>
  </w:style>
  <w:style w:type="character" w:customStyle="1" w:styleId="46">
    <w:name w:val="图名 Char"/>
    <w:link w:val="44"/>
    <w:qFormat/>
    <w:uiPriority w:val="0"/>
    <w:rPr>
      <w:rFonts w:eastAsia="宋体"/>
      <w:b/>
      <w:color w:val="000000"/>
      <w:sz w:val="21"/>
      <w:szCs w:val="24"/>
      <w:lang w:eastAsia="zh-CN"/>
    </w:rPr>
  </w:style>
  <w:style w:type="character" w:customStyle="1" w:styleId="47">
    <w:name w:val="表头 Char"/>
    <w:link w:val="40"/>
    <w:qFormat/>
    <w:uiPriority w:val="0"/>
    <w:rPr>
      <w:rFonts w:ascii="Times New Roman" w:hAnsi="Times New Roman" w:eastAsia="黑体"/>
      <w:b/>
      <w:color w:val="000000"/>
      <w:sz w:val="24"/>
      <w:szCs w:val="24"/>
    </w:rPr>
  </w:style>
  <w:style w:type="character" w:customStyle="1" w:styleId="48">
    <w:name w:val="批注框文本 Char"/>
    <w:basedOn w:val="18"/>
    <w:link w:val="9"/>
    <w:qFormat/>
    <w:uiPriority w:val="0"/>
    <w:rPr>
      <w:rFonts w:cs="宋体"/>
      <w:sz w:val="18"/>
      <w:szCs w:val="18"/>
      <w:lang w:eastAsia="en-US"/>
    </w:rPr>
  </w:style>
  <w:style w:type="paragraph" w:customStyle="1" w:styleId="49">
    <w:name w:val="样式2"/>
    <w:basedOn w:val="12"/>
    <w:qFormat/>
    <w:uiPriority w:val="0"/>
    <w:pPr>
      <w:tabs>
        <w:tab w:val="right" w:leader="dot" w:pos="8990"/>
        <w:tab w:val="right" w:leader="dot" w:pos="9060"/>
      </w:tabs>
    </w:pPr>
    <w:rPr>
      <w:sz w:val="36"/>
    </w:rPr>
  </w:style>
  <w:style w:type="paragraph" w:customStyle="1" w:styleId="50">
    <w:name w:val="条文说明"/>
    <w:basedOn w:val="1"/>
    <w:next w:val="1"/>
    <w:link w:val="51"/>
    <w:qFormat/>
    <w:uiPriority w:val="0"/>
    <w:pPr>
      <w:ind w:firstLine="880" w:firstLineChars="200"/>
      <w:outlineLvl w:val="2"/>
    </w:pPr>
    <w:rPr>
      <w:szCs w:val="24"/>
      <w:lang w:eastAsia="zh-CN"/>
    </w:rPr>
  </w:style>
  <w:style w:type="character" w:customStyle="1" w:styleId="51">
    <w:name w:val="条文说明 Char"/>
    <w:link w:val="50"/>
    <w:qFormat/>
    <w:uiPriority w:val="0"/>
    <w:rPr>
      <w:color w:val="auto"/>
      <w:szCs w:val="24"/>
      <w:lang w:eastAsia="zh-C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1.bin"/><Relationship Id="rId98" Type="http://schemas.openxmlformats.org/officeDocument/2006/relationships/oleObject" Target="embeddings/oleObject10.bin"/><Relationship Id="rId97" Type="http://schemas.openxmlformats.org/officeDocument/2006/relationships/oleObject" Target="embeddings/oleObject9.bin"/><Relationship Id="rId96" Type="http://schemas.openxmlformats.org/officeDocument/2006/relationships/oleObject" Target="embeddings/oleObject8.bin"/><Relationship Id="rId95" Type="http://schemas.openxmlformats.org/officeDocument/2006/relationships/oleObject" Target="embeddings/oleObject7.bin"/><Relationship Id="rId94" Type="http://schemas.openxmlformats.org/officeDocument/2006/relationships/oleObject" Target="embeddings/oleObject6.bin"/><Relationship Id="rId93" Type="http://schemas.openxmlformats.org/officeDocument/2006/relationships/oleObject" Target="embeddings/oleObject5.bin"/><Relationship Id="rId92" Type="http://schemas.openxmlformats.org/officeDocument/2006/relationships/oleObject" Target="embeddings/oleObject4.bin"/><Relationship Id="rId91" Type="http://schemas.openxmlformats.org/officeDocument/2006/relationships/oleObject" Target="embeddings/oleObject3.bin"/><Relationship Id="rId90" Type="http://schemas.openxmlformats.org/officeDocument/2006/relationships/image" Target="media/image75.wmf"/><Relationship Id="rId9" Type="http://schemas.openxmlformats.org/officeDocument/2006/relationships/footer" Target="footer3.xml"/><Relationship Id="rId89" Type="http://schemas.openxmlformats.org/officeDocument/2006/relationships/oleObject" Target="embeddings/oleObject2.bin"/><Relationship Id="rId88" Type="http://schemas.openxmlformats.org/officeDocument/2006/relationships/image" Target="media/image74.wmf"/><Relationship Id="rId87" Type="http://schemas.openxmlformats.org/officeDocument/2006/relationships/oleObject" Target="embeddings/oleObject1.bin"/><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header" Target="header2.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76.png"/><Relationship Id="rId104" Type="http://schemas.openxmlformats.org/officeDocument/2006/relationships/oleObject" Target="embeddings/oleObject16.bin"/><Relationship Id="rId103" Type="http://schemas.openxmlformats.org/officeDocument/2006/relationships/oleObject" Target="embeddings/oleObject15.bin"/><Relationship Id="rId102" Type="http://schemas.openxmlformats.org/officeDocument/2006/relationships/oleObject" Target="embeddings/oleObject14.bin"/><Relationship Id="rId101" Type="http://schemas.openxmlformats.org/officeDocument/2006/relationships/oleObject" Target="embeddings/oleObject13.bin"/><Relationship Id="rId100" Type="http://schemas.openxmlformats.org/officeDocument/2006/relationships/oleObject" Target="embeddings/oleObject12.bin"/><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147</Pages>
  <Words>3078</Words>
  <Characters>5272</Characters>
  <Lines>624</Lines>
  <Paragraphs>175</Paragraphs>
  <TotalTime>0</TotalTime>
  <ScaleCrop>false</ScaleCrop>
  <LinksUpToDate>false</LinksUpToDate>
  <CharactersWithSpaces>6058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2024-10-16T10:11:00Z</dcterms:created>
  <dc:creator>deng</dc:creator>
  <cp:lastModifiedBy>xxxian</cp:lastModifiedBy>
  <cp:lastPrinted>2024-05-31T11:02:00Z</cp:lastPrinted>
  <dcterms:modified xsi:type="dcterms:W3CDTF">2024-11-01T09:42:46Z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A703B2AB22744A62A789F47394E35AF2_13</vt:lpwstr>
  </property>
</Properties>
</file>