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6"/>
        <w:gridCol w:w="416"/>
        <w:gridCol w:w="416"/>
        <w:gridCol w:w="858"/>
        <w:gridCol w:w="1016"/>
        <w:gridCol w:w="1440"/>
        <w:gridCol w:w="2178"/>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7" w:type="pct"/>
            <w:tcBorders>
              <w:top w:val="nil"/>
              <w:left w:val="nil"/>
              <w:bottom w:val="nil"/>
              <w:right w:val="nil"/>
            </w:tcBorders>
            <w:shd w:val="clear"/>
            <w:noWrap/>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bdr w:val="none" w:color="auto" w:sz="0" w:space="0"/>
                <w:lang w:val="en-US" w:eastAsia="zh-CN" w:bidi="ar"/>
              </w:rPr>
              <w:t>附件</w:t>
            </w:r>
          </w:p>
        </w:tc>
        <w:tc>
          <w:tcPr>
            <w:tcW w:w="167" w:type="pct"/>
            <w:tcBorders>
              <w:top w:val="nil"/>
              <w:left w:val="nil"/>
              <w:bottom w:val="nil"/>
              <w:right w:val="nil"/>
            </w:tcBorders>
            <w:shd w:val="clear"/>
            <w:vAlign w:val="center"/>
          </w:tcPr>
          <w:p>
            <w:pPr>
              <w:rPr>
                <w:rFonts w:hint="eastAsia" w:ascii="黑体" w:hAnsi="宋体" w:eastAsia="黑体" w:cs="黑体"/>
                <w:i w:val="0"/>
                <w:color w:val="000000"/>
                <w:sz w:val="24"/>
                <w:szCs w:val="24"/>
                <w:u w:val="none"/>
              </w:rPr>
            </w:pPr>
          </w:p>
        </w:tc>
        <w:tc>
          <w:tcPr>
            <w:tcW w:w="386" w:type="pct"/>
            <w:tcBorders>
              <w:top w:val="nil"/>
              <w:left w:val="nil"/>
              <w:bottom w:val="nil"/>
              <w:right w:val="nil"/>
            </w:tcBorders>
            <w:shd w:val="clear"/>
            <w:vAlign w:val="center"/>
          </w:tcPr>
          <w:p>
            <w:pPr>
              <w:rPr>
                <w:rFonts w:hint="eastAsia" w:ascii="黑体" w:hAnsi="宋体" w:eastAsia="黑体" w:cs="黑体"/>
                <w:i w:val="0"/>
                <w:color w:val="000000"/>
                <w:sz w:val="24"/>
                <w:szCs w:val="24"/>
                <w:u w:val="none"/>
              </w:rPr>
            </w:pPr>
          </w:p>
        </w:tc>
        <w:tc>
          <w:tcPr>
            <w:tcW w:w="724" w:type="pct"/>
            <w:tcBorders>
              <w:top w:val="nil"/>
              <w:left w:val="nil"/>
              <w:bottom w:val="nil"/>
              <w:right w:val="nil"/>
            </w:tcBorders>
            <w:shd w:val="clear"/>
            <w:vAlign w:val="center"/>
          </w:tcPr>
          <w:p>
            <w:pPr>
              <w:rPr>
                <w:rFonts w:hint="eastAsia" w:ascii="黑体" w:hAnsi="宋体" w:eastAsia="黑体" w:cs="黑体"/>
                <w:i w:val="0"/>
                <w:color w:val="000000"/>
                <w:sz w:val="24"/>
                <w:szCs w:val="24"/>
                <w:u w:val="none"/>
              </w:rPr>
            </w:pPr>
          </w:p>
        </w:tc>
        <w:tc>
          <w:tcPr>
            <w:tcW w:w="376" w:type="pct"/>
            <w:tcBorders>
              <w:top w:val="nil"/>
              <w:left w:val="nil"/>
              <w:bottom w:val="nil"/>
              <w:right w:val="nil"/>
            </w:tcBorders>
            <w:shd w:val="clear"/>
            <w:vAlign w:val="center"/>
          </w:tcPr>
          <w:p>
            <w:pPr>
              <w:rPr>
                <w:rFonts w:hint="eastAsia" w:ascii="宋体" w:hAnsi="宋体" w:eastAsia="宋体" w:cs="宋体"/>
                <w:i w:val="0"/>
                <w:color w:val="000000"/>
                <w:sz w:val="24"/>
                <w:szCs w:val="24"/>
                <w:u w:val="none"/>
              </w:rPr>
            </w:pPr>
          </w:p>
        </w:tc>
        <w:tc>
          <w:tcPr>
            <w:tcW w:w="1027" w:type="pct"/>
            <w:tcBorders>
              <w:top w:val="nil"/>
              <w:left w:val="nil"/>
              <w:bottom w:val="nil"/>
              <w:right w:val="nil"/>
            </w:tcBorders>
            <w:shd w:val="clear"/>
            <w:vAlign w:val="center"/>
          </w:tcPr>
          <w:p>
            <w:pPr>
              <w:rPr>
                <w:rFonts w:hint="eastAsia" w:ascii="宋体" w:hAnsi="宋体" w:eastAsia="宋体" w:cs="宋体"/>
                <w:i w:val="0"/>
                <w:color w:val="000000"/>
                <w:sz w:val="24"/>
                <w:szCs w:val="24"/>
                <w:u w:val="none"/>
              </w:rPr>
            </w:pPr>
          </w:p>
        </w:tc>
        <w:tc>
          <w:tcPr>
            <w:tcW w:w="1460" w:type="pct"/>
            <w:tcBorders>
              <w:top w:val="nil"/>
              <w:left w:val="nil"/>
              <w:bottom w:val="nil"/>
              <w:right w:val="nil"/>
            </w:tcBorders>
            <w:shd w:val="clear"/>
            <w:vAlign w:val="center"/>
          </w:tcPr>
          <w:p>
            <w:pPr>
              <w:rPr>
                <w:rFonts w:hint="eastAsia" w:ascii="宋体" w:hAnsi="宋体" w:eastAsia="宋体" w:cs="宋体"/>
                <w:i w:val="0"/>
                <w:color w:val="000000"/>
                <w:sz w:val="24"/>
                <w:szCs w:val="24"/>
                <w:u w:val="none"/>
              </w:rPr>
            </w:pPr>
          </w:p>
        </w:tc>
        <w:tc>
          <w:tcPr>
            <w:tcW w:w="689" w:type="pct"/>
            <w:tcBorders>
              <w:top w:val="nil"/>
              <w:left w:val="nil"/>
              <w:bottom w:val="nil"/>
              <w:right w:val="nil"/>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bookmarkStart w:id="0" w:name="_GoBack"/>
            <w: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t>中央对广西转移支付城市管网及污水处理补助资金绩效自评表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nil"/>
              <w:left w:val="nil"/>
              <w:bottom w:val="single" w:color="000000" w:sz="4" w:space="0"/>
              <w:right w:val="nil"/>
            </w:tcBorders>
            <w:shd w:val="cle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2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转移支付（项目）名称</w:t>
            </w:r>
          </w:p>
        </w:tc>
        <w:tc>
          <w:tcPr>
            <w:tcW w:w="427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城市管网及污水处理补助资金（桂林市海绵城市建设示范）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中央主管部门</w:t>
            </w:r>
          </w:p>
        </w:tc>
        <w:tc>
          <w:tcPr>
            <w:tcW w:w="427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财政部、住房和城乡建设部、水利部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72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地方主管部门</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广西壮族自治区财政厅、广西壮族自治区住房和城乡建设厅、广西壮族自治区水利厅</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资金使用单位</w:t>
            </w:r>
          </w:p>
        </w:tc>
        <w:tc>
          <w:tcPr>
            <w:tcW w:w="214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桂新区管委会、桂林城乡建设控股集团有限公司、桂林新城投资开发集团有限公司、桂林中海基建投资有限公司、桂林市排水有限公司、桂林市市政工程管理处、桂林市绿化工程处、桂林市榕湖饭店有限公司、桂林市城市建设开发有限公司、桂林市临桂区城昇农业综合开发有限责任公司、桂林市临桂区高新投资开发有限公司、桂林市叠彩城乡建设开发有限公司、桂林市雁山城市建设投资有限公司、桂林市雁山区教育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21"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资金投入情况</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（万元）</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全年预算数（A）</w:t>
            </w:r>
          </w:p>
        </w:tc>
        <w:tc>
          <w:tcPr>
            <w:tcW w:w="248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全年执行数（B）</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年度资金总额：</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40806.19 </w:t>
            </w:r>
          </w:p>
        </w:tc>
        <w:tc>
          <w:tcPr>
            <w:tcW w:w="248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37784.19 </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 xml:space="preserve"> </w:t>
            </w:r>
            <w:r>
              <w:rPr>
                <w:rStyle w:val="5"/>
                <w:bdr w:val="none" w:color="auto" w:sz="0" w:space="0"/>
                <w:lang w:val="en-US" w:eastAsia="zh-CN" w:bidi="ar"/>
              </w:rPr>
              <w:t>其中：中央财政资金</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18260.00 </w:t>
            </w:r>
          </w:p>
        </w:tc>
        <w:tc>
          <w:tcPr>
            <w:tcW w:w="248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15238.00 </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 xml:space="preserve"> </w:t>
            </w:r>
            <w:r>
              <w:rPr>
                <w:rStyle w:val="5"/>
                <w:bdr w:val="none" w:color="auto" w:sz="0" w:space="0"/>
                <w:lang w:val="en-US" w:eastAsia="zh-CN" w:bidi="ar"/>
              </w:rPr>
              <w:t xml:space="preserve">      地方财政资金</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1854.19 </w:t>
            </w:r>
          </w:p>
        </w:tc>
        <w:tc>
          <w:tcPr>
            <w:tcW w:w="248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1854.19 </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 xml:space="preserve">      </w:t>
            </w:r>
            <w:r>
              <w:rPr>
                <w:rStyle w:val="6"/>
                <w:bdr w:val="none" w:color="auto" w:sz="0" w:space="0"/>
                <w:lang w:val="en-US" w:eastAsia="zh-CN" w:bidi="ar"/>
              </w:rPr>
              <w:t xml:space="preserve">  其他资金</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20692.00 </w:t>
            </w:r>
          </w:p>
        </w:tc>
        <w:tc>
          <w:tcPr>
            <w:tcW w:w="248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20692.00 </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资金管理情况</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情况说明</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分配科学性</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根据项目的建设类别、功能类型、技术措施、本底条件、所在区位、管理规范性等因素</w:t>
            </w:r>
            <w:r>
              <w:rPr>
                <w:rStyle w:val="6"/>
                <w:bdr w:val="none" w:color="auto" w:sz="0" w:space="0"/>
                <w:lang w:val="en-US" w:eastAsia="zh-CN" w:bidi="ar"/>
              </w:rPr>
              <w:t>，综合评估项目对海绵城市建设产生的预期成效及示范作用，遴选确定中央补助资金支持的项目；结合项目投资渠道、以及资金来源和保障能力等因素，确定各项目的中央补助资金补助标准。</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下达及时性</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照中央主管部门相关规定和要求，制定中央补助资金分配方案，上报自治区财政厅、住房城乡建设厅、水利厅审核、备案，制作资金支付计划表，于收到中央奖补资金后30日内将中央补助资金分解下达至各有关单位。</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拨付合规性</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由项目实施单位根据项目推进需求和已开展实际工程量制作请款材料，由责任单位审核后，向财政部门提出请款申请，财政部门经核实后，按国库集中支付相关规定向项目实施单位支付资金。</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使用规范性</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照中央主管部门相关规定和要求，对中央补助资金的资助范围和用途进行严格把控和规范管理，对中央补助资金严格做到专款专用，严禁将中央补助资金用于规划编制、方案制定、人员经费、日常运维等方面支出。</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执行准确性</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照《中央财政海绵城市建设示范补助资金绩效评价办法》、《城市管网及污水处理补助资金管理办法》等文件严格审核，从项目投资估算、资金筹措方案、年度投资计划及建设成效把控等环节全过程强化管理，保障资金执行准确性。</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预算绩效管理情况</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补助资金支付后，由项目实施单位履行资金使用主体责任，项目责任部门对项目中央补助资金预算绩效目标实现程度和预算执行进度进行监督，市财政局对资金使用情况进行动态管理。在年度预算结束后，有关单位编报项目绩效目标自评表。</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支出责任履行情况</w:t>
            </w:r>
          </w:p>
        </w:tc>
        <w:tc>
          <w:tcPr>
            <w:tcW w:w="28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落实支出主体责任，加强资金效用监管，力促桂林市</w:t>
            </w:r>
            <w:r>
              <w:rPr>
                <w:rStyle w:val="6"/>
                <w:bdr w:val="none" w:color="auto" w:sz="0" w:space="0"/>
                <w:lang w:val="en-US" w:eastAsia="zh-CN" w:bidi="ar"/>
              </w:rPr>
              <w:t>达到《中央对地方转移支付区域绩效目标表(2025年)》规定的各项绩效指标要求。</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7"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总体目标完成情况</w:t>
            </w:r>
          </w:p>
        </w:tc>
        <w:tc>
          <w:tcPr>
            <w:tcW w:w="1655" w:type="pct"/>
            <w:gridSpan w:val="4"/>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w:t>
            </w:r>
          </w:p>
        </w:tc>
        <w:tc>
          <w:tcPr>
            <w:tcW w:w="3176" w:type="pct"/>
            <w:gridSpan w:val="3"/>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67"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655"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以海绵城市建设为统领，聚焦城市内涝治理成效，统筹实施城市防洪排涝设施建设，围绕高质量发展的要求，构建健康的城市水循环系统，提高城市的承载力宜居性包容度、人民群众获得感幸福感。</w:t>
            </w:r>
          </w:p>
        </w:tc>
        <w:tc>
          <w:tcPr>
            <w:tcW w:w="317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2025年，桂林市对照绩效目标要求，统揽重大城建工作任务，从区域流域、城市、设施、社区全尺度开展工作，系统化全域推进海绵城市示范城市建设。持续增强城市防洪排涝能力、巩固生态环境保护成果、提升公共空间居住品质、健全规划建设管控制度，并继续做好海绵城市建设示范后续篇章，完成了既定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67" w:type="pct"/>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绩效指标</w:t>
            </w:r>
          </w:p>
        </w:tc>
        <w:tc>
          <w:tcPr>
            <w:tcW w:w="1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指标值</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全年实际完成值</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w:t>
            </w:r>
          </w:p>
        </w:tc>
        <w:tc>
          <w:tcPr>
            <w:tcW w:w="38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雨水资源化利用</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bdr w:val="none" w:color="auto" w:sz="0" w:space="0"/>
                <w:lang w:val="en-US" w:eastAsia="zh-CN" w:bidi="ar"/>
              </w:rPr>
              <w:t>251</w:t>
            </w:r>
            <w:r>
              <w:rPr>
                <w:rStyle w:val="6"/>
                <w:bdr w:val="none" w:color="auto" w:sz="0" w:space="0"/>
                <w:lang w:val="en-US" w:eastAsia="zh-CN" w:bidi="ar"/>
              </w:rPr>
              <w:t>万吨/年</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266.11万吨/年</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拟完成的立法或长效机制</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bdr w:val="none" w:color="auto" w:sz="0" w:space="0"/>
                <w:lang w:val="en-US" w:eastAsia="zh-CN" w:bidi="ar"/>
              </w:rPr>
              <w:t>2</w:t>
            </w:r>
            <w:r>
              <w:rPr>
                <w:rStyle w:val="6"/>
                <w:bdr w:val="none" w:color="auto" w:sz="0" w:space="0"/>
                <w:lang w:val="en-US" w:eastAsia="zh-CN" w:bidi="ar"/>
              </w:rPr>
              <w:t>项:《桂林市城市节约用水管理条例》《桂林市城市防洪排涝管理条例》</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桂林市海绵城市建设管理条例》于2025年5月29日获广西壮族自治区第十四届人民代表大会常务委员会第十六次会议批准；《桂林市城市节约用水管理办法》已由桂林市政府印发；《桂林市城市防洪排涝管理办法》已由桂林市政府印发；已出台32部长效机制文件，构建了较完善的海绵城市建设机制保障体系。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拟开展的海绵城市建设培训、宣传次数</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每季度不少于1次，合计不少于4次。</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桂林市2025年第一季度开展市级培训宣传活动5次，第二季度开展10次，第三季度开展6次，第四季度开展8次，年度累计开展29次。包括集中讲座、分散训练、媒体宣传、组织“海绵进校园”、“海绵进社区”、“海绵普法宣传”等多种形式。市海绵工作专班根据全市海绵城市建设需要，定期开展集中培训宣传活动，完成了每季度培训宣传不少于1次，年度累计开展培训宣传不少于4次的绩效目标要求。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内涝防治标准</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中心城区达到50年一遇（283.8毫米/24小时）,雁山城区达到20年一遇（242.5毫米/24小时）。</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中心城区达到50年一遇</w:t>
            </w:r>
            <w:r>
              <w:rPr>
                <w:rStyle w:val="6"/>
                <w:bdr w:val="none" w:color="auto" w:sz="0" w:space="0"/>
                <w:lang w:val="en-US" w:eastAsia="zh-CN" w:bidi="ar"/>
              </w:rPr>
              <w:t>（283.8mm/24h），雁山城区达到20年一遇（242.5mm/24h）。</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内涝积水区段消除比例</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城市防洪标准</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中心城区达到100年一遇；雁山城区达到20年一遇。</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中心城区达到100年一遇；雁山城区达到</w:t>
            </w:r>
            <w:r>
              <w:rPr>
                <w:rStyle w:val="6"/>
                <w:bdr w:val="none" w:color="auto" w:sz="0" w:space="0"/>
                <w:lang w:val="en-US" w:eastAsia="zh-CN" w:bidi="ar"/>
              </w:rPr>
              <w:t>20年一遇。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天然水域面积比例</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5.60%</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5.62%</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可透水地面面积比例</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43.50%</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48.43%</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城市生活污水集中收集率</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≥8</w:t>
            </w:r>
            <w:r>
              <w:rPr>
                <w:rStyle w:val="6"/>
                <w:bdr w:val="none" w:color="auto" w:sz="0" w:space="0"/>
                <w:lang w:val="en-US" w:eastAsia="zh-CN" w:bidi="ar"/>
              </w:rPr>
              <w:t>2%</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92.12%</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城市污水处理厂进水BOD平均浓度</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≥112mg/L</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113.29mg/L</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黑臭水体消除比例</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建成区内100%</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建成区内100%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时效指标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项目按时完成率</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86"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成本指标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预算完成率</w:t>
            </w:r>
          </w:p>
        </w:tc>
        <w:tc>
          <w:tcPr>
            <w:tcW w:w="10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92.59%</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为防范和化解债务风险，国务院《关于金融支持融资平台债务风险化解的指导意见》《重点省份分类加强政府投资项目管理办法（试行）》等文件相继出台，包括广西在内的12个债务高风险重点省份政府投资类项目建设受到约束。对此，桂林市市委、市政府高度重视，多次召开海绵城市专题会议对项目实施进行调度，并向自治区汇报相关情况。按照“有保有压”政策要求，对照绩效考核目标做好项目建设分析，严控非刚性、非重点支出，将压减下来的资金优先用于城市防洪排涝、漓江支流治理等群众急、难、愁、盼的民生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效益指标</w:t>
            </w:r>
          </w:p>
        </w:tc>
        <w:tc>
          <w:tcPr>
            <w:tcW w:w="38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拟建立的海绵城市规划建设管控制度</w:t>
            </w:r>
          </w:p>
        </w:tc>
        <w:tc>
          <w:tcPr>
            <w:tcW w:w="1027" w:type="pc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6"/>
                <w:bdr w:val="none" w:color="auto" w:sz="0" w:space="0"/>
                <w:lang w:val="en-US" w:eastAsia="zh-CN" w:bidi="ar"/>
              </w:rPr>
              <w:t>进一步完善规划建设管控制度。</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制发《关于在城市规划建设管控全过程强化落实海绵城市建设要求的通知》《桂林市海绵城市建设全过程管控实施细则（试行）》《桂林市海绵城市建设设计文件编制深度和审查要点（试行）》等制度文件，按照文件要求从规划、设计、审查、建设、验收等全过程强化海绵城市建设管控与监管，制度执行到位，监管闭环形成，工作成效达标。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市政府对各区、各部门的绩效考核制度</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6"/>
                <w:bdr w:val="none" w:color="auto" w:sz="0" w:space="0"/>
                <w:lang w:val="en-US" w:eastAsia="zh-CN" w:bidi="ar"/>
              </w:rPr>
              <w:t>进一步健全绩效考核制度，开展年度考核。</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进一步健全绩效考核制度，将海绵城市建设考核纳入全市考核体系，并如期完成了对各市直部门及各城区的年度绩效考核工作。该项指标达到绩效目标要求，完成值为100%。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拟制定的投融资机制</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6"/>
                <w:bdr w:val="none" w:color="auto" w:sz="0" w:space="0"/>
                <w:lang w:val="en-US" w:eastAsia="zh-CN" w:bidi="ar"/>
              </w:rPr>
              <w:t>进一步完善投融资机制。</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制发《桂林市海绵城市建设资金管理办法（试行）》《桂林市海绵城市建设政府和社会资本合作模式管理办法（试行）》《桂林市海绵城市建设成本补偿保障办法（试行）》等制度文件，按照文件要求规范开展海绵城市建设资金管理、政府和社会资本合作及成本补偿保障等投融资相关工作。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3"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经济效益指标</w:t>
            </w: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中央奖补资金及时下达到项目</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市级财政部门在收到中央奖补资金后，30日内正式分解下达到项目。</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2024 年 11 月 18 日，按照《广西壮族自治区财政厅关于提前下达 2025 年城市管网及污水处理补助资金预算（中央）的通知》（桂财建〔2024〕128 号）将 2025 年城市管网及污水处理补助资金预算（中央）18260 万元下达至桂林市，用于支持桂林市系统化全域推进海绵城市建设示范工作。桂林市制定 2025 年中央补助资金分配方案，</w:t>
            </w:r>
            <w:r>
              <w:rPr>
                <w:rStyle w:val="7"/>
                <w:bdr w:val="none" w:color="auto" w:sz="0" w:space="0"/>
                <w:lang w:val="en-US" w:eastAsia="zh-CN" w:bidi="ar"/>
              </w:rPr>
              <w:t>于2024年12月16日将方案报送</w:t>
            </w:r>
            <w:r>
              <w:rPr>
                <w:rStyle w:val="4"/>
                <w:bdr w:val="none" w:color="auto" w:sz="0" w:space="0"/>
                <w:lang w:val="en-US" w:eastAsia="zh-CN" w:bidi="ar"/>
              </w:rPr>
              <w:t>自治区财政厅、住房城乡建设厅、水利厅，并于同日将中央补助资金分解下达至各有关项目单位。</w:t>
            </w:r>
            <w:r>
              <w:rPr>
                <w:rStyle w:val="7"/>
                <w:bdr w:val="none" w:color="auto" w:sz="0" w:space="0"/>
                <w:lang w:val="en-US" w:eastAsia="zh-CN" w:bidi="ar"/>
              </w:rPr>
              <w:t>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地方按方案筹集资金，充分带动社会资金参与。</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市级财政部门按方案筹集资金，充分发挥中央资金和水利、生态环保等资金协同引导作用，吸引社会资金参与，鼓励通过发行专项债券等方式多渠道筹资。</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7"/>
                <w:bdr w:val="none" w:color="auto" w:sz="0" w:space="0"/>
                <w:lang w:val="en-US" w:eastAsia="zh-CN" w:bidi="ar"/>
              </w:rPr>
              <w:t>市级财政部门按方案筹集资金，充分发挥中央财政补助资金和水利、生态环保等资金的协同引导作用，积极争取自治区财政奖补，落实市级财政资金配套，吸纳社会资金参与，完成海绵城市建设投资20.47亿元，资金结构合理、协同有度。该项指标达到绩效目标要求，完成值为100%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color w:val="000000"/>
                <w:sz w:val="20"/>
                <w:szCs w:val="20"/>
                <w:u w:val="none"/>
              </w:rPr>
            </w:pPr>
          </w:p>
        </w:tc>
        <w:tc>
          <w:tcPr>
            <w:tcW w:w="110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中央资金合规使用，有力支撑项目建设。</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中央资金用于海绵建设示范城市直接相关的工程项目投资，有力支撑项目按实施方案预设目标推进。</w:t>
            </w:r>
          </w:p>
        </w:tc>
        <w:tc>
          <w:tcPr>
            <w:tcW w:w="1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7"/>
                <w:bdr w:val="none" w:color="auto" w:sz="0" w:space="0"/>
                <w:lang w:val="en-US" w:eastAsia="zh-CN" w:bidi="ar"/>
              </w:rPr>
              <w:t>规范中央补助资金使用管理要求，保障中央财政资金补助用途规范、有力支撑项目建设。该项指标达到绩效目标要求，完成值为100%</w:t>
            </w:r>
            <w:r>
              <w:rPr>
                <w:rStyle w:val="8"/>
                <w:bdr w:val="none" w:color="auto" w:sz="0" w:space="0"/>
                <w:lang w:val="en-US" w:eastAsia="zh-CN" w:bidi="ar"/>
              </w:rPr>
              <w:t>。</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16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148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公众对海绵城市建设满意度（孙）</w:t>
            </w:r>
          </w:p>
        </w:tc>
        <w:tc>
          <w:tcPr>
            <w:tcW w:w="102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146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98.46%</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说明</w:t>
            </w:r>
          </w:p>
        </w:tc>
        <w:tc>
          <w:tcPr>
            <w:tcW w:w="4832"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请在此处简要说明中央巡视、各级审计和财会监督中发现的问题及其所涉及的金额，如没有请填无。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8"/>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8"/>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000" w:type="pct"/>
            <w:gridSpan w:val="8"/>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3.全年执行数是指按照国库集中支付制度要求所形成的实际支出。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A272"/>
    <w:rsid w:val="67FFA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0"/>
      <w:szCs w:val="20"/>
      <w:u w:val="none"/>
    </w:rPr>
  </w:style>
  <w:style w:type="character" w:customStyle="1" w:styleId="5">
    <w:name w:val="font31"/>
    <w:basedOn w:val="3"/>
    <w:uiPriority w:val="0"/>
    <w:rPr>
      <w:rFonts w:hint="eastAsia" w:ascii="宋体" w:hAnsi="宋体" w:eastAsia="宋体" w:cs="宋体"/>
      <w:color w:val="000000"/>
      <w:sz w:val="20"/>
      <w:szCs w:val="20"/>
      <w:u w:val="none"/>
    </w:rPr>
  </w:style>
  <w:style w:type="character" w:customStyle="1" w:styleId="6">
    <w:name w:val="font16"/>
    <w:basedOn w:val="3"/>
    <w:uiPriority w:val="0"/>
    <w:rPr>
      <w:rFonts w:hint="eastAsia" w:ascii="宋体" w:hAnsi="宋体" w:eastAsia="宋体" w:cs="宋体"/>
      <w:color w:val="000000"/>
      <w:sz w:val="20"/>
      <w:szCs w:val="20"/>
      <w:u w:val="none"/>
    </w:rPr>
  </w:style>
  <w:style w:type="character" w:customStyle="1" w:styleId="7">
    <w:name w:val="font51"/>
    <w:basedOn w:val="3"/>
    <w:uiPriority w:val="0"/>
    <w:rPr>
      <w:rFonts w:hint="eastAsia" w:ascii="宋体" w:hAnsi="宋体" w:eastAsia="宋体" w:cs="宋体"/>
      <w:color w:val="000000"/>
      <w:sz w:val="20"/>
      <w:szCs w:val="20"/>
      <w:u w:val="none"/>
    </w:rPr>
  </w:style>
  <w:style w:type="character" w:customStyle="1" w:styleId="8">
    <w:name w:val="font01"/>
    <w:basedOn w:val="3"/>
    <w:uiPriority w:val="0"/>
    <w:rPr>
      <w:rFonts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2026-04-10T17:19:00Z</dcterms:created>
  <dc:creator>gxxc</dc:creator>
  <cp:lastModifiedBy>gxxc</cp:lastModifiedBy>
  <dcterms:modified xsi:type="dcterms:W3CDTF">2026-04-10T17:24:30Z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