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rPr>
          <w:sz w:val="72"/>
          <w:szCs w:val="44"/>
        </w:rPr>
      </w:pPr>
    </w:p>
    <w:p>
      <w:pPr>
        <w:pStyle w:val="16"/>
        <w:rPr>
          <w:sz w:val="72"/>
          <w:szCs w:val="44"/>
        </w:rPr>
      </w:pPr>
    </w:p>
    <w:p>
      <w:pPr>
        <w:pStyle w:val="16"/>
        <w:rPr>
          <w:rFonts w:hint="eastAsia" w:ascii="方正小标宋_GBK" w:hAnsi="方正小标宋_GBK" w:eastAsia="方正小标宋_GBK" w:cs="方正小标宋_GBK"/>
          <w:sz w:val="72"/>
          <w:szCs w:val="44"/>
        </w:rPr>
      </w:pPr>
      <w:r>
        <w:rPr>
          <w:rFonts w:hint="eastAsia" w:ascii="方正小标宋_GBK" w:hAnsi="方正小标宋_GBK" w:eastAsia="方正小标宋_GBK" w:cs="方正小标宋_GBK"/>
          <w:sz w:val="72"/>
          <w:szCs w:val="44"/>
        </w:rPr>
        <w:t>广西建筑市场监管云平台</w:t>
      </w:r>
    </w:p>
    <w:p>
      <w:pPr>
        <w:pStyle w:val="16"/>
        <w:rPr>
          <w:rFonts w:hint="eastAsia" w:ascii="方正小标宋_GBK" w:hAnsi="方正小标宋_GBK" w:eastAsia="方正小标宋_GBK" w:cs="方正小标宋_GBK"/>
          <w:sz w:val="72"/>
          <w:szCs w:val="44"/>
        </w:rPr>
      </w:pPr>
      <w:r>
        <w:rPr>
          <w:rFonts w:hint="eastAsia" w:ascii="方正小标宋_GBK" w:hAnsi="方正小标宋_GBK" w:eastAsia="方正小标宋_GBK" w:cs="方正小标宋_GBK"/>
          <w:sz w:val="72"/>
          <w:szCs w:val="44"/>
        </w:rPr>
        <w:t>（桂建云）</w:t>
      </w:r>
    </w:p>
    <w:p>
      <w:pPr>
        <w:pStyle w:val="16"/>
        <w:rPr>
          <w:rFonts w:hint="eastAsia" w:ascii="方正小标宋_GBK" w:hAnsi="方正小标宋_GBK" w:eastAsia="方正小标宋_GBK" w:cs="方正小标宋_GBK"/>
          <w:sz w:val="56"/>
          <w:szCs w:val="40"/>
        </w:rPr>
      </w:pPr>
      <w:r>
        <w:rPr>
          <w:rFonts w:hint="eastAsia" w:ascii="方正小标宋_GBK" w:hAnsi="方正小标宋_GBK" w:eastAsia="方正小标宋_GBK" w:cs="方正小标宋_GBK"/>
          <w:sz w:val="56"/>
          <w:szCs w:val="40"/>
        </w:rPr>
        <w:t>招标代理机构信息推送至全国建筑市场监管公共服务平台</w:t>
      </w:r>
    </w:p>
    <w:p>
      <w:pPr>
        <w:pStyle w:val="16"/>
        <w:rPr>
          <w:rFonts w:hint="eastAsia" w:ascii="方正小标宋_GBK" w:hAnsi="方正小标宋_GBK" w:eastAsia="方正小标宋_GBK" w:cs="方正小标宋_GBK"/>
          <w:sz w:val="56"/>
          <w:szCs w:val="40"/>
        </w:rPr>
      </w:pPr>
      <w:r>
        <w:rPr>
          <w:rFonts w:hint="eastAsia" w:ascii="方正小标宋_GBK" w:hAnsi="方正小标宋_GBK" w:eastAsia="方正小标宋_GBK" w:cs="方正小标宋_GBK"/>
          <w:sz w:val="56"/>
          <w:szCs w:val="40"/>
        </w:rPr>
        <w:t>操作手册</w:t>
      </w:r>
    </w:p>
    <w:p>
      <w:pPr>
        <w:pStyle w:val="16"/>
        <w:rPr>
          <w:rFonts w:hint="eastAsia" w:ascii="方正小标宋_GBK" w:hAnsi="方正小标宋_GBK" w:eastAsia="方正小标宋_GBK" w:cs="方正小标宋_GBK"/>
          <w:sz w:val="56"/>
          <w:szCs w:val="40"/>
        </w:rPr>
      </w:pPr>
      <w:r>
        <w:rPr>
          <w:rFonts w:hint="eastAsia" w:ascii="方正小标宋_GBK" w:hAnsi="方正小标宋_GBK" w:eastAsia="方正小标宋_GBK" w:cs="方正小标宋_GBK"/>
          <w:sz w:val="56"/>
          <w:szCs w:val="40"/>
        </w:rPr>
        <w:t>（企业端）</w:t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pStyle w:val="16"/>
        <w:rPr>
          <w:rFonts w:hint="eastAsia" w:ascii="方正小标宋_GBK" w:hAnsi="方正小标宋_GBK" w:eastAsia="方正小标宋_GBK" w:cs="方正小标宋_GBK"/>
          <w:sz w:val="36"/>
          <w:szCs w:val="22"/>
        </w:rPr>
      </w:pPr>
      <w:r>
        <w:rPr>
          <w:rFonts w:hint="eastAsia" w:ascii="方正小标宋_GBK" w:hAnsi="方正小标宋_GBK" w:eastAsia="方正小标宋_GBK" w:cs="方正小标宋_GBK"/>
          <w:sz w:val="36"/>
          <w:szCs w:val="22"/>
        </w:rPr>
        <w:t>中国—东盟信息港股份有限公司</w:t>
      </w:r>
    </w:p>
    <w:p>
      <w:pPr>
        <w:pStyle w:val="16"/>
        <w:rPr>
          <w:rFonts w:hint="eastAsia" w:ascii="方正小标宋_GBK" w:hAnsi="方正小标宋_GBK" w:eastAsia="方正小标宋_GBK" w:cs="方正小标宋_GBK"/>
          <w:sz w:val="36"/>
          <w:szCs w:val="22"/>
        </w:rPr>
      </w:pPr>
      <w:r>
        <w:rPr>
          <w:rFonts w:hint="eastAsia" w:ascii="方正小标宋_GBK" w:hAnsi="方正小标宋_GBK" w:eastAsia="方正小标宋_GBK" w:cs="方正小标宋_GBK"/>
          <w:sz w:val="36"/>
          <w:szCs w:val="22"/>
        </w:rPr>
        <w:t>2026年1月</w:t>
      </w:r>
    </w:p>
    <w:p>
      <w:pPr>
        <w:widowControl/>
        <w:ind w:firstLine="0" w:firstLineChars="0"/>
        <w:jc w:val="left"/>
      </w:pPr>
    </w:p>
    <w:p>
      <w:pPr>
        <w:widowControl/>
        <w:ind w:firstLine="0" w:firstLineChars="0"/>
        <w:jc w:val="left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</w:p>
    <w:sdt>
      <w:sdtPr>
        <w:rPr>
          <w:rFonts w:hint="eastAsia" w:ascii="方正仿宋_GBK" w:hAnsi="方正仿宋_GBK" w:eastAsia="方正仿宋_GBK" w:cs="方正仿宋_GBK"/>
          <w:color w:val="auto"/>
          <w:kern w:val="2"/>
          <w:sz w:val="28"/>
          <w:szCs w:val="20"/>
          <w:lang w:val="zh-CN"/>
        </w:rPr>
        <w:id w:val="2081950408"/>
        <w:docPartObj>
          <w:docPartGallery w:val="Table of Contents"/>
          <w:docPartUnique/>
        </w:docPartObj>
      </w:sdtPr>
      <w:sdtEndPr>
        <w:rPr>
          <w:rFonts w:hint="eastAsia" w:ascii="方正仿宋_GBK" w:hAnsi="方正仿宋_GBK" w:eastAsia="方正仿宋_GBK" w:cs="方正仿宋_GBK"/>
          <w:b/>
          <w:bCs/>
          <w:color w:val="auto"/>
          <w:kern w:val="2"/>
          <w:sz w:val="32"/>
          <w:szCs w:val="32"/>
          <w:lang w:val="zh-CN"/>
        </w:rPr>
      </w:sdtEndPr>
      <w:sdtContent>
        <w:p>
          <w:pPr>
            <w:pStyle w:val="2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ind w:firstLine="560"/>
            <w:textAlignment w:val="auto"/>
            <w:rPr>
              <w:rFonts w:hint="eastAsia" w:ascii="方正仿宋_GBK" w:hAnsi="方正仿宋_GBK" w:eastAsia="方正仿宋_GBK" w:cs="方正仿宋_GBK"/>
              <w:sz w:val="32"/>
              <w:szCs w:val="32"/>
            </w:rPr>
          </w:pPr>
          <w:r>
            <w:rPr>
              <w:rFonts w:hint="eastAsia" w:ascii="方正仿宋_GBK" w:hAnsi="方正仿宋_GBK" w:eastAsia="方正仿宋_GBK" w:cs="方正仿宋_GBK"/>
              <w:sz w:val="32"/>
              <w:szCs w:val="32"/>
              <w:lang w:val="zh-CN"/>
            </w:rPr>
            <w:t>目录</w:t>
          </w:r>
        </w:p>
        <w:p>
          <w:pPr>
            <w:pStyle w:val="9"/>
            <w:pageBreakBefore w:val="0"/>
            <w:tabs>
              <w:tab w:val="left" w:pos="840"/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textAlignment w:val="auto"/>
            <w:rPr>
              <w:rFonts w:hint="eastAsia" w:ascii="方正仿宋_GBK" w:hAnsi="方正仿宋_GBK" w:eastAsia="方正仿宋_GBK" w:cs="方正仿宋_GBK"/>
              <w:kern w:val="2"/>
              <w:sz w:val="32"/>
              <w:szCs w:val="32"/>
              <w14:ligatures w14:val="standardContextual"/>
            </w:rPr>
          </w:pP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HYPERLINK \l "_Toc219664794"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Style w:val="13"/>
              <w:rFonts w:hint="eastAsia" w:ascii="方正仿宋_GBK" w:hAnsi="方正仿宋_GBK" w:eastAsia="方正仿宋_GBK" w:cs="方正仿宋_GBK"/>
              <w:sz w:val="32"/>
              <w:szCs w:val="32"/>
            </w:rPr>
            <w:t>一、</w:t>
          </w:r>
          <w:r>
            <w:rPr>
              <w:rFonts w:hint="eastAsia" w:ascii="方正仿宋_GBK" w:hAnsi="方正仿宋_GBK" w:eastAsia="方正仿宋_GBK" w:cs="方正仿宋_GBK"/>
              <w:kern w:val="2"/>
              <w:sz w:val="32"/>
              <w:szCs w:val="32"/>
              <w14:ligatures w14:val="standardContextual"/>
            </w:rPr>
            <w:tab/>
          </w:r>
          <w:r>
            <w:rPr>
              <w:rStyle w:val="13"/>
              <w:rFonts w:hint="eastAsia" w:ascii="方正仿宋_GBK" w:hAnsi="方正仿宋_GBK" w:eastAsia="方正仿宋_GBK" w:cs="方正仿宋_GBK"/>
              <w:sz w:val="32"/>
              <w:szCs w:val="32"/>
            </w:rPr>
            <w:t>登录</w: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tab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PAGEREF _Toc219664794 \h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t>1</w: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end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end"/>
          </w:r>
        </w:p>
        <w:p>
          <w:pPr>
            <w:pStyle w:val="9"/>
            <w:pageBreakBefore w:val="0"/>
            <w:tabs>
              <w:tab w:val="left" w:pos="840"/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textAlignment w:val="auto"/>
            <w:rPr>
              <w:rFonts w:hint="eastAsia" w:ascii="方正仿宋_GBK" w:hAnsi="方正仿宋_GBK" w:eastAsia="方正仿宋_GBK" w:cs="方正仿宋_GBK"/>
              <w:kern w:val="2"/>
              <w:sz w:val="32"/>
              <w:szCs w:val="32"/>
              <w14:ligatures w14:val="standardContextual"/>
            </w:rPr>
          </w:pP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HYPERLINK \l "_Toc219664795"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Style w:val="13"/>
              <w:rFonts w:hint="eastAsia" w:ascii="方正仿宋_GBK" w:hAnsi="方正仿宋_GBK" w:eastAsia="方正仿宋_GBK" w:cs="方正仿宋_GBK"/>
              <w:sz w:val="32"/>
              <w:szCs w:val="32"/>
            </w:rPr>
            <w:t>二、</w:t>
          </w:r>
          <w:r>
            <w:rPr>
              <w:rFonts w:hint="eastAsia" w:ascii="方正仿宋_GBK" w:hAnsi="方正仿宋_GBK" w:eastAsia="方正仿宋_GBK" w:cs="方正仿宋_GBK"/>
              <w:kern w:val="2"/>
              <w:sz w:val="32"/>
              <w:szCs w:val="32"/>
              <w14:ligatures w14:val="standardContextual"/>
            </w:rPr>
            <w:tab/>
          </w:r>
          <w:r>
            <w:rPr>
              <w:rStyle w:val="13"/>
              <w:rFonts w:hint="eastAsia" w:ascii="方正仿宋_GBK" w:hAnsi="方正仿宋_GBK" w:eastAsia="方正仿宋_GBK" w:cs="方正仿宋_GBK"/>
              <w:sz w:val="32"/>
              <w:szCs w:val="32"/>
            </w:rPr>
            <w:t>完善企业信息</w: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tab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PAGEREF _Toc219664795 \h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t>1</w: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end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end"/>
          </w:r>
        </w:p>
        <w:p>
          <w:pPr>
            <w:pStyle w:val="9"/>
            <w:pageBreakBefore w:val="0"/>
            <w:tabs>
              <w:tab w:val="left" w:pos="840"/>
              <w:tab w:val="right" w:leader="dot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textAlignment w:val="auto"/>
            <w:rPr>
              <w:rFonts w:hint="eastAsia" w:ascii="方正仿宋_GBK" w:hAnsi="方正仿宋_GBK" w:eastAsia="方正仿宋_GBK" w:cs="方正仿宋_GBK"/>
              <w:kern w:val="2"/>
              <w:sz w:val="32"/>
              <w:szCs w:val="32"/>
              <w14:ligatures w14:val="standardContextual"/>
            </w:rPr>
          </w:pP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HYPERLINK \l "_Toc219664796"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Style w:val="13"/>
              <w:rFonts w:hint="eastAsia" w:ascii="方正仿宋_GBK" w:hAnsi="方正仿宋_GBK" w:eastAsia="方正仿宋_GBK" w:cs="方正仿宋_GBK"/>
              <w:sz w:val="32"/>
              <w:szCs w:val="32"/>
            </w:rPr>
            <w:t>三、</w:t>
          </w:r>
          <w:r>
            <w:rPr>
              <w:rFonts w:hint="eastAsia" w:ascii="方正仿宋_GBK" w:hAnsi="方正仿宋_GBK" w:eastAsia="方正仿宋_GBK" w:cs="方正仿宋_GBK"/>
              <w:kern w:val="2"/>
              <w:sz w:val="32"/>
              <w:szCs w:val="32"/>
              <w14:ligatures w14:val="standardContextual"/>
            </w:rPr>
            <w:tab/>
          </w:r>
          <w:r>
            <w:rPr>
              <w:rStyle w:val="13"/>
              <w:rFonts w:hint="eastAsia" w:ascii="方正仿宋_GBK" w:hAnsi="方正仿宋_GBK" w:eastAsia="方正仿宋_GBK" w:cs="方正仿宋_GBK"/>
              <w:sz w:val="32"/>
              <w:szCs w:val="32"/>
            </w:rPr>
            <w:t>完善人员信息</w: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tab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begin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instrText xml:space="preserve"> PAGEREF _Toc219664796 \h </w:instrTex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separate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t>4</w:t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end"/>
          </w:r>
          <w:r>
            <w:rPr>
              <w:rFonts w:hint="eastAsia" w:ascii="方正仿宋_GBK" w:hAnsi="方正仿宋_GBK" w:eastAsia="方正仿宋_GBK" w:cs="方正仿宋_GBK"/>
              <w:sz w:val="32"/>
              <w:szCs w:val="32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590" w:lineRule="exact"/>
            <w:ind w:firstLine="562"/>
            <w:textAlignment w:val="auto"/>
            <w:rPr>
              <w:rFonts w:hint="eastAsia" w:ascii="方正仿宋_GBK" w:hAnsi="方正仿宋_GBK" w:eastAsia="方正仿宋_GBK" w:cs="方正仿宋_GBK"/>
              <w:sz w:val="32"/>
              <w:szCs w:val="32"/>
            </w:rPr>
          </w:pPr>
          <w:r>
            <w:rPr>
              <w:rFonts w:hint="eastAsia" w:ascii="方正仿宋_GBK" w:hAnsi="方正仿宋_GBK" w:eastAsia="方正仿宋_GBK" w:cs="方正仿宋_GBK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widowControl/>
        <w:ind w:firstLine="0" w:firstLineChars="0"/>
        <w:jc w:val="left"/>
        <w:sectPr>
          <w:footerReference r:id="rId11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hint="eastAsia"/>
        </w:rPr>
        <w:t xml:space="preserve">  </w:t>
      </w:r>
    </w:p>
    <w:p>
      <w:pPr>
        <w:numPr>
          <w:ilvl w:val="0"/>
          <w:numId w:val="1"/>
        </w:numPr>
        <w:adjustRightInd w:val="0"/>
        <w:snapToGrid w:val="0"/>
        <w:spacing w:line="590" w:lineRule="exact"/>
        <w:ind w:firstLine="640" w:firstLineChars="200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bookmarkStart w:id="0" w:name="_Toc219664794"/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登录</w:t>
      </w:r>
      <w:bookmarkEnd w:id="0"/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在浏览器中录入https://gxjzsc.gxcic.cn，回车进入系统，界面显示的是“广西建筑市场监管云平台（桂建云）”门户。</w:t>
      </w:r>
    </w:p>
    <w:p>
      <w:pPr>
        <w:pStyle w:val="16"/>
        <w:outlineLvl w:val="9"/>
      </w:pPr>
      <w:r>
        <w:drawing>
          <wp:inline distT="0" distB="0" distL="0" distR="0">
            <wp:extent cx="5274310" cy="78740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710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5608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点击右上角登录按钮，进入平台登录入口界面，在“登录”界面输入账号和密码，验证码通过后登录系统，登录成功后，在首页热门服务点击【桂建云录入】，系统自动跳转进入到桂建云后台操作界面。</w:t>
      </w:r>
    </w:p>
    <w:p>
      <w:pPr>
        <w:pStyle w:val="16"/>
      </w:pPr>
      <w:r>
        <w:drawing>
          <wp:inline distT="0" distB="0" distL="0" distR="0">
            <wp:extent cx="5274310" cy="2216150"/>
            <wp:effectExtent l="19050" t="19050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spacing w:line="590" w:lineRule="exact"/>
        <w:ind w:firstLine="640" w:firstLineChars="200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bookmarkStart w:id="1" w:name="_Toc219664795"/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完善企业信息</w:t>
      </w:r>
      <w:bookmarkEnd w:id="1"/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在建设工程企业，选择【招标代理机构】菜单进入招标代理机构企业信息界面。</w:t>
      </w:r>
    </w:p>
    <w:p>
      <w:pPr>
        <w:pStyle w:val="16"/>
        <w:outlineLvl w:val="9"/>
        <w:sectPr>
          <w:footerReference r:id="rId12" w:type="default"/>
          <w:pgSz w:w="11906" w:h="16838"/>
          <w:pgMar w:top="1928" w:right="1417" w:bottom="1814" w:left="1417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pStyle w:val="16"/>
        <w:outlineLvl w:val="9"/>
      </w:pPr>
      <w:r>
        <w:drawing>
          <wp:inline distT="0" distB="0" distL="0" distR="0">
            <wp:extent cx="5274310" cy="2696210"/>
            <wp:effectExtent l="19050" t="19050" r="21590" b="279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如果建设工程企业一级菜单下边没有【招标代理机构】菜单，在单位类型位置，选择【更改单位类型】，在弹出窗口中，勾选【招标代理机构】单位，然后点击【确定】。然后退出重新登录系统。</w:t>
      </w:r>
    </w:p>
    <w:p>
      <w:pPr>
        <w:pStyle w:val="16"/>
        <w:outlineLvl w:val="9"/>
      </w:pPr>
      <w:r>
        <w:drawing>
          <wp:inline distT="0" distB="0" distL="0" distR="0">
            <wp:extent cx="5274310" cy="1677035"/>
            <wp:effectExtent l="19050" t="19050" r="215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99970"/>
            <wp:effectExtent l="19050" t="19050" r="2159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补充完善基本信息：</w:t>
      </w:r>
    </w:p>
    <w:p>
      <w:pPr>
        <w:pStyle w:val="16"/>
        <w:outlineLvl w:val="9"/>
      </w:pPr>
      <w:r>
        <w:drawing>
          <wp:inline distT="0" distB="0" distL="0" distR="0">
            <wp:extent cx="5274310" cy="2780030"/>
            <wp:effectExtent l="19050" t="19050" r="21590" b="203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根据系统界面提示信息完善基本信息。</w:t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【保存】</w:t>
      </w:r>
      <w:r>
        <w:rPr>
          <w:rFonts w:hint="eastAsia" w:eastAsia="方正仿宋_GBK" w:cs="方正仿宋_GBK"/>
          <w:kern w:val="2"/>
          <w:sz w:val="32"/>
          <w:szCs w:val="32"/>
          <w:lang w:val="en-US" w:eastAsia="zh-CN" w:bidi="ar-SA"/>
        </w:rPr>
        <w:t>：</w:t>
      </w:r>
      <w:bookmarkStart w:id="3" w:name="_GoBack"/>
      <w:bookmarkEnd w:id="3"/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点击保存按钮，保存已录入的信息。</w:t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【提交】：点击提交按钮，提交已录入的信息，进入审核流程，如有必填字段没有填写，系统会弹窗提示，按提示补充完善信息，然后点击提交。</w:t>
      </w:r>
    </w:p>
    <w:p>
      <w:pPr>
        <w:pStyle w:val="16"/>
        <w:outlineLvl w:val="9"/>
      </w:pPr>
      <w:r>
        <w:drawing>
          <wp:inline distT="0" distB="0" distL="0" distR="0">
            <wp:extent cx="5274310" cy="2240280"/>
            <wp:effectExtent l="19050" t="19050" r="21590" b="266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【入库状态】说明：状态有待入库和已入库。待入库状态说明一些必填字段没有填；已入库说明必填字段都填写。</w:t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【上传全国平台状态】说明：点击【提交】按钮后，进入审核流程，审核状态在【上传全国平台状态】中体现。当状态为【已上传】时，说明企业信息已经推送到全国平台，可以在全国平台查询到企业信息。</w:t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企业信息以在全国平台显示内容为准。</w:t>
      </w:r>
    </w:p>
    <w:p>
      <w:pPr>
        <w:numPr>
          <w:ilvl w:val="0"/>
          <w:numId w:val="1"/>
        </w:numPr>
        <w:adjustRightInd w:val="0"/>
        <w:snapToGrid w:val="0"/>
        <w:spacing w:line="590" w:lineRule="exact"/>
        <w:ind w:firstLine="640" w:firstLineChars="200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bookmarkStart w:id="2" w:name="_Toc219664796"/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完善人员信息</w:t>
      </w:r>
      <w:bookmarkEnd w:id="2"/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在建设工程企业，选择【招标代理机构】菜单进入招标代理机构企业信息界面，选择【人员】标签页，进入人员管理界面，按提示信息补充完善人员信息。</w:t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编辑人员信息后，点击【提交】按钮，系统校验必填字段通过后，进入审核流程。在人员【上传全国平台状态】中看审核结果。当人员【上传全国平台状态】为【已上传】时，说明该人员信息已经推送到全国平台，可以在全国平台对应企业信息下边查询到对应人员信息。</w:t>
      </w:r>
    </w:p>
    <w:p>
      <w:pPr>
        <w:pStyle w:val="16"/>
        <w:outlineLvl w:val="9"/>
      </w:pPr>
      <w:r>
        <w:drawing>
          <wp:inline distT="0" distB="0" distL="0" distR="0">
            <wp:extent cx="5274310" cy="1498600"/>
            <wp:effectExtent l="19050" t="19050" r="21590" b="254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90" w:lineRule="exact"/>
        <w:ind w:firstLine="640" w:firstLineChars="200"/>
        <w:jc w:val="both"/>
        <w:outlineLvl w:val="9"/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 w:bidi="ar-SA"/>
        </w:rPr>
        <w:t>人员信息以在全国平台显示内容为准。</w:t>
      </w:r>
    </w:p>
    <w:p>
      <w:pPr>
        <w:ind w:firstLine="560"/>
      </w:pPr>
    </w:p>
    <w:sectPr>
      <w:footerReference r:id="rId13" w:type="default"/>
      <w:pgSz w:w="11906" w:h="16838"/>
      <w:pgMar w:top="1928" w:right="1417" w:bottom="1814" w:left="1417" w:header="851" w:footer="992" w:gutter="0"/>
      <w:pgNumType w:fmt="numberInDash" w:start="2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00"/>
    <w:family w:val="auto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Ubuntu Light">
    <w:panose1 w:val="020B0604030602030204"/>
    <w:charset w:val="00"/>
    <w:family w:val="auto"/>
    <w:pitch w:val="default"/>
    <w:sig w:usb0="E00002FF" w:usb1="5000205B" w:usb2="00000000" w:usb3="00000000" w:csb0="2000009F" w:csb1="56010000"/>
  </w:font>
  <w:font w:name="Ubuntu Mono">
    <w:panose1 w:val="020B0509030602030204"/>
    <w:charset w:val="00"/>
    <w:family w:val="auto"/>
    <w:pitch w:val="default"/>
    <w:sig w:usb0="E00002FF" w:usb1="5000205B" w:usb2="00000000" w:usb3="00000000" w:csb0="2000009F" w:csb1="56010000"/>
  </w:font>
  <w:font w:name="University Roman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ranti Soli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魏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隶书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等线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Westwoo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mudger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ademy Engrave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</w:p>
  <w:p>
    <w:pPr>
      <w:pStyle w:val="7"/>
      <w:ind w:firstLine="0" w:firstLineChars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b0gwvFQIAABM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ind w:firstLine="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FFCEBB"/>
    <w:multiLevelType w:val="singleLevel"/>
    <w:tmpl w:val="EFFFCE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BB"/>
    <w:rsid w:val="000019E3"/>
    <w:rsid w:val="000570A6"/>
    <w:rsid w:val="000A0D22"/>
    <w:rsid w:val="000E3D4A"/>
    <w:rsid w:val="0011792E"/>
    <w:rsid w:val="00142CE5"/>
    <w:rsid w:val="0014653E"/>
    <w:rsid w:val="001741FE"/>
    <w:rsid w:val="0019064F"/>
    <w:rsid w:val="00194CF0"/>
    <w:rsid w:val="00201063"/>
    <w:rsid w:val="002345B9"/>
    <w:rsid w:val="002653D9"/>
    <w:rsid w:val="00280669"/>
    <w:rsid w:val="002877CA"/>
    <w:rsid w:val="002A65FC"/>
    <w:rsid w:val="002E006D"/>
    <w:rsid w:val="002E0BED"/>
    <w:rsid w:val="002F1C96"/>
    <w:rsid w:val="003056EF"/>
    <w:rsid w:val="0033636A"/>
    <w:rsid w:val="00366F3E"/>
    <w:rsid w:val="00394F1A"/>
    <w:rsid w:val="003F3033"/>
    <w:rsid w:val="004415E9"/>
    <w:rsid w:val="00442AC3"/>
    <w:rsid w:val="004B44EC"/>
    <w:rsid w:val="004C0458"/>
    <w:rsid w:val="00512D6B"/>
    <w:rsid w:val="005754AB"/>
    <w:rsid w:val="0058044F"/>
    <w:rsid w:val="00596430"/>
    <w:rsid w:val="006254D8"/>
    <w:rsid w:val="00694325"/>
    <w:rsid w:val="006958BA"/>
    <w:rsid w:val="006C2773"/>
    <w:rsid w:val="006C74CC"/>
    <w:rsid w:val="006E7B51"/>
    <w:rsid w:val="00771503"/>
    <w:rsid w:val="00797C92"/>
    <w:rsid w:val="007A6ABB"/>
    <w:rsid w:val="007E0D2D"/>
    <w:rsid w:val="007E7991"/>
    <w:rsid w:val="008153D8"/>
    <w:rsid w:val="00847DA5"/>
    <w:rsid w:val="008769F4"/>
    <w:rsid w:val="008826EE"/>
    <w:rsid w:val="008922E8"/>
    <w:rsid w:val="008C6A59"/>
    <w:rsid w:val="008F6B72"/>
    <w:rsid w:val="0090777D"/>
    <w:rsid w:val="00954B3F"/>
    <w:rsid w:val="0097270F"/>
    <w:rsid w:val="00985542"/>
    <w:rsid w:val="009A0AEF"/>
    <w:rsid w:val="009B6DDB"/>
    <w:rsid w:val="009C484F"/>
    <w:rsid w:val="00A2181A"/>
    <w:rsid w:val="00AB3693"/>
    <w:rsid w:val="00AF5A27"/>
    <w:rsid w:val="00B06694"/>
    <w:rsid w:val="00B33E49"/>
    <w:rsid w:val="00B70000"/>
    <w:rsid w:val="00B80C51"/>
    <w:rsid w:val="00B96056"/>
    <w:rsid w:val="00BA399D"/>
    <w:rsid w:val="00BB7BD3"/>
    <w:rsid w:val="00BC0DE5"/>
    <w:rsid w:val="00BC7F37"/>
    <w:rsid w:val="00C22927"/>
    <w:rsid w:val="00C42E61"/>
    <w:rsid w:val="00C447F8"/>
    <w:rsid w:val="00C454F1"/>
    <w:rsid w:val="00C71CBC"/>
    <w:rsid w:val="00C9370C"/>
    <w:rsid w:val="00CB34BF"/>
    <w:rsid w:val="00CE2D26"/>
    <w:rsid w:val="00CE7A1B"/>
    <w:rsid w:val="00D8202B"/>
    <w:rsid w:val="00D90692"/>
    <w:rsid w:val="00DF2255"/>
    <w:rsid w:val="00DF375D"/>
    <w:rsid w:val="00E25254"/>
    <w:rsid w:val="00E309EB"/>
    <w:rsid w:val="00F00062"/>
    <w:rsid w:val="00F62899"/>
    <w:rsid w:val="00FB533B"/>
    <w:rsid w:val="00FB7FA5"/>
    <w:rsid w:val="00FC3EAB"/>
    <w:rsid w:val="00FC5983"/>
    <w:rsid w:val="3DEFBDB0"/>
    <w:rsid w:val="3EBA03BD"/>
    <w:rsid w:val="3F66C66E"/>
    <w:rsid w:val="4DA7DD8B"/>
    <w:rsid w:val="57FF4B79"/>
    <w:rsid w:val="7B7F4411"/>
    <w:rsid w:val="7EBF1D37"/>
    <w:rsid w:val="DABF0B30"/>
    <w:rsid w:val="F7FCF1A5"/>
    <w:rsid w:val="FF9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4">
    <w:name w:val="heading 1"/>
    <w:next w:val="1"/>
    <w:link w:val="14"/>
    <w:qFormat/>
    <w:uiPriority w:val="9"/>
    <w:pPr>
      <w:keepNext/>
      <w:keepLines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  <w:lang w:val="en-US" w:eastAsia="zh-CN" w:bidi="ar-SA"/>
    </w:rPr>
  </w:style>
  <w:style w:type="paragraph" w:styleId="5">
    <w:name w:val="heading 2"/>
    <w:next w:val="1"/>
    <w:link w:val="15"/>
    <w:unhideWhenUsed/>
    <w:qFormat/>
    <w:uiPriority w:val="9"/>
    <w:pPr>
      <w:keepNext/>
      <w:keepLines/>
      <w:outlineLvl w:val="1"/>
    </w:pPr>
    <w:rPr>
      <w:rFonts w:eastAsia="宋体" w:asciiTheme="majorHAnsi" w:hAnsiTheme="majorHAnsi" w:cstheme="majorBidi"/>
      <w:b/>
      <w:bCs/>
      <w:kern w:val="2"/>
      <w:sz w:val="32"/>
      <w:szCs w:val="3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widowControl w:val="0"/>
      <w:spacing w:after="120"/>
      <w:ind w:left="420" w:leftChars="200" w:firstLine="42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 w:firstLine="0" w:firstLineChars="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ind w:firstLine="0" w:firstLineChars="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 w:firstLine="0" w:firstLineChars="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character" w:styleId="13">
    <w:name w:val="Hyperlink"/>
    <w:basedOn w:val="12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2"/>
    <w:link w:val="4"/>
    <w:qFormat/>
    <w:uiPriority w:val="9"/>
    <w:rPr>
      <w:b/>
      <w:bCs/>
      <w:kern w:val="44"/>
      <w:sz w:val="32"/>
      <w:szCs w:val="44"/>
    </w:rPr>
  </w:style>
  <w:style w:type="character" w:customStyle="1" w:styleId="15">
    <w:name w:val="标题 2 字符"/>
    <w:basedOn w:val="12"/>
    <w:link w:val="5"/>
    <w:qFormat/>
    <w:uiPriority w:val="9"/>
    <w:rPr>
      <w:rFonts w:asciiTheme="majorHAnsi" w:hAnsiTheme="majorHAnsi" w:cstheme="majorBidi"/>
      <w:b/>
      <w:bCs/>
      <w:sz w:val="32"/>
      <w:szCs w:val="32"/>
    </w:rPr>
  </w:style>
  <w:style w:type="paragraph" w:styleId="16">
    <w:name w:val="No Spacing"/>
    <w:next w:val="1"/>
    <w:qFormat/>
    <w:uiPriority w:val="1"/>
    <w:pPr>
      <w:widowControl w:val="0"/>
      <w:jc w:val="center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/>
    </w:pPr>
  </w:style>
  <w:style w:type="paragraph" w:customStyle="1" w:styleId="20">
    <w:name w:val="TOC Heading"/>
    <w:basedOn w:val="4"/>
    <w:next w:val="1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104862" w:themeColor="accent1" w:themeShade="BF"/>
      <w:kern w:val="0"/>
      <w:szCs w:val="32"/>
    </w:rPr>
  </w:style>
  <w:style w:type="character" w:customStyle="1" w:styleId="21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169</Words>
  <Characters>968</Characters>
  <Lines>8</Lines>
  <Paragraphs>2</Paragraphs>
  <TotalTime>3</TotalTime>
  <ScaleCrop>false</ScaleCrop>
  <LinksUpToDate>false</LinksUpToDate>
  <CharactersWithSpaces>1135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2025-11-27T16:27:00Z</dcterms:created>
  <dc:creator>Yao Ming</dc:creator>
  <cp:lastModifiedBy>gxxc</cp:lastModifiedBy>
  <cp:lastPrinted>2025-12-31T17:04:00Z</cp:lastPrinted>
  <dcterms:modified xsi:type="dcterms:W3CDTF">2026-01-19T11:56:16Z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