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465B1" w14:textId="77777777" w:rsidR="000A5E19" w:rsidRDefault="000A5E19" w:rsidP="000A5E19">
      <w:pPr>
        <w:spacing w:line="586" w:lineRule="exac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附件</w:t>
      </w:r>
    </w:p>
    <w:p w14:paraId="34D93F9D" w14:textId="493E14AA" w:rsidR="000A5E19" w:rsidRDefault="000A5E19" w:rsidP="004B0917">
      <w:pPr>
        <w:spacing w:before="147" w:line="590" w:lineRule="exact"/>
        <w:ind w:right="-10"/>
        <w:jc w:val="center"/>
        <w:rPr>
          <w:rFonts w:eastAsia="方正小标宋_GBK"/>
          <w:sz w:val="44"/>
          <w:szCs w:val="44"/>
        </w:rPr>
      </w:pPr>
      <w:r>
        <w:rPr>
          <w:rFonts w:eastAsia="方正小标宋_GBK"/>
          <w:sz w:val="44"/>
          <w:szCs w:val="44"/>
        </w:rPr>
        <w:t>202</w:t>
      </w:r>
      <w:r>
        <w:rPr>
          <w:rFonts w:eastAsia="方正小标宋_GBK" w:hint="eastAsia"/>
          <w:sz w:val="44"/>
          <w:szCs w:val="44"/>
        </w:rPr>
        <w:t>3</w:t>
      </w:r>
      <w:r>
        <w:rPr>
          <w:rFonts w:eastAsia="方正小标宋_GBK"/>
          <w:sz w:val="44"/>
          <w:szCs w:val="44"/>
        </w:rPr>
        <w:t>年度中央对广西转移支付城市管网及污水处理补助资金绩效目标自评表</w:t>
      </w:r>
    </w:p>
    <w:p w14:paraId="0D6A4766" w14:textId="77777777" w:rsidR="000A5E19" w:rsidRDefault="000A5E19" w:rsidP="000A5E19">
      <w:pPr>
        <w:pStyle w:val="a7"/>
        <w:spacing w:before="6"/>
        <w:rPr>
          <w:sz w:val="5"/>
        </w:rPr>
      </w:pPr>
    </w:p>
    <w:tbl>
      <w:tblPr>
        <w:tblW w:w="96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4"/>
        <w:gridCol w:w="853"/>
        <w:gridCol w:w="1018"/>
        <w:gridCol w:w="944"/>
        <w:gridCol w:w="1597"/>
        <w:gridCol w:w="104"/>
        <w:gridCol w:w="1134"/>
        <w:gridCol w:w="255"/>
        <w:gridCol w:w="618"/>
        <w:gridCol w:w="545"/>
        <w:gridCol w:w="1851"/>
      </w:tblGrid>
      <w:tr w:rsidR="000A5E19" w14:paraId="78EC62EA" w14:textId="77777777" w:rsidTr="00C21AC7">
        <w:trPr>
          <w:trHeight w:val="620"/>
          <w:jc w:val="center"/>
        </w:trPr>
        <w:tc>
          <w:tcPr>
            <w:tcW w:w="1577" w:type="dxa"/>
            <w:gridSpan w:val="2"/>
            <w:vAlign w:val="center"/>
          </w:tcPr>
          <w:p w14:paraId="4141D3F8" w14:textId="77777777" w:rsidR="000A5E19" w:rsidRDefault="000A5E19" w:rsidP="00C21AC7">
            <w:pPr>
              <w:pStyle w:val="TableParagraph"/>
              <w:jc w:val="center"/>
              <w:rPr>
                <w:szCs w:val="21"/>
              </w:rPr>
            </w:pPr>
            <w:r>
              <w:rPr>
                <w:szCs w:val="21"/>
              </w:rPr>
              <w:t>转移支付</w:t>
            </w:r>
          </w:p>
          <w:p w14:paraId="156DA89D" w14:textId="77777777" w:rsidR="000A5E19" w:rsidRDefault="000A5E19" w:rsidP="00C21AC7">
            <w:pPr>
              <w:pStyle w:val="TableParagraph"/>
              <w:spacing w:before="50"/>
              <w:jc w:val="center"/>
              <w:rPr>
                <w:szCs w:val="21"/>
              </w:rPr>
            </w:pPr>
            <w:r>
              <w:rPr>
                <w:szCs w:val="21"/>
              </w:rPr>
              <w:t>（项目）名称</w:t>
            </w:r>
          </w:p>
        </w:tc>
        <w:tc>
          <w:tcPr>
            <w:tcW w:w="8066" w:type="dxa"/>
            <w:gridSpan w:val="9"/>
            <w:vAlign w:val="center"/>
          </w:tcPr>
          <w:p w14:paraId="2AEA4882" w14:textId="77777777" w:rsidR="000A5E19" w:rsidRDefault="000A5E19" w:rsidP="00C21AC7">
            <w:pPr>
              <w:pStyle w:val="TableParagraph"/>
              <w:jc w:val="center"/>
              <w:rPr>
                <w:szCs w:val="21"/>
              </w:rPr>
            </w:pPr>
            <w:r>
              <w:rPr>
                <w:szCs w:val="21"/>
              </w:rPr>
              <w:t>城市管网及污水处理补助资金（桂林市海绵城市建设示范）</w:t>
            </w:r>
          </w:p>
        </w:tc>
      </w:tr>
      <w:tr w:rsidR="000A5E19" w14:paraId="567D7E09" w14:textId="77777777" w:rsidTr="00C21AC7">
        <w:trPr>
          <w:trHeight w:val="320"/>
          <w:jc w:val="center"/>
        </w:trPr>
        <w:tc>
          <w:tcPr>
            <w:tcW w:w="1577" w:type="dxa"/>
            <w:gridSpan w:val="2"/>
            <w:vAlign w:val="center"/>
          </w:tcPr>
          <w:p w14:paraId="1F9B93FC" w14:textId="77777777" w:rsidR="000A5E19" w:rsidRDefault="000A5E19" w:rsidP="00C21AC7">
            <w:pPr>
              <w:pStyle w:val="TableParagraph"/>
              <w:jc w:val="center"/>
              <w:rPr>
                <w:szCs w:val="21"/>
              </w:rPr>
            </w:pPr>
            <w:r>
              <w:rPr>
                <w:szCs w:val="21"/>
              </w:rPr>
              <w:t>中央主管部门</w:t>
            </w:r>
          </w:p>
        </w:tc>
        <w:tc>
          <w:tcPr>
            <w:tcW w:w="8066" w:type="dxa"/>
            <w:gridSpan w:val="9"/>
            <w:vAlign w:val="center"/>
          </w:tcPr>
          <w:p w14:paraId="2E88F075" w14:textId="77777777" w:rsidR="000A5E19" w:rsidRDefault="000A5E19" w:rsidP="00C21AC7">
            <w:pPr>
              <w:pStyle w:val="TableParagraph"/>
              <w:jc w:val="center"/>
              <w:rPr>
                <w:szCs w:val="21"/>
              </w:rPr>
            </w:pPr>
            <w:r>
              <w:rPr>
                <w:szCs w:val="21"/>
              </w:rPr>
              <w:t>财政部、住房城乡建设部、水利部</w:t>
            </w:r>
          </w:p>
        </w:tc>
      </w:tr>
      <w:tr w:rsidR="000A5E19" w14:paraId="52A43CD4" w14:textId="77777777" w:rsidTr="00C21AC7">
        <w:trPr>
          <w:trHeight w:val="320"/>
          <w:jc w:val="center"/>
        </w:trPr>
        <w:tc>
          <w:tcPr>
            <w:tcW w:w="1577" w:type="dxa"/>
            <w:gridSpan w:val="2"/>
            <w:vAlign w:val="center"/>
          </w:tcPr>
          <w:p w14:paraId="27590EB1" w14:textId="77777777" w:rsidR="000A5E19" w:rsidRDefault="000A5E19" w:rsidP="00C21AC7">
            <w:pPr>
              <w:pStyle w:val="TableParagraph"/>
              <w:jc w:val="center"/>
              <w:rPr>
                <w:szCs w:val="21"/>
              </w:rPr>
            </w:pPr>
            <w:r>
              <w:rPr>
                <w:szCs w:val="21"/>
              </w:rPr>
              <w:t>地方主管部门</w:t>
            </w:r>
          </w:p>
        </w:tc>
        <w:tc>
          <w:tcPr>
            <w:tcW w:w="3663" w:type="dxa"/>
            <w:gridSpan w:val="4"/>
            <w:vAlign w:val="center"/>
          </w:tcPr>
          <w:p w14:paraId="1E95539A" w14:textId="77777777" w:rsidR="000A5E19" w:rsidRDefault="000A5E19" w:rsidP="00C21AC7">
            <w:pPr>
              <w:pStyle w:val="TableParagraph"/>
              <w:rPr>
                <w:szCs w:val="21"/>
              </w:rPr>
            </w:pPr>
            <w:r>
              <w:rPr>
                <w:szCs w:val="21"/>
              </w:rPr>
              <w:t>广西壮族自治区财政厅、广西壮族自治区住房和城乡建设厅、广西壮族自治区水利厅</w:t>
            </w:r>
          </w:p>
        </w:tc>
        <w:tc>
          <w:tcPr>
            <w:tcW w:w="1389" w:type="dxa"/>
            <w:gridSpan w:val="2"/>
            <w:vAlign w:val="center"/>
          </w:tcPr>
          <w:p w14:paraId="61B4F05E" w14:textId="77777777" w:rsidR="000A5E19" w:rsidRDefault="000A5E19" w:rsidP="00C21AC7">
            <w:pPr>
              <w:pStyle w:val="TableParagraph"/>
              <w:rPr>
                <w:szCs w:val="21"/>
              </w:rPr>
            </w:pPr>
            <w:r>
              <w:rPr>
                <w:szCs w:val="21"/>
              </w:rPr>
              <w:t>资金使用单位</w:t>
            </w:r>
          </w:p>
        </w:tc>
        <w:tc>
          <w:tcPr>
            <w:tcW w:w="3014" w:type="dxa"/>
            <w:gridSpan w:val="3"/>
            <w:vAlign w:val="center"/>
          </w:tcPr>
          <w:p w14:paraId="7576338A" w14:textId="77777777" w:rsidR="000A5E19" w:rsidRDefault="000A5E19" w:rsidP="00C21AC7">
            <w:pPr>
              <w:pStyle w:val="TableParagraph"/>
              <w:rPr>
                <w:szCs w:val="21"/>
              </w:rPr>
            </w:pPr>
            <w:r>
              <w:rPr>
                <w:rFonts w:hint="eastAsia"/>
                <w:szCs w:val="21"/>
              </w:rPr>
              <w:t>桂林城乡建设控股集团有限公司、桂林中海基建投资有限公司、桂林市排水有限公司、桂林市绿化工程处、桂林市西山公园管理处、桂林市</w:t>
            </w:r>
            <w:proofErr w:type="gramStart"/>
            <w:r>
              <w:rPr>
                <w:rFonts w:hint="eastAsia"/>
                <w:szCs w:val="21"/>
              </w:rPr>
              <w:t>訾</w:t>
            </w:r>
            <w:proofErr w:type="gramEnd"/>
            <w:r>
              <w:rPr>
                <w:rFonts w:hint="eastAsia"/>
                <w:szCs w:val="21"/>
              </w:rPr>
              <w:t>洲公园管理处、桂林市穿山公园管理处、桂林市石山绿化试验站、桂林新城投资开发集团有限公司、桂林市叠彩城乡建设开发有限公司、桂林市雁山城市建设投资有限公司、桂林市雁山区教育局、桂林市临桂区城昇农业综合开发有限责任公司、桂林信息科技学院、桂林市叠彩区文化体育和旅游局、桂林市市政工程管理处、桂林两江四湖旅游有限责任公司、桂林生态资源开发集团有限责任公司、桂林漓江风景名胜区管理委员会、桂林秀峰区城市建设投资有限责任公司、朝阳乡人民政府、穿山街道办事处等。</w:t>
            </w:r>
          </w:p>
        </w:tc>
      </w:tr>
      <w:tr w:rsidR="000A5E19" w14:paraId="49CE4B0D" w14:textId="77777777" w:rsidTr="00C21AC7">
        <w:trPr>
          <w:trHeight w:val="640"/>
          <w:jc w:val="center"/>
        </w:trPr>
        <w:tc>
          <w:tcPr>
            <w:tcW w:w="1577" w:type="dxa"/>
            <w:gridSpan w:val="2"/>
            <w:vMerge w:val="restart"/>
            <w:vAlign w:val="center"/>
          </w:tcPr>
          <w:p w14:paraId="01BE690F" w14:textId="77777777" w:rsidR="000A5E19" w:rsidRDefault="000A5E19" w:rsidP="00C21AC7">
            <w:pPr>
              <w:pStyle w:val="TableParagraph"/>
              <w:jc w:val="center"/>
              <w:rPr>
                <w:szCs w:val="21"/>
              </w:rPr>
            </w:pPr>
            <w:r>
              <w:rPr>
                <w:szCs w:val="21"/>
              </w:rPr>
              <w:t>资金投入情况</w:t>
            </w:r>
          </w:p>
          <w:p w14:paraId="00D12857" w14:textId="77777777" w:rsidR="000A5E19" w:rsidRDefault="000A5E19" w:rsidP="00C21AC7">
            <w:pPr>
              <w:pStyle w:val="TableParagraph"/>
              <w:jc w:val="center"/>
              <w:rPr>
                <w:szCs w:val="21"/>
              </w:rPr>
            </w:pPr>
            <w:r>
              <w:rPr>
                <w:szCs w:val="21"/>
              </w:rPr>
              <w:t>（万元）</w:t>
            </w:r>
          </w:p>
        </w:tc>
        <w:tc>
          <w:tcPr>
            <w:tcW w:w="1962" w:type="dxa"/>
            <w:gridSpan w:val="2"/>
            <w:vAlign w:val="center"/>
          </w:tcPr>
          <w:p w14:paraId="73053472" w14:textId="77777777" w:rsidR="000A5E19" w:rsidRDefault="000A5E19" w:rsidP="00C21AC7">
            <w:pPr>
              <w:pStyle w:val="TableParagraph"/>
              <w:rPr>
                <w:szCs w:val="21"/>
              </w:rPr>
            </w:pPr>
          </w:p>
        </w:tc>
        <w:tc>
          <w:tcPr>
            <w:tcW w:w="1701" w:type="dxa"/>
            <w:gridSpan w:val="2"/>
            <w:vAlign w:val="center"/>
          </w:tcPr>
          <w:p w14:paraId="29B9FC03" w14:textId="77777777" w:rsidR="000A5E19" w:rsidRDefault="000A5E19" w:rsidP="00C21AC7">
            <w:pPr>
              <w:pStyle w:val="TableParagraph"/>
              <w:jc w:val="center"/>
              <w:rPr>
                <w:szCs w:val="21"/>
              </w:rPr>
            </w:pPr>
            <w:r>
              <w:rPr>
                <w:szCs w:val="21"/>
              </w:rPr>
              <w:t>全年预算数（</w:t>
            </w:r>
            <w:r>
              <w:rPr>
                <w:szCs w:val="21"/>
              </w:rPr>
              <w:t>A</w:t>
            </w:r>
            <w:r>
              <w:rPr>
                <w:szCs w:val="21"/>
              </w:rPr>
              <w:t>）</w:t>
            </w:r>
          </w:p>
        </w:tc>
        <w:tc>
          <w:tcPr>
            <w:tcW w:w="2007" w:type="dxa"/>
            <w:gridSpan w:val="3"/>
            <w:vAlign w:val="center"/>
          </w:tcPr>
          <w:p w14:paraId="5F05B676" w14:textId="77777777" w:rsidR="000A5E19" w:rsidRDefault="000A5E19" w:rsidP="00C21AC7">
            <w:pPr>
              <w:pStyle w:val="TableParagraph"/>
              <w:jc w:val="center"/>
              <w:rPr>
                <w:szCs w:val="21"/>
              </w:rPr>
            </w:pPr>
            <w:r>
              <w:rPr>
                <w:szCs w:val="21"/>
              </w:rPr>
              <w:t>全年执行数（</w:t>
            </w:r>
            <w:r>
              <w:rPr>
                <w:szCs w:val="21"/>
              </w:rPr>
              <w:t>B</w:t>
            </w:r>
            <w:r>
              <w:rPr>
                <w:szCs w:val="21"/>
              </w:rPr>
              <w:t>）</w:t>
            </w:r>
          </w:p>
        </w:tc>
        <w:tc>
          <w:tcPr>
            <w:tcW w:w="2396" w:type="dxa"/>
            <w:gridSpan w:val="2"/>
            <w:vAlign w:val="center"/>
          </w:tcPr>
          <w:p w14:paraId="7935AF9F" w14:textId="77777777" w:rsidR="000A5E19" w:rsidRDefault="000A5E19" w:rsidP="00C21AC7">
            <w:pPr>
              <w:pStyle w:val="TableParagraph"/>
              <w:jc w:val="center"/>
              <w:rPr>
                <w:szCs w:val="21"/>
              </w:rPr>
            </w:pPr>
            <w:r>
              <w:rPr>
                <w:szCs w:val="21"/>
              </w:rPr>
              <w:t>预算执行率</w:t>
            </w:r>
          </w:p>
          <w:p w14:paraId="1B9F500A" w14:textId="77777777" w:rsidR="000A5E19" w:rsidRDefault="000A5E19" w:rsidP="00C21AC7">
            <w:pPr>
              <w:pStyle w:val="TableParagraph"/>
              <w:jc w:val="center"/>
              <w:rPr>
                <w:szCs w:val="21"/>
              </w:rPr>
            </w:pPr>
            <w:r>
              <w:rPr>
                <w:szCs w:val="21"/>
              </w:rPr>
              <w:t>（</w:t>
            </w:r>
            <w:r>
              <w:rPr>
                <w:szCs w:val="21"/>
              </w:rPr>
              <w:t>B/A×100%</w:t>
            </w:r>
            <w:r>
              <w:rPr>
                <w:szCs w:val="21"/>
              </w:rPr>
              <w:t>）</w:t>
            </w:r>
          </w:p>
        </w:tc>
      </w:tr>
      <w:tr w:rsidR="000A5E19" w14:paraId="1BA1E65B" w14:textId="77777777" w:rsidTr="00C21AC7">
        <w:trPr>
          <w:trHeight w:val="320"/>
          <w:jc w:val="center"/>
        </w:trPr>
        <w:tc>
          <w:tcPr>
            <w:tcW w:w="1577" w:type="dxa"/>
            <w:gridSpan w:val="2"/>
            <w:vMerge/>
            <w:vAlign w:val="center"/>
          </w:tcPr>
          <w:p w14:paraId="0A220D24" w14:textId="77777777" w:rsidR="000A5E19" w:rsidRDefault="000A5E19" w:rsidP="00C21AC7">
            <w:pPr>
              <w:pStyle w:val="TableParagraph"/>
              <w:rPr>
                <w:szCs w:val="21"/>
              </w:rPr>
            </w:pPr>
          </w:p>
        </w:tc>
        <w:tc>
          <w:tcPr>
            <w:tcW w:w="1962" w:type="dxa"/>
            <w:gridSpan w:val="2"/>
            <w:vAlign w:val="center"/>
          </w:tcPr>
          <w:p w14:paraId="575EC244" w14:textId="77777777" w:rsidR="000A5E19" w:rsidRDefault="000A5E19" w:rsidP="00C21AC7">
            <w:pPr>
              <w:pStyle w:val="TableParagraph"/>
              <w:rPr>
                <w:szCs w:val="21"/>
              </w:rPr>
            </w:pPr>
            <w:r>
              <w:rPr>
                <w:szCs w:val="21"/>
              </w:rPr>
              <w:t>年度资金总额：</w:t>
            </w:r>
          </w:p>
        </w:tc>
        <w:tc>
          <w:tcPr>
            <w:tcW w:w="1701" w:type="dxa"/>
            <w:gridSpan w:val="2"/>
            <w:vAlign w:val="center"/>
          </w:tcPr>
          <w:p w14:paraId="694FA0A3" w14:textId="77777777" w:rsidR="000A5E19" w:rsidRDefault="000A5E19" w:rsidP="00C21AC7">
            <w:pPr>
              <w:pStyle w:val="TableParagraph"/>
              <w:jc w:val="center"/>
              <w:rPr>
                <w:szCs w:val="21"/>
              </w:rPr>
            </w:pPr>
            <w:r>
              <w:rPr>
                <w:rFonts w:hint="eastAsia"/>
                <w:szCs w:val="21"/>
              </w:rPr>
              <w:t>93000</w:t>
            </w:r>
          </w:p>
        </w:tc>
        <w:tc>
          <w:tcPr>
            <w:tcW w:w="2007" w:type="dxa"/>
            <w:gridSpan w:val="3"/>
            <w:vAlign w:val="center"/>
          </w:tcPr>
          <w:p w14:paraId="2ED289AC" w14:textId="77777777" w:rsidR="000A5E19" w:rsidRDefault="000A5E19" w:rsidP="00C21AC7">
            <w:pPr>
              <w:pStyle w:val="TableParagraph"/>
              <w:jc w:val="center"/>
              <w:rPr>
                <w:szCs w:val="21"/>
              </w:rPr>
            </w:pPr>
            <w:r>
              <w:rPr>
                <w:rFonts w:hint="eastAsia"/>
                <w:szCs w:val="21"/>
              </w:rPr>
              <w:t>22952.86</w:t>
            </w:r>
          </w:p>
        </w:tc>
        <w:tc>
          <w:tcPr>
            <w:tcW w:w="2396" w:type="dxa"/>
            <w:gridSpan w:val="2"/>
            <w:vAlign w:val="center"/>
          </w:tcPr>
          <w:p w14:paraId="5DF85A02" w14:textId="77777777" w:rsidR="000A5E19" w:rsidRDefault="000A5E19" w:rsidP="00C21AC7">
            <w:pPr>
              <w:pStyle w:val="TableParagraph"/>
              <w:jc w:val="center"/>
              <w:rPr>
                <w:szCs w:val="21"/>
              </w:rPr>
            </w:pPr>
            <w:r>
              <w:rPr>
                <w:rFonts w:hint="eastAsia"/>
                <w:szCs w:val="21"/>
              </w:rPr>
              <w:t>24.68%</w:t>
            </w:r>
          </w:p>
        </w:tc>
      </w:tr>
      <w:tr w:rsidR="000A5E19" w14:paraId="64D8FAB2" w14:textId="77777777" w:rsidTr="00C21AC7">
        <w:trPr>
          <w:trHeight w:val="320"/>
          <w:jc w:val="center"/>
        </w:trPr>
        <w:tc>
          <w:tcPr>
            <w:tcW w:w="1577" w:type="dxa"/>
            <w:gridSpan w:val="2"/>
            <w:vMerge/>
            <w:vAlign w:val="center"/>
          </w:tcPr>
          <w:p w14:paraId="2D0EEC8E" w14:textId="77777777" w:rsidR="000A5E19" w:rsidRDefault="000A5E19" w:rsidP="00C21AC7">
            <w:pPr>
              <w:pStyle w:val="TableParagraph"/>
              <w:rPr>
                <w:szCs w:val="21"/>
              </w:rPr>
            </w:pPr>
          </w:p>
        </w:tc>
        <w:tc>
          <w:tcPr>
            <w:tcW w:w="1962" w:type="dxa"/>
            <w:gridSpan w:val="2"/>
            <w:vAlign w:val="center"/>
          </w:tcPr>
          <w:p w14:paraId="3095BF9B" w14:textId="77777777" w:rsidR="000A5E19" w:rsidRDefault="000A5E19" w:rsidP="00C21AC7">
            <w:pPr>
              <w:pStyle w:val="TableParagraph"/>
              <w:rPr>
                <w:szCs w:val="21"/>
              </w:rPr>
            </w:pPr>
            <w:r>
              <w:rPr>
                <w:szCs w:val="21"/>
              </w:rPr>
              <w:t>其中：中央财政资金</w:t>
            </w:r>
          </w:p>
        </w:tc>
        <w:tc>
          <w:tcPr>
            <w:tcW w:w="1701" w:type="dxa"/>
            <w:gridSpan w:val="2"/>
            <w:vAlign w:val="center"/>
          </w:tcPr>
          <w:p w14:paraId="7BE463BD" w14:textId="77777777" w:rsidR="000A5E19" w:rsidRDefault="000A5E19" w:rsidP="00C21AC7">
            <w:pPr>
              <w:pStyle w:val="TableParagraph"/>
              <w:jc w:val="center"/>
              <w:rPr>
                <w:szCs w:val="21"/>
              </w:rPr>
            </w:pPr>
            <w:r>
              <w:rPr>
                <w:rFonts w:hint="eastAsia"/>
                <w:szCs w:val="21"/>
              </w:rPr>
              <w:t>24000</w:t>
            </w:r>
          </w:p>
        </w:tc>
        <w:tc>
          <w:tcPr>
            <w:tcW w:w="2007" w:type="dxa"/>
            <w:gridSpan w:val="3"/>
            <w:vAlign w:val="center"/>
          </w:tcPr>
          <w:p w14:paraId="03D33FFA" w14:textId="77777777" w:rsidR="000A5E19" w:rsidRDefault="000A5E19" w:rsidP="00C21AC7">
            <w:pPr>
              <w:pStyle w:val="TableParagraph"/>
              <w:jc w:val="center"/>
              <w:rPr>
                <w:szCs w:val="21"/>
              </w:rPr>
            </w:pPr>
            <w:r>
              <w:rPr>
                <w:rFonts w:hint="eastAsia"/>
                <w:szCs w:val="21"/>
              </w:rPr>
              <w:t>1443.93</w:t>
            </w:r>
          </w:p>
        </w:tc>
        <w:tc>
          <w:tcPr>
            <w:tcW w:w="2396" w:type="dxa"/>
            <w:gridSpan w:val="2"/>
            <w:vAlign w:val="center"/>
          </w:tcPr>
          <w:p w14:paraId="5A4A061A" w14:textId="77777777" w:rsidR="000A5E19" w:rsidRDefault="000A5E19" w:rsidP="00C21AC7">
            <w:pPr>
              <w:pStyle w:val="TableParagraph"/>
              <w:jc w:val="center"/>
              <w:rPr>
                <w:szCs w:val="21"/>
              </w:rPr>
            </w:pPr>
            <w:r>
              <w:rPr>
                <w:szCs w:val="21"/>
              </w:rPr>
              <w:t>6.02%</w:t>
            </w:r>
          </w:p>
        </w:tc>
      </w:tr>
      <w:tr w:rsidR="000A5E19" w14:paraId="483CE006" w14:textId="77777777" w:rsidTr="00C21AC7">
        <w:trPr>
          <w:trHeight w:val="320"/>
          <w:jc w:val="center"/>
        </w:trPr>
        <w:tc>
          <w:tcPr>
            <w:tcW w:w="1577" w:type="dxa"/>
            <w:gridSpan w:val="2"/>
            <w:vMerge/>
            <w:vAlign w:val="center"/>
          </w:tcPr>
          <w:p w14:paraId="7316640A" w14:textId="77777777" w:rsidR="000A5E19" w:rsidRDefault="000A5E19" w:rsidP="00C21AC7">
            <w:pPr>
              <w:pStyle w:val="TableParagraph"/>
              <w:rPr>
                <w:szCs w:val="21"/>
              </w:rPr>
            </w:pPr>
          </w:p>
        </w:tc>
        <w:tc>
          <w:tcPr>
            <w:tcW w:w="1962" w:type="dxa"/>
            <w:gridSpan w:val="2"/>
            <w:vAlign w:val="center"/>
          </w:tcPr>
          <w:p w14:paraId="3D08CA9F" w14:textId="77777777" w:rsidR="000A5E19" w:rsidRDefault="000A5E19" w:rsidP="00C21AC7">
            <w:pPr>
              <w:pStyle w:val="TableParagraph"/>
              <w:rPr>
                <w:szCs w:val="21"/>
              </w:rPr>
            </w:pPr>
            <w:r>
              <w:rPr>
                <w:szCs w:val="21"/>
              </w:rPr>
              <w:t>地方资金</w:t>
            </w:r>
          </w:p>
        </w:tc>
        <w:tc>
          <w:tcPr>
            <w:tcW w:w="1701" w:type="dxa"/>
            <w:gridSpan w:val="2"/>
            <w:vAlign w:val="center"/>
          </w:tcPr>
          <w:p w14:paraId="1551FA53" w14:textId="77777777" w:rsidR="000A5E19" w:rsidRDefault="000A5E19" w:rsidP="00C21AC7">
            <w:pPr>
              <w:pStyle w:val="TableParagraph"/>
              <w:jc w:val="center"/>
              <w:rPr>
                <w:szCs w:val="21"/>
              </w:rPr>
            </w:pPr>
            <w:r>
              <w:rPr>
                <w:rFonts w:hint="eastAsia"/>
                <w:szCs w:val="21"/>
              </w:rPr>
              <w:t>37334.27</w:t>
            </w:r>
          </w:p>
        </w:tc>
        <w:tc>
          <w:tcPr>
            <w:tcW w:w="2007" w:type="dxa"/>
            <w:gridSpan w:val="3"/>
            <w:vAlign w:val="center"/>
          </w:tcPr>
          <w:p w14:paraId="04FCFD5A" w14:textId="77777777" w:rsidR="000A5E19" w:rsidRDefault="000A5E19" w:rsidP="00C21AC7">
            <w:pPr>
              <w:pStyle w:val="TableParagraph"/>
              <w:jc w:val="center"/>
              <w:rPr>
                <w:szCs w:val="21"/>
              </w:rPr>
            </w:pPr>
            <w:r>
              <w:rPr>
                <w:rFonts w:hint="eastAsia"/>
                <w:szCs w:val="21"/>
              </w:rPr>
              <w:t>10550.85</w:t>
            </w:r>
          </w:p>
        </w:tc>
        <w:tc>
          <w:tcPr>
            <w:tcW w:w="2396" w:type="dxa"/>
            <w:gridSpan w:val="2"/>
            <w:vAlign w:val="center"/>
          </w:tcPr>
          <w:p w14:paraId="789005D6" w14:textId="77777777" w:rsidR="000A5E19" w:rsidRDefault="000A5E19" w:rsidP="00C21AC7">
            <w:pPr>
              <w:pStyle w:val="TableParagraph"/>
              <w:jc w:val="center"/>
              <w:rPr>
                <w:szCs w:val="21"/>
              </w:rPr>
            </w:pPr>
            <w:r>
              <w:rPr>
                <w:rFonts w:hint="eastAsia"/>
                <w:szCs w:val="21"/>
              </w:rPr>
              <w:t>28.26</w:t>
            </w:r>
            <w:r>
              <w:rPr>
                <w:szCs w:val="21"/>
              </w:rPr>
              <w:t>%</w:t>
            </w:r>
          </w:p>
        </w:tc>
      </w:tr>
      <w:tr w:rsidR="000A5E19" w14:paraId="31BA8BDB" w14:textId="77777777" w:rsidTr="00C21AC7">
        <w:trPr>
          <w:trHeight w:val="320"/>
          <w:jc w:val="center"/>
        </w:trPr>
        <w:tc>
          <w:tcPr>
            <w:tcW w:w="1577" w:type="dxa"/>
            <w:gridSpan w:val="2"/>
            <w:vMerge/>
            <w:vAlign w:val="center"/>
          </w:tcPr>
          <w:p w14:paraId="626B14A1" w14:textId="77777777" w:rsidR="000A5E19" w:rsidRDefault="000A5E19" w:rsidP="00C21AC7">
            <w:pPr>
              <w:pStyle w:val="TableParagraph"/>
              <w:rPr>
                <w:szCs w:val="21"/>
              </w:rPr>
            </w:pPr>
          </w:p>
        </w:tc>
        <w:tc>
          <w:tcPr>
            <w:tcW w:w="1962" w:type="dxa"/>
            <w:gridSpan w:val="2"/>
            <w:vAlign w:val="center"/>
          </w:tcPr>
          <w:p w14:paraId="41034525" w14:textId="77777777" w:rsidR="000A5E19" w:rsidRDefault="000A5E19" w:rsidP="00C21AC7">
            <w:pPr>
              <w:pStyle w:val="TableParagraph"/>
              <w:rPr>
                <w:szCs w:val="21"/>
              </w:rPr>
            </w:pPr>
            <w:r>
              <w:rPr>
                <w:szCs w:val="21"/>
              </w:rPr>
              <w:t>其他资金</w:t>
            </w:r>
          </w:p>
        </w:tc>
        <w:tc>
          <w:tcPr>
            <w:tcW w:w="1701" w:type="dxa"/>
            <w:gridSpan w:val="2"/>
            <w:vAlign w:val="center"/>
          </w:tcPr>
          <w:p w14:paraId="3580826B" w14:textId="77777777" w:rsidR="000A5E19" w:rsidRDefault="000A5E19" w:rsidP="00C21AC7">
            <w:pPr>
              <w:pStyle w:val="TableParagraph"/>
              <w:jc w:val="center"/>
              <w:rPr>
                <w:szCs w:val="21"/>
              </w:rPr>
            </w:pPr>
            <w:r>
              <w:rPr>
                <w:rFonts w:hint="eastAsia"/>
                <w:szCs w:val="21"/>
              </w:rPr>
              <w:t>31665.73</w:t>
            </w:r>
          </w:p>
        </w:tc>
        <w:tc>
          <w:tcPr>
            <w:tcW w:w="2007" w:type="dxa"/>
            <w:gridSpan w:val="3"/>
            <w:vAlign w:val="center"/>
          </w:tcPr>
          <w:p w14:paraId="1E1824E1" w14:textId="77777777" w:rsidR="000A5E19" w:rsidRDefault="000A5E19" w:rsidP="00C21AC7">
            <w:pPr>
              <w:pStyle w:val="TableParagraph"/>
              <w:jc w:val="center"/>
              <w:rPr>
                <w:szCs w:val="21"/>
              </w:rPr>
            </w:pPr>
            <w:r>
              <w:rPr>
                <w:rFonts w:hint="eastAsia"/>
                <w:szCs w:val="21"/>
              </w:rPr>
              <w:t>10958.07</w:t>
            </w:r>
          </w:p>
        </w:tc>
        <w:tc>
          <w:tcPr>
            <w:tcW w:w="2396" w:type="dxa"/>
            <w:gridSpan w:val="2"/>
            <w:vAlign w:val="center"/>
          </w:tcPr>
          <w:p w14:paraId="1F4B95B2" w14:textId="77777777" w:rsidR="000A5E19" w:rsidRDefault="000A5E19" w:rsidP="00C21AC7">
            <w:pPr>
              <w:pStyle w:val="TableParagraph"/>
              <w:jc w:val="center"/>
              <w:rPr>
                <w:szCs w:val="21"/>
              </w:rPr>
            </w:pPr>
            <w:r>
              <w:rPr>
                <w:rFonts w:hint="eastAsia"/>
                <w:szCs w:val="21"/>
              </w:rPr>
              <w:t>34.61</w:t>
            </w:r>
            <w:r>
              <w:rPr>
                <w:szCs w:val="21"/>
              </w:rPr>
              <w:t>%</w:t>
            </w:r>
          </w:p>
        </w:tc>
      </w:tr>
      <w:tr w:rsidR="000A5E19" w14:paraId="3973531B" w14:textId="77777777" w:rsidTr="00C21AC7">
        <w:trPr>
          <w:trHeight w:val="320"/>
          <w:jc w:val="center"/>
        </w:trPr>
        <w:tc>
          <w:tcPr>
            <w:tcW w:w="1577" w:type="dxa"/>
            <w:gridSpan w:val="2"/>
            <w:vMerge w:val="restart"/>
            <w:vAlign w:val="center"/>
          </w:tcPr>
          <w:p w14:paraId="5C942141" w14:textId="77777777" w:rsidR="000A5E19" w:rsidRDefault="000A5E19" w:rsidP="00C21AC7">
            <w:pPr>
              <w:pStyle w:val="TableParagraph"/>
              <w:spacing w:before="19"/>
              <w:ind w:left="103"/>
              <w:rPr>
                <w:szCs w:val="21"/>
              </w:rPr>
            </w:pPr>
            <w:r>
              <w:rPr>
                <w:szCs w:val="21"/>
              </w:rPr>
              <w:t>资金管理情况</w:t>
            </w:r>
          </w:p>
        </w:tc>
        <w:tc>
          <w:tcPr>
            <w:tcW w:w="1962" w:type="dxa"/>
            <w:gridSpan w:val="2"/>
            <w:vAlign w:val="center"/>
          </w:tcPr>
          <w:p w14:paraId="39CCAC81" w14:textId="77777777" w:rsidR="000A5E19" w:rsidRDefault="000A5E19" w:rsidP="00C21AC7">
            <w:pPr>
              <w:pStyle w:val="TableParagraph"/>
              <w:spacing w:before="19"/>
              <w:rPr>
                <w:szCs w:val="21"/>
              </w:rPr>
            </w:pPr>
          </w:p>
        </w:tc>
        <w:tc>
          <w:tcPr>
            <w:tcW w:w="3708" w:type="dxa"/>
            <w:gridSpan w:val="5"/>
            <w:vAlign w:val="center"/>
          </w:tcPr>
          <w:p w14:paraId="7C02AE4C" w14:textId="77777777" w:rsidR="000A5E19" w:rsidRDefault="000A5E19" w:rsidP="00C21AC7">
            <w:pPr>
              <w:pStyle w:val="TableParagraph"/>
              <w:jc w:val="center"/>
              <w:rPr>
                <w:szCs w:val="21"/>
              </w:rPr>
            </w:pPr>
            <w:r>
              <w:rPr>
                <w:rFonts w:hint="eastAsia"/>
                <w:szCs w:val="21"/>
              </w:rPr>
              <w:t>情况说明</w:t>
            </w:r>
          </w:p>
        </w:tc>
        <w:tc>
          <w:tcPr>
            <w:tcW w:w="2396" w:type="dxa"/>
            <w:gridSpan w:val="2"/>
            <w:vAlign w:val="center"/>
          </w:tcPr>
          <w:p w14:paraId="0DE586DC" w14:textId="77777777" w:rsidR="000A5E19" w:rsidRDefault="000A5E19" w:rsidP="00C21AC7">
            <w:pPr>
              <w:pStyle w:val="TableParagraph"/>
              <w:spacing w:before="2"/>
              <w:jc w:val="center"/>
              <w:rPr>
                <w:szCs w:val="21"/>
              </w:rPr>
            </w:pPr>
            <w:r>
              <w:rPr>
                <w:szCs w:val="21"/>
              </w:rPr>
              <w:t>存在问题和改进措施</w:t>
            </w:r>
          </w:p>
        </w:tc>
      </w:tr>
      <w:tr w:rsidR="000A5E19" w14:paraId="2A92AC5F" w14:textId="77777777" w:rsidTr="00C21AC7">
        <w:trPr>
          <w:trHeight w:val="320"/>
          <w:jc w:val="center"/>
        </w:trPr>
        <w:tc>
          <w:tcPr>
            <w:tcW w:w="1577" w:type="dxa"/>
            <w:gridSpan w:val="2"/>
            <w:vMerge/>
            <w:vAlign w:val="center"/>
          </w:tcPr>
          <w:p w14:paraId="1847FA98" w14:textId="77777777" w:rsidR="000A5E19" w:rsidRDefault="000A5E19" w:rsidP="00C21AC7">
            <w:pPr>
              <w:pStyle w:val="TableParagraph"/>
              <w:spacing w:before="19"/>
              <w:ind w:left="103"/>
              <w:rPr>
                <w:szCs w:val="21"/>
              </w:rPr>
            </w:pPr>
          </w:p>
        </w:tc>
        <w:tc>
          <w:tcPr>
            <w:tcW w:w="1962" w:type="dxa"/>
            <w:gridSpan w:val="2"/>
            <w:vAlign w:val="center"/>
          </w:tcPr>
          <w:p w14:paraId="1C654D26" w14:textId="77777777" w:rsidR="000A5E19" w:rsidRDefault="000A5E19" w:rsidP="00C21AC7">
            <w:pPr>
              <w:pStyle w:val="TableParagraph"/>
              <w:spacing w:before="19"/>
              <w:jc w:val="center"/>
              <w:rPr>
                <w:szCs w:val="21"/>
              </w:rPr>
            </w:pPr>
            <w:r>
              <w:rPr>
                <w:szCs w:val="21"/>
              </w:rPr>
              <w:t>分配科学性</w:t>
            </w:r>
          </w:p>
        </w:tc>
        <w:tc>
          <w:tcPr>
            <w:tcW w:w="3708" w:type="dxa"/>
            <w:gridSpan w:val="5"/>
            <w:vAlign w:val="center"/>
          </w:tcPr>
          <w:p w14:paraId="754D598F" w14:textId="77777777" w:rsidR="000A5E19" w:rsidRDefault="000A5E19" w:rsidP="00C21AC7">
            <w:pPr>
              <w:pStyle w:val="TableParagraph"/>
              <w:rPr>
                <w:szCs w:val="21"/>
              </w:rPr>
            </w:pPr>
            <w:r>
              <w:rPr>
                <w:rFonts w:hint="eastAsia"/>
                <w:szCs w:val="21"/>
              </w:rPr>
              <w:t>根据项目的建设类别、功能类型、技术措施、本底条件、所在区位、</w:t>
            </w:r>
            <w:r>
              <w:rPr>
                <w:szCs w:val="21"/>
              </w:rPr>
              <w:t>管理规范性等因素</w:t>
            </w:r>
            <w:r>
              <w:rPr>
                <w:rFonts w:hint="eastAsia"/>
                <w:szCs w:val="21"/>
              </w:rPr>
              <w:t>，</w:t>
            </w:r>
            <w:r>
              <w:rPr>
                <w:szCs w:val="21"/>
              </w:rPr>
              <w:t>综合</w:t>
            </w:r>
            <w:r>
              <w:rPr>
                <w:rFonts w:hint="eastAsia"/>
                <w:szCs w:val="21"/>
              </w:rPr>
              <w:t>评估</w:t>
            </w:r>
            <w:r>
              <w:rPr>
                <w:szCs w:val="21"/>
              </w:rPr>
              <w:t>项目对海绵城市建设产生的</w:t>
            </w:r>
            <w:r>
              <w:rPr>
                <w:rFonts w:hint="eastAsia"/>
                <w:szCs w:val="21"/>
              </w:rPr>
              <w:t>预期</w:t>
            </w:r>
            <w:r>
              <w:rPr>
                <w:szCs w:val="21"/>
              </w:rPr>
              <w:t>成效及示范作用</w:t>
            </w:r>
            <w:r>
              <w:rPr>
                <w:rFonts w:hint="eastAsia"/>
                <w:szCs w:val="21"/>
              </w:rPr>
              <w:t>，遴选确定</w:t>
            </w:r>
            <w:r>
              <w:rPr>
                <w:szCs w:val="21"/>
              </w:rPr>
              <w:t>中央补助资金</w:t>
            </w:r>
            <w:r>
              <w:rPr>
                <w:rFonts w:hint="eastAsia"/>
                <w:szCs w:val="21"/>
              </w:rPr>
              <w:t>支持</w:t>
            </w:r>
            <w:r>
              <w:rPr>
                <w:szCs w:val="21"/>
              </w:rPr>
              <w:t>的项目；</w:t>
            </w:r>
            <w:r>
              <w:rPr>
                <w:rFonts w:hint="eastAsia"/>
                <w:szCs w:val="21"/>
              </w:rPr>
              <w:t>结合</w:t>
            </w:r>
            <w:r>
              <w:rPr>
                <w:szCs w:val="21"/>
              </w:rPr>
              <w:t>项目投资渠道</w:t>
            </w:r>
            <w:r>
              <w:rPr>
                <w:rFonts w:hint="eastAsia"/>
                <w:szCs w:val="21"/>
              </w:rPr>
              <w:t>、</w:t>
            </w:r>
            <w:r>
              <w:rPr>
                <w:rFonts w:hint="eastAsia"/>
                <w:szCs w:val="21"/>
              </w:rPr>
              <w:lastRenderedPageBreak/>
              <w:t>以及</w:t>
            </w:r>
            <w:r>
              <w:rPr>
                <w:szCs w:val="21"/>
              </w:rPr>
              <w:t>资金来源</w:t>
            </w:r>
            <w:r>
              <w:rPr>
                <w:rFonts w:hint="eastAsia"/>
                <w:szCs w:val="21"/>
              </w:rPr>
              <w:t>和</w:t>
            </w:r>
            <w:r>
              <w:rPr>
                <w:szCs w:val="21"/>
              </w:rPr>
              <w:t>保障能力等因素</w:t>
            </w:r>
            <w:r>
              <w:rPr>
                <w:rFonts w:hint="eastAsia"/>
                <w:szCs w:val="21"/>
              </w:rPr>
              <w:t>，确定各项目的</w:t>
            </w:r>
            <w:r>
              <w:rPr>
                <w:szCs w:val="21"/>
              </w:rPr>
              <w:t>中央补助资金补助标准。</w:t>
            </w:r>
          </w:p>
        </w:tc>
        <w:tc>
          <w:tcPr>
            <w:tcW w:w="2396" w:type="dxa"/>
            <w:gridSpan w:val="2"/>
            <w:vAlign w:val="center"/>
          </w:tcPr>
          <w:p w14:paraId="3371A9FA" w14:textId="77777777" w:rsidR="000A5E19" w:rsidRDefault="000A5E19" w:rsidP="00C21AC7">
            <w:pPr>
              <w:pStyle w:val="TableParagraph"/>
              <w:jc w:val="center"/>
              <w:rPr>
                <w:szCs w:val="21"/>
              </w:rPr>
            </w:pPr>
            <w:r>
              <w:rPr>
                <w:szCs w:val="21"/>
              </w:rPr>
              <w:lastRenderedPageBreak/>
              <w:t>无</w:t>
            </w:r>
          </w:p>
        </w:tc>
      </w:tr>
      <w:tr w:rsidR="000A5E19" w14:paraId="54EBD610" w14:textId="77777777" w:rsidTr="00C21AC7">
        <w:trPr>
          <w:trHeight w:val="320"/>
          <w:jc w:val="center"/>
        </w:trPr>
        <w:tc>
          <w:tcPr>
            <w:tcW w:w="1577" w:type="dxa"/>
            <w:gridSpan w:val="2"/>
            <w:vMerge/>
            <w:vAlign w:val="center"/>
          </w:tcPr>
          <w:p w14:paraId="57EB761A" w14:textId="77777777" w:rsidR="000A5E19" w:rsidRDefault="000A5E19" w:rsidP="00C21AC7">
            <w:pPr>
              <w:pStyle w:val="TableParagraph"/>
              <w:spacing w:before="19"/>
              <w:ind w:left="103"/>
              <w:rPr>
                <w:szCs w:val="21"/>
              </w:rPr>
            </w:pPr>
          </w:p>
        </w:tc>
        <w:tc>
          <w:tcPr>
            <w:tcW w:w="1962" w:type="dxa"/>
            <w:gridSpan w:val="2"/>
            <w:vAlign w:val="center"/>
          </w:tcPr>
          <w:p w14:paraId="7F1EA91F" w14:textId="77777777" w:rsidR="000A5E19" w:rsidRDefault="000A5E19" w:rsidP="00C21AC7">
            <w:pPr>
              <w:pStyle w:val="TableParagraph"/>
              <w:spacing w:before="19"/>
              <w:jc w:val="center"/>
              <w:rPr>
                <w:szCs w:val="21"/>
              </w:rPr>
            </w:pPr>
            <w:r>
              <w:rPr>
                <w:szCs w:val="21"/>
              </w:rPr>
              <w:t>下达及时性</w:t>
            </w:r>
          </w:p>
        </w:tc>
        <w:tc>
          <w:tcPr>
            <w:tcW w:w="3708" w:type="dxa"/>
            <w:gridSpan w:val="5"/>
            <w:vAlign w:val="center"/>
          </w:tcPr>
          <w:p w14:paraId="564AF6C2" w14:textId="77777777" w:rsidR="000A5E19" w:rsidRDefault="000A5E19" w:rsidP="00C21AC7">
            <w:pPr>
              <w:pStyle w:val="TableParagraph"/>
              <w:rPr>
                <w:szCs w:val="21"/>
              </w:rPr>
            </w:pPr>
            <w:r>
              <w:rPr>
                <w:szCs w:val="21"/>
              </w:rPr>
              <w:t>按照中央主管部门相关规定和要求，制定中央补助资金分配方案，上报自治区财政厅、住房城乡建设厅、水利厅审核、备案，制作资金支付计划表，于收到</w:t>
            </w:r>
            <w:proofErr w:type="gramStart"/>
            <w:r>
              <w:rPr>
                <w:szCs w:val="21"/>
              </w:rPr>
              <w:t>中央奖补资金</w:t>
            </w:r>
            <w:proofErr w:type="gramEnd"/>
            <w:r>
              <w:rPr>
                <w:szCs w:val="21"/>
              </w:rPr>
              <w:t>后</w:t>
            </w:r>
            <w:r>
              <w:rPr>
                <w:szCs w:val="21"/>
              </w:rPr>
              <w:t>30</w:t>
            </w:r>
            <w:r>
              <w:rPr>
                <w:szCs w:val="21"/>
              </w:rPr>
              <w:t>日内将中央补助资金分解下达至各有关单位。</w:t>
            </w:r>
          </w:p>
        </w:tc>
        <w:tc>
          <w:tcPr>
            <w:tcW w:w="2396" w:type="dxa"/>
            <w:gridSpan w:val="2"/>
            <w:vAlign w:val="center"/>
          </w:tcPr>
          <w:p w14:paraId="14E94AEB" w14:textId="77777777" w:rsidR="000A5E19" w:rsidRDefault="000A5E19" w:rsidP="00C21AC7">
            <w:pPr>
              <w:pStyle w:val="TableParagraph"/>
              <w:jc w:val="center"/>
              <w:rPr>
                <w:szCs w:val="21"/>
              </w:rPr>
            </w:pPr>
            <w:r>
              <w:rPr>
                <w:szCs w:val="21"/>
              </w:rPr>
              <w:t>无</w:t>
            </w:r>
          </w:p>
        </w:tc>
      </w:tr>
      <w:tr w:rsidR="000A5E19" w14:paraId="43B81B64" w14:textId="77777777" w:rsidTr="00C21AC7">
        <w:trPr>
          <w:trHeight w:val="320"/>
          <w:jc w:val="center"/>
        </w:trPr>
        <w:tc>
          <w:tcPr>
            <w:tcW w:w="1577" w:type="dxa"/>
            <w:gridSpan w:val="2"/>
            <w:vMerge/>
            <w:vAlign w:val="center"/>
          </w:tcPr>
          <w:p w14:paraId="76800298" w14:textId="77777777" w:rsidR="000A5E19" w:rsidRDefault="000A5E19" w:rsidP="00C21AC7">
            <w:pPr>
              <w:rPr>
                <w:szCs w:val="21"/>
              </w:rPr>
            </w:pPr>
          </w:p>
        </w:tc>
        <w:tc>
          <w:tcPr>
            <w:tcW w:w="1962" w:type="dxa"/>
            <w:gridSpan w:val="2"/>
            <w:vAlign w:val="center"/>
          </w:tcPr>
          <w:p w14:paraId="27F078CE" w14:textId="77777777" w:rsidR="000A5E19" w:rsidRDefault="000A5E19" w:rsidP="00C21AC7">
            <w:pPr>
              <w:pStyle w:val="TableParagraph"/>
              <w:spacing w:before="18"/>
              <w:jc w:val="center"/>
              <w:rPr>
                <w:szCs w:val="21"/>
              </w:rPr>
            </w:pPr>
            <w:r>
              <w:rPr>
                <w:szCs w:val="21"/>
              </w:rPr>
              <w:t>拨付合</w:t>
            </w:r>
            <w:proofErr w:type="gramStart"/>
            <w:r>
              <w:rPr>
                <w:szCs w:val="21"/>
              </w:rPr>
              <w:t>规</w:t>
            </w:r>
            <w:proofErr w:type="gramEnd"/>
            <w:r>
              <w:rPr>
                <w:szCs w:val="21"/>
              </w:rPr>
              <w:t>性</w:t>
            </w:r>
          </w:p>
        </w:tc>
        <w:tc>
          <w:tcPr>
            <w:tcW w:w="3708" w:type="dxa"/>
            <w:gridSpan w:val="5"/>
            <w:vAlign w:val="center"/>
          </w:tcPr>
          <w:p w14:paraId="4F574CC7" w14:textId="77777777" w:rsidR="000A5E19" w:rsidRDefault="000A5E19" w:rsidP="00C21AC7">
            <w:pPr>
              <w:pStyle w:val="TableParagraph"/>
              <w:rPr>
                <w:szCs w:val="21"/>
              </w:rPr>
            </w:pPr>
            <w:r>
              <w:rPr>
                <w:szCs w:val="21"/>
              </w:rPr>
              <w:t>由项目实施单位根据项目推进需求和已开展实际工程量制作请款材料，由责任单位审核后，向财政部门提出请款申请，财政部门经核实后，按国库集中支付相关规定向项目实施单位支付资金。</w:t>
            </w:r>
          </w:p>
        </w:tc>
        <w:tc>
          <w:tcPr>
            <w:tcW w:w="2396" w:type="dxa"/>
            <w:gridSpan w:val="2"/>
            <w:vAlign w:val="center"/>
          </w:tcPr>
          <w:p w14:paraId="6329553E" w14:textId="77777777" w:rsidR="000A5E19" w:rsidRDefault="000A5E19" w:rsidP="00C21AC7">
            <w:pPr>
              <w:pStyle w:val="TableParagraph"/>
              <w:jc w:val="center"/>
              <w:rPr>
                <w:szCs w:val="21"/>
              </w:rPr>
            </w:pPr>
            <w:r>
              <w:rPr>
                <w:szCs w:val="21"/>
              </w:rPr>
              <w:t>无</w:t>
            </w:r>
          </w:p>
        </w:tc>
      </w:tr>
      <w:tr w:rsidR="000A5E19" w14:paraId="1A500EAC" w14:textId="77777777" w:rsidTr="00C21AC7">
        <w:trPr>
          <w:trHeight w:val="320"/>
          <w:jc w:val="center"/>
        </w:trPr>
        <w:tc>
          <w:tcPr>
            <w:tcW w:w="1577" w:type="dxa"/>
            <w:gridSpan w:val="2"/>
            <w:vMerge/>
            <w:vAlign w:val="center"/>
          </w:tcPr>
          <w:p w14:paraId="08FFAC70" w14:textId="77777777" w:rsidR="000A5E19" w:rsidRDefault="000A5E19" w:rsidP="00C21AC7">
            <w:pPr>
              <w:rPr>
                <w:szCs w:val="21"/>
              </w:rPr>
            </w:pPr>
          </w:p>
        </w:tc>
        <w:tc>
          <w:tcPr>
            <w:tcW w:w="1962" w:type="dxa"/>
            <w:gridSpan w:val="2"/>
            <w:vAlign w:val="center"/>
          </w:tcPr>
          <w:p w14:paraId="538707BF" w14:textId="77777777" w:rsidR="000A5E19" w:rsidRDefault="000A5E19" w:rsidP="00C21AC7">
            <w:pPr>
              <w:pStyle w:val="TableParagraph"/>
              <w:spacing w:before="19"/>
              <w:jc w:val="center"/>
              <w:rPr>
                <w:szCs w:val="21"/>
              </w:rPr>
            </w:pPr>
            <w:r>
              <w:rPr>
                <w:szCs w:val="21"/>
              </w:rPr>
              <w:t>使用规范性</w:t>
            </w:r>
          </w:p>
        </w:tc>
        <w:tc>
          <w:tcPr>
            <w:tcW w:w="3708" w:type="dxa"/>
            <w:gridSpan w:val="5"/>
            <w:vAlign w:val="center"/>
          </w:tcPr>
          <w:p w14:paraId="7E411A07" w14:textId="77777777" w:rsidR="000A5E19" w:rsidRDefault="000A5E19" w:rsidP="00C21AC7">
            <w:pPr>
              <w:pStyle w:val="TableParagraph"/>
              <w:rPr>
                <w:szCs w:val="21"/>
              </w:rPr>
            </w:pPr>
            <w:r>
              <w:rPr>
                <w:szCs w:val="21"/>
              </w:rPr>
              <w:t>按照中央主管部门相关规定和要求，对中央补助资金的资助范围和用途进行严格把控和规范管理，对中央补助资金严格做到专款专用，未发现将中央补助资金用于规划编制、方案制定、人员经费、日常运维等方面支出。</w:t>
            </w:r>
          </w:p>
        </w:tc>
        <w:tc>
          <w:tcPr>
            <w:tcW w:w="2396" w:type="dxa"/>
            <w:gridSpan w:val="2"/>
            <w:vAlign w:val="center"/>
          </w:tcPr>
          <w:p w14:paraId="2290711C" w14:textId="77777777" w:rsidR="000A5E19" w:rsidRDefault="000A5E19" w:rsidP="00C21AC7">
            <w:pPr>
              <w:pStyle w:val="TableParagraph"/>
              <w:jc w:val="center"/>
              <w:rPr>
                <w:szCs w:val="21"/>
              </w:rPr>
            </w:pPr>
            <w:r>
              <w:rPr>
                <w:szCs w:val="21"/>
              </w:rPr>
              <w:t>无</w:t>
            </w:r>
          </w:p>
        </w:tc>
      </w:tr>
      <w:tr w:rsidR="000A5E19" w14:paraId="47CB3FB1" w14:textId="77777777" w:rsidTr="00C21AC7">
        <w:trPr>
          <w:trHeight w:val="320"/>
          <w:jc w:val="center"/>
        </w:trPr>
        <w:tc>
          <w:tcPr>
            <w:tcW w:w="1577" w:type="dxa"/>
            <w:gridSpan w:val="2"/>
            <w:vMerge/>
            <w:vAlign w:val="center"/>
          </w:tcPr>
          <w:p w14:paraId="0C4FAB9D" w14:textId="77777777" w:rsidR="000A5E19" w:rsidRDefault="000A5E19" w:rsidP="00C21AC7">
            <w:pPr>
              <w:rPr>
                <w:szCs w:val="21"/>
              </w:rPr>
            </w:pPr>
          </w:p>
        </w:tc>
        <w:tc>
          <w:tcPr>
            <w:tcW w:w="1962" w:type="dxa"/>
            <w:gridSpan w:val="2"/>
            <w:vAlign w:val="center"/>
          </w:tcPr>
          <w:p w14:paraId="67775251" w14:textId="77777777" w:rsidR="000A5E19" w:rsidRDefault="000A5E19" w:rsidP="00C21AC7">
            <w:pPr>
              <w:pStyle w:val="TableParagraph"/>
              <w:spacing w:before="20"/>
              <w:jc w:val="center"/>
              <w:rPr>
                <w:szCs w:val="21"/>
              </w:rPr>
            </w:pPr>
            <w:r>
              <w:rPr>
                <w:szCs w:val="21"/>
              </w:rPr>
              <w:t>执行准确性</w:t>
            </w:r>
          </w:p>
        </w:tc>
        <w:tc>
          <w:tcPr>
            <w:tcW w:w="3708" w:type="dxa"/>
            <w:gridSpan w:val="5"/>
            <w:vAlign w:val="center"/>
          </w:tcPr>
          <w:p w14:paraId="679DD4AD" w14:textId="77777777" w:rsidR="000A5E19" w:rsidRDefault="000A5E19" w:rsidP="00C21AC7">
            <w:pPr>
              <w:pStyle w:val="TableParagraph"/>
              <w:rPr>
                <w:szCs w:val="21"/>
              </w:rPr>
            </w:pPr>
            <w:r>
              <w:rPr>
                <w:rFonts w:hint="eastAsia"/>
                <w:szCs w:val="21"/>
              </w:rPr>
              <w:t>对照《中央财政海绵城市建设示范补助资金绩效评价办法》《城市管网及污水处理补助资金管理办法》等文件严格审核，从项目投资估算、资金筹措方案、年度投资计划及建设成效把控等环节全过程强化管理，保障资金执行准确性。</w:t>
            </w:r>
          </w:p>
        </w:tc>
        <w:tc>
          <w:tcPr>
            <w:tcW w:w="2396" w:type="dxa"/>
            <w:gridSpan w:val="2"/>
            <w:vAlign w:val="center"/>
          </w:tcPr>
          <w:p w14:paraId="2CF4D63A" w14:textId="77777777" w:rsidR="000A5E19" w:rsidRDefault="000A5E19" w:rsidP="00C21AC7">
            <w:pPr>
              <w:pStyle w:val="TableParagraph"/>
              <w:rPr>
                <w:szCs w:val="21"/>
              </w:rPr>
            </w:pPr>
            <w:r>
              <w:rPr>
                <w:szCs w:val="21"/>
              </w:rPr>
              <w:t>部分项目推进进度受到国务院</w:t>
            </w:r>
            <w:r>
              <w:rPr>
                <w:rFonts w:hint="eastAsia"/>
                <w:szCs w:val="21"/>
              </w:rPr>
              <w:t>《关于金融支持融资平台债务风险化解的指导意见》</w:t>
            </w:r>
            <w:r>
              <w:rPr>
                <w:szCs w:val="21"/>
              </w:rPr>
              <w:t>《重点省份分类加强政府投资项目管理办法（试行）》等政策影响，导致执行准确率方面存在一定偏离。对此，桂林市已多次召开项目推进专题调度会，并在满足上级文件要求的前提下，督促各项</w:t>
            </w:r>
            <w:proofErr w:type="gramStart"/>
            <w:r>
              <w:rPr>
                <w:szCs w:val="21"/>
              </w:rPr>
              <w:t>目加快</w:t>
            </w:r>
            <w:proofErr w:type="gramEnd"/>
            <w:r>
              <w:rPr>
                <w:szCs w:val="21"/>
              </w:rPr>
              <w:t>推进建设进度，并在达到请款要求时</w:t>
            </w:r>
            <w:r>
              <w:rPr>
                <w:rFonts w:hint="eastAsia"/>
                <w:szCs w:val="21"/>
              </w:rPr>
              <w:t>及时提交请款申请。</w:t>
            </w:r>
          </w:p>
        </w:tc>
      </w:tr>
      <w:tr w:rsidR="000A5E19" w14:paraId="0C556B39" w14:textId="77777777" w:rsidTr="00C21AC7">
        <w:trPr>
          <w:trHeight w:val="320"/>
          <w:jc w:val="center"/>
        </w:trPr>
        <w:tc>
          <w:tcPr>
            <w:tcW w:w="1577" w:type="dxa"/>
            <w:gridSpan w:val="2"/>
            <w:vMerge/>
            <w:vAlign w:val="center"/>
          </w:tcPr>
          <w:p w14:paraId="5B575439" w14:textId="77777777" w:rsidR="000A5E19" w:rsidRDefault="000A5E19" w:rsidP="00C21AC7">
            <w:pPr>
              <w:rPr>
                <w:szCs w:val="21"/>
              </w:rPr>
            </w:pPr>
          </w:p>
        </w:tc>
        <w:tc>
          <w:tcPr>
            <w:tcW w:w="1962" w:type="dxa"/>
            <w:gridSpan w:val="2"/>
            <w:vAlign w:val="center"/>
          </w:tcPr>
          <w:p w14:paraId="4046F044" w14:textId="77777777" w:rsidR="000A5E19" w:rsidRDefault="000A5E19" w:rsidP="00C21AC7">
            <w:pPr>
              <w:pStyle w:val="TableParagraph"/>
              <w:spacing w:before="18"/>
              <w:jc w:val="center"/>
              <w:rPr>
                <w:szCs w:val="21"/>
              </w:rPr>
            </w:pPr>
            <w:r>
              <w:rPr>
                <w:szCs w:val="21"/>
              </w:rPr>
              <w:t>预算绩效管理情况</w:t>
            </w:r>
          </w:p>
        </w:tc>
        <w:tc>
          <w:tcPr>
            <w:tcW w:w="3708" w:type="dxa"/>
            <w:gridSpan w:val="5"/>
            <w:vAlign w:val="center"/>
          </w:tcPr>
          <w:p w14:paraId="7C7C2735" w14:textId="77777777" w:rsidR="000A5E19" w:rsidRDefault="000A5E19" w:rsidP="00C21AC7">
            <w:pPr>
              <w:pStyle w:val="TableParagraph"/>
              <w:rPr>
                <w:szCs w:val="21"/>
              </w:rPr>
            </w:pPr>
            <w:r>
              <w:rPr>
                <w:rFonts w:hint="eastAsia"/>
                <w:szCs w:val="21"/>
              </w:rPr>
              <w:t>一是广西将绩效目标细化分解至各具体项目，并</w:t>
            </w:r>
            <w:proofErr w:type="gramStart"/>
            <w:r>
              <w:rPr>
                <w:rFonts w:hint="eastAsia"/>
                <w:szCs w:val="21"/>
              </w:rPr>
              <w:t>随资金</w:t>
            </w:r>
            <w:proofErr w:type="gramEnd"/>
            <w:r>
              <w:rPr>
                <w:rFonts w:hint="eastAsia"/>
                <w:szCs w:val="21"/>
              </w:rPr>
              <w:t>同步下达至资金使用单位。二是桂林市财政局对资金实行“双监控”，及时了解目标实现情况，推进项目实施。三是认真组织自评，并对自评发现问题进行整改。</w:t>
            </w:r>
          </w:p>
        </w:tc>
        <w:tc>
          <w:tcPr>
            <w:tcW w:w="2396" w:type="dxa"/>
            <w:gridSpan w:val="2"/>
            <w:vAlign w:val="center"/>
          </w:tcPr>
          <w:p w14:paraId="41F91989" w14:textId="77777777" w:rsidR="000A5E19" w:rsidRDefault="000A5E19" w:rsidP="00C21AC7">
            <w:pPr>
              <w:pStyle w:val="TableParagraph"/>
              <w:rPr>
                <w:szCs w:val="21"/>
              </w:rPr>
            </w:pPr>
            <w:r>
              <w:rPr>
                <w:szCs w:val="21"/>
              </w:rPr>
              <w:t>无</w:t>
            </w:r>
          </w:p>
        </w:tc>
      </w:tr>
      <w:tr w:rsidR="000A5E19" w14:paraId="48E599B9" w14:textId="77777777" w:rsidTr="00C21AC7">
        <w:trPr>
          <w:trHeight w:val="320"/>
          <w:jc w:val="center"/>
        </w:trPr>
        <w:tc>
          <w:tcPr>
            <w:tcW w:w="1577" w:type="dxa"/>
            <w:gridSpan w:val="2"/>
            <w:vMerge/>
            <w:vAlign w:val="center"/>
          </w:tcPr>
          <w:p w14:paraId="43FF2400" w14:textId="77777777" w:rsidR="000A5E19" w:rsidRDefault="000A5E19" w:rsidP="00C21AC7">
            <w:pPr>
              <w:rPr>
                <w:szCs w:val="21"/>
              </w:rPr>
            </w:pPr>
          </w:p>
        </w:tc>
        <w:tc>
          <w:tcPr>
            <w:tcW w:w="1962" w:type="dxa"/>
            <w:gridSpan w:val="2"/>
            <w:vAlign w:val="center"/>
          </w:tcPr>
          <w:p w14:paraId="2E14F9FB" w14:textId="77777777" w:rsidR="000A5E19" w:rsidRDefault="000A5E19" w:rsidP="00C21AC7">
            <w:pPr>
              <w:pStyle w:val="TableParagraph"/>
              <w:spacing w:before="19"/>
              <w:jc w:val="center"/>
              <w:rPr>
                <w:szCs w:val="21"/>
              </w:rPr>
            </w:pPr>
            <w:r>
              <w:rPr>
                <w:szCs w:val="21"/>
              </w:rPr>
              <w:t>支出责任履行情况</w:t>
            </w:r>
          </w:p>
        </w:tc>
        <w:tc>
          <w:tcPr>
            <w:tcW w:w="3708" w:type="dxa"/>
            <w:gridSpan w:val="5"/>
            <w:vAlign w:val="center"/>
          </w:tcPr>
          <w:p w14:paraId="75C6CDD3" w14:textId="77777777" w:rsidR="000A5E19" w:rsidRDefault="000A5E19" w:rsidP="00C21AC7">
            <w:pPr>
              <w:pStyle w:val="TableParagraph"/>
              <w:rPr>
                <w:szCs w:val="21"/>
              </w:rPr>
            </w:pPr>
            <w:bookmarkStart w:id="0" w:name="_Hlk162617976"/>
            <w:r>
              <w:rPr>
                <w:rFonts w:hint="eastAsia"/>
                <w:szCs w:val="21"/>
              </w:rPr>
              <w:t>落实支出主体责任，加强资金效用监管，力促桂林市</w:t>
            </w:r>
            <w:r>
              <w:rPr>
                <w:szCs w:val="21"/>
              </w:rPr>
              <w:t>达到《中央对地方转移支付区域绩效目标表</w:t>
            </w:r>
            <w:r>
              <w:rPr>
                <w:szCs w:val="21"/>
              </w:rPr>
              <w:t>(202</w:t>
            </w:r>
            <w:r>
              <w:rPr>
                <w:rFonts w:hint="eastAsia"/>
                <w:szCs w:val="21"/>
              </w:rPr>
              <w:t>3</w:t>
            </w:r>
            <w:r>
              <w:rPr>
                <w:szCs w:val="21"/>
              </w:rPr>
              <w:t>年</w:t>
            </w:r>
            <w:r>
              <w:rPr>
                <w:szCs w:val="21"/>
              </w:rPr>
              <w:t>)</w:t>
            </w:r>
            <w:r>
              <w:rPr>
                <w:szCs w:val="21"/>
              </w:rPr>
              <w:t>》规定的各项绩效指标要求。</w:t>
            </w:r>
            <w:bookmarkEnd w:id="0"/>
          </w:p>
        </w:tc>
        <w:tc>
          <w:tcPr>
            <w:tcW w:w="2396" w:type="dxa"/>
            <w:gridSpan w:val="2"/>
            <w:vAlign w:val="center"/>
          </w:tcPr>
          <w:p w14:paraId="66D307F8" w14:textId="77777777" w:rsidR="000A5E19" w:rsidRDefault="000A5E19" w:rsidP="00C21AC7">
            <w:pPr>
              <w:pStyle w:val="TableParagraph"/>
              <w:rPr>
                <w:szCs w:val="21"/>
              </w:rPr>
            </w:pPr>
            <w:r>
              <w:rPr>
                <w:szCs w:val="21"/>
              </w:rPr>
              <w:t>无</w:t>
            </w:r>
          </w:p>
        </w:tc>
      </w:tr>
      <w:tr w:rsidR="000A5E19" w14:paraId="78194DF4" w14:textId="77777777" w:rsidTr="00C21AC7">
        <w:trPr>
          <w:trHeight w:val="310"/>
          <w:jc w:val="center"/>
        </w:trPr>
        <w:tc>
          <w:tcPr>
            <w:tcW w:w="724" w:type="dxa"/>
            <w:vMerge w:val="restart"/>
            <w:vAlign w:val="center"/>
          </w:tcPr>
          <w:p w14:paraId="2B4725E0" w14:textId="77777777" w:rsidR="000A5E19" w:rsidRDefault="000A5E19" w:rsidP="00C21AC7">
            <w:pPr>
              <w:jc w:val="center"/>
              <w:rPr>
                <w:szCs w:val="21"/>
              </w:rPr>
            </w:pPr>
            <w:r>
              <w:rPr>
                <w:szCs w:val="21"/>
              </w:rPr>
              <w:t>总体目</w:t>
            </w:r>
            <w:r>
              <w:rPr>
                <w:szCs w:val="21"/>
              </w:rPr>
              <w:lastRenderedPageBreak/>
              <w:t>标完成情况</w:t>
            </w:r>
          </w:p>
        </w:tc>
        <w:tc>
          <w:tcPr>
            <w:tcW w:w="4412" w:type="dxa"/>
            <w:gridSpan w:val="4"/>
            <w:vAlign w:val="center"/>
          </w:tcPr>
          <w:p w14:paraId="6384C9C8" w14:textId="77777777" w:rsidR="000A5E19" w:rsidRDefault="000A5E19" w:rsidP="00C21AC7">
            <w:pPr>
              <w:pStyle w:val="TableParagraph"/>
              <w:rPr>
                <w:szCs w:val="21"/>
              </w:rPr>
            </w:pPr>
            <w:r>
              <w:rPr>
                <w:szCs w:val="21"/>
              </w:rPr>
              <w:lastRenderedPageBreak/>
              <w:t>总体目标</w:t>
            </w:r>
          </w:p>
        </w:tc>
        <w:tc>
          <w:tcPr>
            <w:tcW w:w="4507" w:type="dxa"/>
            <w:gridSpan w:val="6"/>
            <w:vAlign w:val="center"/>
          </w:tcPr>
          <w:p w14:paraId="783DDB77" w14:textId="77777777" w:rsidR="000A5E19" w:rsidRDefault="000A5E19" w:rsidP="00C21AC7">
            <w:pPr>
              <w:pStyle w:val="TableParagraph"/>
              <w:rPr>
                <w:szCs w:val="21"/>
              </w:rPr>
            </w:pPr>
            <w:r>
              <w:rPr>
                <w:szCs w:val="21"/>
              </w:rPr>
              <w:t>全年实际完成情况</w:t>
            </w:r>
          </w:p>
        </w:tc>
      </w:tr>
      <w:tr w:rsidR="000A5E19" w14:paraId="3EF12D96" w14:textId="77777777" w:rsidTr="00C21AC7">
        <w:trPr>
          <w:trHeight w:val="700"/>
          <w:jc w:val="center"/>
        </w:trPr>
        <w:tc>
          <w:tcPr>
            <w:tcW w:w="724" w:type="dxa"/>
            <w:vMerge/>
            <w:vAlign w:val="center"/>
          </w:tcPr>
          <w:p w14:paraId="7DD06EDE" w14:textId="77777777" w:rsidR="000A5E19" w:rsidRDefault="000A5E19" w:rsidP="00C21AC7">
            <w:pPr>
              <w:rPr>
                <w:szCs w:val="21"/>
              </w:rPr>
            </w:pPr>
          </w:p>
        </w:tc>
        <w:tc>
          <w:tcPr>
            <w:tcW w:w="4412" w:type="dxa"/>
            <w:gridSpan w:val="4"/>
            <w:vAlign w:val="center"/>
          </w:tcPr>
          <w:p w14:paraId="403A23C6" w14:textId="77777777" w:rsidR="000A5E19" w:rsidRDefault="000A5E19" w:rsidP="00C21AC7">
            <w:pPr>
              <w:pStyle w:val="TableParagraph"/>
              <w:rPr>
                <w:szCs w:val="21"/>
              </w:rPr>
            </w:pPr>
            <w:r>
              <w:rPr>
                <w:szCs w:val="21"/>
              </w:rPr>
              <w:t>以海绵城市建设为统领，聚焦城市内涝治理成效，统筹实施城市防洪排涝设施建设，围绕高质量发展的要求，构建健康的城市水循环系统，提高城市的承载力、宜居性、包容度，提高人民群众获得感、幸福感。</w:t>
            </w:r>
          </w:p>
        </w:tc>
        <w:tc>
          <w:tcPr>
            <w:tcW w:w="4507" w:type="dxa"/>
            <w:gridSpan w:val="6"/>
            <w:vAlign w:val="center"/>
          </w:tcPr>
          <w:p w14:paraId="117B36C7" w14:textId="77777777" w:rsidR="000A5E19" w:rsidRDefault="000A5E19" w:rsidP="00C21AC7">
            <w:pPr>
              <w:pStyle w:val="TableParagraph"/>
              <w:rPr>
                <w:szCs w:val="21"/>
              </w:rPr>
            </w:pPr>
            <w:r>
              <w:rPr>
                <w:szCs w:val="21"/>
              </w:rPr>
              <w:t>对照绩效</w:t>
            </w:r>
            <w:r>
              <w:rPr>
                <w:rFonts w:hint="eastAsia"/>
                <w:szCs w:val="21"/>
              </w:rPr>
              <w:t>考核目标</w:t>
            </w:r>
            <w:r>
              <w:rPr>
                <w:szCs w:val="21"/>
              </w:rPr>
              <w:t>要求，</w:t>
            </w:r>
            <w:bookmarkStart w:id="1" w:name="_Hlk162618137"/>
            <w:r>
              <w:rPr>
                <w:rFonts w:hint="eastAsia"/>
                <w:szCs w:val="21"/>
              </w:rPr>
              <w:t>统揽重大城建工作任务，从区域流域、城市、设施、社区全尺度开展工作，系统化全域推进海绵城市示范城市建设，统筹实施城市防洪排涝设施建设，构建健康的城市水循环系统。持续增强城市防洪排涝能力、巩固生态环境保护成果、提升</w:t>
            </w:r>
            <w:r>
              <w:rPr>
                <w:szCs w:val="21"/>
              </w:rPr>
              <w:t>公共空间</w:t>
            </w:r>
            <w:r>
              <w:rPr>
                <w:rFonts w:hint="eastAsia"/>
                <w:szCs w:val="21"/>
              </w:rPr>
              <w:t>居住</w:t>
            </w:r>
            <w:r>
              <w:rPr>
                <w:szCs w:val="21"/>
              </w:rPr>
              <w:t>品质</w:t>
            </w:r>
            <w:r>
              <w:rPr>
                <w:rFonts w:hint="eastAsia"/>
                <w:szCs w:val="21"/>
              </w:rPr>
              <w:t>、健全规划建设管控制度，提高城市的承载力、宜居性、包容度，切实提高人民</w:t>
            </w:r>
            <w:r>
              <w:rPr>
                <w:szCs w:val="21"/>
              </w:rPr>
              <w:t>群众获得感、幸福感和满意度。</w:t>
            </w:r>
            <w:bookmarkEnd w:id="1"/>
          </w:p>
        </w:tc>
      </w:tr>
      <w:tr w:rsidR="000A5E19" w14:paraId="31BD8171" w14:textId="77777777" w:rsidTr="00C21AC7">
        <w:trPr>
          <w:trHeight w:val="660"/>
          <w:jc w:val="center"/>
        </w:trPr>
        <w:tc>
          <w:tcPr>
            <w:tcW w:w="724" w:type="dxa"/>
            <w:vMerge w:val="restart"/>
            <w:vAlign w:val="center"/>
          </w:tcPr>
          <w:p w14:paraId="456E9D4C" w14:textId="77777777" w:rsidR="000A5E19" w:rsidRDefault="000A5E19" w:rsidP="00C21AC7">
            <w:pPr>
              <w:pStyle w:val="TableParagraph"/>
              <w:spacing w:before="117"/>
              <w:ind w:left="1835"/>
              <w:rPr>
                <w:szCs w:val="21"/>
              </w:rPr>
            </w:pPr>
            <w:r>
              <w:rPr>
                <w:w w:val="99"/>
                <w:szCs w:val="21"/>
              </w:rPr>
              <w:t>绩效指标</w:t>
            </w:r>
          </w:p>
          <w:p w14:paraId="3F95433A" w14:textId="77777777" w:rsidR="000A5E19" w:rsidRDefault="000A5E19" w:rsidP="00C21AC7">
            <w:pPr>
              <w:jc w:val="center"/>
              <w:rPr>
                <w:szCs w:val="21"/>
              </w:rPr>
            </w:pPr>
            <w:r>
              <w:rPr>
                <w:szCs w:val="21"/>
              </w:rPr>
              <w:t>绩效</w:t>
            </w:r>
          </w:p>
          <w:p w14:paraId="5C40E102" w14:textId="77777777" w:rsidR="000A5E19" w:rsidRDefault="000A5E19" w:rsidP="00C21AC7">
            <w:pPr>
              <w:jc w:val="center"/>
              <w:rPr>
                <w:szCs w:val="21"/>
              </w:rPr>
            </w:pPr>
            <w:r>
              <w:rPr>
                <w:szCs w:val="21"/>
              </w:rPr>
              <w:t>指标</w:t>
            </w:r>
          </w:p>
        </w:tc>
        <w:tc>
          <w:tcPr>
            <w:tcW w:w="853" w:type="dxa"/>
            <w:vAlign w:val="center"/>
          </w:tcPr>
          <w:p w14:paraId="4004FADE" w14:textId="77777777" w:rsidR="000A5E19" w:rsidRDefault="000A5E19" w:rsidP="00C21AC7">
            <w:pPr>
              <w:pStyle w:val="TableParagraph"/>
              <w:jc w:val="center"/>
              <w:rPr>
                <w:szCs w:val="21"/>
              </w:rPr>
            </w:pPr>
            <w:r>
              <w:rPr>
                <w:szCs w:val="21"/>
              </w:rPr>
              <w:t>一级指标</w:t>
            </w:r>
          </w:p>
        </w:tc>
        <w:tc>
          <w:tcPr>
            <w:tcW w:w="1018" w:type="dxa"/>
            <w:vAlign w:val="center"/>
          </w:tcPr>
          <w:p w14:paraId="1A18FB21" w14:textId="77777777" w:rsidR="000A5E19" w:rsidRDefault="000A5E19" w:rsidP="00C21AC7">
            <w:pPr>
              <w:pStyle w:val="TableParagraph"/>
              <w:jc w:val="center"/>
              <w:rPr>
                <w:szCs w:val="21"/>
              </w:rPr>
            </w:pPr>
            <w:r>
              <w:rPr>
                <w:szCs w:val="21"/>
              </w:rPr>
              <w:t>二级指标</w:t>
            </w:r>
          </w:p>
        </w:tc>
        <w:tc>
          <w:tcPr>
            <w:tcW w:w="2541" w:type="dxa"/>
            <w:gridSpan w:val="2"/>
            <w:vAlign w:val="center"/>
          </w:tcPr>
          <w:p w14:paraId="4B66EAB8" w14:textId="77777777" w:rsidR="000A5E19" w:rsidRDefault="000A5E19" w:rsidP="00C21AC7">
            <w:pPr>
              <w:pStyle w:val="TableParagraph"/>
              <w:rPr>
                <w:szCs w:val="21"/>
              </w:rPr>
            </w:pPr>
            <w:r>
              <w:rPr>
                <w:szCs w:val="21"/>
              </w:rPr>
              <w:t>三级指标</w:t>
            </w:r>
          </w:p>
        </w:tc>
        <w:tc>
          <w:tcPr>
            <w:tcW w:w="1238" w:type="dxa"/>
            <w:gridSpan w:val="2"/>
            <w:vAlign w:val="center"/>
          </w:tcPr>
          <w:p w14:paraId="4647647E" w14:textId="77777777" w:rsidR="000A5E19" w:rsidRDefault="000A5E19" w:rsidP="00C21AC7">
            <w:pPr>
              <w:pStyle w:val="TableParagraph"/>
              <w:rPr>
                <w:szCs w:val="21"/>
              </w:rPr>
            </w:pPr>
            <w:r>
              <w:rPr>
                <w:szCs w:val="21"/>
              </w:rPr>
              <w:t>指标值</w:t>
            </w:r>
          </w:p>
        </w:tc>
        <w:tc>
          <w:tcPr>
            <w:tcW w:w="1418" w:type="dxa"/>
            <w:gridSpan w:val="3"/>
            <w:vAlign w:val="center"/>
          </w:tcPr>
          <w:p w14:paraId="3BE712D6" w14:textId="77777777" w:rsidR="000A5E19" w:rsidRDefault="000A5E19" w:rsidP="00C21AC7">
            <w:pPr>
              <w:pStyle w:val="TableParagraph"/>
              <w:rPr>
                <w:szCs w:val="21"/>
              </w:rPr>
            </w:pPr>
            <w:r>
              <w:rPr>
                <w:szCs w:val="21"/>
              </w:rPr>
              <w:t>全年完成值</w:t>
            </w:r>
          </w:p>
        </w:tc>
        <w:tc>
          <w:tcPr>
            <w:tcW w:w="1851" w:type="dxa"/>
            <w:vAlign w:val="center"/>
          </w:tcPr>
          <w:p w14:paraId="2ACA6626" w14:textId="77777777" w:rsidR="000A5E19" w:rsidRDefault="000A5E19" w:rsidP="00C21AC7">
            <w:pPr>
              <w:pStyle w:val="TableParagraph"/>
              <w:jc w:val="center"/>
              <w:rPr>
                <w:szCs w:val="21"/>
              </w:rPr>
            </w:pPr>
            <w:r>
              <w:rPr>
                <w:szCs w:val="21"/>
              </w:rPr>
              <w:t>未完成原因和改进措施</w:t>
            </w:r>
          </w:p>
        </w:tc>
      </w:tr>
      <w:tr w:rsidR="000A5E19" w14:paraId="5812AC7E" w14:textId="77777777" w:rsidTr="00C21AC7">
        <w:trPr>
          <w:trHeight w:val="300"/>
          <w:jc w:val="center"/>
        </w:trPr>
        <w:tc>
          <w:tcPr>
            <w:tcW w:w="724" w:type="dxa"/>
            <w:vMerge/>
            <w:textDirection w:val="tbRl"/>
            <w:vAlign w:val="center"/>
          </w:tcPr>
          <w:p w14:paraId="4E1BAA63" w14:textId="77777777" w:rsidR="000A5E19" w:rsidRDefault="000A5E19" w:rsidP="00C21AC7">
            <w:pPr>
              <w:rPr>
                <w:szCs w:val="21"/>
              </w:rPr>
            </w:pPr>
          </w:p>
        </w:tc>
        <w:tc>
          <w:tcPr>
            <w:tcW w:w="853" w:type="dxa"/>
            <w:vMerge w:val="restart"/>
            <w:vAlign w:val="center"/>
          </w:tcPr>
          <w:p w14:paraId="166465BE" w14:textId="77777777" w:rsidR="000A5E19" w:rsidRDefault="000A5E19" w:rsidP="00C21AC7">
            <w:pPr>
              <w:jc w:val="center"/>
              <w:rPr>
                <w:szCs w:val="21"/>
              </w:rPr>
            </w:pPr>
            <w:r>
              <w:rPr>
                <w:szCs w:val="21"/>
              </w:rPr>
              <w:t>产出指标</w:t>
            </w:r>
          </w:p>
        </w:tc>
        <w:tc>
          <w:tcPr>
            <w:tcW w:w="1018" w:type="dxa"/>
            <w:vMerge w:val="restart"/>
            <w:vAlign w:val="center"/>
          </w:tcPr>
          <w:p w14:paraId="249FF255" w14:textId="77777777" w:rsidR="000A5E19" w:rsidRDefault="000A5E19" w:rsidP="00C21AC7">
            <w:pPr>
              <w:jc w:val="center"/>
              <w:rPr>
                <w:szCs w:val="21"/>
              </w:rPr>
            </w:pPr>
            <w:r>
              <w:rPr>
                <w:szCs w:val="21"/>
              </w:rPr>
              <w:t>数量指标</w:t>
            </w:r>
          </w:p>
        </w:tc>
        <w:tc>
          <w:tcPr>
            <w:tcW w:w="2541" w:type="dxa"/>
            <w:gridSpan w:val="2"/>
            <w:vAlign w:val="center"/>
          </w:tcPr>
          <w:p w14:paraId="27206539" w14:textId="77777777" w:rsidR="000A5E19" w:rsidRDefault="000A5E19" w:rsidP="00C21AC7">
            <w:pPr>
              <w:pStyle w:val="TableParagraph"/>
              <w:rPr>
                <w:szCs w:val="21"/>
              </w:rPr>
            </w:pPr>
            <w:r>
              <w:rPr>
                <w:szCs w:val="21"/>
              </w:rPr>
              <w:t>雨水资源化利用</w:t>
            </w:r>
          </w:p>
        </w:tc>
        <w:tc>
          <w:tcPr>
            <w:tcW w:w="1238" w:type="dxa"/>
            <w:gridSpan w:val="2"/>
            <w:vAlign w:val="center"/>
          </w:tcPr>
          <w:p w14:paraId="20D7F3FB" w14:textId="77777777" w:rsidR="000A5E19" w:rsidRDefault="000A5E19" w:rsidP="00C21AC7">
            <w:pPr>
              <w:pStyle w:val="TableParagraph"/>
              <w:rPr>
                <w:szCs w:val="21"/>
              </w:rPr>
            </w:pPr>
            <w:bookmarkStart w:id="2" w:name="_Hlk162628337"/>
            <w:r>
              <w:rPr>
                <w:szCs w:val="21"/>
              </w:rPr>
              <w:t>1</w:t>
            </w:r>
            <w:r>
              <w:rPr>
                <w:rFonts w:hint="eastAsia"/>
                <w:szCs w:val="21"/>
              </w:rPr>
              <w:t>88</w:t>
            </w:r>
            <w:r>
              <w:rPr>
                <w:szCs w:val="21"/>
              </w:rPr>
              <w:t>万吨</w:t>
            </w:r>
            <w:r>
              <w:rPr>
                <w:szCs w:val="21"/>
              </w:rPr>
              <w:t>/</w:t>
            </w:r>
            <w:r>
              <w:rPr>
                <w:szCs w:val="21"/>
              </w:rPr>
              <w:t>年</w:t>
            </w:r>
            <w:bookmarkEnd w:id="2"/>
          </w:p>
        </w:tc>
        <w:tc>
          <w:tcPr>
            <w:tcW w:w="1418" w:type="dxa"/>
            <w:gridSpan w:val="3"/>
            <w:vAlign w:val="center"/>
          </w:tcPr>
          <w:p w14:paraId="17B7A779" w14:textId="77777777" w:rsidR="000A5E19" w:rsidRDefault="000A5E19" w:rsidP="00C21AC7">
            <w:pPr>
              <w:pStyle w:val="TableParagraph"/>
              <w:rPr>
                <w:szCs w:val="21"/>
              </w:rPr>
            </w:pPr>
            <w:r>
              <w:rPr>
                <w:rFonts w:hint="eastAsia"/>
                <w:szCs w:val="21"/>
              </w:rPr>
              <w:t>203.07</w:t>
            </w:r>
            <w:r>
              <w:rPr>
                <w:szCs w:val="21"/>
              </w:rPr>
              <w:t>万吨</w:t>
            </w:r>
            <w:r>
              <w:rPr>
                <w:szCs w:val="21"/>
              </w:rPr>
              <w:t>/</w:t>
            </w:r>
            <w:r>
              <w:rPr>
                <w:szCs w:val="21"/>
              </w:rPr>
              <w:t>年</w:t>
            </w:r>
          </w:p>
        </w:tc>
        <w:tc>
          <w:tcPr>
            <w:tcW w:w="1851" w:type="dxa"/>
            <w:vAlign w:val="center"/>
          </w:tcPr>
          <w:p w14:paraId="7BA084C6" w14:textId="77777777" w:rsidR="000A5E19" w:rsidRDefault="000A5E19" w:rsidP="00C21AC7">
            <w:pPr>
              <w:pStyle w:val="TableParagraph"/>
              <w:jc w:val="center"/>
              <w:rPr>
                <w:szCs w:val="21"/>
              </w:rPr>
            </w:pPr>
            <w:r>
              <w:rPr>
                <w:szCs w:val="21"/>
              </w:rPr>
              <w:t>无</w:t>
            </w:r>
          </w:p>
        </w:tc>
      </w:tr>
      <w:tr w:rsidR="000A5E19" w14:paraId="0D311DF9" w14:textId="77777777" w:rsidTr="00C21AC7">
        <w:trPr>
          <w:trHeight w:val="300"/>
          <w:jc w:val="center"/>
        </w:trPr>
        <w:tc>
          <w:tcPr>
            <w:tcW w:w="724" w:type="dxa"/>
            <w:vMerge/>
            <w:textDirection w:val="tbRl"/>
            <w:vAlign w:val="center"/>
          </w:tcPr>
          <w:p w14:paraId="5F7054AF" w14:textId="77777777" w:rsidR="000A5E19" w:rsidRDefault="000A5E19" w:rsidP="00C21AC7">
            <w:pPr>
              <w:rPr>
                <w:szCs w:val="21"/>
              </w:rPr>
            </w:pPr>
          </w:p>
        </w:tc>
        <w:tc>
          <w:tcPr>
            <w:tcW w:w="853" w:type="dxa"/>
            <w:vMerge/>
            <w:vAlign w:val="center"/>
          </w:tcPr>
          <w:p w14:paraId="736DA187" w14:textId="77777777" w:rsidR="000A5E19" w:rsidRDefault="000A5E19" w:rsidP="00C21AC7">
            <w:pPr>
              <w:rPr>
                <w:szCs w:val="21"/>
              </w:rPr>
            </w:pPr>
          </w:p>
        </w:tc>
        <w:tc>
          <w:tcPr>
            <w:tcW w:w="1018" w:type="dxa"/>
            <w:vMerge/>
            <w:vAlign w:val="center"/>
          </w:tcPr>
          <w:p w14:paraId="4FDA9DB8" w14:textId="77777777" w:rsidR="000A5E19" w:rsidRDefault="000A5E19" w:rsidP="00C21AC7">
            <w:pPr>
              <w:rPr>
                <w:szCs w:val="21"/>
              </w:rPr>
            </w:pPr>
          </w:p>
        </w:tc>
        <w:tc>
          <w:tcPr>
            <w:tcW w:w="2541" w:type="dxa"/>
            <w:gridSpan w:val="2"/>
            <w:vAlign w:val="center"/>
          </w:tcPr>
          <w:p w14:paraId="10E1886B" w14:textId="77777777" w:rsidR="000A5E19" w:rsidRDefault="000A5E19" w:rsidP="00C21AC7">
            <w:pPr>
              <w:pStyle w:val="TableParagraph"/>
              <w:rPr>
                <w:szCs w:val="21"/>
              </w:rPr>
            </w:pPr>
            <w:r>
              <w:rPr>
                <w:szCs w:val="21"/>
              </w:rPr>
              <w:t>拟完成的立法或长效机制</w:t>
            </w:r>
          </w:p>
        </w:tc>
        <w:tc>
          <w:tcPr>
            <w:tcW w:w="1238" w:type="dxa"/>
            <w:gridSpan w:val="2"/>
            <w:vAlign w:val="center"/>
          </w:tcPr>
          <w:p w14:paraId="373B2BEA" w14:textId="77777777" w:rsidR="000A5E19" w:rsidRDefault="000A5E19" w:rsidP="00C21AC7">
            <w:pPr>
              <w:pStyle w:val="TableParagraph"/>
              <w:rPr>
                <w:szCs w:val="21"/>
              </w:rPr>
            </w:pPr>
            <w:r>
              <w:rPr>
                <w:rFonts w:hint="eastAsia"/>
                <w:szCs w:val="21"/>
              </w:rPr>
              <w:t>1</w:t>
            </w:r>
            <w:r>
              <w:rPr>
                <w:rFonts w:hint="eastAsia"/>
                <w:szCs w:val="21"/>
              </w:rPr>
              <w:t>项：《桂林市海绵城市建设和管理条例》。</w:t>
            </w:r>
          </w:p>
        </w:tc>
        <w:tc>
          <w:tcPr>
            <w:tcW w:w="1418" w:type="dxa"/>
            <w:gridSpan w:val="3"/>
            <w:vAlign w:val="center"/>
          </w:tcPr>
          <w:p w14:paraId="74108EF0" w14:textId="77777777" w:rsidR="000A5E19" w:rsidRDefault="000A5E19" w:rsidP="00C21AC7">
            <w:pPr>
              <w:pStyle w:val="TableParagraph"/>
              <w:rPr>
                <w:szCs w:val="21"/>
              </w:rPr>
            </w:pPr>
            <w:r>
              <w:rPr>
                <w:rFonts w:hint="eastAsia"/>
                <w:szCs w:val="21"/>
              </w:rPr>
              <w:t>《桂林市海绵城市建设和管理条例》已于</w:t>
            </w:r>
            <w:r>
              <w:rPr>
                <w:szCs w:val="21"/>
              </w:rPr>
              <w:t>2023</w:t>
            </w:r>
            <w:r>
              <w:rPr>
                <w:szCs w:val="21"/>
              </w:rPr>
              <w:t>年</w:t>
            </w:r>
            <w:r>
              <w:rPr>
                <w:szCs w:val="21"/>
              </w:rPr>
              <w:t>12</w:t>
            </w:r>
            <w:r>
              <w:rPr>
                <w:szCs w:val="21"/>
              </w:rPr>
              <w:t>月</w:t>
            </w:r>
            <w:r>
              <w:rPr>
                <w:szCs w:val="21"/>
              </w:rPr>
              <w:t>28</w:t>
            </w:r>
            <w:r>
              <w:rPr>
                <w:szCs w:val="21"/>
              </w:rPr>
              <w:t>日通过市人大审议。《桂林市节约用水管理办法》《桂林市城市防洪排涝管理条例》两部行业行政性法规</w:t>
            </w:r>
            <w:bookmarkStart w:id="3" w:name="_Hlk162628513"/>
            <w:r>
              <w:rPr>
                <w:szCs w:val="21"/>
              </w:rPr>
              <w:t>已完成前期调研和初稿编制工作。</w:t>
            </w:r>
            <w:bookmarkEnd w:id="3"/>
          </w:p>
        </w:tc>
        <w:tc>
          <w:tcPr>
            <w:tcW w:w="1851" w:type="dxa"/>
            <w:vAlign w:val="center"/>
          </w:tcPr>
          <w:p w14:paraId="3A4892B6" w14:textId="77777777" w:rsidR="000A5E19" w:rsidRDefault="000A5E19" w:rsidP="00C21AC7">
            <w:pPr>
              <w:pStyle w:val="TableParagraph"/>
              <w:jc w:val="center"/>
              <w:rPr>
                <w:szCs w:val="21"/>
              </w:rPr>
            </w:pPr>
            <w:r>
              <w:rPr>
                <w:szCs w:val="21"/>
              </w:rPr>
              <w:t>无</w:t>
            </w:r>
          </w:p>
        </w:tc>
      </w:tr>
      <w:tr w:rsidR="000A5E19" w14:paraId="7AEB3C49" w14:textId="77777777" w:rsidTr="00C21AC7">
        <w:trPr>
          <w:trHeight w:val="300"/>
          <w:jc w:val="center"/>
        </w:trPr>
        <w:tc>
          <w:tcPr>
            <w:tcW w:w="724" w:type="dxa"/>
            <w:vMerge/>
            <w:textDirection w:val="tbRl"/>
            <w:vAlign w:val="center"/>
          </w:tcPr>
          <w:p w14:paraId="3057825F" w14:textId="77777777" w:rsidR="000A5E19" w:rsidRDefault="000A5E19" w:rsidP="00C21AC7">
            <w:pPr>
              <w:rPr>
                <w:szCs w:val="21"/>
              </w:rPr>
            </w:pPr>
            <w:bookmarkStart w:id="4" w:name="_Hlk162628699"/>
          </w:p>
        </w:tc>
        <w:tc>
          <w:tcPr>
            <w:tcW w:w="853" w:type="dxa"/>
            <w:vMerge/>
            <w:vAlign w:val="center"/>
          </w:tcPr>
          <w:p w14:paraId="283130BC" w14:textId="77777777" w:rsidR="000A5E19" w:rsidRDefault="000A5E19" w:rsidP="00C21AC7">
            <w:pPr>
              <w:rPr>
                <w:szCs w:val="21"/>
              </w:rPr>
            </w:pPr>
          </w:p>
        </w:tc>
        <w:tc>
          <w:tcPr>
            <w:tcW w:w="1018" w:type="dxa"/>
            <w:vMerge/>
            <w:vAlign w:val="center"/>
          </w:tcPr>
          <w:p w14:paraId="022754F2" w14:textId="77777777" w:rsidR="000A5E19" w:rsidRDefault="000A5E19" w:rsidP="00C21AC7">
            <w:pPr>
              <w:rPr>
                <w:szCs w:val="21"/>
              </w:rPr>
            </w:pPr>
          </w:p>
        </w:tc>
        <w:tc>
          <w:tcPr>
            <w:tcW w:w="2541" w:type="dxa"/>
            <w:gridSpan w:val="2"/>
            <w:vAlign w:val="center"/>
          </w:tcPr>
          <w:p w14:paraId="39F287AE" w14:textId="77777777" w:rsidR="000A5E19" w:rsidRDefault="000A5E19" w:rsidP="00C21AC7">
            <w:pPr>
              <w:pStyle w:val="TableParagraph"/>
              <w:rPr>
                <w:szCs w:val="21"/>
              </w:rPr>
            </w:pPr>
            <w:r>
              <w:rPr>
                <w:szCs w:val="21"/>
              </w:rPr>
              <w:t>拟开展的海绵城市建设培训、宣传次数</w:t>
            </w:r>
          </w:p>
        </w:tc>
        <w:tc>
          <w:tcPr>
            <w:tcW w:w="1238" w:type="dxa"/>
            <w:gridSpan w:val="2"/>
            <w:vAlign w:val="center"/>
          </w:tcPr>
          <w:p w14:paraId="284BE7CB" w14:textId="77777777" w:rsidR="000A5E19" w:rsidRDefault="000A5E19" w:rsidP="00C21AC7">
            <w:pPr>
              <w:pStyle w:val="TableParagraph"/>
              <w:rPr>
                <w:szCs w:val="21"/>
              </w:rPr>
            </w:pPr>
            <w:r>
              <w:rPr>
                <w:szCs w:val="21"/>
              </w:rPr>
              <w:t>每季度不少于</w:t>
            </w:r>
            <w:r>
              <w:rPr>
                <w:szCs w:val="21"/>
              </w:rPr>
              <w:t>1</w:t>
            </w:r>
            <w:r>
              <w:rPr>
                <w:szCs w:val="21"/>
              </w:rPr>
              <w:t>次</w:t>
            </w:r>
            <w:r>
              <w:rPr>
                <w:szCs w:val="21"/>
              </w:rPr>
              <w:t>,</w:t>
            </w:r>
            <w:r>
              <w:rPr>
                <w:szCs w:val="21"/>
              </w:rPr>
              <w:t>合计不少于</w:t>
            </w:r>
            <w:r>
              <w:rPr>
                <w:szCs w:val="21"/>
              </w:rPr>
              <w:t>4</w:t>
            </w:r>
            <w:r>
              <w:rPr>
                <w:szCs w:val="21"/>
              </w:rPr>
              <w:t>次</w:t>
            </w:r>
            <w:r>
              <w:rPr>
                <w:rFonts w:hint="eastAsia"/>
                <w:szCs w:val="21"/>
              </w:rPr>
              <w:t>。</w:t>
            </w:r>
          </w:p>
        </w:tc>
        <w:tc>
          <w:tcPr>
            <w:tcW w:w="1418" w:type="dxa"/>
            <w:gridSpan w:val="3"/>
            <w:vAlign w:val="center"/>
          </w:tcPr>
          <w:p w14:paraId="03082F77" w14:textId="77777777" w:rsidR="000A5E19" w:rsidRDefault="000A5E19" w:rsidP="00C21AC7">
            <w:pPr>
              <w:pStyle w:val="TableParagraph"/>
              <w:rPr>
                <w:szCs w:val="21"/>
              </w:rPr>
            </w:pPr>
            <w:r>
              <w:rPr>
                <w:szCs w:val="21"/>
              </w:rPr>
              <w:t>2023</w:t>
            </w:r>
            <w:r>
              <w:rPr>
                <w:szCs w:val="21"/>
              </w:rPr>
              <w:t>年第一季度开展培训宣传与公众参与活动</w:t>
            </w:r>
            <w:r>
              <w:rPr>
                <w:szCs w:val="21"/>
              </w:rPr>
              <w:t>36</w:t>
            </w:r>
            <w:r>
              <w:rPr>
                <w:szCs w:val="21"/>
              </w:rPr>
              <w:t>次，</w:t>
            </w:r>
            <w:r>
              <w:rPr>
                <w:szCs w:val="21"/>
              </w:rPr>
              <w:t>2023</w:t>
            </w:r>
            <w:r>
              <w:rPr>
                <w:szCs w:val="21"/>
              </w:rPr>
              <w:t>年第二季度开展</w:t>
            </w:r>
            <w:r>
              <w:rPr>
                <w:szCs w:val="21"/>
              </w:rPr>
              <w:t>20</w:t>
            </w:r>
            <w:r>
              <w:rPr>
                <w:szCs w:val="21"/>
              </w:rPr>
              <w:t>次，</w:t>
            </w:r>
            <w:r>
              <w:rPr>
                <w:szCs w:val="21"/>
              </w:rPr>
              <w:t>2023</w:t>
            </w:r>
            <w:r>
              <w:rPr>
                <w:szCs w:val="21"/>
              </w:rPr>
              <w:t>年第三季度开展</w:t>
            </w:r>
            <w:r>
              <w:rPr>
                <w:szCs w:val="21"/>
              </w:rPr>
              <w:t>30</w:t>
            </w:r>
            <w:r>
              <w:rPr>
                <w:szCs w:val="21"/>
              </w:rPr>
              <w:t>次，</w:t>
            </w:r>
            <w:r>
              <w:rPr>
                <w:szCs w:val="21"/>
              </w:rPr>
              <w:t>2023</w:t>
            </w:r>
            <w:r>
              <w:rPr>
                <w:szCs w:val="21"/>
              </w:rPr>
              <w:t>年第四季度开展</w:t>
            </w:r>
            <w:r>
              <w:rPr>
                <w:szCs w:val="21"/>
              </w:rPr>
              <w:t>48</w:t>
            </w:r>
            <w:r>
              <w:rPr>
                <w:szCs w:val="21"/>
              </w:rPr>
              <w:t>次；</w:t>
            </w:r>
            <w:r>
              <w:rPr>
                <w:szCs w:val="21"/>
              </w:rPr>
              <w:t>2023</w:t>
            </w:r>
            <w:r>
              <w:rPr>
                <w:szCs w:val="21"/>
              </w:rPr>
              <w:t>年合计开展</w:t>
            </w:r>
            <w:r>
              <w:rPr>
                <w:szCs w:val="21"/>
              </w:rPr>
              <w:t>134</w:t>
            </w:r>
            <w:r>
              <w:rPr>
                <w:szCs w:val="21"/>
              </w:rPr>
              <w:t>次。</w:t>
            </w:r>
            <w:r>
              <w:rPr>
                <w:rFonts w:hint="eastAsia"/>
                <w:szCs w:val="21"/>
              </w:rPr>
              <w:t>培训宣传形式包括集中讲座、分散轮训、媒体宣传、组织“海绵进校园”“海绵进社区”活动、赴先进城市考</w:t>
            </w:r>
            <w:r>
              <w:rPr>
                <w:rFonts w:hint="eastAsia"/>
                <w:szCs w:val="21"/>
              </w:rPr>
              <w:lastRenderedPageBreak/>
              <w:t>察学习等。</w:t>
            </w:r>
          </w:p>
        </w:tc>
        <w:tc>
          <w:tcPr>
            <w:tcW w:w="1851" w:type="dxa"/>
            <w:vAlign w:val="center"/>
          </w:tcPr>
          <w:p w14:paraId="6C119E1A" w14:textId="77777777" w:rsidR="000A5E19" w:rsidRDefault="000A5E19" w:rsidP="00C21AC7">
            <w:pPr>
              <w:pStyle w:val="TableParagraph"/>
              <w:jc w:val="center"/>
              <w:rPr>
                <w:szCs w:val="21"/>
              </w:rPr>
            </w:pPr>
            <w:r>
              <w:rPr>
                <w:szCs w:val="21"/>
              </w:rPr>
              <w:lastRenderedPageBreak/>
              <w:t>无</w:t>
            </w:r>
          </w:p>
        </w:tc>
      </w:tr>
      <w:bookmarkEnd w:id="4"/>
      <w:tr w:rsidR="000A5E19" w14:paraId="721C2FBD" w14:textId="77777777" w:rsidTr="00C21AC7">
        <w:trPr>
          <w:trHeight w:val="300"/>
          <w:jc w:val="center"/>
        </w:trPr>
        <w:tc>
          <w:tcPr>
            <w:tcW w:w="724" w:type="dxa"/>
            <w:vMerge/>
            <w:textDirection w:val="tbRl"/>
            <w:vAlign w:val="center"/>
          </w:tcPr>
          <w:p w14:paraId="2D74C291" w14:textId="77777777" w:rsidR="000A5E19" w:rsidRDefault="000A5E19" w:rsidP="00C21AC7">
            <w:pPr>
              <w:rPr>
                <w:szCs w:val="21"/>
              </w:rPr>
            </w:pPr>
          </w:p>
        </w:tc>
        <w:tc>
          <w:tcPr>
            <w:tcW w:w="853" w:type="dxa"/>
            <w:vMerge/>
            <w:vAlign w:val="center"/>
          </w:tcPr>
          <w:p w14:paraId="73590CDD" w14:textId="77777777" w:rsidR="000A5E19" w:rsidRDefault="000A5E19" w:rsidP="00C21AC7">
            <w:pPr>
              <w:rPr>
                <w:szCs w:val="21"/>
              </w:rPr>
            </w:pPr>
          </w:p>
        </w:tc>
        <w:tc>
          <w:tcPr>
            <w:tcW w:w="1018" w:type="dxa"/>
            <w:vMerge w:val="restart"/>
            <w:vAlign w:val="center"/>
          </w:tcPr>
          <w:p w14:paraId="3A4F7279" w14:textId="77777777" w:rsidR="000A5E19" w:rsidRDefault="000A5E19" w:rsidP="00C21AC7">
            <w:pPr>
              <w:pStyle w:val="TableParagraph"/>
              <w:jc w:val="center"/>
              <w:rPr>
                <w:szCs w:val="21"/>
              </w:rPr>
            </w:pPr>
            <w:r>
              <w:rPr>
                <w:szCs w:val="21"/>
              </w:rPr>
              <w:t>质量指标</w:t>
            </w:r>
          </w:p>
        </w:tc>
        <w:tc>
          <w:tcPr>
            <w:tcW w:w="2541" w:type="dxa"/>
            <w:gridSpan w:val="2"/>
            <w:vAlign w:val="center"/>
          </w:tcPr>
          <w:p w14:paraId="14E74CEC" w14:textId="77777777" w:rsidR="000A5E19" w:rsidRDefault="000A5E19" w:rsidP="00C21AC7">
            <w:pPr>
              <w:pStyle w:val="TableParagraph"/>
              <w:rPr>
                <w:szCs w:val="21"/>
              </w:rPr>
            </w:pPr>
            <w:r>
              <w:rPr>
                <w:szCs w:val="21"/>
              </w:rPr>
              <w:t>内涝防治标准</w:t>
            </w:r>
          </w:p>
        </w:tc>
        <w:tc>
          <w:tcPr>
            <w:tcW w:w="1238" w:type="dxa"/>
            <w:gridSpan w:val="2"/>
            <w:vAlign w:val="center"/>
          </w:tcPr>
          <w:p w14:paraId="087EBFB9" w14:textId="77777777" w:rsidR="000A5E19" w:rsidRDefault="000A5E19" w:rsidP="00C21AC7">
            <w:pPr>
              <w:pStyle w:val="TableParagraph"/>
              <w:rPr>
                <w:szCs w:val="21"/>
              </w:rPr>
            </w:pPr>
            <w:r>
              <w:rPr>
                <w:szCs w:val="21"/>
              </w:rPr>
              <w:t>中心城区基本达到</w:t>
            </w:r>
            <w:r>
              <w:rPr>
                <w:szCs w:val="21"/>
              </w:rPr>
              <w:t>50</w:t>
            </w:r>
            <w:r>
              <w:rPr>
                <w:szCs w:val="21"/>
              </w:rPr>
              <w:t>年一遇</w:t>
            </w:r>
            <w:proofErr w:type="gramStart"/>
            <w:r>
              <w:rPr>
                <w:rFonts w:hint="eastAsia"/>
                <w:szCs w:val="21"/>
              </w:rPr>
              <w:t>（</w:t>
            </w:r>
            <w:proofErr w:type="gramEnd"/>
            <w:r>
              <w:rPr>
                <w:szCs w:val="21"/>
              </w:rPr>
              <w:t>283.8</w:t>
            </w:r>
            <w:r>
              <w:rPr>
                <w:szCs w:val="21"/>
              </w:rPr>
              <w:t>毫米</w:t>
            </w:r>
            <w:r>
              <w:rPr>
                <w:szCs w:val="21"/>
              </w:rPr>
              <w:t>/24</w:t>
            </w:r>
            <w:r>
              <w:rPr>
                <w:szCs w:val="21"/>
              </w:rPr>
              <w:t>小时</w:t>
            </w:r>
            <w:r>
              <w:rPr>
                <w:rFonts w:hint="eastAsia"/>
                <w:szCs w:val="21"/>
              </w:rPr>
              <w:t>）</w:t>
            </w:r>
            <w:r>
              <w:rPr>
                <w:szCs w:val="21"/>
              </w:rPr>
              <w:t>,</w:t>
            </w:r>
            <w:r>
              <w:rPr>
                <w:szCs w:val="21"/>
              </w:rPr>
              <w:t>雁山城区基本达到</w:t>
            </w:r>
            <w:r>
              <w:rPr>
                <w:szCs w:val="21"/>
              </w:rPr>
              <w:t>20</w:t>
            </w:r>
            <w:r>
              <w:rPr>
                <w:szCs w:val="21"/>
              </w:rPr>
              <w:t>年一遇</w:t>
            </w:r>
            <w:r>
              <w:rPr>
                <w:rFonts w:hint="eastAsia"/>
                <w:szCs w:val="21"/>
              </w:rPr>
              <w:t>（</w:t>
            </w:r>
            <w:r>
              <w:rPr>
                <w:szCs w:val="21"/>
              </w:rPr>
              <w:t>242.5</w:t>
            </w:r>
            <w:r>
              <w:rPr>
                <w:szCs w:val="21"/>
              </w:rPr>
              <w:t>毫米</w:t>
            </w:r>
            <w:r>
              <w:rPr>
                <w:szCs w:val="21"/>
              </w:rPr>
              <w:t>/24</w:t>
            </w:r>
            <w:r>
              <w:rPr>
                <w:szCs w:val="21"/>
              </w:rPr>
              <w:t>小时</w:t>
            </w:r>
            <w:r>
              <w:rPr>
                <w:rFonts w:hint="eastAsia"/>
                <w:szCs w:val="21"/>
              </w:rPr>
              <w:t>）。</w:t>
            </w:r>
          </w:p>
        </w:tc>
        <w:tc>
          <w:tcPr>
            <w:tcW w:w="1418" w:type="dxa"/>
            <w:gridSpan w:val="3"/>
            <w:vAlign w:val="center"/>
          </w:tcPr>
          <w:p w14:paraId="018DC25A" w14:textId="77777777" w:rsidR="000A5E19" w:rsidRDefault="000A5E19" w:rsidP="00C21AC7">
            <w:pPr>
              <w:pStyle w:val="TableParagraph"/>
              <w:rPr>
                <w:szCs w:val="21"/>
              </w:rPr>
            </w:pPr>
            <w:r>
              <w:rPr>
                <w:szCs w:val="21"/>
              </w:rPr>
              <w:t>中心城区基本达到</w:t>
            </w:r>
            <w:r>
              <w:rPr>
                <w:szCs w:val="21"/>
              </w:rPr>
              <w:t>50</w:t>
            </w:r>
            <w:r>
              <w:rPr>
                <w:szCs w:val="21"/>
              </w:rPr>
              <w:t>年一遇</w:t>
            </w:r>
            <w:proofErr w:type="gramStart"/>
            <w:r>
              <w:rPr>
                <w:rFonts w:hint="eastAsia"/>
                <w:szCs w:val="21"/>
              </w:rPr>
              <w:t>（</w:t>
            </w:r>
            <w:proofErr w:type="gramEnd"/>
            <w:r>
              <w:rPr>
                <w:szCs w:val="21"/>
              </w:rPr>
              <w:t>283.8mm/24h</w:t>
            </w:r>
            <w:r>
              <w:rPr>
                <w:rFonts w:hint="eastAsia"/>
                <w:szCs w:val="21"/>
              </w:rPr>
              <w:t>）</w:t>
            </w:r>
            <w:r>
              <w:rPr>
                <w:szCs w:val="21"/>
              </w:rPr>
              <w:t>，雁山城区基本达到</w:t>
            </w:r>
            <w:r>
              <w:rPr>
                <w:szCs w:val="21"/>
              </w:rPr>
              <w:t>20</w:t>
            </w:r>
            <w:r>
              <w:rPr>
                <w:szCs w:val="21"/>
              </w:rPr>
              <w:t>年一遇</w:t>
            </w:r>
            <w:r>
              <w:rPr>
                <w:rFonts w:hint="eastAsia"/>
                <w:szCs w:val="21"/>
              </w:rPr>
              <w:t>（</w:t>
            </w:r>
            <w:r>
              <w:rPr>
                <w:szCs w:val="21"/>
              </w:rPr>
              <w:t>242.5mm/24h</w:t>
            </w:r>
            <w:r>
              <w:rPr>
                <w:rFonts w:hint="eastAsia"/>
                <w:szCs w:val="21"/>
              </w:rPr>
              <w:t>）</w:t>
            </w:r>
            <w:r>
              <w:rPr>
                <w:szCs w:val="21"/>
              </w:rPr>
              <w:t>。</w:t>
            </w:r>
          </w:p>
        </w:tc>
        <w:tc>
          <w:tcPr>
            <w:tcW w:w="1851" w:type="dxa"/>
            <w:vAlign w:val="center"/>
          </w:tcPr>
          <w:p w14:paraId="36659544" w14:textId="77777777" w:rsidR="000A5E19" w:rsidRDefault="000A5E19" w:rsidP="00C21AC7">
            <w:pPr>
              <w:pStyle w:val="TableParagraph"/>
              <w:jc w:val="center"/>
              <w:rPr>
                <w:szCs w:val="21"/>
              </w:rPr>
            </w:pPr>
            <w:r>
              <w:rPr>
                <w:szCs w:val="21"/>
              </w:rPr>
              <w:t>无</w:t>
            </w:r>
          </w:p>
        </w:tc>
      </w:tr>
      <w:tr w:rsidR="000A5E19" w14:paraId="1A97CCEA" w14:textId="77777777" w:rsidTr="00C21AC7">
        <w:trPr>
          <w:trHeight w:val="300"/>
          <w:jc w:val="center"/>
        </w:trPr>
        <w:tc>
          <w:tcPr>
            <w:tcW w:w="724" w:type="dxa"/>
            <w:vMerge/>
            <w:textDirection w:val="tbRl"/>
            <w:vAlign w:val="center"/>
          </w:tcPr>
          <w:p w14:paraId="3E604964" w14:textId="77777777" w:rsidR="000A5E19" w:rsidRDefault="000A5E19" w:rsidP="00C21AC7">
            <w:pPr>
              <w:rPr>
                <w:szCs w:val="21"/>
              </w:rPr>
            </w:pPr>
          </w:p>
        </w:tc>
        <w:tc>
          <w:tcPr>
            <w:tcW w:w="853" w:type="dxa"/>
            <w:vMerge/>
            <w:vAlign w:val="center"/>
          </w:tcPr>
          <w:p w14:paraId="0EEC522E" w14:textId="77777777" w:rsidR="000A5E19" w:rsidRDefault="000A5E19" w:rsidP="00C21AC7">
            <w:pPr>
              <w:rPr>
                <w:szCs w:val="21"/>
              </w:rPr>
            </w:pPr>
          </w:p>
        </w:tc>
        <w:tc>
          <w:tcPr>
            <w:tcW w:w="1018" w:type="dxa"/>
            <w:vMerge/>
            <w:vAlign w:val="center"/>
          </w:tcPr>
          <w:p w14:paraId="1B1961D1" w14:textId="77777777" w:rsidR="000A5E19" w:rsidRDefault="000A5E19" w:rsidP="00C21AC7">
            <w:pPr>
              <w:pStyle w:val="TableParagraph"/>
              <w:jc w:val="center"/>
              <w:rPr>
                <w:szCs w:val="21"/>
              </w:rPr>
            </w:pPr>
          </w:p>
        </w:tc>
        <w:tc>
          <w:tcPr>
            <w:tcW w:w="2541" w:type="dxa"/>
            <w:gridSpan w:val="2"/>
            <w:vAlign w:val="center"/>
          </w:tcPr>
          <w:p w14:paraId="37CA3DC2" w14:textId="77777777" w:rsidR="000A5E19" w:rsidRDefault="000A5E19" w:rsidP="00C21AC7">
            <w:pPr>
              <w:pStyle w:val="TableParagraph"/>
              <w:rPr>
                <w:szCs w:val="21"/>
              </w:rPr>
            </w:pPr>
            <w:r>
              <w:rPr>
                <w:szCs w:val="21"/>
              </w:rPr>
              <w:t>内涝积水区段消除比例</w:t>
            </w:r>
          </w:p>
        </w:tc>
        <w:tc>
          <w:tcPr>
            <w:tcW w:w="1238" w:type="dxa"/>
            <w:gridSpan w:val="2"/>
            <w:vAlign w:val="center"/>
          </w:tcPr>
          <w:p w14:paraId="64B0031B" w14:textId="77777777" w:rsidR="000A5E19" w:rsidRDefault="000A5E19" w:rsidP="00C21AC7">
            <w:pPr>
              <w:pStyle w:val="TableParagraph"/>
              <w:rPr>
                <w:szCs w:val="21"/>
              </w:rPr>
            </w:pPr>
            <w:r>
              <w:rPr>
                <w:rFonts w:hint="eastAsia"/>
                <w:szCs w:val="21"/>
              </w:rPr>
              <w:t>70</w:t>
            </w:r>
            <w:r>
              <w:rPr>
                <w:szCs w:val="21"/>
              </w:rPr>
              <w:t>%</w:t>
            </w:r>
          </w:p>
        </w:tc>
        <w:tc>
          <w:tcPr>
            <w:tcW w:w="1418" w:type="dxa"/>
            <w:gridSpan w:val="3"/>
            <w:vAlign w:val="center"/>
          </w:tcPr>
          <w:p w14:paraId="4F741586" w14:textId="77777777" w:rsidR="000A5E19" w:rsidRDefault="000A5E19" w:rsidP="00C21AC7">
            <w:pPr>
              <w:pStyle w:val="TableParagraph"/>
              <w:rPr>
                <w:szCs w:val="21"/>
              </w:rPr>
            </w:pPr>
            <w:r>
              <w:rPr>
                <w:rFonts w:hint="eastAsia"/>
                <w:szCs w:val="21"/>
              </w:rPr>
              <w:t>71.67</w:t>
            </w:r>
            <w:r>
              <w:rPr>
                <w:szCs w:val="21"/>
              </w:rPr>
              <w:t>%</w:t>
            </w:r>
          </w:p>
        </w:tc>
        <w:tc>
          <w:tcPr>
            <w:tcW w:w="1851" w:type="dxa"/>
            <w:vAlign w:val="center"/>
          </w:tcPr>
          <w:p w14:paraId="336A930B" w14:textId="77777777" w:rsidR="000A5E19" w:rsidRDefault="000A5E19" w:rsidP="00C21AC7">
            <w:pPr>
              <w:pStyle w:val="TableParagraph"/>
              <w:jc w:val="center"/>
              <w:rPr>
                <w:szCs w:val="21"/>
              </w:rPr>
            </w:pPr>
            <w:r>
              <w:rPr>
                <w:szCs w:val="21"/>
              </w:rPr>
              <w:t>无</w:t>
            </w:r>
          </w:p>
        </w:tc>
      </w:tr>
      <w:tr w:rsidR="000A5E19" w14:paraId="0F2EEAF7" w14:textId="77777777" w:rsidTr="00C21AC7">
        <w:trPr>
          <w:trHeight w:val="300"/>
          <w:jc w:val="center"/>
        </w:trPr>
        <w:tc>
          <w:tcPr>
            <w:tcW w:w="724" w:type="dxa"/>
            <w:vMerge/>
            <w:textDirection w:val="tbRl"/>
            <w:vAlign w:val="center"/>
          </w:tcPr>
          <w:p w14:paraId="4C9CDE29" w14:textId="77777777" w:rsidR="000A5E19" w:rsidRDefault="000A5E19" w:rsidP="00C21AC7">
            <w:pPr>
              <w:rPr>
                <w:szCs w:val="21"/>
              </w:rPr>
            </w:pPr>
          </w:p>
        </w:tc>
        <w:tc>
          <w:tcPr>
            <w:tcW w:w="853" w:type="dxa"/>
            <w:vMerge/>
            <w:vAlign w:val="center"/>
          </w:tcPr>
          <w:p w14:paraId="3903AABB" w14:textId="77777777" w:rsidR="000A5E19" w:rsidRDefault="000A5E19" w:rsidP="00C21AC7">
            <w:pPr>
              <w:rPr>
                <w:szCs w:val="21"/>
              </w:rPr>
            </w:pPr>
          </w:p>
        </w:tc>
        <w:tc>
          <w:tcPr>
            <w:tcW w:w="1018" w:type="dxa"/>
            <w:vMerge/>
            <w:vAlign w:val="center"/>
          </w:tcPr>
          <w:p w14:paraId="5CB9879F" w14:textId="77777777" w:rsidR="000A5E19" w:rsidRDefault="000A5E19" w:rsidP="00C21AC7">
            <w:pPr>
              <w:pStyle w:val="TableParagraph"/>
              <w:jc w:val="center"/>
              <w:rPr>
                <w:szCs w:val="21"/>
              </w:rPr>
            </w:pPr>
          </w:p>
        </w:tc>
        <w:tc>
          <w:tcPr>
            <w:tcW w:w="2541" w:type="dxa"/>
            <w:gridSpan w:val="2"/>
            <w:vAlign w:val="center"/>
          </w:tcPr>
          <w:p w14:paraId="5494C7BC" w14:textId="77777777" w:rsidR="000A5E19" w:rsidRDefault="000A5E19" w:rsidP="00C21AC7">
            <w:pPr>
              <w:pStyle w:val="TableParagraph"/>
              <w:rPr>
                <w:szCs w:val="21"/>
              </w:rPr>
            </w:pPr>
            <w:r>
              <w:rPr>
                <w:szCs w:val="21"/>
              </w:rPr>
              <w:t>城市防洪标准</w:t>
            </w:r>
          </w:p>
        </w:tc>
        <w:tc>
          <w:tcPr>
            <w:tcW w:w="1238" w:type="dxa"/>
            <w:gridSpan w:val="2"/>
            <w:vAlign w:val="center"/>
          </w:tcPr>
          <w:p w14:paraId="6ABF637E" w14:textId="77777777" w:rsidR="000A5E19" w:rsidRDefault="000A5E19" w:rsidP="00C21AC7">
            <w:pPr>
              <w:pStyle w:val="TableParagraph"/>
              <w:rPr>
                <w:szCs w:val="21"/>
              </w:rPr>
            </w:pPr>
            <w:r>
              <w:rPr>
                <w:szCs w:val="21"/>
              </w:rPr>
              <w:t>中心城区基本达到</w:t>
            </w:r>
            <w:r>
              <w:rPr>
                <w:szCs w:val="21"/>
              </w:rPr>
              <w:t>100</w:t>
            </w:r>
            <w:r>
              <w:rPr>
                <w:szCs w:val="21"/>
              </w:rPr>
              <w:t>年一遇</w:t>
            </w:r>
            <w:r>
              <w:rPr>
                <w:rFonts w:hint="eastAsia"/>
                <w:szCs w:val="21"/>
              </w:rPr>
              <w:t>；</w:t>
            </w:r>
            <w:r>
              <w:rPr>
                <w:szCs w:val="21"/>
              </w:rPr>
              <w:t>雁山城区</w:t>
            </w:r>
            <w:r>
              <w:rPr>
                <w:rFonts w:hint="eastAsia"/>
                <w:szCs w:val="21"/>
              </w:rPr>
              <w:t>基本达到</w:t>
            </w:r>
            <w:r>
              <w:rPr>
                <w:rFonts w:hint="eastAsia"/>
                <w:szCs w:val="21"/>
              </w:rPr>
              <w:t>2</w:t>
            </w:r>
            <w:r>
              <w:rPr>
                <w:szCs w:val="21"/>
              </w:rPr>
              <w:t>0</w:t>
            </w:r>
            <w:r>
              <w:rPr>
                <w:szCs w:val="21"/>
              </w:rPr>
              <w:t>年一遇</w:t>
            </w:r>
            <w:proofErr w:type="gramStart"/>
            <w:r>
              <w:rPr>
                <w:rFonts w:hint="eastAsia"/>
                <w:szCs w:val="21"/>
              </w:rPr>
              <w:t>。</w:t>
            </w:r>
            <w:proofErr w:type="gramEnd"/>
          </w:p>
        </w:tc>
        <w:tc>
          <w:tcPr>
            <w:tcW w:w="1418" w:type="dxa"/>
            <w:gridSpan w:val="3"/>
            <w:vAlign w:val="center"/>
          </w:tcPr>
          <w:p w14:paraId="4B58BDB4" w14:textId="77777777" w:rsidR="000A5E19" w:rsidRDefault="000A5E19" w:rsidP="00C21AC7">
            <w:pPr>
              <w:pStyle w:val="TableParagraph"/>
              <w:rPr>
                <w:szCs w:val="21"/>
              </w:rPr>
            </w:pPr>
            <w:r>
              <w:rPr>
                <w:szCs w:val="21"/>
              </w:rPr>
              <w:t>中心城区基本达到</w:t>
            </w:r>
            <w:r>
              <w:rPr>
                <w:szCs w:val="21"/>
              </w:rPr>
              <w:t>100</w:t>
            </w:r>
            <w:r>
              <w:rPr>
                <w:szCs w:val="21"/>
              </w:rPr>
              <w:t>年一遇；雁山城区基本达到</w:t>
            </w:r>
            <w:r>
              <w:rPr>
                <w:rFonts w:hint="eastAsia"/>
                <w:szCs w:val="21"/>
              </w:rPr>
              <w:t>2</w:t>
            </w:r>
            <w:r>
              <w:rPr>
                <w:szCs w:val="21"/>
              </w:rPr>
              <w:t>0</w:t>
            </w:r>
            <w:r>
              <w:rPr>
                <w:szCs w:val="21"/>
              </w:rPr>
              <w:t>年一遇</w:t>
            </w:r>
            <w:proofErr w:type="gramStart"/>
            <w:r>
              <w:rPr>
                <w:szCs w:val="21"/>
              </w:rPr>
              <w:t>。</w:t>
            </w:r>
            <w:proofErr w:type="gramEnd"/>
          </w:p>
        </w:tc>
        <w:tc>
          <w:tcPr>
            <w:tcW w:w="1851" w:type="dxa"/>
            <w:vAlign w:val="center"/>
          </w:tcPr>
          <w:p w14:paraId="26726F92" w14:textId="77777777" w:rsidR="000A5E19" w:rsidRDefault="000A5E19" w:rsidP="00C21AC7">
            <w:pPr>
              <w:pStyle w:val="TableParagraph"/>
              <w:jc w:val="center"/>
              <w:rPr>
                <w:szCs w:val="21"/>
              </w:rPr>
            </w:pPr>
            <w:r>
              <w:rPr>
                <w:szCs w:val="21"/>
              </w:rPr>
              <w:t>无</w:t>
            </w:r>
          </w:p>
        </w:tc>
      </w:tr>
      <w:tr w:rsidR="000A5E19" w14:paraId="5BFB3763" w14:textId="77777777" w:rsidTr="00C21AC7">
        <w:trPr>
          <w:trHeight w:val="300"/>
          <w:jc w:val="center"/>
        </w:trPr>
        <w:tc>
          <w:tcPr>
            <w:tcW w:w="724" w:type="dxa"/>
            <w:vMerge/>
            <w:textDirection w:val="tbRl"/>
            <w:vAlign w:val="center"/>
          </w:tcPr>
          <w:p w14:paraId="15F8BEAE" w14:textId="77777777" w:rsidR="000A5E19" w:rsidRDefault="000A5E19" w:rsidP="00C21AC7">
            <w:pPr>
              <w:rPr>
                <w:szCs w:val="21"/>
              </w:rPr>
            </w:pPr>
          </w:p>
        </w:tc>
        <w:tc>
          <w:tcPr>
            <w:tcW w:w="853" w:type="dxa"/>
            <w:vMerge/>
            <w:vAlign w:val="center"/>
          </w:tcPr>
          <w:p w14:paraId="02B7CE7D" w14:textId="77777777" w:rsidR="000A5E19" w:rsidRDefault="000A5E19" w:rsidP="00C21AC7">
            <w:pPr>
              <w:rPr>
                <w:szCs w:val="21"/>
              </w:rPr>
            </w:pPr>
          </w:p>
        </w:tc>
        <w:tc>
          <w:tcPr>
            <w:tcW w:w="1018" w:type="dxa"/>
            <w:vMerge/>
            <w:vAlign w:val="center"/>
          </w:tcPr>
          <w:p w14:paraId="60794A81" w14:textId="77777777" w:rsidR="000A5E19" w:rsidRDefault="000A5E19" w:rsidP="00C21AC7">
            <w:pPr>
              <w:pStyle w:val="TableParagraph"/>
              <w:jc w:val="center"/>
              <w:rPr>
                <w:szCs w:val="21"/>
              </w:rPr>
            </w:pPr>
          </w:p>
        </w:tc>
        <w:tc>
          <w:tcPr>
            <w:tcW w:w="2541" w:type="dxa"/>
            <w:gridSpan w:val="2"/>
            <w:vAlign w:val="center"/>
          </w:tcPr>
          <w:p w14:paraId="282C2071" w14:textId="77777777" w:rsidR="000A5E19" w:rsidRDefault="000A5E19" w:rsidP="00C21AC7">
            <w:pPr>
              <w:pStyle w:val="TableParagraph"/>
              <w:rPr>
                <w:szCs w:val="21"/>
              </w:rPr>
            </w:pPr>
            <w:r>
              <w:rPr>
                <w:szCs w:val="21"/>
              </w:rPr>
              <w:t>天然水域面积比例</w:t>
            </w:r>
          </w:p>
        </w:tc>
        <w:tc>
          <w:tcPr>
            <w:tcW w:w="1238" w:type="dxa"/>
            <w:gridSpan w:val="2"/>
            <w:vAlign w:val="center"/>
          </w:tcPr>
          <w:p w14:paraId="3FE556E8" w14:textId="77777777" w:rsidR="000A5E19" w:rsidRDefault="000A5E19" w:rsidP="00C21AC7">
            <w:pPr>
              <w:pStyle w:val="TableParagraph"/>
              <w:rPr>
                <w:szCs w:val="21"/>
              </w:rPr>
            </w:pPr>
            <w:r>
              <w:rPr>
                <w:szCs w:val="21"/>
              </w:rPr>
              <w:t>5.60%</w:t>
            </w:r>
          </w:p>
        </w:tc>
        <w:tc>
          <w:tcPr>
            <w:tcW w:w="1418" w:type="dxa"/>
            <w:gridSpan w:val="3"/>
            <w:vAlign w:val="center"/>
          </w:tcPr>
          <w:p w14:paraId="5C43E389" w14:textId="77777777" w:rsidR="000A5E19" w:rsidRDefault="000A5E19" w:rsidP="00C21AC7">
            <w:pPr>
              <w:pStyle w:val="TableParagraph"/>
              <w:rPr>
                <w:szCs w:val="21"/>
              </w:rPr>
            </w:pPr>
            <w:r>
              <w:rPr>
                <w:szCs w:val="21"/>
              </w:rPr>
              <w:t>5.62%</w:t>
            </w:r>
          </w:p>
        </w:tc>
        <w:tc>
          <w:tcPr>
            <w:tcW w:w="1851" w:type="dxa"/>
            <w:vAlign w:val="center"/>
          </w:tcPr>
          <w:p w14:paraId="337CF622" w14:textId="77777777" w:rsidR="000A5E19" w:rsidRDefault="000A5E19" w:rsidP="00C21AC7">
            <w:pPr>
              <w:pStyle w:val="TableParagraph"/>
              <w:jc w:val="center"/>
              <w:rPr>
                <w:szCs w:val="21"/>
              </w:rPr>
            </w:pPr>
            <w:r>
              <w:rPr>
                <w:szCs w:val="21"/>
              </w:rPr>
              <w:t>无</w:t>
            </w:r>
          </w:p>
        </w:tc>
      </w:tr>
      <w:tr w:rsidR="000A5E19" w14:paraId="10F3D60E" w14:textId="77777777" w:rsidTr="00C21AC7">
        <w:trPr>
          <w:trHeight w:val="300"/>
          <w:jc w:val="center"/>
        </w:trPr>
        <w:tc>
          <w:tcPr>
            <w:tcW w:w="724" w:type="dxa"/>
            <w:vMerge/>
            <w:textDirection w:val="tbRl"/>
            <w:vAlign w:val="center"/>
          </w:tcPr>
          <w:p w14:paraId="4F88C447" w14:textId="77777777" w:rsidR="000A5E19" w:rsidRDefault="000A5E19" w:rsidP="00C21AC7">
            <w:pPr>
              <w:rPr>
                <w:szCs w:val="21"/>
              </w:rPr>
            </w:pPr>
          </w:p>
        </w:tc>
        <w:tc>
          <w:tcPr>
            <w:tcW w:w="853" w:type="dxa"/>
            <w:vMerge/>
            <w:vAlign w:val="center"/>
          </w:tcPr>
          <w:p w14:paraId="4CDEC689" w14:textId="77777777" w:rsidR="000A5E19" w:rsidRDefault="000A5E19" w:rsidP="00C21AC7">
            <w:pPr>
              <w:rPr>
                <w:szCs w:val="21"/>
              </w:rPr>
            </w:pPr>
          </w:p>
        </w:tc>
        <w:tc>
          <w:tcPr>
            <w:tcW w:w="1018" w:type="dxa"/>
            <w:vMerge/>
            <w:vAlign w:val="center"/>
          </w:tcPr>
          <w:p w14:paraId="19736172" w14:textId="77777777" w:rsidR="000A5E19" w:rsidRDefault="000A5E19" w:rsidP="00C21AC7">
            <w:pPr>
              <w:pStyle w:val="TableParagraph"/>
              <w:jc w:val="center"/>
              <w:rPr>
                <w:szCs w:val="21"/>
              </w:rPr>
            </w:pPr>
          </w:p>
        </w:tc>
        <w:tc>
          <w:tcPr>
            <w:tcW w:w="2541" w:type="dxa"/>
            <w:gridSpan w:val="2"/>
            <w:vAlign w:val="center"/>
          </w:tcPr>
          <w:p w14:paraId="7A6E0690" w14:textId="77777777" w:rsidR="000A5E19" w:rsidRDefault="000A5E19" w:rsidP="00C21AC7">
            <w:pPr>
              <w:pStyle w:val="TableParagraph"/>
              <w:rPr>
                <w:szCs w:val="21"/>
              </w:rPr>
            </w:pPr>
            <w:r>
              <w:rPr>
                <w:szCs w:val="21"/>
              </w:rPr>
              <w:t>可透水地面面积比例</w:t>
            </w:r>
          </w:p>
        </w:tc>
        <w:tc>
          <w:tcPr>
            <w:tcW w:w="1238" w:type="dxa"/>
            <w:gridSpan w:val="2"/>
            <w:vAlign w:val="center"/>
          </w:tcPr>
          <w:p w14:paraId="69FEAC55" w14:textId="77777777" w:rsidR="000A5E19" w:rsidRDefault="000A5E19" w:rsidP="00C21AC7">
            <w:pPr>
              <w:pStyle w:val="TableParagraph"/>
              <w:rPr>
                <w:szCs w:val="21"/>
              </w:rPr>
            </w:pPr>
            <w:r>
              <w:rPr>
                <w:szCs w:val="21"/>
              </w:rPr>
              <w:t>42</w:t>
            </w:r>
            <w:r>
              <w:rPr>
                <w:rFonts w:hint="eastAsia"/>
                <w:szCs w:val="21"/>
              </w:rPr>
              <w:t>.5</w:t>
            </w:r>
            <w:r>
              <w:rPr>
                <w:szCs w:val="21"/>
              </w:rPr>
              <w:t>%</w:t>
            </w:r>
          </w:p>
        </w:tc>
        <w:tc>
          <w:tcPr>
            <w:tcW w:w="1418" w:type="dxa"/>
            <w:gridSpan w:val="3"/>
            <w:vAlign w:val="center"/>
          </w:tcPr>
          <w:p w14:paraId="6A2639FA" w14:textId="77777777" w:rsidR="000A5E19" w:rsidRDefault="000A5E19" w:rsidP="00C21AC7">
            <w:pPr>
              <w:pStyle w:val="TableParagraph"/>
              <w:rPr>
                <w:szCs w:val="21"/>
              </w:rPr>
            </w:pPr>
            <w:r>
              <w:rPr>
                <w:szCs w:val="21"/>
              </w:rPr>
              <w:t>46.78%</w:t>
            </w:r>
          </w:p>
        </w:tc>
        <w:tc>
          <w:tcPr>
            <w:tcW w:w="1851" w:type="dxa"/>
            <w:vAlign w:val="center"/>
          </w:tcPr>
          <w:p w14:paraId="578B2ABF" w14:textId="77777777" w:rsidR="000A5E19" w:rsidRDefault="000A5E19" w:rsidP="00C21AC7">
            <w:pPr>
              <w:pStyle w:val="TableParagraph"/>
              <w:jc w:val="center"/>
              <w:rPr>
                <w:szCs w:val="21"/>
              </w:rPr>
            </w:pPr>
            <w:r>
              <w:rPr>
                <w:szCs w:val="21"/>
              </w:rPr>
              <w:t>无</w:t>
            </w:r>
          </w:p>
        </w:tc>
      </w:tr>
      <w:tr w:rsidR="000A5E19" w14:paraId="34C61282" w14:textId="77777777" w:rsidTr="00C21AC7">
        <w:trPr>
          <w:trHeight w:val="300"/>
          <w:jc w:val="center"/>
        </w:trPr>
        <w:tc>
          <w:tcPr>
            <w:tcW w:w="724" w:type="dxa"/>
            <w:vMerge/>
            <w:textDirection w:val="tbRl"/>
            <w:vAlign w:val="center"/>
          </w:tcPr>
          <w:p w14:paraId="75678371" w14:textId="77777777" w:rsidR="000A5E19" w:rsidRDefault="000A5E19" w:rsidP="00C21AC7">
            <w:pPr>
              <w:rPr>
                <w:szCs w:val="21"/>
              </w:rPr>
            </w:pPr>
          </w:p>
        </w:tc>
        <w:tc>
          <w:tcPr>
            <w:tcW w:w="853" w:type="dxa"/>
            <w:vMerge/>
            <w:vAlign w:val="center"/>
          </w:tcPr>
          <w:p w14:paraId="1F2A7446" w14:textId="77777777" w:rsidR="000A5E19" w:rsidRDefault="000A5E19" w:rsidP="00C21AC7">
            <w:pPr>
              <w:rPr>
                <w:szCs w:val="21"/>
              </w:rPr>
            </w:pPr>
          </w:p>
        </w:tc>
        <w:tc>
          <w:tcPr>
            <w:tcW w:w="1018" w:type="dxa"/>
            <w:vMerge/>
            <w:vAlign w:val="center"/>
          </w:tcPr>
          <w:p w14:paraId="3ABB5C66" w14:textId="77777777" w:rsidR="000A5E19" w:rsidRDefault="000A5E19" w:rsidP="00C21AC7">
            <w:pPr>
              <w:pStyle w:val="TableParagraph"/>
              <w:jc w:val="center"/>
              <w:rPr>
                <w:szCs w:val="21"/>
              </w:rPr>
            </w:pPr>
          </w:p>
        </w:tc>
        <w:tc>
          <w:tcPr>
            <w:tcW w:w="2541" w:type="dxa"/>
            <w:gridSpan w:val="2"/>
            <w:vAlign w:val="center"/>
          </w:tcPr>
          <w:p w14:paraId="40D48D05" w14:textId="77777777" w:rsidR="000A5E19" w:rsidRDefault="000A5E19" w:rsidP="00C21AC7">
            <w:pPr>
              <w:pStyle w:val="TableParagraph"/>
              <w:rPr>
                <w:szCs w:val="21"/>
              </w:rPr>
            </w:pPr>
            <w:r>
              <w:rPr>
                <w:szCs w:val="21"/>
              </w:rPr>
              <w:t>城市生活污水集中收集率</w:t>
            </w:r>
          </w:p>
        </w:tc>
        <w:tc>
          <w:tcPr>
            <w:tcW w:w="1238" w:type="dxa"/>
            <w:gridSpan w:val="2"/>
            <w:vAlign w:val="center"/>
          </w:tcPr>
          <w:p w14:paraId="3532DC19" w14:textId="77777777" w:rsidR="000A5E19" w:rsidRDefault="000A5E19" w:rsidP="00C21AC7">
            <w:pPr>
              <w:pStyle w:val="TableParagraph"/>
              <w:rPr>
                <w:szCs w:val="21"/>
              </w:rPr>
            </w:pPr>
            <w:r>
              <w:rPr>
                <w:szCs w:val="21"/>
              </w:rPr>
              <w:t>≥81</w:t>
            </w:r>
            <w:r>
              <w:rPr>
                <w:rFonts w:hint="eastAsia"/>
                <w:szCs w:val="21"/>
              </w:rPr>
              <w:t>.5</w:t>
            </w:r>
            <w:r>
              <w:rPr>
                <w:szCs w:val="21"/>
              </w:rPr>
              <w:t>%</w:t>
            </w:r>
          </w:p>
        </w:tc>
        <w:tc>
          <w:tcPr>
            <w:tcW w:w="1418" w:type="dxa"/>
            <w:gridSpan w:val="3"/>
            <w:vAlign w:val="center"/>
          </w:tcPr>
          <w:p w14:paraId="7B327868" w14:textId="77777777" w:rsidR="000A5E19" w:rsidRDefault="000A5E19" w:rsidP="00C21AC7">
            <w:pPr>
              <w:pStyle w:val="TableParagraph"/>
              <w:rPr>
                <w:szCs w:val="21"/>
              </w:rPr>
            </w:pPr>
            <w:r>
              <w:rPr>
                <w:rFonts w:hint="eastAsia"/>
                <w:szCs w:val="21"/>
              </w:rPr>
              <w:t>82.27</w:t>
            </w:r>
            <w:r>
              <w:rPr>
                <w:szCs w:val="21"/>
              </w:rPr>
              <w:t>%</w:t>
            </w:r>
          </w:p>
        </w:tc>
        <w:tc>
          <w:tcPr>
            <w:tcW w:w="1851" w:type="dxa"/>
            <w:vAlign w:val="center"/>
          </w:tcPr>
          <w:p w14:paraId="5A421901" w14:textId="77777777" w:rsidR="000A5E19" w:rsidRDefault="000A5E19" w:rsidP="00C21AC7">
            <w:pPr>
              <w:pStyle w:val="TableParagraph"/>
              <w:jc w:val="center"/>
              <w:rPr>
                <w:szCs w:val="21"/>
              </w:rPr>
            </w:pPr>
            <w:r>
              <w:rPr>
                <w:szCs w:val="21"/>
              </w:rPr>
              <w:t>无</w:t>
            </w:r>
          </w:p>
        </w:tc>
      </w:tr>
      <w:tr w:rsidR="000A5E19" w14:paraId="7E85A967" w14:textId="77777777" w:rsidTr="00C21AC7">
        <w:trPr>
          <w:trHeight w:val="300"/>
          <w:jc w:val="center"/>
        </w:trPr>
        <w:tc>
          <w:tcPr>
            <w:tcW w:w="724" w:type="dxa"/>
            <w:vMerge/>
            <w:textDirection w:val="tbRl"/>
            <w:vAlign w:val="center"/>
          </w:tcPr>
          <w:p w14:paraId="2DC0C238" w14:textId="77777777" w:rsidR="000A5E19" w:rsidRDefault="000A5E19" w:rsidP="00C21AC7">
            <w:pPr>
              <w:rPr>
                <w:szCs w:val="21"/>
              </w:rPr>
            </w:pPr>
          </w:p>
        </w:tc>
        <w:tc>
          <w:tcPr>
            <w:tcW w:w="853" w:type="dxa"/>
            <w:vMerge/>
            <w:vAlign w:val="center"/>
          </w:tcPr>
          <w:p w14:paraId="56E7B2A3" w14:textId="77777777" w:rsidR="000A5E19" w:rsidRDefault="000A5E19" w:rsidP="00C21AC7">
            <w:pPr>
              <w:rPr>
                <w:szCs w:val="21"/>
              </w:rPr>
            </w:pPr>
          </w:p>
        </w:tc>
        <w:tc>
          <w:tcPr>
            <w:tcW w:w="1018" w:type="dxa"/>
            <w:vMerge/>
            <w:vAlign w:val="center"/>
          </w:tcPr>
          <w:p w14:paraId="11BCFE52" w14:textId="77777777" w:rsidR="000A5E19" w:rsidRDefault="000A5E19" w:rsidP="00C21AC7">
            <w:pPr>
              <w:pStyle w:val="TableParagraph"/>
              <w:jc w:val="center"/>
              <w:rPr>
                <w:szCs w:val="21"/>
              </w:rPr>
            </w:pPr>
          </w:p>
        </w:tc>
        <w:tc>
          <w:tcPr>
            <w:tcW w:w="2541" w:type="dxa"/>
            <w:gridSpan w:val="2"/>
            <w:vAlign w:val="center"/>
          </w:tcPr>
          <w:p w14:paraId="1A7540DF" w14:textId="77777777" w:rsidR="000A5E19" w:rsidRDefault="000A5E19" w:rsidP="00C21AC7">
            <w:pPr>
              <w:pStyle w:val="TableParagraph"/>
              <w:rPr>
                <w:szCs w:val="21"/>
              </w:rPr>
            </w:pPr>
            <w:r>
              <w:rPr>
                <w:szCs w:val="21"/>
              </w:rPr>
              <w:t>城市污水处理厂进水</w:t>
            </w:r>
            <w:r>
              <w:rPr>
                <w:szCs w:val="21"/>
              </w:rPr>
              <w:t>BOD</w:t>
            </w:r>
            <w:r>
              <w:rPr>
                <w:szCs w:val="21"/>
              </w:rPr>
              <w:t>平均浓度</w:t>
            </w:r>
          </w:p>
        </w:tc>
        <w:tc>
          <w:tcPr>
            <w:tcW w:w="1238" w:type="dxa"/>
            <w:gridSpan w:val="2"/>
            <w:vAlign w:val="center"/>
          </w:tcPr>
          <w:p w14:paraId="1F465D84" w14:textId="77777777" w:rsidR="000A5E19" w:rsidRDefault="000A5E19" w:rsidP="00C21AC7">
            <w:pPr>
              <w:pStyle w:val="TableParagraph"/>
              <w:rPr>
                <w:szCs w:val="21"/>
              </w:rPr>
            </w:pPr>
            <w:r>
              <w:rPr>
                <w:szCs w:val="21"/>
              </w:rPr>
              <w:t>≥1</w:t>
            </w:r>
            <w:r>
              <w:rPr>
                <w:rFonts w:hint="eastAsia"/>
                <w:szCs w:val="21"/>
              </w:rPr>
              <w:t>10 mg</w:t>
            </w:r>
            <w:r>
              <w:rPr>
                <w:szCs w:val="21"/>
              </w:rPr>
              <w:t>/</w:t>
            </w:r>
            <w:r>
              <w:rPr>
                <w:rFonts w:hint="eastAsia"/>
                <w:szCs w:val="21"/>
              </w:rPr>
              <w:t>L</w:t>
            </w:r>
          </w:p>
        </w:tc>
        <w:tc>
          <w:tcPr>
            <w:tcW w:w="1418" w:type="dxa"/>
            <w:gridSpan w:val="3"/>
            <w:vAlign w:val="center"/>
          </w:tcPr>
          <w:p w14:paraId="697E54C3" w14:textId="77777777" w:rsidR="000A5E19" w:rsidRDefault="000A5E19" w:rsidP="00C21AC7">
            <w:pPr>
              <w:pStyle w:val="TableParagraph"/>
              <w:rPr>
                <w:szCs w:val="21"/>
              </w:rPr>
            </w:pPr>
            <w:r>
              <w:rPr>
                <w:rFonts w:hint="eastAsia"/>
                <w:szCs w:val="21"/>
              </w:rPr>
              <w:t>110.00 mg</w:t>
            </w:r>
            <w:r>
              <w:rPr>
                <w:szCs w:val="21"/>
              </w:rPr>
              <w:t>/</w:t>
            </w:r>
            <w:r>
              <w:rPr>
                <w:rFonts w:hint="eastAsia"/>
                <w:szCs w:val="21"/>
              </w:rPr>
              <w:t>L</w:t>
            </w:r>
          </w:p>
        </w:tc>
        <w:tc>
          <w:tcPr>
            <w:tcW w:w="1851" w:type="dxa"/>
            <w:vAlign w:val="center"/>
          </w:tcPr>
          <w:p w14:paraId="2E86A571" w14:textId="77777777" w:rsidR="000A5E19" w:rsidRDefault="000A5E19" w:rsidP="00C21AC7">
            <w:pPr>
              <w:pStyle w:val="TableParagraph"/>
              <w:jc w:val="center"/>
              <w:rPr>
                <w:szCs w:val="21"/>
              </w:rPr>
            </w:pPr>
            <w:r>
              <w:rPr>
                <w:szCs w:val="21"/>
              </w:rPr>
              <w:t>无</w:t>
            </w:r>
          </w:p>
        </w:tc>
      </w:tr>
      <w:tr w:rsidR="000A5E19" w14:paraId="1795119B" w14:textId="77777777" w:rsidTr="00C21AC7">
        <w:trPr>
          <w:trHeight w:val="300"/>
          <w:jc w:val="center"/>
        </w:trPr>
        <w:tc>
          <w:tcPr>
            <w:tcW w:w="724" w:type="dxa"/>
            <w:vMerge/>
            <w:textDirection w:val="tbRl"/>
            <w:vAlign w:val="center"/>
          </w:tcPr>
          <w:p w14:paraId="68C0CDF3" w14:textId="77777777" w:rsidR="000A5E19" w:rsidRDefault="000A5E19" w:rsidP="00C21AC7">
            <w:pPr>
              <w:rPr>
                <w:szCs w:val="21"/>
              </w:rPr>
            </w:pPr>
          </w:p>
        </w:tc>
        <w:tc>
          <w:tcPr>
            <w:tcW w:w="853" w:type="dxa"/>
            <w:vMerge/>
            <w:vAlign w:val="center"/>
          </w:tcPr>
          <w:p w14:paraId="47A9D518" w14:textId="77777777" w:rsidR="000A5E19" w:rsidRDefault="000A5E19" w:rsidP="00C21AC7">
            <w:pPr>
              <w:rPr>
                <w:szCs w:val="21"/>
              </w:rPr>
            </w:pPr>
          </w:p>
        </w:tc>
        <w:tc>
          <w:tcPr>
            <w:tcW w:w="1018" w:type="dxa"/>
            <w:vMerge/>
            <w:vAlign w:val="center"/>
          </w:tcPr>
          <w:p w14:paraId="5960D02F" w14:textId="77777777" w:rsidR="000A5E19" w:rsidRDefault="000A5E19" w:rsidP="00C21AC7">
            <w:pPr>
              <w:pStyle w:val="TableParagraph"/>
              <w:jc w:val="center"/>
              <w:rPr>
                <w:szCs w:val="21"/>
              </w:rPr>
            </w:pPr>
          </w:p>
        </w:tc>
        <w:tc>
          <w:tcPr>
            <w:tcW w:w="2541" w:type="dxa"/>
            <w:gridSpan w:val="2"/>
            <w:vAlign w:val="center"/>
          </w:tcPr>
          <w:p w14:paraId="721F8C70" w14:textId="77777777" w:rsidR="000A5E19" w:rsidRDefault="000A5E19" w:rsidP="00C21AC7">
            <w:pPr>
              <w:pStyle w:val="TableParagraph"/>
              <w:rPr>
                <w:szCs w:val="21"/>
              </w:rPr>
            </w:pPr>
            <w:r>
              <w:rPr>
                <w:szCs w:val="21"/>
              </w:rPr>
              <w:t>黑臭水体消除比例</w:t>
            </w:r>
          </w:p>
        </w:tc>
        <w:tc>
          <w:tcPr>
            <w:tcW w:w="1238" w:type="dxa"/>
            <w:gridSpan w:val="2"/>
            <w:vAlign w:val="center"/>
          </w:tcPr>
          <w:p w14:paraId="3F5B9E12" w14:textId="77777777" w:rsidR="000A5E19" w:rsidRDefault="000A5E19" w:rsidP="00C21AC7">
            <w:pPr>
              <w:pStyle w:val="TableParagraph"/>
              <w:rPr>
                <w:szCs w:val="21"/>
              </w:rPr>
            </w:pPr>
            <w:r>
              <w:rPr>
                <w:szCs w:val="21"/>
              </w:rPr>
              <w:t>建成区内</w:t>
            </w:r>
            <w:r>
              <w:rPr>
                <w:szCs w:val="21"/>
              </w:rPr>
              <w:t>100%</w:t>
            </w:r>
          </w:p>
        </w:tc>
        <w:tc>
          <w:tcPr>
            <w:tcW w:w="1418" w:type="dxa"/>
            <w:gridSpan w:val="3"/>
            <w:vAlign w:val="center"/>
          </w:tcPr>
          <w:p w14:paraId="38CBFC45" w14:textId="77777777" w:rsidR="000A5E19" w:rsidRDefault="000A5E19" w:rsidP="00C21AC7">
            <w:pPr>
              <w:pStyle w:val="TableParagraph"/>
              <w:rPr>
                <w:szCs w:val="21"/>
              </w:rPr>
            </w:pPr>
            <w:r>
              <w:rPr>
                <w:szCs w:val="21"/>
              </w:rPr>
              <w:t>建成区内</w:t>
            </w:r>
            <w:r>
              <w:rPr>
                <w:szCs w:val="21"/>
              </w:rPr>
              <w:t>100%</w:t>
            </w:r>
          </w:p>
        </w:tc>
        <w:tc>
          <w:tcPr>
            <w:tcW w:w="1851" w:type="dxa"/>
            <w:vAlign w:val="center"/>
          </w:tcPr>
          <w:p w14:paraId="0499B3D8" w14:textId="77777777" w:rsidR="000A5E19" w:rsidRDefault="000A5E19" w:rsidP="00C21AC7">
            <w:pPr>
              <w:pStyle w:val="TableParagraph"/>
              <w:jc w:val="center"/>
              <w:rPr>
                <w:szCs w:val="21"/>
              </w:rPr>
            </w:pPr>
            <w:r>
              <w:rPr>
                <w:szCs w:val="21"/>
              </w:rPr>
              <w:t>无</w:t>
            </w:r>
          </w:p>
        </w:tc>
      </w:tr>
      <w:tr w:rsidR="000A5E19" w14:paraId="39B9FCA3" w14:textId="77777777" w:rsidTr="00C21AC7">
        <w:trPr>
          <w:trHeight w:val="4259"/>
          <w:jc w:val="center"/>
        </w:trPr>
        <w:tc>
          <w:tcPr>
            <w:tcW w:w="724" w:type="dxa"/>
            <w:vMerge/>
            <w:textDirection w:val="tbRl"/>
            <w:vAlign w:val="center"/>
          </w:tcPr>
          <w:p w14:paraId="4CD11A42" w14:textId="77777777" w:rsidR="000A5E19" w:rsidRDefault="000A5E19" w:rsidP="00C21AC7">
            <w:pPr>
              <w:rPr>
                <w:szCs w:val="21"/>
              </w:rPr>
            </w:pPr>
          </w:p>
        </w:tc>
        <w:tc>
          <w:tcPr>
            <w:tcW w:w="853" w:type="dxa"/>
            <w:vMerge/>
            <w:vAlign w:val="center"/>
          </w:tcPr>
          <w:p w14:paraId="0CE9439A" w14:textId="77777777" w:rsidR="000A5E19" w:rsidRDefault="000A5E19" w:rsidP="00C21AC7">
            <w:pPr>
              <w:rPr>
                <w:szCs w:val="21"/>
              </w:rPr>
            </w:pPr>
          </w:p>
        </w:tc>
        <w:tc>
          <w:tcPr>
            <w:tcW w:w="1018" w:type="dxa"/>
            <w:vAlign w:val="center"/>
          </w:tcPr>
          <w:p w14:paraId="6BD31474" w14:textId="77777777" w:rsidR="000A5E19" w:rsidRDefault="000A5E19" w:rsidP="00C21AC7">
            <w:pPr>
              <w:pStyle w:val="TableParagraph"/>
              <w:jc w:val="center"/>
              <w:rPr>
                <w:szCs w:val="21"/>
              </w:rPr>
            </w:pPr>
            <w:r>
              <w:rPr>
                <w:szCs w:val="21"/>
              </w:rPr>
              <w:t>时效指标</w:t>
            </w:r>
          </w:p>
        </w:tc>
        <w:tc>
          <w:tcPr>
            <w:tcW w:w="2541" w:type="dxa"/>
            <w:gridSpan w:val="2"/>
            <w:vAlign w:val="center"/>
          </w:tcPr>
          <w:p w14:paraId="1BC4981C" w14:textId="77777777" w:rsidR="000A5E19" w:rsidRDefault="000A5E19" w:rsidP="00C21AC7">
            <w:pPr>
              <w:pStyle w:val="TableParagraph"/>
              <w:rPr>
                <w:szCs w:val="21"/>
              </w:rPr>
            </w:pPr>
            <w:r>
              <w:rPr>
                <w:rFonts w:hint="eastAsia"/>
                <w:szCs w:val="21"/>
              </w:rPr>
              <w:t>项目按时完成率</w:t>
            </w:r>
          </w:p>
        </w:tc>
        <w:tc>
          <w:tcPr>
            <w:tcW w:w="1238" w:type="dxa"/>
            <w:gridSpan w:val="2"/>
            <w:vAlign w:val="center"/>
          </w:tcPr>
          <w:p w14:paraId="600C2849" w14:textId="77777777" w:rsidR="000A5E19" w:rsidRDefault="000A5E19" w:rsidP="00C21AC7">
            <w:pPr>
              <w:pStyle w:val="TableParagraph"/>
              <w:rPr>
                <w:szCs w:val="21"/>
              </w:rPr>
            </w:pPr>
            <w:r>
              <w:rPr>
                <w:szCs w:val="21"/>
              </w:rPr>
              <w:t>≥</w:t>
            </w:r>
            <w:r>
              <w:rPr>
                <w:rFonts w:hint="eastAsia"/>
                <w:szCs w:val="21"/>
              </w:rPr>
              <w:t>85%</w:t>
            </w:r>
          </w:p>
        </w:tc>
        <w:tc>
          <w:tcPr>
            <w:tcW w:w="1418" w:type="dxa"/>
            <w:gridSpan w:val="3"/>
            <w:vAlign w:val="center"/>
          </w:tcPr>
          <w:p w14:paraId="4D72689D" w14:textId="77777777" w:rsidR="000A5E19" w:rsidRDefault="000A5E19" w:rsidP="00C21AC7">
            <w:pPr>
              <w:pStyle w:val="TableParagraph"/>
              <w:rPr>
                <w:szCs w:val="21"/>
              </w:rPr>
            </w:pPr>
            <w:r>
              <w:rPr>
                <w:szCs w:val="21"/>
              </w:rPr>
              <w:t>65.54</w:t>
            </w:r>
            <w:r>
              <w:rPr>
                <w:rFonts w:hint="eastAsia"/>
                <w:szCs w:val="21"/>
              </w:rPr>
              <w:t>%</w:t>
            </w:r>
          </w:p>
        </w:tc>
        <w:tc>
          <w:tcPr>
            <w:tcW w:w="1851" w:type="dxa"/>
            <w:vMerge w:val="restart"/>
            <w:vAlign w:val="center"/>
          </w:tcPr>
          <w:p w14:paraId="39241EAF" w14:textId="77777777" w:rsidR="000A5E19" w:rsidRDefault="000A5E19" w:rsidP="00C21AC7">
            <w:pPr>
              <w:pStyle w:val="TableParagraph"/>
              <w:rPr>
                <w:szCs w:val="21"/>
              </w:rPr>
            </w:pPr>
            <w:r>
              <w:rPr>
                <w:rFonts w:hint="eastAsia"/>
                <w:szCs w:val="21"/>
              </w:rPr>
              <w:t>为防范和化解债务风险，国务院《关于金融支持融资平台债务风险化解的指导意见》</w:t>
            </w:r>
            <w:r>
              <w:rPr>
                <w:szCs w:val="21"/>
              </w:rPr>
              <w:t>《重点省份分类加强政府投资项目管理办法（试行）》等文件相继出台，包括广西在内的</w:t>
            </w:r>
            <w:r>
              <w:rPr>
                <w:szCs w:val="21"/>
              </w:rPr>
              <w:t>12</w:t>
            </w:r>
            <w:r>
              <w:rPr>
                <w:szCs w:val="21"/>
              </w:rPr>
              <w:t>个债务高风险重点省份政府投资类项目建设受到约束</w:t>
            </w:r>
            <w:r>
              <w:rPr>
                <w:rFonts w:hint="eastAsia"/>
                <w:szCs w:val="21"/>
              </w:rPr>
              <w:t>。对此，桂林市市委、市政府高度重视，多次召开海绵城市专题会议对项目实施进行调度，并向自治区汇报相关情况。按照“有保有压”政策要求，对照绩效考核目标做好项目建设</w:t>
            </w:r>
            <w:r>
              <w:rPr>
                <w:rFonts w:hint="eastAsia"/>
                <w:szCs w:val="21"/>
              </w:rPr>
              <w:lastRenderedPageBreak/>
              <w:t>分析，</w:t>
            </w:r>
            <w:proofErr w:type="gramStart"/>
            <w:r>
              <w:rPr>
                <w:rFonts w:hint="eastAsia"/>
                <w:szCs w:val="21"/>
              </w:rPr>
              <w:t>严控非</w:t>
            </w:r>
            <w:proofErr w:type="gramEnd"/>
            <w:r>
              <w:rPr>
                <w:rFonts w:hint="eastAsia"/>
                <w:szCs w:val="21"/>
              </w:rPr>
              <w:t>刚性、非重点支出，将压减下来的资金优先用于城市防洪排涝、漓江支流治理等群众急、难、愁、盼的民生方面。</w:t>
            </w:r>
          </w:p>
        </w:tc>
      </w:tr>
      <w:tr w:rsidR="000A5E19" w14:paraId="49E6A965" w14:textId="77777777" w:rsidTr="00C21AC7">
        <w:trPr>
          <w:trHeight w:val="300"/>
          <w:jc w:val="center"/>
        </w:trPr>
        <w:tc>
          <w:tcPr>
            <w:tcW w:w="724" w:type="dxa"/>
            <w:vMerge/>
            <w:textDirection w:val="tbRl"/>
            <w:vAlign w:val="center"/>
          </w:tcPr>
          <w:p w14:paraId="2F1DC39F" w14:textId="77777777" w:rsidR="000A5E19" w:rsidRDefault="000A5E19" w:rsidP="00C21AC7">
            <w:pPr>
              <w:rPr>
                <w:szCs w:val="21"/>
              </w:rPr>
            </w:pPr>
          </w:p>
        </w:tc>
        <w:tc>
          <w:tcPr>
            <w:tcW w:w="853" w:type="dxa"/>
            <w:vMerge/>
            <w:vAlign w:val="center"/>
          </w:tcPr>
          <w:p w14:paraId="23E66C67" w14:textId="77777777" w:rsidR="000A5E19" w:rsidRDefault="000A5E19" w:rsidP="00C21AC7">
            <w:pPr>
              <w:rPr>
                <w:szCs w:val="21"/>
              </w:rPr>
            </w:pPr>
          </w:p>
        </w:tc>
        <w:tc>
          <w:tcPr>
            <w:tcW w:w="1018" w:type="dxa"/>
            <w:vAlign w:val="center"/>
          </w:tcPr>
          <w:p w14:paraId="59D96363" w14:textId="77777777" w:rsidR="000A5E19" w:rsidRDefault="000A5E19" w:rsidP="00C21AC7">
            <w:pPr>
              <w:pStyle w:val="TableParagraph"/>
              <w:jc w:val="center"/>
              <w:rPr>
                <w:szCs w:val="21"/>
              </w:rPr>
            </w:pPr>
            <w:r>
              <w:rPr>
                <w:szCs w:val="21"/>
              </w:rPr>
              <w:t>成本指标</w:t>
            </w:r>
          </w:p>
        </w:tc>
        <w:tc>
          <w:tcPr>
            <w:tcW w:w="2541" w:type="dxa"/>
            <w:gridSpan w:val="2"/>
            <w:vAlign w:val="center"/>
          </w:tcPr>
          <w:p w14:paraId="03C6C11C" w14:textId="77777777" w:rsidR="000A5E19" w:rsidRDefault="000A5E19" w:rsidP="00C21AC7">
            <w:pPr>
              <w:pStyle w:val="TableParagraph"/>
              <w:rPr>
                <w:szCs w:val="21"/>
              </w:rPr>
            </w:pPr>
            <w:r>
              <w:rPr>
                <w:rFonts w:hint="eastAsia"/>
                <w:szCs w:val="21"/>
              </w:rPr>
              <w:t>预算完成率</w:t>
            </w:r>
          </w:p>
        </w:tc>
        <w:tc>
          <w:tcPr>
            <w:tcW w:w="1238" w:type="dxa"/>
            <w:gridSpan w:val="2"/>
            <w:vAlign w:val="center"/>
          </w:tcPr>
          <w:p w14:paraId="7AEAF11C" w14:textId="77777777" w:rsidR="000A5E19" w:rsidRDefault="000A5E19" w:rsidP="00C21AC7">
            <w:pPr>
              <w:pStyle w:val="TableParagraph"/>
              <w:rPr>
                <w:szCs w:val="21"/>
              </w:rPr>
            </w:pPr>
            <w:r>
              <w:rPr>
                <w:szCs w:val="21"/>
              </w:rPr>
              <w:t>≥</w:t>
            </w:r>
            <w:r>
              <w:rPr>
                <w:rFonts w:hint="eastAsia"/>
                <w:szCs w:val="21"/>
              </w:rPr>
              <w:t>75%</w:t>
            </w:r>
          </w:p>
        </w:tc>
        <w:tc>
          <w:tcPr>
            <w:tcW w:w="1418" w:type="dxa"/>
            <w:gridSpan w:val="3"/>
            <w:vAlign w:val="center"/>
          </w:tcPr>
          <w:p w14:paraId="2230CA3E" w14:textId="77777777" w:rsidR="000A5E19" w:rsidRDefault="000A5E19" w:rsidP="00C21AC7">
            <w:pPr>
              <w:pStyle w:val="TableParagraph"/>
              <w:rPr>
                <w:szCs w:val="21"/>
              </w:rPr>
            </w:pPr>
            <w:r>
              <w:rPr>
                <w:rFonts w:hint="eastAsia"/>
                <w:szCs w:val="21"/>
              </w:rPr>
              <w:t>24.68%</w:t>
            </w:r>
          </w:p>
        </w:tc>
        <w:tc>
          <w:tcPr>
            <w:tcW w:w="1851" w:type="dxa"/>
            <w:vMerge/>
            <w:vAlign w:val="center"/>
          </w:tcPr>
          <w:p w14:paraId="44CB64CB" w14:textId="77777777" w:rsidR="000A5E19" w:rsidRDefault="000A5E19" w:rsidP="00C21AC7">
            <w:pPr>
              <w:pStyle w:val="TableParagraph"/>
              <w:jc w:val="center"/>
              <w:rPr>
                <w:szCs w:val="21"/>
              </w:rPr>
            </w:pPr>
          </w:p>
        </w:tc>
      </w:tr>
      <w:tr w:rsidR="000A5E19" w14:paraId="6D03EB3A" w14:textId="77777777" w:rsidTr="00C21AC7">
        <w:trPr>
          <w:trHeight w:val="4216"/>
          <w:jc w:val="center"/>
        </w:trPr>
        <w:tc>
          <w:tcPr>
            <w:tcW w:w="724" w:type="dxa"/>
            <w:vMerge/>
            <w:textDirection w:val="tbRl"/>
            <w:vAlign w:val="center"/>
          </w:tcPr>
          <w:p w14:paraId="30FD65E1" w14:textId="77777777" w:rsidR="000A5E19" w:rsidRDefault="000A5E19" w:rsidP="00C21AC7">
            <w:pPr>
              <w:rPr>
                <w:szCs w:val="21"/>
              </w:rPr>
            </w:pPr>
          </w:p>
        </w:tc>
        <w:tc>
          <w:tcPr>
            <w:tcW w:w="853" w:type="dxa"/>
            <w:vMerge w:val="restart"/>
            <w:vAlign w:val="center"/>
          </w:tcPr>
          <w:p w14:paraId="043A2895" w14:textId="77777777" w:rsidR="000A5E19" w:rsidRDefault="000A5E19" w:rsidP="00C21AC7">
            <w:pPr>
              <w:jc w:val="center"/>
              <w:rPr>
                <w:szCs w:val="21"/>
              </w:rPr>
            </w:pPr>
            <w:r>
              <w:rPr>
                <w:szCs w:val="21"/>
              </w:rPr>
              <w:t>效益</w:t>
            </w:r>
          </w:p>
          <w:p w14:paraId="46338650" w14:textId="77777777" w:rsidR="000A5E19" w:rsidRDefault="000A5E19" w:rsidP="00C21AC7">
            <w:pPr>
              <w:jc w:val="center"/>
              <w:rPr>
                <w:szCs w:val="21"/>
              </w:rPr>
            </w:pPr>
            <w:r>
              <w:rPr>
                <w:szCs w:val="21"/>
              </w:rPr>
              <w:t>指标</w:t>
            </w:r>
          </w:p>
        </w:tc>
        <w:tc>
          <w:tcPr>
            <w:tcW w:w="1018" w:type="dxa"/>
            <w:vMerge w:val="restart"/>
            <w:vAlign w:val="center"/>
          </w:tcPr>
          <w:p w14:paraId="41B48F04" w14:textId="77777777" w:rsidR="000A5E19" w:rsidRDefault="000A5E19" w:rsidP="00C21AC7">
            <w:pPr>
              <w:pStyle w:val="TableParagraph"/>
              <w:jc w:val="center"/>
              <w:rPr>
                <w:szCs w:val="21"/>
              </w:rPr>
            </w:pPr>
            <w:r>
              <w:rPr>
                <w:szCs w:val="21"/>
              </w:rPr>
              <w:t>经济效益指标</w:t>
            </w:r>
          </w:p>
        </w:tc>
        <w:tc>
          <w:tcPr>
            <w:tcW w:w="2541" w:type="dxa"/>
            <w:gridSpan w:val="2"/>
            <w:vAlign w:val="center"/>
          </w:tcPr>
          <w:p w14:paraId="46DF7221" w14:textId="77777777" w:rsidR="000A5E19" w:rsidRDefault="000A5E19" w:rsidP="00C21AC7">
            <w:pPr>
              <w:jc w:val="center"/>
              <w:rPr>
                <w:szCs w:val="21"/>
              </w:rPr>
            </w:pPr>
            <w:r>
              <w:rPr>
                <w:szCs w:val="21"/>
              </w:rPr>
              <w:t>地方按方案筹集资金</w:t>
            </w:r>
            <w:r>
              <w:rPr>
                <w:szCs w:val="21"/>
              </w:rPr>
              <w:t>,</w:t>
            </w:r>
            <w:r>
              <w:rPr>
                <w:szCs w:val="21"/>
              </w:rPr>
              <w:t>充分带动社会资金参与</w:t>
            </w:r>
          </w:p>
        </w:tc>
        <w:tc>
          <w:tcPr>
            <w:tcW w:w="1238" w:type="dxa"/>
            <w:gridSpan w:val="2"/>
            <w:vAlign w:val="center"/>
          </w:tcPr>
          <w:p w14:paraId="052A487D" w14:textId="77777777" w:rsidR="000A5E19" w:rsidRDefault="000A5E19" w:rsidP="00C21AC7">
            <w:pPr>
              <w:rPr>
                <w:szCs w:val="21"/>
              </w:rPr>
            </w:pPr>
            <w:r>
              <w:rPr>
                <w:szCs w:val="21"/>
              </w:rPr>
              <w:t>市级财政部门按方案筹集资金</w:t>
            </w:r>
            <w:r>
              <w:rPr>
                <w:szCs w:val="21"/>
              </w:rPr>
              <w:t>,</w:t>
            </w:r>
            <w:r>
              <w:rPr>
                <w:szCs w:val="21"/>
              </w:rPr>
              <w:t>充分发挥中央资金和水利、生态环保等资金的协同引导作用</w:t>
            </w:r>
            <w:r>
              <w:rPr>
                <w:szCs w:val="21"/>
              </w:rPr>
              <w:t>,</w:t>
            </w:r>
            <w:r>
              <w:rPr>
                <w:szCs w:val="21"/>
              </w:rPr>
              <w:t>吸引社会资金参与</w:t>
            </w:r>
            <w:r>
              <w:rPr>
                <w:rFonts w:hint="eastAsia"/>
                <w:szCs w:val="21"/>
              </w:rPr>
              <w:t>，</w:t>
            </w:r>
            <w:r>
              <w:rPr>
                <w:szCs w:val="21"/>
              </w:rPr>
              <w:t>鼓励通过发行专项债券等方式多渠道筹资</w:t>
            </w:r>
            <w:r>
              <w:rPr>
                <w:rFonts w:hint="eastAsia"/>
                <w:szCs w:val="21"/>
              </w:rPr>
              <w:t>。</w:t>
            </w:r>
          </w:p>
        </w:tc>
        <w:tc>
          <w:tcPr>
            <w:tcW w:w="1418" w:type="dxa"/>
            <w:gridSpan w:val="3"/>
            <w:vAlign w:val="center"/>
          </w:tcPr>
          <w:p w14:paraId="422B977C" w14:textId="77777777" w:rsidR="000A5E19" w:rsidRDefault="000A5E19" w:rsidP="00C21AC7">
            <w:pPr>
              <w:pStyle w:val="TableParagraph"/>
              <w:rPr>
                <w:szCs w:val="21"/>
              </w:rPr>
            </w:pPr>
            <w:r>
              <w:rPr>
                <w:szCs w:val="21"/>
              </w:rPr>
              <w:t>完成比例：</w:t>
            </w:r>
            <w:r>
              <w:rPr>
                <w:rFonts w:hint="eastAsia"/>
                <w:szCs w:val="21"/>
              </w:rPr>
              <w:t>1</w:t>
            </w:r>
            <w:r>
              <w:rPr>
                <w:szCs w:val="21"/>
              </w:rPr>
              <w:t>00%</w:t>
            </w:r>
            <w:r>
              <w:rPr>
                <w:szCs w:val="21"/>
              </w:rPr>
              <w:t>。市级财政部门按方案筹集资金，充分发挥中央资金和水利、生态环保等资金的协同引导作用，积极争取自治区财政奖补，落实市级财政资金配套，吸纳社会资金参与，实现了多渠道筹资，资金结构合理、协同有度。</w:t>
            </w:r>
          </w:p>
        </w:tc>
        <w:tc>
          <w:tcPr>
            <w:tcW w:w="1851" w:type="dxa"/>
            <w:vAlign w:val="center"/>
          </w:tcPr>
          <w:p w14:paraId="1D5F531B" w14:textId="77777777" w:rsidR="000A5E19" w:rsidRDefault="000A5E19" w:rsidP="00C21AC7">
            <w:pPr>
              <w:pStyle w:val="TableParagraph"/>
              <w:jc w:val="center"/>
              <w:rPr>
                <w:szCs w:val="21"/>
              </w:rPr>
            </w:pPr>
            <w:r>
              <w:rPr>
                <w:szCs w:val="21"/>
              </w:rPr>
              <w:t>无</w:t>
            </w:r>
          </w:p>
        </w:tc>
      </w:tr>
      <w:tr w:rsidR="000A5E19" w14:paraId="03621DBC" w14:textId="77777777" w:rsidTr="00C21AC7">
        <w:trPr>
          <w:trHeight w:val="300"/>
          <w:jc w:val="center"/>
        </w:trPr>
        <w:tc>
          <w:tcPr>
            <w:tcW w:w="724" w:type="dxa"/>
            <w:vMerge/>
            <w:textDirection w:val="tbRl"/>
            <w:vAlign w:val="center"/>
          </w:tcPr>
          <w:p w14:paraId="4A6407A8" w14:textId="77777777" w:rsidR="000A5E19" w:rsidRDefault="000A5E19" w:rsidP="00C21AC7">
            <w:pPr>
              <w:rPr>
                <w:szCs w:val="21"/>
              </w:rPr>
            </w:pPr>
          </w:p>
        </w:tc>
        <w:tc>
          <w:tcPr>
            <w:tcW w:w="853" w:type="dxa"/>
            <w:vMerge/>
            <w:vAlign w:val="center"/>
          </w:tcPr>
          <w:p w14:paraId="7A868DF9" w14:textId="77777777" w:rsidR="000A5E19" w:rsidRDefault="000A5E19" w:rsidP="00C21AC7">
            <w:pPr>
              <w:rPr>
                <w:szCs w:val="21"/>
              </w:rPr>
            </w:pPr>
          </w:p>
        </w:tc>
        <w:tc>
          <w:tcPr>
            <w:tcW w:w="1018" w:type="dxa"/>
            <w:vMerge/>
            <w:vAlign w:val="center"/>
          </w:tcPr>
          <w:p w14:paraId="17017069" w14:textId="77777777" w:rsidR="000A5E19" w:rsidRDefault="000A5E19" w:rsidP="00C21AC7">
            <w:pPr>
              <w:rPr>
                <w:szCs w:val="21"/>
              </w:rPr>
            </w:pPr>
          </w:p>
        </w:tc>
        <w:tc>
          <w:tcPr>
            <w:tcW w:w="2541" w:type="dxa"/>
            <w:gridSpan w:val="2"/>
            <w:vAlign w:val="center"/>
          </w:tcPr>
          <w:p w14:paraId="2D4235CD" w14:textId="77777777" w:rsidR="000A5E19" w:rsidRDefault="000A5E19" w:rsidP="00C21AC7">
            <w:pPr>
              <w:jc w:val="center"/>
              <w:rPr>
                <w:szCs w:val="21"/>
              </w:rPr>
            </w:pPr>
            <w:r>
              <w:rPr>
                <w:szCs w:val="21"/>
              </w:rPr>
              <w:t>中央资金合</w:t>
            </w:r>
            <w:proofErr w:type="gramStart"/>
            <w:r>
              <w:rPr>
                <w:szCs w:val="21"/>
              </w:rPr>
              <w:t>规</w:t>
            </w:r>
            <w:proofErr w:type="gramEnd"/>
            <w:r>
              <w:rPr>
                <w:szCs w:val="21"/>
              </w:rPr>
              <w:t>使用</w:t>
            </w:r>
            <w:r>
              <w:rPr>
                <w:szCs w:val="21"/>
              </w:rPr>
              <w:t>,</w:t>
            </w:r>
            <w:r>
              <w:rPr>
                <w:szCs w:val="21"/>
              </w:rPr>
              <w:t>有力支撑项目建设</w:t>
            </w:r>
          </w:p>
        </w:tc>
        <w:tc>
          <w:tcPr>
            <w:tcW w:w="1238" w:type="dxa"/>
            <w:gridSpan w:val="2"/>
            <w:vAlign w:val="center"/>
          </w:tcPr>
          <w:p w14:paraId="6016C227" w14:textId="77777777" w:rsidR="000A5E19" w:rsidRDefault="000A5E19" w:rsidP="00C21AC7">
            <w:pPr>
              <w:rPr>
                <w:szCs w:val="21"/>
              </w:rPr>
            </w:pPr>
            <w:r>
              <w:rPr>
                <w:szCs w:val="21"/>
              </w:rPr>
              <w:t>中央资金用于海绵建设示范城市直接相关的工程项目投资</w:t>
            </w:r>
            <w:r>
              <w:rPr>
                <w:szCs w:val="21"/>
              </w:rPr>
              <w:t>,</w:t>
            </w:r>
            <w:r>
              <w:rPr>
                <w:szCs w:val="21"/>
              </w:rPr>
              <w:t>有力支撑项目按实施方案预设目标推进</w:t>
            </w:r>
            <w:r>
              <w:rPr>
                <w:rFonts w:hint="eastAsia"/>
                <w:szCs w:val="21"/>
              </w:rPr>
              <w:t>。</w:t>
            </w:r>
          </w:p>
        </w:tc>
        <w:tc>
          <w:tcPr>
            <w:tcW w:w="1418" w:type="dxa"/>
            <w:gridSpan w:val="3"/>
            <w:vAlign w:val="center"/>
          </w:tcPr>
          <w:p w14:paraId="64233359" w14:textId="77777777" w:rsidR="000A5E19" w:rsidRDefault="000A5E19" w:rsidP="00C21AC7">
            <w:pPr>
              <w:pStyle w:val="TableParagraph"/>
              <w:rPr>
                <w:szCs w:val="21"/>
              </w:rPr>
            </w:pPr>
            <w:r>
              <w:rPr>
                <w:szCs w:val="21"/>
              </w:rPr>
              <w:t>完成比例：</w:t>
            </w:r>
            <w:r>
              <w:rPr>
                <w:rFonts w:hint="eastAsia"/>
                <w:szCs w:val="21"/>
              </w:rPr>
              <w:t>1</w:t>
            </w:r>
            <w:r>
              <w:rPr>
                <w:szCs w:val="21"/>
              </w:rPr>
              <w:t>00%</w:t>
            </w:r>
            <w:r>
              <w:rPr>
                <w:szCs w:val="21"/>
              </w:rPr>
              <w:t>。制定《桂林市系统化全域推进海绵城市示范城市建设专项资金管理办法》，规范中央补助资金使用管理要求，落实项目审核管控机制，保障中央资金用于海绵建设示范城市直接相关的工程项目投资，并有力支撑项目按实施方案预设目标推进。</w:t>
            </w:r>
          </w:p>
        </w:tc>
        <w:tc>
          <w:tcPr>
            <w:tcW w:w="1851" w:type="dxa"/>
            <w:vAlign w:val="center"/>
          </w:tcPr>
          <w:p w14:paraId="3575CDBA" w14:textId="77777777" w:rsidR="000A5E19" w:rsidRDefault="000A5E19" w:rsidP="00C21AC7">
            <w:pPr>
              <w:pStyle w:val="TableParagraph"/>
              <w:jc w:val="center"/>
              <w:rPr>
                <w:szCs w:val="21"/>
              </w:rPr>
            </w:pPr>
            <w:r>
              <w:rPr>
                <w:szCs w:val="21"/>
              </w:rPr>
              <w:t>无</w:t>
            </w:r>
          </w:p>
        </w:tc>
      </w:tr>
      <w:tr w:rsidR="000A5E19" w14:paraId="62B13034" w14:textId="77777777" w:rsidTr="00C21AC7">
        <w:trPr>
          <w:trHeight w:val="300"/>
          <w:jc w:val="center"/>
        </w:trPr>
        <w:tc>
          <w:tcPr>
            <w:tcW w:w="724" w:type="dxa"/>
            <w:vMerge/>
            <w:textDirection w:val="tbRl"/>
            <w:vAlign w:val="center"/>
          </w:tcPr>
          <w:p w14:paraId="661B5B82" w14:textId="77777777" w:rsidR="000A5E19" w:rsidRDefault="000A5E19" w:rsidP="00C21AC7">
            <w:pPr>
              <w:rPr>
                <w:szCs w:val="21"/>
              </w:rPr>
            </w:pPr>
          </w:p>
        </w:tc>
        <w:tc>
          <w:tcPr>
            <w:tcW w:w="853" w:type="dxa"/>
            <w:vMerge/>
            <w:vAlign w:val="center"/>
          </w:tcPr>
          <w:p w14:paraId="42927C7E" w14:textId="77777777" w:rsidR="000A5E19" w:rsidRDefault="000A5E19" w:rsidP="00C21AC7">
            <w:pPr>
              <w:rPr>
                <w:szCs w:val="21"/>
              </w:rPr>
            </w:pPr>
          </w:p>
        </w:tc>
        <w:tc>
          <w:tcPr>
            <w:tcW w:w="1018" w:type="dxa"/>
            <w:vMerge w:val="restart"/>
            <w:vAlign w:val="center"/>
          </w:tcPr>
          <w:p w14:paraId="08BEC7B1" w14:textId="77777777" w:rsidR="000A5E19" w:rsidRDefault="000A5E19" w:rsidP="00C21AC7">
            <w:pPr>
              <w:pStyle w:val="TableParagraph"/>
              <w:jc w:val="center"/>
              <w:rPr>
                <w:szCs w:val="21"/>
              </w:rPr>
            </w:pPr>
            <w:r>
              <w:rPr>
                <w:szCs w:val="21"/>
              </w:rPr>
              <w:t>社会效益指标</w:t>
            </w:r>
          </w:p>
        </w:tc>
        <w:tc>
          <w:tcPr>
            <w:tcW w:w="2541" w:type="dxa"/>
            <w:gridSpan w:val="2"/>
            <w:vAlign w:val="center"/>
          </w:tcPr>
          <w:p w14:paraId="19FF8395" w14:textId="77777777" w:rsidR="000A5E19" w:rsidRDefault="000A5E19" w:rsidP="00C21AC7">
            <w:pPr>
              <w:jc w:val="center"/>
              <w:rPr>
                <w:szCs w:val="21"/>
              </w:rPr>
            </w:pPr>
            <w:r>
              <w:rPr>
                <w:szCs w:val="21"/>
              </w:rPr>
              <w:t>拟建立的海绵城市规划建设管控制度</w:t>
            </w:r>
          </w:p>
        </w:tc>
        <w:tc>
          <w:tcPr>
            <w:tcW w:w="1238" w:type="dxa"/>
            <w:gridSpan w:val="2"/>
            <w:vAlign w:val="center"/>
          </w:tcPr>
          <w:p w14:paraId="7A679A08" w14:textId="77777777" w:rsidR="000A5E19" w:rsidRDefault="000A5E19" w:rsidP="00C21AC7">
            <w:pPr>
              <w:rPr>
                <w:szCs w:val="21"/>
              </w:rPr>
            </w:pPr>
            <w:r>
              <w:rPr>
                <w:szCs w:val="21"/>
              </w:rPr>
              <w:t>进一步完善规划建设管</w:t>
            </w:r>
            <w:r>
              <w:rPr>
                <w:szCs w:val="21"/>
              </w:rPr>
              <w:lastRenderedPageBreak/>
              <w:t>控制度</w:t>
            </w:r>
            <w:r>
              <w:rPr>
                <w:rFonts w:hint="eastAsia"/>
                <w:szCs w:val="21"/>
              </w:rPr>
              <w:t>。</w:t>
            </w:r>
          </w:p>
        </w:tc>
        <w:tc>
          <w:tcPr>
            <w:tcW w:w="1418" w:type="dxa"/>
            <w:gridSpan w:val="3"/>
            <w:vAlign w:val="center"/>
          </w:tcPr>
          <w:p w14:paraId="738D19DE" w14:textId="77777777" w:rsidR="000A5E19" w:rsidRDefault="000A5E19" w:rsidP="00C21AC7">
            <w:pPr>
              <w:pStyle w:val="TableParagraph"/>
              <w:rPr>
                <w:szCs w:val="21"/>
              </w:rPr>
            </w:pPr>
            <w:r>
              <w:rPr>
                <w:szCs w:val="21"/>
              </w:rPr>
              <w:lastRenderedPageBreak/>
              <w:t>完成比例：</w:t>
            </w:r>
            <w:r>
              <w:rPr>
                <w:rFonts w:hint="eastAsia"/>
                <w:szCs w:val="21"/>
              </w:rPr>
              <w:t>1</w:t>
            </w:r>
            <w:r>
              <w:rPr>
                <w:szCs w:val="21"/>
              </w:rPr>
              <w:t>00%</w:t>
            </w:r>
            <w:r>
              <w:rPr>
                <w:szCs w:val="21"/>
              </w:rPr>
              <w:t>。</w:t>
            </w:r>
            <w:r>
              <w:rPr>
                <w:rFonts w:hint="eastAsia"/>
                <w:szCs w:val="21"/>
              </w:rPr>
              <w:t>大力推</w:t>
            </w:r>
            <w:r>
              <w:rPr>
                <w:rFonts w:hint="eastAsia"/>
                <w:szCs w:val="21"/>
              </w:rPr>
              <w:lastRenderedPageBreak/>
              <w:t>进全过程管控机制的落实，印发《关于在城市规划建设管控全过程强化落实海绵城市建设要求的通知》《桂林市海绵城市建设全过程管控实施细则（试行）》《桂林市海绵城市建设设计文件编制深度和审查要点（试行）》等文件在现有的项目建设管控环节的基础上，从土地出让划拨、项目立项、方案设计审查、施工图设计审查、项目施工、竣工验收等环节进一步加强管控力度。</w:t>
            </w:r>
          </w:p>
        </w:tc>
        <w:tc>
          <w:tcPr>
            <w:tcW w:w="1851" w:type="dxa"/>
            <w:vAlign w:val="center"/>
          </w:tcPr>
          <w:p w14:paraId="07264852" w14:textId="77777777" w:rsidR="000A5E19" w:rsidRDefault="000A5E19" w:rsidP="00C21AC7">
            <w:pPr>
              <w:pStyle w:val="TableParagraph"/>
              <w:jc w:val="center"/>
              <w:rPr>
                <w:szCs w:val="21"/>
              </w:rPr>
            </w:pPr>
            <w:r>
              <w:rPr>
                <w:szCs w:val="21"/>
              </w:rPr>
              <w:lastRenderedPageBreak/>
              <w:t>无</w:t>
            </w:r>
          </w:p>
        </w:tc>
      </w:tr>
      <w:tr w:rsidR="000A5E19" w14:paraId="7E165CC3" w14:textId="77777777" w:rsidTr="00C21AC7">
        <w:trPr>
          <w:trHeight w:val="300"/>
          <w:jc w:val="center"/>
        </w:trPr>
        <w:tc>
          <w:tcPr>
            <w:tcW w:w="724" w:type="dxa"/>
            <w:vMerge/>
            <w:textDirection w:val="tbRl"/>
            <w:vAlign w:val="center"/>
          </w:tcPr>
          <w:p w14:paraId="4293207E" w14:textId="77777777" w:rsidR="000A5E19" w:rsidRDefault="000A5E19" w:rsidP="00C21AC7">
            <w:pPr>
              <w:rPr>
                <w:szCs w:val="21"/>
              </w:rPr>
            </w:pPr>
          </w:p>
        </w:tc>
        <w:tc>
          <w:tcPr>
            <w:tcW w:w="853" w:type="dxa"/>
            <w:vMerge/>
            <w:vAlign w:val="center"/>
          </w:tcPr>
          <w:p w14:paraId="2152674E" w14:textId="77777777" w:rsidR="000A5E19" w:rsidRDefault="000A5E19" w:rsidP="00C21AC7">
            <w:pPr>
              <w:rPr>
                <w:szCs w:val="21"/>
              </w:rPr>
            </w:pPr>
          </w:p>
        </w:tc>
        <w:tc>
          <w:tcPr>
            <w:tcW w:w="1018" w:type="dxa"/>
            <w:vMerge/>
            <w:vAlign w:val="center"/>
          </w:tcPr>
          <w:p w14:paraId="7151D388" w14:textId="77777777" w:rsidR="000A5E19" w:rsidRDefault="000A5E19" w:rsidP="00C21AC7">
            <w:pPr>
              <w:rPr>
                <w:szCs w:val="21"/>
              </w:rPr>
            </w:pPr>
          </w:p>
        </w:tc>
        <w:tc>
          <w:tcPr>
            <w:tcW w:w="2541" w:type="dxa"/>
            <w:gridSpan w:val="2"/>
            <w:vAlign w:val="center"/>
          </w:tcPr>
          <w:p w14:paraId="6B2CEB16" w14:textId="77777777" w:rsidR="000A5E19" w:rsidRDefault="000A5E19" w:rsidP="00C21AC7">
            <w:pPr>
              <w:jc w:val="center"/>
              <w:rPr>
                <w:szCs w:val="21"/>
              </w:rPr>
            </w:pPr>
            <w:r>
              <w:rPr>
                <w:szCs w:val="21"/>
              </w:rPr>
              <w:t>市政府对各区、各部门的绩效考核制度</w:t>
            </w:r>
          </w:p>
        </w:tc>
        <w:tc>
          <w:tcPr>
            <w:tcW w:w="1238" w:type="dxa"/>
            <w:gridSpan w:val="2"/>
            <w:vAlign w:val="center"/>
          </w:tcPr>
          <w:p w14:paraId="35438D60" w14:textId="77777777" w:rsidR="000A5E19" w:rsidRDefault="000A5E19" w:rsidP="00C21AC7">
            <w:pPr>
              <w:rPr>
                <w:szCs w:val="21"/>
              </w:rPr>
            </w:pPr>
            <w:r>
              <w:rPr>
                <w:szCs w:val="21"/>
              </w:rPr>
              <w:t>进一步健全绩效考核制度</w:t>
            </w:r>
            <w:r>
              <w:rPr>
                <w:rFonts w:hint="eastAsia"/>
                <w:szCs w:val="21"/>
              </w:rPr>
              <w:t>，</w:t>
            </w:r>
            <w:r>
              <w:rPr>
                <w:szCs w:val="21"/>
              </w:rPr>
              <w:t>开展年度考核</w:t>
            </w:r>
            <w:r>
              <w:rPr>
                <w:rFonts w:hint="eastAsia"/>
                <w:szCs w:val="21"/>
              </w:rPr>
              <w:t>。</w:t>
            </w:r>
          </w:p>
        </w:tc>
        <w:tc>
          <w:tcPr>
            <w:tcW w:w="1418" w:type="dxa"/>
            <w:gridSpan w:val="3"/>
            <w:vAlign w:val="center"/>
          </w:tcPr>
          <w:p w14:paraId="7B936261" w14:textId="77777777" w:rsidR="000A5E19" w:rsidRDefault="000A5E19" w:rsidP="00C21AC7">
            <w:pPr>
              <w:pStyle w:val="TableParagraph"/>
              <w:rPr>
                <w:szCs w:val="21"/>
              </w:rPr>
            </w:pPr>
            <w:r>
              <w:rPr>
                <w:szCs w:val="21"/>
              </w:rPr>
              <w:t>完成比例：</w:t>
            </w:r>
            <w:r>
              <w:rPr>
                <w:rFonts w:hint="eastAsia"/>
                <w:szCs w:val="21"/>
              </w:rPr>
              <w:t>1</w:t>
            </w:r>
            <w:r>
              <w:rPr>
                <w:szCs w:val="21"/>
              </w:rPr>
              <w:t>00%</w:t>
            </w:r>
            <w:r>
              <w:rPr>
                <w:szCs w:val="21"/>
              </w:rPr>
              <w:t>。</w:t>
            </w:r>
            <w:r>
              <w:rPr>
                <w:rFonts w:hint="eastAsia"/>
                <w:szCs w:val="21"/>
              </w:rPr>
              <w:t>将海绵城市建设考核纳入全市考评体系，分别在《桂林市</w:t>
            </w:r>
            <w:r>
              <w:rPr>
                <w:szCs w:val="21"/>
              </w:rPr>
              <w:t>2023</w:t>
            </w:r>
            <w:r>
              <w:rPr>
                <w:szCs w:val="21"/>
              </w:rPr>
              <w:t>年度市直单位绩效考评共性指标扣分细则》和《桂林市住房和城乡建设局</w:t>
            </w:r>
            <w:r>
              <w:rPr>
                <w:szCs w:val="21"/>
              </w:rPr>
              <w:t>2023</w:t>
            </w:r>
            <w:r>
              <w:rPr>
                <w:szCs w:val="21"/>
              </w:rPr>
              <w:t>年度县（市、区）绩效考评指标评分细则》中增加了海绵城市建设的考核指标，召开</w:t>
            </w:r>
            <w:r>
              <w:rPr>
                <w:rFonts w:hint="eastAsia"/>
                <w:szCs w:val="21"/>
              </w:rPr>
              <w:t>了</w:t>
            </w:r>
            <w:r>
              <w:rPr>
                <w:szCs w:val="21"/>
              </w:rPr>
              <w:t>海绵城市</w:t>
            </w:r>
            <w:r>
              <w:rPr>
                <w:szCs w:val="21"/>
              </w:rPr>
              <w:lastRenderedPageBreak/>
              <w:t>建设绩效考核培训会</w:t>
            </w:r>
            <w:r>
              <w:rPr>
                <w:rFonts w:hint="eastAsia"/>
                <w:szCs w:val="21"/>
              </w:rPr>
              <w:t>，</w:t>
            </w:r>
            <w:r>
              <w:rPr>
                <w:szCs w:val="21"/>
              </w:rPr>
              <w:t>并如期完成对各市直部门及各城区的年度绩效考评工作。</w:t>
            </w:r>
          </w:p>
        </w:tc>
        <w:tc>
          <w:tcPr>
            <w:tcW w:w="1851" w:type="dxa"/>
            <w:vAlign w:val="center"/>
          </w:tcPr>
          <w:p w14:paraId="60322084" w14:textId="77777777" w:rsidR="000A5E19" w:rsidRDefault="000A5E19" w:rsidP="00C21AC7">
            <w:pPr>
              <w:pStyle w:val="TableParagraph"/>
              <w:jc w:val="center"/>
              <w:rPr>
                <w:szCs w:val="21"/>
              </w:rPr>
            </w:pPr>
            <w:r>
              <w:rPr>
                <w:szCs w:val="21"/>
              </w:rPr>
              <w:lastRenderedPageBreak/>
              <w:t>无</w:t>
            </w:r>
          </w:p>
        </w:tc>
      </w:tr>
      <w:tr w:rsidR="000A5E19" w14:paraId="2EED149F" w14:textId="77777777" w:rsidTr="00C21AC7">
        <w:trPr>
          <w:trHeight w:val="300"/>
          <w:jc w:val="center"/>
        </w:trPr>
        <w:tc>
          <w:tcPr>
            <w:tcW w:w="724" w:type="dxa"/>
            <w:vMerge/>
            <w:textDirection w:val="tbRl"/>
            <w:vAlign w:val="center"/>
          </w:tcPr>
          <w:p w14:paraId="3AF1ABDC" w14:textId="77777777" w:rsidR="000A5E19" w:rsidRDefault="000A5E19" w:rsidP="00C21AC7">
            <w:pPr>
              <w:rPr>
                <w:szCs w:val="21"/>
              </w:rPr>
            </w:pPr>
          </w:p>
        </w:tc>
        <w:tc>
          <w:tcPr>
            <w:tcW w:w="853" w:type="dxa"/>
            <w:vMerge/>
            <w:vAlign w:val="center"/>
          </w:tcPr>
          <w:p w14:paraId="645AFD0C" w14:textId="77777777" w:rsidR="000A5E19" w:rsidRDefault="000A5E19" w:rsidP="00C21AC7">
            <w:pPr>
              <w:rPr>
                <w:szCs w:val="21"/>
              </w:rPr>
            </w:pPr>
          </w:p>
        </w:tc>
        <w:tc>
          <w:tcPr>
            <w:tcW w:w="1018" w:type="dxa"/>
            <w:vMerge/>
            <w:vAlign w:val="center"/>
          </w:tcPr>
          <w:p w14:paraId="11AAA54E" w14:textId="77777777" w:rsidR="000A5E19" w:rsidRDefault="000A5E19" w:rsidP="00C21AC7">
            <w:pPr>
              <w:rPr>
                <w:szCs w:val="21"/>
              </w:rPr>
            </w:pPr>
          </w:p>
        </w:tc>
        <w:tc>
          <w:tcPr>
            <w:tcW w:w="2541" w:type="dxa"/>
            <w:gridSpan w:val="2"/>
            <w:vAlign w:val="center"/>
          </w:tcPr>
          <w:p w14:paraId="5A94630C" w14:textId="77777777" w:rsidR="000A5E19" w:rsidRDefault="000A5E19" w:rsidP="00C21AC7">
            <w:pPr>
              <w:jc w:val="center"/>
              <w:rPr>
                <w:szCs w:val="21"/>
              </w:rPr>
            </w:pPr>
            <w:r>
              <w:rPr>
                <w:szCs w:val="21"/>
              </w:rPr>
              <w:t>拟制定的投融资机制</w:t>
            </w:r>
          </w:p>
        </w:tc>
        <w:tc>
          <w:tcPr>
            <w:tcW w:w="1238" w:type="dxa"/>
            <w:gridSpan w:val="2"/>
            <w:vAlign w:val="center"/>
          </w:tcPr>
          <w:p w14:paraId="09A8A8AB" w14:textId="77777777" w:rsidR="000A5E19" w:rsidRDefault="000A5E19" w:rsidP="00C21AC7">
            <w:pPr>
              <w:rPr>
                <w:szCs w:val="21"/>
              </w:rPr>
            </w:pPr>
            <w:r>
              <w:rPr>
                <w:szCs w:val="21"/>
              </w:rPr>
              <w:t>进一步完善投融资机制</w:t>
            </w:r>
            <w:r>
              <w:rPr>
                <w:rFonts w:hint="eastAsia"/>
                <w:szCs w:val="21"/>
              </w:rPr>
              <w:t>。</w:t>
            </w:r>
          </w:p>
        </w:tc>
        <w:tc>
          <w:tcPr>
            <w:tcW w:w="1418" w:type="dxa"/>
            <w:gridSpan w:val="3"/>
            <w:vAlign w:val="center"/>
          </w:tcPr>
          <w:p w14:paraId="265B4B6A" w14:textId="77777777" w:rsidR="000A5E19" w:rsidRDefault="000A5E19" w:rsidP="00C21AC7">
            <w:pPr>
              <w:pStyle w:val="TableParagraph"/>
              <w:rPr>
                <w:szCs w:val="21"/>
              </w:rPr>
            </w:pPr>
            <w:r>
              <w:rPr>
                <w:szCs w:val="21"/>
              </w:rPr>
              <w:t>完成比例：</w:t>
            </w:r>
            <w:r>
              <w:rPr>
                <w:rFonts w:hint="eastAsia"/>
                <w:szCs w:val="21"/>
              </w:rPr>
              <w:t>1</w:t>
            </w:r>
            <w:r>
              <w:rPr>
                <w:szCs w:val="21"/>
              </w:rPr>
              <w:t>00%</w:t>
            </w:r>
            <w:r>
              <w:rPr>
                <w:szCs w:val="21"/>
              </w:rPr>
              <w:t>。印发《桂林市海绵城市建设资金管理办法（试行）》《桂林市海绵城市建设政府和社会资本合作模式管理办法（试行）》《桂林市海绵城市建设成本补偿保障办法（试行）》等制度文件，成立支持海绵城市建设的投融资实体机构，投融资机制得到进一步完善。</w:t>
            </w:r>
          </w:p>
        </w:tc>
        <w:tc>
          <w:tcPr>
            <w:tcW w:w="1851" w:type="dxa"/>
            <w:vAlign w:val="center"/>
          </w:tcPr>
          <w:p w14:paraId="1768EA31" w14:textId="77777777" w:rsidR="000A5E19" w:rsidRDefault="000A5E19" w:rsidP="00C21AC7">
            <w:pPr>
              <w:pStyle w:val="TableParagraph"/>
              <w:jc w:val="center"/>
              <w:rPr>
                <w:szCs w:val="21"/>
              </w:rPr>
            </w:pPr>
            <w:r>
              <w:rPr>
                <w:szCs w:val="21"/>
              </w:rPr>
              <w:t>无</w:t>
            </w:r>
          </w:p>
        </w:tc>
      </w:tr>
      <w:tr w:rsidR="000A5E19" w14:paraId="01DF4E8C" w14:textId="77777777" w:rsidTr="00C21AC7">
        <w:trPr>
          <w:trHeight w:val="682"/>
          <w:jc w:val="center"/>
        </w:trPr>
        <w:tc>
          <w:tcPr>
            <w:tcW w:w="724" w:type="dxa"/>
            <w:vMerge/>
            <w:textDirection w:val="tbRl"/>
            <w:vAlign w:val="center"/>
          </w:tcPr>
          <w:p w14:paraId="583CE1CA" w14:textId="77777777" w:rsidR="000A5E19" w:rsidRDefault="000A5E19" w:rsidP="00C21AC7">
            <w:pPr>
              <w:rPr>
                <w:szCs w:val="21"/>
              </w:rPr>
            </w:pPr>
          </w:p>
        </w:tc>
        <w:tc>
          <w:tcPr>
            <w:tcW w:w="853" w:type="dxa"/>
            <w:vMerge/>
            <w:vAlign w:val="center"/>
          </w:tcPr>
          <w:p w14:paraId="32AEEDE8" w14:textId="77777777" w:rsidR="000A5E19" w:rsidRDefault="000A5E19" w:rsidP="00C21AC7">
            <w:pPr>
              <w:rPr>
                <w:szCs w:val="21"/>
              </w:rPr>
            </w:pPr>
          </w:p>
        </w:tc>
        <w:tc>
          <w:tcPr>
            <w:tcW w:w="1018" w:type="dxa"/>
            <w:vAlign w:val="center"/>
          </w:tcPr>
          <w:p w14:paraId="7BE9A9DB" w14:textId="77777777" w:rsidR="000A5E19" w:rsidRDefault="000A5E19" w:rsidP="00C21AC7">
            <w:pPr>
              <w:jc w:val="center"/>
              <w:rPr>
                <w:szCs w:val="21"/>
              </w:rPr>
            </w:pPr>
            <w:r>
              <w:rPr>
                <w:szCs w:val="21"/>
              </w:rPr>
              <w:t>服务对象满意度指标</w:t>
            </w:r>
          </w:p>
        </w:tc>
        <w:tc>
          <w:tcPr>
            <w:tcW w:w="2541" w:type="dxa"/>
            <w:gridSpan w:val="2"/>
            <w:vAlign w:val="center"/>
          </w:tcPr>
          <w:p w14:paraId="4E2628D3" w14:textId="77777777" w:rsidR="000A5E19" w:rsidRDefault="000A5E19" w:rsidP="00C21AC7">
            <w:pPr>
              <w:jc w:val="center"/>
              <w:rPr>
                <w:szCs w:val="21"/>
              </w:rPr>
            </w:pPr>
            <w:r>
              <w:rPr>
                <w:szCs w:val="21"/>
              </w:rPr>
              <w:t>人民群众满意</w:t>
            </w:r>
          </w:p>
        </w:tc>
        <w:tc>
          <w:tcPr>
            <w:tcW w:w="1238" w:type="dxa"/>
            <w:gridSpan w:val="2"/>
            <w:vAlign w:val="center"/>
          </w:tcPr>
          <w:p w14:paraId="28F900A5" w14:textId="77777777" w:rsidR="000A5E19" w:rsidRDefault="000A5E19" w:rsidP="00C21AC7">
            <w:pPr>
              <w:pStyle w:val="TableParagraph"/>
              <w:jc w:val="center"/>
              <w:rPr>
                <w:szCs w:val="21"/>
              </w:rPr>
            </w:pPr>
            <w:r>
              <w:rPr>
                <w:szCs w:val="21"/>
              </w:rPr>
              <w:t>≥95%</w:t>
            </w:r>
          </w:p>
        </w:tc>
        <w:tc>
          <w:tcPr>
            <w:tcW w:w="1418" w:type="dxa"/>
            <w:gridSpan w:val="3"/>
            <w:vAlign w:val="center"/>
          </w:tcPr>
          <w:p w14:paraId="739A732F" w14:textId="77777777" w:rsidR="000A5E19" w:rsidRDefault="000A5E19" w:rsidP="00C21AC7">
            <w:pPr>
              <w:pStyle w:val="TableParagraph"/>
              <w:jc w:val="center"/>
              <w:rPr>
                <w:szCs w:val="21"/>
              </w:rPr>
            </w:pPr>
            <w:r>
              <w:rPr>
                <w:szCs w:val="21"/>
              </w:rPr>
              <w:t>96.30%</w:t>
            </w:r>
          </w:p>
        </w:tc>
        <w:tc>
          <w:tcPr>
            <w:tcW w:w="1851" w:type="dxa"/>
            <w:vAlign w:val="center"/>
          </w:tcPr>
          <w:p w14:paraId="0741C997" w14:textId="77777777" w:rsidR="000A5E19" w:rsidRDefault="000A5E19" w:rsidP="00C21AC7">
            <w:pPr>
              <w:pStyle w:val="TableParagraph"/>
              <w:jc w:val="center"/>
              <w:rPr>
                <w:szCs w:val="21"/>
              </w:rPr>
            </w:pPr>
            <w:r>
              <w:rPr>
                <w:szCs w:val="21"/>
              </w:rPr>
              <w:t>无</w:t>
            </w:r>
          </w:p>
        </w:tc>
      </w:tr>
      <w:tr w:rsidR="000A5E19" w14:paraId="1F765C11" w14:textId="77777777" w:rsidTr="00C21AC7">
        <w:trPr>
          <w:trHeight w:val="310"/>
          <w:jc w:val="center"/>
        </w:trPr>
        <w:tc>
          <w:tcPr>
            <w:tcW w:w="724" w:type="dxa"/>
            <w:vAlign w:val="center"/>
          </w:tcPr>
          <w:p w14:paraId="6ED4F62C" w14:textId="77777777" w:rsidR="000A5E19" w:rsidRDefault="000A5E19" w:rsidP="00C21AC7">
            <w:pPr>
              <w:jc w:val="center"/>
              <w:rPr>
                <w:szCs w:val="21"/>
              </w:rPr>
            </w:pPr>
            <w:r>
              <w:rPr>
                <w:szCs w:val="21"/>
              </w:rPr>
              <w:t>说明</w:t>
            </w:r>
          </w:p>
        </w:tc>
        <w:tc>
          <w:tcPr>
            <w:tcW w:w="8919" w:type="dxa"/>
            <w:gridSpan w:val="10"/>
            <w:vAlign w:val="center"/>
          </w:tcPr>
          <w:p w14:paraId="7AF4E15B" w14:textId="77777777" w:rsidR="000A5E19" w:rsidRDefault="000A5E19" w:rsidP="00C21AC7">
            <w:pPr>
              <w:pStyle w:val="TableParagraph"/>
              <w:jc w:val="center"/>
              <w:rPr>
                <w:szCs w:val="21"/>
              </w:rPr>
            </w:pPr>
            <w:r>
              <w:rPr>
                <w:szCs w:val="21"/>
              </w:rPr>
              <w:t>无</w:t>
            </w:r>
          </w:p>
        </w:tc>
      </w:tr>
    </w:tbl>
    <w:p w14:paraId="1AB6C355" w14:textId="77777777" w:rsidR="000A5E19" w:rsidRDefault="000A5E19" w:rsidP="000A5E19">
      <w:pPr>
        <w:spacing w:line="240" w:lineRule="atLeast"/>
        <w:ind w:left="220"/>
        <w:rPr>
          <w:rFonts w:eastAsia="方正仿宋_GBK"/>
          <w:szCs w:val="21"/>
        </w:rPr>
      </w:pPr>
      <w:r>
        <w:rPr>
          <w:rFonts w:eastAsia="方正仿宋_GBK"/>
          <w:szCs w:val="21"/>
        </w:rPr>
        <w:t>注：</w:t>
      </w:r>
      <w:r>
        <w:rPr>
          <w:rFonts w:eastAsia="方正仿宋_GBK"/>
          <w:szCs w:val="21"/>
        </w:rPr>
        <w:t>1.</w:t>
      </w:r>
      <w:r>
        <w:rPr>
          <w:rFonts w:eastAsia="方正仿宋_GBK"/>
          <w:szCs w:val="21"/>
        </w:rPr>
        <w:t>资金使用单位按项目绩效目标填报，主管部门汇总时按区域绩效目标填报。</w:t>
      </w:r>
    </w:p>
    <w:p w14:paraId="70704E78" w14:textId="77777777" w:rsidR="000A5E19" w:rsidRDefault="000A5E19" w:rsidP="000A5E19">
      <w:pPr>
        <w:spacing w:line="240" w:lineRule="atLeast"/>
        <w:ind w:left="220" w:right="-10" w:firstLine="360"/>
        <w:rPr>
          <w:rFonts w:eastAsia="方正仿宋_GBK"/>
          <w:szCs w:val="21"/>
        </w:rPr>
      </w:pPr>
      <w:r>
        <w:rPr>
          <w:rFonts w:eastAsia="方正仿宋_GBK"/>
          <w:szCs w:val="21"/>
        </w:rPr>
        <w:t>2.</w:t>
      </w:r>
      <w:r>
        <w:rPr>
          <w:rFonts w:eastAsia="方正仿宋_GBK"/>
          <w:szCs w:val="21"/>
        </w:rPr>
        <w:t>其他资金包括与中央财政资金、地方财政资金共同投入到同一项目的自有资金、社会资金，以及以前年度的结转结余资金等。</w:t>
      </w:r>
    </w:p>
    <w:p w14:paraId="1F7F5372" w14:textId="77777777" w:rsidR="000A5E19" w:rsidRDefault="000A5E19" w:rsidP="000A5E19">
      <w:pPr>
        <w:spacing w:line="240" w:lineRule="atLeast"/>
        <w:ind w:left="580"/>
        <w:rPr>
          <w:rFonts w:eastAsia="方正仿宋_GBK"/>
          <w:szCs w:val="21"/>
        </w:rPr>
      </w:pPr>
      <w:r>
        <w:rPr>
          <w:rFonts w:eastAsia="方正仿宋_GBK"/>
          <w:szCs w:val="21"/>
        </w:rPr>
        <w:t>3.</w:t>
      </w:r>
      <w:r>
        <w:rPr>
          <w:rFonts w:eastAsia="方正仿宋_GBK"/>
          <w:szCs w:val="21"/>
        </w:rPr>
        <w:t>全年执行数是指按照国库集中支付制度要求形成的实际支出。</w:t>
      </w:r>
    </w:p>
    <w:p w14:paraId="72B10E02" w14:textId="77777777" w:rsidR="000A5E19" w:rsidRDefault="000A5E19" w:rsidP="000A5E19">
      <w:pPr>
        <w:spacing w:line="586" w:lineRule="exact"/>
        <w:ind w:firstLineChars="200" w:firstLine="640"/>
        <w:rPr>
          <w:rFonts w:eastAsia="仿宋_GB2312"/>
          <w:sz w:val="32"/>
          <w:szCs w:val="32"/>
        </w:rPr>
      </w:pPr>
    </w:p>
    <w:p w14:paraId="0D735B84" w14:textId="77777777" w:rsidR="000A5E19" w:rsidRDefault="000A5E19" w:rsidP="000A5E19"/>
    <w:p w14:paraId="1D8A82F0" w14:textId="77777777" w:rsidR="000A5E19" w:rsidRDefault="000A5E19" w:rsidP="000A5E19"/>
    <w:p w14:paraId="4566C621" w14:textId="77777777" w:rsidR="00F5164F" w:rsidRPr="000A5E19" w:rsidRDefault="00F5164F"/>
    <w:sectPr w:rsidR="00F5164F" w:rsidRPr="000A5E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CB3F2" w14:textId="77777777" w:rsidR="000A5E19" w:rsidRDefault="000A5E19" w:rsidP="000A5E19">
      <w:r>
        <w:separator/>
      </w:r>
    </w:p>
  </w:endnote>
  <w:endnote w:type="continuationSeparator" w:id="0">
    <w:p w14:paraId="79533E93" w14:textId="77777777" w:rsidR="000A5E19" w:rsidRDefault="000A5E19" w:rsidP="000A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auto"/>
    <w:pitch w:val="default"/>
    <w:sig w:usb0="00000001" w:usb1="08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D13B2" w14:textId="77777777" w:rsidR="000A5E19" w:rsidRDefault="000A5E19" w:rsidP="000A5E19">
      <w:r>
        <w:separator/>
      </w:r>
    </w:p>
  </w:footnote>
  <w:footnote w:type="continuationSeparator" w:id="0">
    <w:p w14:paraId="28771761" w14:textId="77777777" w:rsidR="000A5E19" w:rsidRDefault="000A5E19" w:rsidP="000A5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B40"/>
    <w:rsid w:val="00000727"/>
    <w:rsid w:val="000A5E19"/>
    <w:rsid w:val="004B0917"/>
    <w:rsid w:val="007E6CED"/>
    <w:rsid w:val="00A3209D"/>
    <w:rsid w:val="00CB2B40"/>
    <w:rsid w:val="00E554EC"/>
    <w:rsid w:val="00EC46E1"/>
    <w:rsid w:val="00F5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856F"/>
  <w15:chartTrackingRefBased/>
  <w15:docId w15:val="{3B789963-CCF9-4D93-803A-28A9C9E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方正仿宋_GBK" w:hAnsi="Times New Roman" w:cs="Times New Roman"/>
        <w:kern w:val="2"/>
        <w:sz w:val="44"/>
        <w:szCs w:val="36"/>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E19"/>
    <w:pPr>
      <w:widowControl w:val="0"/>
      <w:jc w:val="both"/>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E19"/>
    <w:pPr>
      <w:tabs>
        <w:tab w:val="center" w:pos="4153"/>
        <w:tab w:val="right" w:pos="8306"/>
      </w:tabs>
      <w:snapToGrid w:val="0"/>
      <w:jc w:val="center"/>
    </w:pPr>
    <w:rPr>
      <w:rFonts w:eastAsia="方正仿宋_GBK"/>
      <w:sz w:val="18"/>
      <w:szCs w:val="18"/>
    </w:rPr>
  </w:style>
  <w:style w:type="character" w:customStyle="1" w:styleId="a4">
    <w:name w:val="页眉 字符"/>
    <w:basedOn w:val="a0"/>
    <w:link w:val="a3"/>
    <w:uiPriority w:val="99"/>
    <w:rsid w:val="000A5E19"/>
    <w:rPr>
      <w:sz w:val="18"/>
      <w:szCs w:val="18"/>
    </w:rPr>
  </w:style>
  <w:style w:type="paragraph" w:styleId="a5">
    <w:name w:val="footer"/>
    <w:basedOn w:val="a"/>
    <w:link w:val="a6"/>
    <w:uiPriority w:val="99"/>
    <w:unhideWhenUsed/>
    <w:rsid w:val="000A5E19"/>
    <w:pPr>
      <w:tabs>
        <w:tab w:val="center" w:pos="4153"/>
        <w:tab w:val="right" w:pos="8306"/>
      </w:tabs>
      <w:snapToGrid w:val="0"/>
      <w:jc w:val="left"/>
    </w:pPr>
    <w:rPr>
      <w:rFonts w:eastAsia="方正仿宋_GBK"/>
      <w:sz w:val="18"/>
      <w:szCs w:val="18"/>
    </w:rPr>
  </w:style>
  <w:style w:type="character" w:customStyle="1" w:styleId="a6">
    <w:name w:val="页脚 字符"/>
    <w:basedOn w:val="a0"/>
    <w:link w:val="a5"/>
    <w:uiPriority w:val="99"/>
    <w:rsid w:val="000A5E19"/>
    <w:rPr>
      <w:sz w:val="18"/>
      <w:szCs w:val="18"/>
    </w:rPr>
  </w:style>
  <w:style w:type="paragraph" w:styleId="a7">
    <w:name w:val="Body Text"/>
    <w:basedOn w:val="a"/>
    <w:link w:val="a8"/>
    <w:qFormat/>
    <w:rsid w:val="000A5E19"/>
  </w:style>
  <w:style w:type="character" w:customStyle="1" w:styleId="a8">
    <w:name w:val="正文文本 字符"/>
    <w:basedOn w:val="a0"/>
    <w:link w:val="a7"/>
    <w:rsid w:val="000A5E19"/>
    <w:rPr>
      <w:rFonts w:eastAsia="宋体"/>
      <w:sz w:val="21"/>
      <w:szCs w:val="24"/>
    </w:rPr>
  </w:style>
  <w:style w:type="paragraph" w:customStyle="1" w:styleId="TableParagraph">
    <w:name w:val="Table Paragraph"/>
    <w:basedOn w:val="a"/>
    <w:uiPriority w:val="1"/>
    <w:qFormat/>
    <w:rsid w:val="000A5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云生</dc:creator>
  <cp:keywords/>
  <dc:description/>
  <cp:lastModifiedBy>刘 云生</cp:lastModifiedBy>
  <cp:revision>4</cp:revision>
  <dcterms:created xsi:type="dcterms:W3CDTF">2024-10-16T11:15:00Z</dcterms:created>
  <dcterms:modified xsi:type="dcterms:W3CDTF">2024-10-16T11:17:00Z</dcterms:modified>
</cp:coreProperties>
</file>