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</w:t>
      </w:r>
    </w:p>
    <w:p>
      <w:pPr>
        <w:spacing w:line="240" w:lineRule="exact"/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spacing w:line="520" w:lineRule="exact"/>
        <w:jc w:val="center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广西住房城乡建设领域技术、工艺、材料、设备和产品推广应用目录</w:t>
      </w:r>
    </w:p>
    <w:p>
      <w:pPr>
        <w:spacing w:line="400" w:lineRule="exact"/>
        <w:jc w:val="center"/>
        <w:rPr>
          <w:rFonts w:hint="default" w:ascii="Times New Roman" w:hAnsi="Times New Roman" w:eastAsia="方正楷体_GBK" w:cs="Times New Roman"/>
          <w:sz w:val="32"/>
          <w:szCs w:val="32"/>
        </w:rPr>
      </w:pPr>
      <w:r>
        <w:rPr>
          <w:rFonts w:hint="default" w:ascii="Times New Roman" w:hAnsi="Times New Roman" w:eastAsia="方正楷体_GBK" w:cs="Times New Roman"/>
          <w:sz w:val="32"/>
          <w:szCs w:val="32"/>
        </w:rPr>
        <w:t>（2022年版）</w:t>
      </w:r>
    </w:p>
    <w:p>
      <w:pPr>
        <w:spacing w:line="300" w:lineRule="exact"/>
        <w:rPr>
          <w:rFonts w:hint="eastAsia"/>
        </w:rPr>
      </w:pPr>
    </w:p>
    <w:tbl>
      <w:tblPr>
        <w:tblStyle w:val="3"/>
        <w:tblW w:w="1348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042"/>
        <w:gridCol w:w="3647"/>
        <w:gridCol w:w="1562"/>
        <w:gridCol w:w="1933"/>
        <w:gridCol w:w="4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eastAsia="方正仿宋_GBK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eastAsia="方正仿宋_GBK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kern w:val="0"/>
                <w:sz w:val="24"/>
                <w:szCs w:val="24"/>
              </w:rPr>
              <w:t>类型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eastAsia="方正仿宋_GBK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kern w:val="0"/>
                <w:sz w:val="24"/>
                <w:szCs w:val="24"/>
              </w:rPr>
              <w:t>生产（研发）单位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eastAsia="方正仿宋_GBK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kern w:val="0"/>
                <w:sz w:val="24"/>
                <w:szCs w:val="24"/>
              </w:rPr>
              <w:t>成果名称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eastAsia="方正仿宋_GBK"/>
                <w:b/>
                <w:bCs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kern w:val="0"/>
                <w:sz w:val="24"/>
                <w:szCs w:val="24"/>
              </w:rPr>
              <w:t>适用范围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eastAsia="方正仿宋_GBK"/>
                <w:b/>
                <w:bCs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b/>
                <w:bCs/>
                <w:kern w:val="0"/>
                <w:sz w:val="24"/>
                <w:szCs w:val="24"/>
              </w:rPr>
              <w:t>技术简介及性能特点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1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新材料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pacing w:val="-6"/>
                <w:kern w:val="0"/>
                <w:sz w:val="24"/>
                <w:szCs w:val="24"/>
              </w:rPr>
              <w:t>广西首科轨道新材料科技有限公司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高永伟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 xml:space="preserve"> 15611996888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CRB600H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高延性冷轧带肋钢筋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适用于公共及民用建筑、工业厂房建筑建设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4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CRB600H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钢筋延伸率较传统的冷轧带肋钢筋的延伸率提升了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100%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，抗拉性能较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HRB400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（俗称三级钢）强度性能提升了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20%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，用在建筑物中可有效节约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20%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左右的钢筋用量。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2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新设备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东莞市鑫峰建筑机械有限公司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栾云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 xml:space="preserve"> 13790226799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井道内专用施工升降机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适用于各种建筑的施工中人员和物料的垂直运输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4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pacing w:val="-6"/>
                <w:kern w:val="0"/>
                <w:sz w:val="24"/>
                <w:szCs w:val="24"/>
              </w:rPr>
              <w:t>运行速度为</w:t>
            </w:r>
            <w:r>
              <w:rPr>
                <w:rFonts w:ascii="Times New Roman" w:hAnsi="Times New Roman" w:eastAsia="方正仿宋_GBK"/>
                <w:spacing w:val="-6"/>
                <w:kern w:val="0"/>
                <w:sz w:val="24"/>
                <w:szCs w:val="24"/>
              </w:rPr>
              <w:t>60</w:t>
            </w:r>
            <w:r>
              <w:rPr>
                <w:rFonts w:hint="eastAsia" w:ascii="Times New Roman" w:hAnsi="Times New Roman" w:eastAsia="方正仿宋_GBK"/>
                <w:spacing w:val="-6"/>
                <w:kern w:val="0"/>
                <w:sz w:val="24"/>
                <w:szCs w:val="24"/>
              </w:rPr>
              <w:t>米</w:t>
            </w:r>
            <w:r>
              <w:rPr>
                <w:rFonts w:ascii="Times New Roman" w:hAnsi="Times New Roman" w:eastAsia="方正仿宋_GBK"/>
                <w:spacing w:val="-6"/>
                <w:kern w:val="0"/>
                <w:sz w:val="24"/>
                <w:szCs w:val="24"/>
              </w:rPr>
              <w:t>/</w:t>
            </w:r>
            <w:r>
              <w:rPr>
                <w:rFonts w:hint="eastAsia" w:ascii="Times New Roman" w:hAnsi="Times New Roman" w:eastAsia="方正仿宋_GBK"/>
                <w:spacing w:val="-6"/>
                <w:kern w:val="0"/>
                <w:sz w:val="24"/>
                <w:szCs w:val="24"/>
              </w:rPr>
              <w:t>分钟</w:t>
            </w:r>
            <w:r>
              <w:rPr>
                <w:rFonts w:ascii="Times New Roman" w:hAnsi="Times New Roman" w:eastAsia="方正仿宋_GBK"/>
                <w:spacing w:val="-6"/>
                <w:kern w:val="0"/>
                <w:sz w:val="24"/>
                <w:szCs w:val="24"/>
              </w:rPr>
              <w:t>~120</w:t>
            </w:r>
            <w:r>
              <w:rPr>
                <w:rFonts w:hint="eastAsia" w:ascii="Times New Roman" w:hAnsi="Times New Roman" w:eastAsia="方正仿宋_GBK"/>
                <w:spacing w:val="-6"/>
                <w:kern w:val="0"/>
                <w:sz w:val="24"/>
                <w:szCs w:val="24"/>
              </w:rPr>
              <w:t>米</w:t>
            </w:r>
            <w:r>
              <w:rPr>
                <w:rFonts w:ascii="Times New Roman" w:hAnsi="Times New Roman" w:eastAsia="方正仿宋_GBK"/>
                <w:spacing w:val="-6"/>
                <w:kern w:val="0"/>
                <w:sz w:val="24"/>
                <w:szCs w:val="24"/>
              </w:rPr>
              <w:t>/</w:t>
            </w:r>
            <w:r>
              <w:rPr>
                <w:rFonts w:hint="eastAsia" w:ascii="Times New Roman" w:hAnsi="Times New Roman" w:eastAsia="方正仿宋_GBK"/>
                <w:spacing w:val="-6"/>
                <w:kern w:val="0"/>
                <w:sz w:val="24"/>
                <w:szCs w:val="24"/>
              </w:rPr>
              <w:t>分钟，额定载重量</w:t>
            </w:r>
            <w:r>
              <w:rPr>
                <w:rFonts w:ascii="Times New Roman" w:hAnsi="Times New Roman" w:eastAsia="方正仿宋_GBK"/>
                <w:spacing w:val="-6"/>
                <w:kern w:val="0"/>
                <w:sz w:val="24"/>
                <w:szCs w:val="24"/>
              </w:rPr>
              <w:t>1.5</w:t>
            </w:r>
            <w:r>
              <w:rPr>
                <w:rFonts w:hint="eastAsia" w:ascii="Times New Roman" w:hAnsi="Times New Roman" w:eastAsia="方正仿宋_GBK"/>
                <w:spacing w:val="-6"/>
                <w:kern w:val="0"/>
                <w:sz w:val="24"/>
                <w:szCs w:val="24"/>
              </w:rPr>
              <w:t>吨</w:t>
            </w:r>
            <w:r>
              <w:rPr>
                <w:rFonts w:ascii="Times New Roman" w:hAnsi="Times New Roman" w:eastAsia="方正仿宋_GBK"/>
                <w:spacing w:val="-6"/>
                <w:kern w:val="0"/>
                <w:sz w:val="24"/>
                <w:szCs w:val="24"/>
              </w:rPr>
              <w:t>/1.6</w:t>
            </w:r>
            <w:r>
              <w:rPr>
                <w:rFonts w:hint="eastAsia" w:ascii="Times New Roman" w:hAnsi="Times New Roman" w:eastAsia="方正仿宋_GBK"/>
                <w:spacing w:val="-6"/>
                <w:kern w:val="0"/>
                <w:sz w:val="24"/>
                <w:szCs w:val="24"/>
              </w:rPr>
              <w:t>吨。建筑施工中物料配送从“外作”改为“内作”，节能效益明显，安全系数高。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3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新材料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广西国特建设工程集团有限公司班海河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 xml:space="preserve"> 15878391995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建筑用太阳能光伏夹层玻璃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pacing w:val="-6"/>
                <w:kern w:val="0"/>
                <w:sz w:val="24"/>
                <w:szCs w:val="24"/>
              </w:rPr>
              <w:t>适用于建筑屋顶、窗户、外墙等多种建筑结构上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4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碲化镉薄膜太阳能发电玻璃年均衰减小，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25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年输出功率不低于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85%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，风雪荷载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6000Pa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（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IEC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），抗冰雹等级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IV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级，使用寿命可达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50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4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新材料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西牛皮防水科技有限公司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韦冰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 xml:space="preserve"> 15994425733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spacing w:val="-11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pacing w:val="-11"/>
                <w:kern w:val="0"/>
                <w:sz w:val="24"/>
                <w:szCs w:val="24"/>
              </w:rPr>
              <w:t>一品能反应粘预铺现制复合防水卷材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适用于各类混凝土防水工程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4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产品由柔性片状材料和预铺保护结合层在施工现场复合制成。能有效防止粘结面窜水。达到防水层整体性更好、施工更便捷、更灵活、更有效的应用效果。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0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5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新材料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西牛皮防水科技有限公司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韦冰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 xml:space="preserve"> 15994425733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一品能反应粘湿铺防水卷材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适用于各类混凝土防水工程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产品采用皮芯结构热压交联高分子增强胎基与“低温低粘”的新型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CPS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改性胶料复合成型。可同时与混凝土基面、皮芯结构强力筋融合粘结成一体；增强胎基薄而强、浸渍性好。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6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新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  <w:t>材料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西牛皮防水科技有限公司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韦冰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 xml:space="preserve"> 15994425733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反应粘湿铺防水卷材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适用于各类混凝土防水工程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产品由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CPS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反应粘强力胶和高分子膜基复合而成，采用水泥浆料粘贴，能与水泥浆料或现浇混凝土同步反应粘结，形成致密连续的界面密封层，达到密封防水的效果。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0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7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新技术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西牛皮防水科技有限公司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韦冰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 xml:space="preserve"> 15994425733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pacing w:val="-11"/>
                <w:kern w:val="0"/>
                <w:sz w:val="24"/>
                <w:szCs w:val="24"/>
              </w:rPr>
              <w:t>一品能反应粘防水卷材防水防护一体化应用技术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适用于各类混凝土防水工程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一品能反应粘湿铺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/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预铺现制复合防水卷材做好密封防水后，在防水层上构筑一层薄型融合式界面防护层，将结构层、防水层、界面防护层融合，起到持久粘结、长效密封的防水效果，还能及时保护防水层，延长防水层使用寿命。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8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新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  <w:t>材料</w:t>
            </w:r>
            <w:bookmarkStart w:id="0" w:name="_GoBack"/>
            <w:bookmarkEnd w:id="0"/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苏州佳固士新材料科技有限公司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蒋红晖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 xml:space="preserve"> 18957169666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自愈型无机增殖防水剂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适用于混凝土结构自防水工程，有长期稳定防水、抗裂、防腐需求的项目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产品是一种无毒无机环保防水材料，可以在混凝土的孔隙中产生不可溶的枝蔓状结晶体，使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0.4mm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以下的裂缝自愈合，掺防水剂混凝土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28d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抗渗压力可达到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1.2MPa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，第二次抗渗压力比≥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300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，使普通混凝土的寿命延长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1-2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9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新材料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spacing w:val="-11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pacing w:val="-11"/>
                <w:kern w:val="0"/>
                <w:sz w:val="24"/>
                <w:szCs w:val="24"/>
              </w:rPr>
              <w:t>宜宾天亿新材料科技有限公司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spacing w:val="-11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spacing w:val="-11"/>
                <w:kern w:val="0"/>
                <w:sz w:val="24"/>
                <w:szCs w:val="24"/>
              </w:rPr>
              <w:t>刘承男</w:t>
            </w:r>
            <w:r>
              <w:rPr>
                <w:rFonts w:ascii="Times New Roman" w:hAnsi="Times New Roman" w:eastAsia="方正仿宋_GBK"/>
                <w:spacing w:val="-11"/>
                <w:kern w:val="0"/>
                <w:sz w:val="24"/>
                <w:szCs w:val="24"/>
              </w:rPr>
              <w:t xml:space="preserve"> 15982159244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PVC-O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管材和连接件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both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适用于给水、压力排水、排污及灌溉系统的管材和连接件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PVC-O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管与传统管材相比，具有质量轻、安装方便、不结垢、内壁光滑、输水性能好、耐酸碱盐腐蚀、寿命长等传统塑料管道所具有的一般优点外，其特殊的成型工艺还赋予了该产品相比其他管材更高的综合性能。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10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新设备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华邦创科（惠州）智能科技有限公司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罗家满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15007872249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安全用电智能设备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both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适用于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220V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或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380V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的交流用电回路中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产品针对电气线路老化、线路或设备绝缘故障引发电气起火人员触电伤亡、线路短路、线路过流过载等电气安全事故进行有效预防，从根源上避免电气火灾和电气伤人事故的发生。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11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新材料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东莞市百妥木新材料有限公司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兰秋娥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 xml:space="preserve"> 18824369928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超高耐候性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PVC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共挤高纤维聚酯复合木塑地板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both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适用于户外地板、格栅、外墙、凉亭、花箱、木屋等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产品使用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PVC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为基材，加木纤维交织聚酯纤维、抗老化剂等制作而成，产品特点为不褪色、不开裂、不霉变、不腐朽、不虫蛀，日常使用无需维护保养。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12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新材料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温州海螺孚瓯科技有限公司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洪仙庆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 xml:space="preserve"> 18958686931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有釉面发泡陶瓷保温板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both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适用于新建、扩建和改建项目外墙外保温工程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产品是以珍珠岩、膨润土等为原料，经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1200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℃高温一次烧制成型。有轻质、保温隔热、防火防水、防潮降噪、无机环保、耐腐蚀、耐磨损、自清洁能力强、施工工期短、工艺简单等特点。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0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  <w:t>新材料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  <w:t>广西建工积健建材制造有限公司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  <w:t>吴文励13977162922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  <w:t>成型钢筋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both"/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适用于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  <w:t>所有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新建、扩建和改造工程</w:t>
            </w: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  <w:t>钢筋混凝土结构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项目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主体结构钢筋由工厂应用智能化钢筋集中加工完成，现场免建钢筋加工棚，降低成本和材料损耗，不产生建筑垃圾，贯彻绿色发展理念，实现资源优化利用和低碳排放要求。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0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default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szCs w:val="24"/>
              </w:rPr>
              <w:t>新技术</w:t>
            </w:r>
          </w:p>
        </w:tc>
        <w:tc>
          <w:tcPr>
            <w:tcW w:w="36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苏州城享智能科技有限公司</w:t>
            </w: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 xml:space="preserve">林振兴 </w:t>
            </w:r>
            <w:r>
              <w:rPr>
                <w:rFonts w:ascii="Times New Roman" w:hAnsi="Times New Roman" w:eastAsia="方正仿宋_GBK"/>
                <w:kern w:val="0"/>
                <w:sz w:val="24"/>
                <w:szCs w:val="24"/>
              </w:rPr>
              <w:t>13120763333</w:t>
            </w:r>
          </w:p>
        </w:tc>
        <w:tc>
          <w:tcPr>
            <w:tcW w:w="15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Times New Roman" w:hAnsi="Times New Roman" w:eastAsia="方正仿宋_GBK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pacing w:val="-11"/>
                <w:kern w:val="0"/>
                <w:sz w:val="24"/>
                <w:szCs w:val="24"/>
              </w:rPr>
              <w:t>电动自行车无线充电组件及技术方案</w:t>
            </w:r>
          </w:p>
        </w:tc>
        <w:tc>
          <w:tcPr>
            <w:tcW w:w="1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both"/>
              <w:rPr>
                <w:rFonts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  <w:t>适用于城市道路、小区等有两轮自行车充电需求的场所</w:t>
            </w:r>
          </w:p>
        </w:tc>
        <w:tc>
          <w:tcPr>
            <w:tcW w:w="4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60" w:lineRule="exact"/>
              <w:jc w:val="left"/>
              <w:rPr>
                <w:rFonts w:hint="eastAsia" w:ascii="Times New Roman" w:hAnsi="Times New Roman" w:eastAsia="方正仿宋_GBK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szCs w:val="24"/>
              </w:rPr>
              <w:t>解决两轮电动自行车传统有线充电的安全隐患，形成独有无线电能传输核心技术及体系。此无线充电及供电技术具备安全、高效、智能、精准停车等特点。同时助力</w:t>
            </w:r>
            <w:r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szCs w:val="24"/>
                <w:lang w:eastAsia="zh-CN"/>
              </w:rPr>
              <w:t>主管部门</w:t>
            </w:r>
            <w:r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szCs w:val="24"/>
              </w:rPr>
              <w:t>对</w:t>
            </w:r>
            <w:r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szCs w:val="24"/>
                <w:lang w:eastAsia="zh-CN"/>
              </w:rPr>
              <w:t>辖区</w:t>
            </w:r>
            <w:r>
              <w:rPr>
                <w:rFonts w:hint="eastAsia" w:ascii="Times New Roman" w:hAnsi="Times New Roman" w:eastAsia="方正仿宋_GBK"/>
                <w:color w:val="000000"/>
                <w:kern w:val="0"/>
                <w:sz w:val="24"/>
                <w:szCs w:val="24"/>
              </w:rPr>
              <w:t>内所有电动自行车的电池状态进行全面性监测。</w:t>
            </w:r>
          </w:p>
        </w:tc>
      </w:tr>
    </w:tbl>
    <w:p>
      <w:pPr>
        <w:widowControl/>
        <w:jc w:val="left"/>
        <w:sectPr>
          <w:footerReference r:id="rId3" w:type="default"/>
          <w:pgSz w:w="16838" w:h="11906" w:orient="landscape"/>
          <w:pgMar w:top="1417" w:right="1928" w:bottom="1417" w:left="1814" w:header="851" w:footer="1531" w:gutter="0"/>
          <w:pgNumType w:fmt="decimal"/>
          <w:cols w:space="720" w:num="1"/>
          <w:rtlGutter w:val="0"/>
          <w:docGrid w:type="lines" w:linePitch="4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Style w:val="5"/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5"/>
                              <w:rFonts w:hint="default" w:ascii="Times New Roman" w:hAnsi="Times New Roman" w:cs="Times New Roman"/>
                              <w:spacing w:val="-20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5"/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5"/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21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5"/>
                              <w:rFonts w:hint="default" w:ascii="Times New Roman" w:hAnsi="Times New Roman" w:cs="Times New Roman"/>
                              <w:spacing w:val="-20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Style w:val="5"/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Style w:val="5"/>
                        <w:rFonts w:hint="default" w:ascii="Times New Roman" w:hAnsi="Times New Roman" w:cs="Times New Roman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5"/>
                        <w:rFonts w:hint="default" w:ascii="Times New Roman" w:hAnsi="Times New Roman" w:cs="Times New Roman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5"/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5"/>
                        <w:rFonts w:ascii="Times New Roman" w:hAnsi="Times New Roman" w:cs="Times New Roman"/>
                        <w:sz w:val="28"/>
                        <w:szCs w:val="28"/>
                      </w:rPr>
                      <w:t>21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5"/>
                        <w:rFonts w:hint="default" w:ascii="Times New Roman" w:hAnsi="Times New Roman" w:cs="Times New Roman"/>
                        <w:spacing w:val="-2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Style w:val="5"/>
                        <w:rFonts w:hint="default" w:ascii="Times New Roman" w:hAnsi="Times New Roman" w:cs="Times New Roman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D42E4D"/>
    <w:rsid w:val="45915AB8"/>
    <w:rsid w:val="55D42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2023-03-14T07:28:00Z</dcterms:created>
  <dc:creator>信息中心收发文</dc:creator>
  <cp:lastModifiedBy>信息中心收发文</cp:lastModifiedBy>
  <dcterms:modified xsi:type="dcterms:W3CDTF">2023-03-14T08:28:12Z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