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105" w:leftChars="50" w:right="105" w:rightChars="50"/>
        <w:jc w:val="center"/>
        <w:rPr>
          <w:rFonts w:ascii="Times New Roman" w:hAnsi="Times New Roman" w:eastAsia="方正仿宋_GBK"/>
          <w:sz w:val="32"/>
          <w:szCs w:val="24"/>
        </w:rPr>
      </w:pPr>
      <w:r>
        <w:rPr>
          <w:rFonts w:ascii="Times New Roman" w:hAnsi="Times New Roman" w:eastAsia="方正仿宋_GBK"/>
          <w:sz w:val="32"/>
          <w:szCs w:val="24"/>
        </w:rPr>
        <w:t>桂民发〔202</w:t>
      </w:r>
      <w:r>
        <w:rPr>
          <w:rFonts w:hint="eastAsia" w:ascii="Times New Roman" w:hAnsi="Times New Roman" w:eastAsia="方正仿宋_GBK"/>
          <w:sz w:val="32"/>
          <w:szCs w:val="24"/>
        </w:rPr>
        <w:t>2</w:t>
      </w:r>
      <w:r>
        <w:rPr>
          <w:rFonts w:ascii="Times New Roman" w:hAnsi="Times New Roman" w:eastAsia="方正仿宋_GBK"/>
          <w:sz w:val="32"/>
          <w:szCs w:val="24"/>
        </w:rPr>
        <w:t>〕</w:t>
      </w:r>
      <w:r>
        <w:rPr>
          <w:rFonts w:hint="eastAsia" w:ascii="Times New Roman" w:hAnsi="Times New Roman" w:eastAsia="方正仿宋_GBK"/>
          <w:sz w:val="32"/>
          <w:szCs w:val="24"/>
        </w:rPr>
        <w:t>38</w:t>
      </w:r>
      <w:r>
        <w:rPr>
          <w:rFonts w:ascii="Times New Roman" w:hAnsi="Times New Roman" w:eastAsia="方正仿宋_GBK"/>
          <w:sz w:val="32"/>
          <w:szCs w:val="24"/>
        </w:rPr>
        <w:t>号</w:t>
      </w:r>
    </w:p>
    <w:p>
      <w:pPr>
        <w:overflowPunct w:val="0"/>
        <w:adjustRightInd w:val="0"/>
        <w:snapToGrid w:val="0"/>
        <w:spacing w:line="620" w:lineRule="exact"/>
        <w:jc w:val="center"/>
        <w:rPr>
          <w:rFonts w:hint="eastAsia" w:ascii="方正小标宋_GBK" w:eastAsia="方正小标宋_GBK"/>
          <w:snapToGrid w:val="0"/>
          <w:kern w:val="0"/>
          <w:sz w:val="44"/>
          <w:szCs w:val="44"/>
        </w:rPr>
      </w:pPr>
    </w:p>
    <w:p>
      <w:pPr>
        <w:overflowPunct w:val="0"/>
        <w:adjustRightInd w:val="0"/>
        <w:snapToGrid w:val="0"/>
        <w:spacing w:line="62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广西壮族自治区民政厅  广西壮族自治区</w:t>
      </w:r>
      <w:r>
        <w:rPr>
          <w:rFonts w:hint="eastAsia" w:ascii="方正小标宋_GBK" w:eastAsia="方正小标宋_GBK"/>
          <w:snapToGrid w:val="0"/>
          <w:kern w:val="0"/>
          <w:sz w:val="44"/>
          <w:szCs w:val="44"/>
        </w:rPr>
        <w:cr/>
      </w:r>
      <w:r>
        <w:rPr>
          <w:rFonts w:hint="eastAsia" w:ascii="方正小标宋_GBK" w:eastAsia="方正小标宋_GBK"/>
          <w:snapToGrid w:val="0"/>
          <w:kern w:val="0"/>
          <w:sz w:val="44"/>
          <w:szCs w:val="44"/>
        </w:rPr>
        <w:t>住房和城乡建设厅关于公布</w:t>
      </w:r>
      <w:r>
        <w:rPr>
          <w:rFonts w:hint="eastAsia" w:ascii="方正小标宋_GBK" w:hAnsi="Times New Roman" w:eastAsia="方正小标宋_GBK"/>
          <w:snapToGrid w:val="0"/>
          <w:kern w:val="0"/>
          <w:sz w:val="44"/>
          <w:szCs w:val="44"/>
        </w:rPr>
        <w:t>2022</w:t>
      </w:r>
      <w:r>
        <w:rPr>
          <w:rFonts w:hint="eastAsia" w:ascii="方正小标宋_GBK" w:eastAsia="方正小标宋_GBK"/>
          <w:snapToGrid w:val="0"/>
          <w:kern w:val="0"/>
          <w:sz w:val="44"/>
          <w:szCs w:val="44"/>
        </w:rPr>
        <w:t>年</w:t>
      </w:r>
    </w:p>
    <w:p>
      <w:pPr>
        <w:overflowPunct w:val="0"/>
        <w:adjustRightInd w:val="0"/>
        <w:snapToGrid w:val="0"/>
        <w:spacing w:line="62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广西老年人宜居社区名单的通知</w:t>
      </w:r>
    </w:p>
    <w:p>
      <w:pPr>
        <w:overflowPunct w:val="0"/>
        <w:adjustRightInd w:val="0"/>
        <w:snapToGrid w:val="0"/>
        <w:spacing w:line="620" w:lineRule="exact"/>
        <w:rPr>
          <w:rFonts w:hint="eastAsia" w:ascii="方正小标宋_GBK" w:eastAsia="方正小标宋_GBK"/>
          <w:snapToGrid w:val="0"/>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各市、县（市、区）民政局、住房城乡建设局：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根据《广西壮族自治区民政厅  广西壮族自治区住房和城乡建设厅关于开展广西老年人宜居社区创建工作的通知》（桂民发</w:t>
      </w:r>
      <w:r>
        <w:rPr>
          <w:rFonts w:ascii="Times New Roman" w:hAnsi="Times New Roman" w:eastAsia="方正仿宋_GBK"/>
          <w:snapToGrid w:val="0"/>
          <w:kern w:val="0"/>
          <w:sz w:val="32"/>
          <w:szCs w:val="32"/>
        </w:rPr>
        <w:t>〔2019〕54号）精神，经自治区民政厅、住房城乡建设厅审定，现将2022年AAA级</w:t>
      </w:r>
      <w:r>
        <w:rPr>
          <w:rFonts w:hint="eastAsia" w:ascii="方正仿宋_GBK" w:eastAsia="方正仿宋_GBK"/>
          <w:snapToGrid w:val="0"/>
          <w:kern w:val="0"/>
          <w:sz w:val="32"/>
          <w:szCs w:val="32"/>
        </w:rPr>
        <w:t>广西老年人宜居社区名单公布如下：</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bCs/>
          <w:snapToGrid w:val="0"/>
          <w:kern w:val="0"/>
          <w:sz w:val="32"/>
          <w:szCs w:val="32"/>
        </w:rPr>
      </w:pPr>
      <w:r>
        <w:rPr>
          <w:rFonts w:hint="eastAsia" w:ascii="方正黑体_GBK" w:hAnsi="Times New Roman" w:eastAsia="方正黑体_GBK"/>
          <w:bCs/>
          <w:snapToGrid w:val="0"/>
          <w:kern w:val="0"/>
          <w:sz w:val="32"/>
          <w:szCs w:val="32"/>
        </w:rPr>
        <w:t>南宁市（</w:t>
      </w:r>
      <w:r>
        <w:rPr>
          <w:rFonts w:hint="eastAsia" w:ascii="方正黑体_GBK" w:hAnsi="Times New Roman" w:eastAsia="方正黑体_GBK"/>
          <w:snapToGrid w:val="0"/>
          <w:kern w:val="0"/>
          <w:sz w:val="32"/>
          <w:szCs w:val="32"/>
        </w:rPr>
        <w:t>2</w:t>
      </w:r>
      <w:r>
        <w:rPr>
          <w:rFonts w:hint="eastAsia" w:ascii="方正黑体_GBK" w:hAnsi="Times New Roman" w:eastAsia="方正黑体_GBK"/>
          <w:bCs/>
          <w:snapToGrid w:val="0"/>
          <w:kern w:val="0"/>
          <w:sz w:val="32"/>
          <w:szCs w:val="32"/>
        </w:rPr>
        <w:t>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青秀区秀山社区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青秀区长虹社区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bCs/>
          <w:snapToGrid w:val="0"/>
          <w:kern w:val="0"/>
          <w:sz w:val="32"/>
          <w:szCs w:val="32"/>
        </w:rPr>
      </w:pPr>
      <w:r>
        <w:rPr>
          <w:rFonts w:hint="eastAsia" w:ascii="方正黑体_GBK" w:hAnsi="Times New Roman" w:eastAsia="方正黑体_GBK"/>
          <w:bCs/>
          <w:snapToGrid w:val="0"/>
          <w:kern w:val="0"/>
          <w:sz w:val="32"/>
          <w:szCs w:val="32"/>
        </w:rPr>
        <w:t>柳州市（</w:t>
      </w:r>
      <w:r>
        <w:rPr>
          <w:rFonts w:hint="eastAsia" w:ascii="方正黑体_GBK" w:hAnsi="Times New Roman" w:eastAsia="方正黑体_GBK"/>
          <w:snapToGrid w:val="0"/>
          <w:kern w:val="0"/>
          <w:sz w:val="32"/>
          <w:szCs w:val="32"/>
        </w:rPr>
        <w:t>1</w:t>
      </w:r>
      <w:r>
        <w:rPr>
          <w:rFonts w:hint="eastAsia" w:ascii="方正黑体_GBK" w:hAnsi="Times New Roman" w:eastAsia="方正黑体_GBK"/>
          <w:bCs/>
          <w:snapToGrid w:val="0"/>
          <w:kern w:val="0"/>
          <w:sz w:val="32"/>
          <w:szCs w:val="32"/>
        </w:rPr>
        <w:t>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柳江区兴柳社区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桂林市（4个）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七星区空明社区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七星区毅峰社区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秀峰区榕湖社区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象山区五美社区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梧州市（1个）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万秀区钱鉴社区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钦州市（3个）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钦北区永福社区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灵山县中山社区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浦北县环城社区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贵港市（3个）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港北区凤凰社区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覃塘区覃塘社区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港北区登龙桥社区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玉林市（3个）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玉州区江滨社区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玉州区金桂丽湾社区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北流市永顺社区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百色市（1个）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右江区石龙社区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黑体_GBK" w:hAnsi="Times New Roman" w:eastAsia="方正黑体_GBK"/>
          <w:bCs/>
          <w:snapToGrid w:val="0"/>
          <w:kern w:val="0"/>
          <w:sz w:val="32"/>
          <w:szCs w:val="32"/>
        </w:rPr>
      </w:pPr>
      <w:r>
        <w:rPr>
          <w:rFonts w:ascii="方正黑体_GBK" w:hAnsi="Times New Roman" w:eastAsia="方正黑体_GBK"/>
          <w:bCs/>
          <w:snapToGrid w:val="0"/>
          <w:kern w:val="0"/>
          <w:sz w:val="32"/>
          <w:szCs w:val="32"/>
        </w:rPr>
        <w:t>来宾市（1个）</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金秀</w:t>
      </w:r>
      <w:r>
        <w:rPr>
          <w:rFonts w:hint="eastAsia" w:ascii="Times New Roman" w:hAnsi="Times New Roman" w:eastAsia="方正仿宋_GBK"/>
          <w:snapToGrid w:val="0"/>
          <w:kern w:val="0"/>
          <w:sz w:val="32"/>
          <w:szCs w:val="32"/>
        </w:rPr>
        <w:t>瑶族自治</w:t>
      </w:r>
      <w:r>
        <w:rPr>
          <w:rFonts w:ascii="Times New Roman" w:hAnsi="Times New Roman" w:eastAsia="方正仿宋_GBK"/>
          <w:snapToGrid w:val="0"/>
          <w:kern w:val="0"/>
          <w:sz w:val="32"/>
          <w:szCs w:val="32"/>
        </w:rPr>
        <w:t>县荣兴社区</w:t>
      </w:r>
      <w:bookmarkStart w:id="0" w:name="_GoBack"/>
      <w:bookmarkEnd w:id="0"/>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419" w:firstLineChars="131"/>
        <w:textAlignment w:val="auto"/>
        <w:rPr>
          <w:rFonts w:hint="eastAsia" w:ascii="方正仿宋_GBK" w:hAnsi="Times New Roman" w:eastAsia="方正仿宋_GBK"/>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Style w:val="6"/>
          <w:rFonts w:hint="default"/>
          <w:snapToGrid w:val="0"/>
          <w:kern w:val="0"/>
        </w:rPr>
      </w:pPr>
    </w:p>
    <w:p>
      <w:pPr>
        <w:keepNext w:val="0"/>
        <w:keepLines w:val="0"/>
        <w:pageBreakBefore w:val="0"/>
        <w:widowControl w:val="0"/>
        <w:tabs>
          <w:tab w:val="left" w:pos="851"/>
        </w:tabs>
        <w:kinsoku/>
        <w:wordWrap/>
        <w:overflowPunct w:val="0"/>
        <w:topLinePunct w:val="0"/>
        <w:autoSpaceDE/>
        <w:autoSpaceDN/>
        <w:bidi w:val="0"/>
        <w:adjustRightInd w:val="0"/>
        <w:snapToGrid w:val="0"/>
        <w:spacing w:line="600" w:lineRule="exact"/>
        <w:jc w:val="center"/>
        <w:textAlignment w:val="auto"/>
        <w:rPr>
          <w:rStyle w:val="6"/>
          <w:rFonts w:hint="default"/>
          <w:snapToGrid w:val="0"/>
          <w:kern w:val="0"/>
        </w:rPr>
      </w:pPr>
      <w:r>
        <w:rPr>
          <w:rStyle w:val="6"/>
          <w:rFonts w:hint="default"/>
          <w:snapToGrid w:val="0"/>
          <w:spacing w:val="40"/>
          <w:kern w:val="0"/>
          <w:fitText w:val="2720" w:id="0"/>
        </w:rPr>
        <w:t>广西壮族自治</w:t>
      </w:r>
      <w:r>
        <w:rPr>
          <w:rStyle w:val="6"/>
          <w:rFonts w:hint="default"/>
          <w:snapToGrid w:val="0"/>
          <w:kern w:val="0"/>
          <w:fitText w:val="2720" w:id="0"/>
        </w:rPr>
        <w:t>区</w:t>
      </w:r>
      <w:r>
        <w:rPr>
          <w:rStyle w:val="6"/>
          <w:rFonts w:hint="default"/>
          <w:snapToGrid w:val="0"/>
          <w:kern w:val="0"/>
        </w:rPr>
        <w:t xml:space="preserve">        </w:t>
      </w:r>
      <w:r>
        <w:rPr>
          <w:rStyle w:val="6"/>
          <w:rFonts w:hint="default"/>
          <w:snapToGrid w:val="0"/>
          <w:spacing w:val="40"/>
          <w:kern w:val="0"/>
          <w:fitText w:val="2720" w:id="0"/>
        </w:rPr>
        <w:t>广西壮族自治</w:t>
      </w:r>
      <w:r>
        <w:rPr>
          <w:rStyle w:val="6"/>
          <w:rFonts w:hint="default"/>
          <w:snapToGrid w:val="0"/>
          <w:kern w:val="0"/>
          <w:fitText w:val="2720" w:id="0"/>
        </w:rPr>
        <w:t>区</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仿宋_GBK" w:eastAsia="方正仿宋_GBK"/>
          <w:snapToGrid w:val="0"/>
          <w:color w:val="000000"/>
          <w:kern w:val="0"/>
          <w:sz w:val="32"/>
          <w:szCs w:val="32"/>
        </w:rPr>
      </w:pPr>
      <w:r>
        <w:rPr>
          <w:rStyle w:val="6"/>
          <w:rFonts w:hint="default"/>
          <w:snapToGrid w:val="0"/>
          <w:spacing w:val="440"/>
          <w:kern w:val="0"/>
          <w:fitText w:val="2720" w:id="1"/>
        </w:rPr>
        <w:t>民政</w:t>
      </w:r>
      <w:r>
        <w:rPr>
          <w:rStyle w:val="6"/>
          <w:rFonts w:hint="default"/>
          <w:snapToGrid w:val="0"/>
          <w:kern w:val="0"/>
          <w:fitText w:val="2720" w:id="1"/>
        </w:rPr>
        <w:t>厅</w:t>
      </w:r>
      <w:r>
        <w:rPr>
          <w:rStyle w:val="6"/>
          <w:rFonts w:hint="default"/>
          <w:snapToGrid w:val="0"/>
          <w:kern w:val="0"/>
        </w:rPr>
        <w:t xml:space="preserve">        </w:t>
      </w:r>
      <w:r>
        <w:rPr>
          <w:rStyle w:val="6"/>
          <w:rFonts w:hint="default"/>
          <w:snapToGrid w:val="0"/>
          <w:spacing w:val="11"/>
          <w:kern w:val="0"/>
          <w:fitText w:val="2720" w:id="1"/>
        </w:rPr>
        <w:t>住房和城乡建设</w:t>
      </w:r>
      <w:r>
        <w:rPr>
          <w:rStyle w:val="6"/>
          <w:rFonts w:hint="default"/>
          <w:snapToGrid w:val="0"/>
          <w:spacing w:val="3"/>
          <w:kern w:val="0"/>
          <w:fitText w:val="2720" w:id="1"/>
        </w:rPr>
        <w:t>厅</w:t>
      </w:r>
    </w:p>
    <w:p>
      <w:pPr>
        <w:keepNext w:val="0"/>
        <w:keepLines w:val="0"/>
        <w:pageBreakBefore w:val="0"/>
        <w:widowControl w:val="0"/>
        <w:kinsoku/>
        <w:wordWrap/>
        <w:overflowPunct w:val="0"/>
        <w:topLinePunct w:val="0"/>
        <w:autoSpaceDE/>
        <w:autoSpaceDN/>
        <w:bidi w:val="0"/>
        <w:adjustRightInd w:val="0"/>
        <w:snapToGrid w:val="0"/>
        <w:spacing w:line="600" w:lineRule="exact"/>
        <w:ind w:right="1155" w:rightChars="550"/>
        <w:jc w:val="right"/>
        <w:textAlignment w:val="auto"/>
        <w:rPr>
          <w:rStyle w:val="6"/>
          <w:rFonts w:hint="default" w:ascii="Times New Roman" w:hAnsi="Times New Roman"/>
          <w:snapToGrid w:val="0"/>
          <w:kern w:val="0"/>
        </w:rPr>
      </w:pPr>
      <w:r>
        <w:rPr>
          <w:rStyle w:val="7"/>
          <w:rFonts w:eastAsia="方正仿宋_GBK"/>
          <w:snapToGrid w:val="0"/>
          <w:spacing w:val="18"/>
          <w:kern w:val="0"/>
          <w:fitText w:val="2720" w:id="2"/>
        </w:rPr>
        <w:t>2022</w:t>
      </w:r>
      <w:r>
        <w:rPr>
          <w:rStyle w:val="6"/>
          <w:rFonts w:hint="default" w:ascii="Times New Roman" w:hAnsi="Times New Roman"/>
          <w:snapToGrid w:val="0"/>
          <w:spacing w:val="18"/>
          <w:kern w:val="0"/>
          <w:fitText w:val="2720" w:id="2"/>
        </w:rPr>
        <w:t>年</w:t>
      </w:r>
      <w:r>
        <w:rPr>
          <w:rStyle w:val="7"/>
          <w:rFonts w:eastAsia="方正仿宋_GBK"/>
          <w:snapToGrid w:val="0"/>
          <w:spacing w:val="18"/>
          <w:kern w:val="0"/>
          <w:fitText w:val="2720" w:id="2"/>
        </w:rPr>
        <w:t>12</w:t>
      </w:r>
      <w:r>
        <w:rPr>
          <w:rStyle w:val="6"/>
          <w:rFonts w:hint="default" w:ascii="Times New Roman" w:hAnsi="Times New Roman"/>
          <w:snapToGrid w:val="0"/>
          <w:spacing w:val="18"/>
          <w:kern w:val="0"/>
          <w:fitText w:val="2720" w:id="2"/>
        </w:rPr>
        <w:t>月9</w:t>
      </w:r>
      <w:r>
        <w:rPr>
          <w:rStyle w:val="6"/>
          <w:rFonts w:hint="default" w:ascii="Times New Roman" w:hAnsi="Times New Roman"/>
          <w:snapToGrid w:val="0"/>
          <w:spacing w:val="-1"/>
          <w:kern w:val="0"/>
          <w:fitText w:val="2720" w:id="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25F7"/>
    <w:rsid w:val="70A2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First Indent"/>
    <w:basedOn w:val="2"/>
    <w:unhideWhenUsed/>
    <w:qFormat/>
    <w:uiPriority w:val="0"/>
    <w:pPr>
      <w:spacing w:after="0"/>
      <w:ind w:firstLine="420" w:firstLineChars="100"/>
    </w:pPr>
    <w:rPr>
      <w:rFonts w:ascii="Calibri" w:hAnsi="Calibri" w:eastAsia="宋体" w:cs="Times New Roman"/>
      <w:szCs w:val="24"/>
    </w:rPr>
  </w:style>
  <w:style w:type="character" w:customStyle="1" w:styleId="6">
    <w:name w:val="fontstyle01"/>
    <w:uiPriority w:val="0"/>
    <w:rPr>
      <w:rFonts w:hint="eastAsia" w:ascii="方正仿宋_GBK" w:eastAsia="方正仿宋_GBK"/>
      <w:color w:val="000000"/>
      <w:sz w:val="32"/>
      <w:szCs w:val="32"/>
    </w:rPr>
  </w:style>
  <w:style w:type="character" w:customStyle="1" w:styleId="7">
    <w:name w:val="fontstyle21"/>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2023-02-15T03:03:00Z</dcterms:created>
  <dc:creator>信息中心收发文</dc:creator>
  <cp:lastModifiedBy>信息中心收发文</cp:lastModifiedBy>
  <dcterms:modified xsi:type="dcterms:W3CDTF">2023-02-15T03:04:00Z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