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方正小标宋_GBK" w:hAnsi="方正小标宋_GBK" w:eastAsia="方正小标宋_GBK"/>
          <w:b w:val="0"/>
          <w:bCs w:val="0"/>
          <w:sz w:val="30"/>
        </w:rPr>
      </w:pPr>
      <w:bookmarkStart w:id="0" w:name="_Toc24724717"/>
      <w:r>
        <w:rPr>
          <w:rFonts w:hint="eastAsia" w:ascii="方正小标宋_GBK" w:hAnsi="方正小标宋_GBK" w:eastAsia="方正小标宋_GBK"/>
          <w:b w:val="0"/>
          <w:bCs w:val="0"/>
          <w:sz w:val="30"/>
          <w:lang w:eastAsia="zh-CN"/>
        </w:rPr>
        <w:t>平南</w:t>
      </w:r>
      <w:bookmarkStart w:id="1" w:name="_GoBack"/>
      <w:bookmarkEnd w:id="1"/>
      <w:r>
        <w:rPr>
          <w:rFonts w:hint="eastAsia" w:ascii="方正小标宋_GBK" w:hAnsi="方正小标宋_GBK" w:eastAsia="方正小标宋_GBK"/>
          <w:b w:val="0"/>
          <w:bCs w:val="0"/>
          <w:sz w:val="30"/>
          <w:lang w:eastAsia="zh-CN"/>
        </w:rPr>
        <w:t>县</w:t>
      </w:r>
      <w:r>
        <w:rPr>
          <w:rFonts w:hint="eastAsia" w:ascii="方正小标宋_GBK" w:hAnsi="方正小标宋_GBK" w:eastAsia="方正小标宋_GBK"/>
          <w:b w:val="0"/>
          <w:bCs w:val="0"/>
          <w:sz w:val="30"/>
        </w:rPr>
        <w:t>保障性住房领域基层政务公开标准目录</w:t>
      </w:r>
      <w:bookmarkEnd w:id="0"/>
    </w:p>
    <w:tbl>
      <w:tblPr>
        <w:tblStyle w:val="3"/>
        <w:tblW w:w="154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720"/>
        <w:gridCol w:w="1274"/>
        <w:gridCol w:w="1800"/>
        <w:gridCol w:w="3600"/>
        <w:gridCol w:w="1080"/>
        <w:gridCol w:w="1080"/>
        <w:gridCol w:w="1246"/>
        <w:gridCol w:w="720"/>
        <w:gridCol w:w="709"/>
        <w:gridCol w:w="551"/>
        <w:gridCol w:w="720"/>
        <w:gridCol w:w="72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Merge w:val="restart"/>
            <w:shd w:val="clear" w:color="auto" w:fill="auto"/>
            <w:noWrap w:val="0"/>
            <w:vAlign w:val="center"/>
          </w:tcPr>
          <w:p>
            <w:pPr>
              <w:widowControl/>
              <w:jc w:val="center"/>
              <w:rPr>
                <w:rFonts w:ascii="Times New Roman" w:hAnsi="Times New Roman"/>
                <w:color w:val="000000"/>
                <w:kern w:val="0"/>
                <w:sz w:val="22"/>
              </w:rPr>
            </w:pPr>
            <w:r>
              <w:rPr>
                <w:rFonts w:ascii="Times New Roman" w:hAnsi="宋体"/>
                <w:color w:val="000000"/>
                <w:kern w:val="0"/>
                <w:sz w:val="22"/>
              </w:rPr>
              <w:t>序号</w:t>
            </w:r>
          </w:p>
        </w:tc>
        <w:tc>
          <w:tcPr>
            <w:tcW w:w="1994" w:type="dxa"/>
            <w:gridSpan w:val="2"/>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1800" w:type="dxa"/>
            <w:vMerge w:val="restart"/>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3600" w:type="dxa"/>
            <w:vMerge w:val="restart"/>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080" w:type="dxa"/>
            <w:vMerge w:val="restart"/>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1080" w:type="dxa"/>
            <w:vMerge w:val="restart"/>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1246" w:type="dxa"/>
            <w:vMerge w:val="restart"/>
            <w:shd w:val="clear" w:color="auto" w:fill="auto"/>
            <w:noWrap w:val="0"/>
            <w:vAlign w:val="center"/>
          </w:tcPr>
          <w:p>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429" w:type="dxa"/>
            <w:gridSpan w:val="2"/>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271" w:type="dxa"/>
            <w:gridSpan w:val="2"/>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1440" w:type="dxa"/>
            <w:gridSpan w:val="2"/>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Merge w:val="continue"/>
            <w:shd w:val="clear" w:color="auto" w:fill="auto"/>
            <w:noWrap w:val="0"/>
            <w:vAlign w:val="center"/>
          </w:tcPr>
          <w:p>
            <w:pPr>
              <w:widowControl/>
              <w:jc w:val="left"/>
              <w:rPr>
                <w:rFonts w:ascii="Times New Roman" w:hAnsi="Times New Roman"/>
                <w:color w:val="000000"/>
                <w:kern w:val="0"/>
                <w:sz w:val="22"/>
              </w:rPr>
            </w:pPr>
          </w:p>
        </w:tc>
        <w:tc>
          <w:tcPr>
            <w:tcW w:w="720" w:type="dxa"/>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1274" w:type="dxa"/>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1800" w:type="dxa"/>
            <w:vMerge w:val="continue"/>
            <w:shd w:val="clear" w:color="auto" w:fill="auto"/>
            <w:noWrap w:val="0"/>
            <w:vAlign w:val="center"/>
          </w:tcPr>
          <w:p>
            <w:pPr>
              <w:widowControl/>
              <w:jc w:val="left"/>
              <w:rPr>
                <w:rFonts w:ascii="黑体" w:hAnsi="宋体" w:eastAsia="黑体" w:cs="宋体"/>
                <w:color w:val="000000"/>
                <w:kern w:val="0"/>
                <w:sz w:val="22"/>
              </w:rPr>
            </w:pPr>
          </w:p>
        </w:tc>
        <w:tc>
          <w:tcPr>
            <w:tcW w:w="3600" w:type="dxa"/>
            <w:vMerge w:val="continue"/>
            <w:shd w:val="clear" w:color="auto" w:fill="auto"/>
            <w:noWrap w:val="0"/>
            <w:vAlign w:val="center"/>
          </w:tcPr>
          <w:p>
            <w:pPr>
              <w:widowControl/>
              <w:jc w:val="left"/>
              <w:rPr>
                <w:rFonts w:ascii="黑体" w:hAnsi="宋体" w:eastAsia="黑体" w:cs="宋体"/>
                <w:color w:val="000000"/>
                <w:kern w:val="0"/>
                <w:sz w:val="22"/>
              </w:rPr>
            </w:pPr>
          </w:p>
        </w:tc>
        <w:tc>
          <w:tcPr>
            <w:tcW w:w="1080" w:type="dxa"/>
            <w:vMerge w:val="continue"/>
            <w:shd w:val="clear" w:color="auto" w:fill="auto"/>
            <w:noWrap w:val="0"/>
            <w:vAlign w:val="center"/>
          </w:tcPr>
          <w:p>
            <w:pPr>
              <w:widowControl/>
              <w:jc w:val="left"/>
              <w:rPr>
                <w:rFonts w:ascii="黑体" w:hAnsi="宋体" w:eastAsia="黑体" w:cs="宋体"/>
                <w:color w:val="000000"/>
                <w:kern w:val="0"/>
                <w:sz w:val="22"/>
              </w:rPr>
            </w:pPr>
          </w:p>
        </w:tc>
        <w:tc>
          <w:tcPr>
            <w:tcW w:w="1080" w:type="dxa"/>
            <w:vMerge w:val="continue"/>
            <w:shd w:val="clear" w:color="auto" w:fill="auto"/>
            <w:noWrap w:val="0"/>
            <w:vAlign w:val="center"/>
          </w:tcPr>
          <w:p>
            <w:pPr>
              <w:widowControl/>
              <w:jc w:val="left"/>
              <w:rPr>
                <w:rFonts w:ascii="黑体" w:hAnsi="宋体" w:eastAsia="黑体" w:cs="宋体"/>
                <w:color w:val="000000"/>
                <w:kern w:val="0"/>
                <w:sz w:val="22"/>
              </w:rPr>
            </w:pPr>
          </w:p>
        </w:tc>
        <w:tc>
          <w:tcPr>
            <w:tcW w:w="1246" w:type="dxa"/>
            <w:vMerge w:val="continue"/>
            <w:shd w:val="clear" w:color="auto" w:fill="auto"/>
            <w:noWrap w:val="0"/>
            <w:vAlign w:val="center"/>
          </w:tcPr>
          <w:p>
            <w:pPr>
              <w:widowControl/>
              <w:jc w:val="left"/>
              <w:rPr>
                <w:rFonts w:ascii="黑体" w:hAnsi="宋体" w:eastAsia="黑体" w:cs="宋体"/>
                <w:kern w:val="0"/>
                <w:sz w:val="22"/>
              </w:rPr>
            </w:pPr>
          </w:p>
        </w:tc>
        <w:tc>
          <w:tcPr>
            <w:tcW w:w="720" w:type="dxa"/>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709" w:type="dxa"/>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551" w:type="dxa"/>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720" w:type="dxa"/>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720" w:type="dxa"/>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县级</w:t>
            </w:r>
          </w:p>
        </w:tc>
        <w:tc>
          <w:tcPr>
            <w:tcW w:w="720" w:type="dxa"/>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1</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法规政策</w:t>
            </w:r>
          </w:p>
        </w:tc>
        <w:tc>
          <w:tcPr>
            <w:tcW w:w="1274"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法律法规</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文件名称；</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文号；</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发布部门；</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发布日期；</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实施日期；</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正文。</w:t>
            </w:r>
          </w:p>
        </w:tc>
        <w:tc>
          <w:tcPr>
            <w:tcW w:w="360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《已购公有住房和经济适用住房上市出售管理暂行办法》、《廉租住房保障办法》、《经济适用住房管理办法》、《公共租赁住房管理办法》、《住房城乡建设部 财政部 国家发改委关于公共租赁住房和廉租住房并轨运行的通知》、《中共中央办公厅国务院办公厅印发〈关于全面推进政务公开工作的意见〉的通知》、《国务院办公厅印发〈关于全面推进政务公开工作的意见〉实施细则的通知》、《住房和城乡建设部 财政部关于做好城镇住房保障家庭租赁补贴工作的指导意见》、《国务院办公厅关于推进公共资源配置领域政府信息公开的意见》、</w:t>
            </w:r>
          </w:p>
        </w:tc>
        <w:tc>
          <w:tcPr>
            <w:tcW w:w="108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信息获取（形成、变更）20个工作日内</w:t>
            </w:r>
          </w:p>
        </w:tc>
        <w:tc>
          <w:tcPr>
            <w:tcW w:w="1080" w:type="dxa"/>
            <w:vMerge w:val="restart"/>
            <w:shd w:val="clear" w:color="auto" w:fill="auto"/>
            <w:noWrap w:val="0"/>
            <w:vAlign w:val="center"/>
          </w:tcPr>
          <w:p>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平南县</w:t>
            </w:r>
            <w:r>
              <w:rPr>
                <w:rFonts w:hint="eastAsia" w:ascii="仿宋_GB2312" w:hAnsi="宋体" w:eastAsia="仿宋_GB2312"/>
                <w:color w:val="000000"/>
                <w:sz w:val="18"/>
                <w:szCs w:val="18"/>
              </w:rPr>
              <w:t>人民政府、</w:t>
            </w:r>
            <w:r>
              <w:rPr>
                <w:rFonts w:hint="eastAsia" w:ascii="仿宋_GB2312" w:hAnsi="宋体" w:eastAsia="仿宋_GB2312"/>
                <w:color w:val="000000"/>
                <w:sz w:val="18"/>
                <w:szCs w:val="18"/>
                <w:lang w:eastAsia="zh-CN"/>
              </w:rPr>
              <w:t>平南县住建局</w:t>
            </w:r>
          </w:p>
        </w:tc>
        <w:tc>
          <w:tcPr>
            <w:tcW w:w="1246"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■政府网站       ■两微一端       ■公开查阅点     </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2</w:t>
            </w:r>
          </w:p>
        </w:tc>
        <w:tc>
          <w:tcPr>
            <w:tcW w:w="720" w:type="dxa"/>
            <w:vMerge w:val="continue"/>
            <w:shd w:val="clear" w:color="auto" w:fill="auto"/>
            <w:noWrap w:val="0"/>
            <w:vAlign w:val="center"/>
          </w:tcPr>
          <w:p>
            <w:pPr>
              <w:jc w:val="center"/>
              <w:rPr>
                <w:rFonts w:hint="eastAsia" w:ascii="仿宋_GB2312" w:hAnsi="宋体" w:eastAsia="仿宋_GB2312"/>
                <w:color w:val="000000"/>
                <w:sz w:val="18"/>
                <w:szCs w:val="18"/>
              </w:rPr>
            </w:pPr>
          </w:p>
        </w:tc>
        <w:tc>
          <w:tcPr>
            <w:tcW w:w="1274"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政策文件</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文件名称；</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文号；</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发布部门；</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发布日期；</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实施日期；</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正文。</w:t>
            </w:r>
          </w:p>
        </w:tc>
        <w:tc>
          <w:tcPr>
            <w:tcW w:w="360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246"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09" w:type="dxa"/>
            <w:vMerge w:val="continue"/>
            <w:shd w:val="clear" w:color="auto" w:fill="auto"/>
            <w:noWrap w:val="0"/>
            <w:vAlign w:val="center"/>
          </w:tcPr>
          <w:p>
            <w:pPr>
              <w:rPr>
                <w:rFonts w:hint="eastAsia" w:ascii="仿宋_GB2312" w:hAnsi="宋体" w:eastAsia="仿宋_GB2312"/>
                <w:color w:val="000000"/>
                <w:sz w:val="18"/>
                <w:szCs w:val="18"/>
              </w:rPr>
            </w:pPr>
          </w:p>
        </w:tc>
        <w:tc>
          <w:tcPr>
            <w:tcW w:w="551"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3</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重大决策</w:t>
            </w:r>
          </w:p>
        </w:tc>
        <w:tc>
          <w:tcPr>
            <w:tcW w:w="1274"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决策前预公开</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决策公开制度；</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意见征集。</w:t>
            </w:r>
          </w:p>
        </w:tc>
        <w:tc>
          <w:tcPr>
            <w:tcW w:w="360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《政府信息公开条例》、《中共中央办公厅国务院办公厅印发〈关于全面推进政务公开工作的意见〉的通知》、《国务院办公厅印发〈关于全面推进政务公开工作的意见〉实施细则的通知》</w:t>
            </w:r>
          </w:p>
        </w:tc>
        <w:tc>
          <w:tcPr>
            <w:tcW w:w="108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080" w:type="dxa"/>
            <w:vMerge w:val="restart"/>
            <w:shd w:val="clear" w:color="auto" w:fill="auto"/>
            <w:noWrap w:val="0"/>
            <w:vAlign w:val="center"/>
          </w:tcPr>
          <w:p>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平南县住建局</w:t>
            </w:r>
          </w:p>
          <w:p>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平南县住建局</w:t>
            </w:r>
          </w:p>
          <w:p>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平南县住建局</w:t>
            </w:r>
          </w:p>
        </w:tc>
        <w:tc>
          <w:tcPr>
            <w:tcW w:w="1246"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■政府网站       </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■两微一端       </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4</w:t>
            </w:r>
          </w:p>
        </w:tc>
        <w:tc>
          <w:tcPr>
            <w:tcW w:w="720" w:type="dxa"/>
            <w:vMerge w:val="continue"/>
            <w:shd w:val="clear" w:color="auto" w:fill="auto"/>
            <w:noWrap w:val="0"/>
            <w:vAlign w:val="center"/>
          </w:tcPr>
          <w:p>
            <w:pPr>
              <w:jc w:val="center"/>
              <w:rPr>
                <w:rFonts w:hint="eastAsia" w:ascii="仿宋_GB2312" w:hAnsi="宋体" w:eastAsia="仿宋_GB2312"/>
                <w:color w:val="000000"/>
                <w:sz w:val="18"/>
                <w:szCs w:val="18"/>
              </w:rPr>
            </w:pPr>
          </w:p>
        </w:tc>
        <w:tc>
          <w:tcPr>
            <w:tcW w:w="1274"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决策会议公开</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会议名称；</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会议时间地点；</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会议结果。</w:t>
            </w:r>
          </w:p>
        </w:tc>
        <w:tc>
          <w:tcPr>
            <w:tcW w:w="360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246"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09" w:type="dxa"/>
            <w:vMerge w:val="continue"/>
            <w:shd w:val="clear" w:color="auto" w:fill="auto"/>
            <w:noWrap w:val="0"/>
            <w:vAlign w:val="center"/>
          </w:tcPr>
          <w:p>
            <w:pPr>
              <w:rPr>
                <w:rFonts w:hint="eastAsia" w:ascii="仿宋_GB2312" w:hAnsi="宋体" w:eastAsia="仿宋_GB2312"/>
                <w:color w:val="000000"/>
                <w:sz w:val="18"/>
                <w:szCs w:val="18"/>
              </w:rPr>
            </w:pPr>
          </w:p>
        </w:tc>
        <w:tc>
          <w:tcPr>
            <w:tcW w:w="551"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5</w:t>
            </w:r>
          </w:p>
        </w:tc>
        <w:tc>
          <w:tcPr>
            <w:tcW w:w="720" w:type="dxa"/>
            <w:vMerge w:val="continue"/>
            <w:shd w:val="clear" w:color="auto" w:fill="auto"/>
            <w:noWrap w:val="0"/>
            <w:vAlign w:val="center"/>
          </w:tcPr>
          <w:p>
            <w:pPr>
              <w:jc w:val="center"/>
              <w:rPr>
                <w:rFonts w:hint="eastAsia" w:ascii="仿宋_GB2312" w:hAnsi="宋体" w:eastAsia="仿宋_GB2312"/>
                <w:color w:val="000000"/>
                <w:sz w:val="18"/>
                <w:szCs w:val="18"/>
              </w:rPr>
            </w:pPr>
          </w:p>
        </w:tc>
        <w:tc>
          <w:tcPr>
            <w:tcW w:w="1274"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决策结果公开</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保障性住房领域方案、公示公告、通知等。</w:t>
            </w:r>
          </w:p>
        </w:tc>
        <w:tc>
          <w:tcPr>
            <w:tcW w:w="360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246"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09" w:type="dxa"/>
            <w:vMerge w:val="continue"/>
            <w:shd w:val="clear" w:color="auto" w:fill="auto"/>
            <w:noWrap w:val="0"/>
            <w:vAlign w:val="center"/>
          </w:tcPr>
          <w:p>
            <w:pPr>
              <w:rPr>
                <w:rFonts w:hint="eastAsia" w:ascii="仿宋_GB2312" w:hAnsi="宋体" w:eastAsia="仿宋_GB2312"/>
                <w:color w:val="000000"/>
                <w:sz w:val="18"/>
                <w:szCs w:val="18"/>
              </w:rPr>
            </w:pPr>
          </w:p>
        </w:tc>
        <w:tc>
          <w:tcPr>
            <w:tcW w:w="551"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6</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规划计划</w:t>
            </w:r>
          </w:p>
        </w:tc>
        <w:tc>
          <w:tcPr>
            <w:tcW w:w="1274"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中长期规划</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保障性住房专项规划。</w:t>
            </w:r>
          </w:p>
        </w:tc>
        <w:tc>
          <w:tcPr>
            <w:tcW w:w="360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080" w:type="dxa"/>
            <w:vMerge w:val="restart"/>
            <w:shd w:val="clear" w:color="auto" w:fill="auto"/>
            <w:noWrap w:val="0"/>
            <w:vAlign w:val="center"/>
          </w:tcPr>
          <w:p>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平南县住建局</w:t>
            </w:r>
          </w:p>
          <w:p>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平南县住建局</w:t>
            </w:r>
          </w:p>
        </w:tc>
        <w:tc>
          <w:tcPr>
            <w:tcW w:w="1246"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■政府网站       </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■两微一端       </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7</w:t>
            </w:r>
          </w:p>
        </w:tc>
        <w:tc>
          <w:tcPr>
            <w:tcW w:w="720" w:type="dxa"/>
            <w:vMerge w:val="continue"/>
            <w:shd w:val="clear" w:color="auto" w:fill="auto"/>
            <w:noWrap w:val="0"/>
            <w:vAlign w:val="center"/>
          </w:tcPr>
          <w:p>
            <w:pPr>
              <w:jc w:val="center"/>
              <w:rPr>
                <w:rFonts w:hint="eastAsia" w:ascii="仿宋_GB2312" w:hAnsi="宋体" w:eastAsia="仿宋_GB2312"/>
                <w:color w:val="000000"/>
                <w:sz w:val="18"/>
                <w:szCs w:val="18"/>
              </w:rPr>
            </w:pPr>
          </w:p>
        </w:tc>
        <w:tc>
          <w:tcPr>
            <w:tcW w:w="1274"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年度计划</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年度建设计划任务量：开工套数、基本建成套数；</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年度计划项目：项目名称、建设地点、总建筑面积、住宅面积、计划开工时间、计划竣工时间。</w:t>
            </w:r>
          </w:p>
        </w:tc>
        <w:tc>
          <w:tcPr>
            <w:tcW w:w="360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246"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09" w:type="dxa"/>
            <w:vMerge w:val="continue"/>
            <w:shd w:val="clear" w:color="auto" w:fill="auto"/>
            <w:noWrap w:val="0"/>
            <w:vAlign w:val="center"/>
          </w:tcPr>
          <w:p>
            <w:pPr>
              <w:rPr>
                <w:rFonts w:hint="eastAsia" w:ascii="仿宋_GB2312" w:hAnsi="宋体" w:eastAsia="仿宋_GB2312"/>
                <w:color w:val="000000"/>
                <w:sz w:val="18"/>
                <w:szCs w:val="18"/>
              </w:rPr>
            </w:pPr>
          </w:p>
        </w:tc>
        <w:tc>
          <w:tcPr>
            <w:tcW w:w="551"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8</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建设管理</w:t>
            </w:r>
          </w:p>
        </w:tc>
        <w:tc>
          <w:tcPr>
            <w:tcW w:w="1274"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立项信息</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项目名称；建设地点；投资金额；计划安排。</w:t>
            </w:r>
          </w:p>
        </w:tc>
        <w:tc>
          <w:tcPr>
            <w:tcW w:w="360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政府信息公开条例》、《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080" w:type="dxa"/>
            <w:vMerge w:val="restart"/>
            <w:shd w:val="clear" w:color="auto" w:fill="auto"/>
            <w:noWrap w:val="0"/>
            <w:vAlign w:val="center"/>
          </w:tcPr>
          <w:p>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平南县住建局</w:t>
            </w:r>
          </w:p>
          <w:p>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平南县住建局</w:t>
            </w:r>
          </w:p>
          <w:p>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平南县住建局</w:t>
            </w:r>
          </w:p>
          <w:p>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平南县住建局</w:t>
            </w:r>
          </w:p>
          <w:p>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平南县住建局</w:t>
            </w:r>
          </w:p>
        </w:tc>
        <w:tc>
          <w:tcPr>
            <w:tcW w:w="1246"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■政府网站       </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■两微一端       </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9</w:t>
            </w:r>
          </w:p>
        </w:tc>
        <w:tc>
          <w:tcPr>
            <w:tcW w:w="720" w:type="dxa"/>
            <w:vMerge w:val="continue"/>
            <w:shd w:val="clear" w:color="auto" w:fill="auto"/>
            <w:noWrap w:val="0"/>
            <w:vAlign w:val="center"/>
          </w:tcPr>
          <w:p>
            <w:pPr>
              <w:jc w:val="center"/>
              <w:rPr>
                <w:rFonts w:hint="eastAsia" w:ascii="仿宋_GB2312" w:hAnsi="宋体" w:eastAsia="仿宋_GB2312"/>
                <w:color w:val="000000"/>
                <w:sz w:val="18"/>
                <w:szCs w:val="18"/>
              </w:rPr>
            </w:pPr>
          </w:p>
        </w:tc>
        <w:tc>
          <w:tcPr>
            <w:tcW w:w="1274"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开工项目清单</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项目名称；建设地址；建设方式；建设总套数；开工时间；年度计划开工套数、实际开工套数；年度计划基本建成套数；建设、设计、施工和监理单位名称等。</w:t>
            </w:r>
          </w:p>
        </w:tc>
        <w:tc>
          <w:tcPr>
            <w:tcW w:w="3600" w:type="dxa"/>
            <w:vMerge w:val="continue"/>
            <w:shd w:val="clear" w:color="auto" w:fill="auto"/>
            <w:noWrap w:val="0"/>
            <w:vAlign w:val="center"/>
          </w:tcPr>
          <w:p>
            <w:pPr>
              <w:rPr>
                <w:rFonts w:ascii="仿宋_GB2312" w:hAnsi="宋体" w:eastAsia="仿宋_GB2312"/>
                <w:color w:val="000000"/>
                <w:sz w:val="18"/>
                <w:szCs w:val="18"/>
              </w:rPr>
            </w:pPr>
          </w:p>
        </w:tc>
        <w:tc>
          <w:tcPr>
            <w:tcW w:w="1080" w:type="dxa"/>
            <w:vMerge w:val="continue"/>
            <w:shd w:val="clear" w:color="auto" w:fill="auto"/>
            <w:noWrap w:val="0"/>
            <w:vAlign w:val="center"/>
          </w:tcPr>
          <w:p>
            <w:pPr>
              <w:rPr>
                <w:rFonts w:ascii="仿宋_GB2312" w:hAnsi="宋体" w:eastAsia="仿宋_GB2312"/>
                <w:color w:val="000000"/>
                <w:sz w:val="18"/>
                <w:szCs w:val="18"/>
              </w:rPr>
            </w:pPr>
          </w:p>
        </w:tc>
        <w:tc>
          <w:tcPr>
            <w:tcW w:w="1080" w:type="dxa"/>
            <w:vMerge w:val="continue"/>
            <w:shd w:val="clear" w:color="auto" w:fill="auto"/>
            <w:noWrap w:val="0"/>
            <w:vAlign w:val="center"/>
          </w:tcPr>
          <w:p>
            <w:pPr>
              <w:rPr>
                <w:rFonts w:ascii="仿宋_GB2312" w:hAnsi="宋体" w:eastAsia="仿宋_GB2312"/>
                <w:color w:val="000000"/>
                <w:sz w:val="18"/>
                <w:szCs w:val="18"/>
              </w:rPr>
            </w:pPr>
          </w:p>
        </w:tc>
        <w:tc>
          <w:tcPr>
            <w:tcW w:w="1246" w:type="dxa"/>
            <w:vMerge w:val="continue"/>
            <w:shd w:val="clear" w:color="auto" w:fill="auto"/>
            <w:noWrap w:val="0"/>
            <w:vAlign w:val="center"/>
          </w:tcPr>
          <w:p>
            <w:pPr>
              <w:rPr>
                <w:rFonts w:ascii="仿宋_GB2312" w:hAnsi="宋体" w:eastAsia="仿宋_GB2312"/>
                <w:color w:val="000000"/>
                <w:sz w:val="18"/>
                <w:szCs w:val="18"/>
              </w:rPr>
            </w:pPr>
          </w:p>
        </w:tc>
        <w:tc>
          <w:tcPr>
            <w:tcW w:w="720" w:type="dxa"/>
            <w:vMerge w:val="continue"/>
            <w:shd w:val="clear" w:color="auto" w:fill="auto"/>
            <w:noWrap w:val="0"/>
            <w:vAlign w:val="center"/>
          </w:tcPr>
          <w:p>
            <w:pPr>
              <w:rPr>
                <w:rFonts w:ascii="仿宋_GB2312" w:hAnsi="宋体" w:eastAsia="仿宋_GB2312"/>
                <w:color w:val="000000"/>
                <w:sz w:val="18"/>
                <w:szCs w:val="18"/>
              </w:rPr>
            </w:pPr>
          </w:p>
        </w:tc>
        <w:tc>
          <w:tcPr>
            <w:tcW w:w="709" w:type="dxa"/>
            <w:vMerge w:val="continue"/>
            <w:shd w:val="clear" w:color="auto" w:fill="auto"/>
            <w:noWrap w:val="0"/>
            <w:vAlign w:val="center"/>
          </w:tcPr>
          <w:p>
            <w:pPr>
              <w:rPr>
                <w:rFonts w:ascii="仿宋_GB2312" w:hAnsi="宋体" w:eastAsia="仿宋_GB2312"/>
                <w:color w:val="000000"/>
                <w:sz w:val="18"/>
                <w:szCs w:val="18"/>
              </w:rPr>
            </w:pPr>
          </w:p>
        </w:tc>
        <w:tc>
          <w:tcPr>
            <w:tcW w:w="551" w:type="dxa"/>
            <w:vMerge w:val="continue"/>
            <w:shd w:val="clear" w:color="auto" w:fill="auto"/>
            <w:noWrap w:val="0"/>
            <w:vAlign w:val="center"/>
          </w:tcPr>
          <w:p>
            <w:pPr>
              <w:rPr>
                <w:rFonts w:ascii="仿宋_GB2312" w:hAnsi="宋体" w:eastAsia="仿宋_GB2312"/>
                <w:color w:val="000000"/>
                <w:sz w:val="18"/>
                <w:szCs w:val="18"/>
              </w:rPr>
            </w:pPr>
          </w:p>
        </w:tc>
        <w:tc>
          <w:tcPr>
            <w:tcW w:w="720" w:type="dxa"/>
            <w:vMerge w:val="continue"/>
            <w:shd w:val="clear" w:color="auto" w:fill="auto"/>
            <w:noWrap w:val="0"/>
            <w:vAlign w:val="center"/>
          </w:tcPr>
          <w:p>
            <w:pPr>
              <w:rPr>
                <w:rFonts w:ascii="仿宋_GB2312" w:hAnsi="宋体" w:eastAsia="仿宋_GB2312"/>
                <w:color w:val="000000"/>
                <w:sz w:val="18"/>
                <w:szCs w:val="18"/>
              </w:rPr>
            </w:pPr>
          </w:p>
        </w:tc>
        <w:tc>
          <w:tcPr>
            <w:tcW w:w="720" w:type="dxa"/>
            <w:vMerge w:val="continue"/>
            <w:shd w:val="clear" w:color="auto" w:fill="auto"/>
            <w:noWrap w:val="0"/>
            <w:vAlign w:val="center"/>
          </w:tcPr>
          <w:p>
            <w:pPr>
              <w:rPr>
                <w:rFonts w:ascii="仿宋_GB2312" w:hAnsi="宋体" w:eastAsia="仿宋_GB2312"/>
                <w:color w:val="000000"/>
                <w:sz w:val="18"/>
                <w:szCs w:val="18"/>
              </w:rPr>
            </w:pPr>
          </w:p>
        </w:tc>
        <w:tc>
          <w:tcPr>
            <w:tcW w:w="720" w:type="dxa"/>
            <w:vMerge w:val="continue"/>
            <w:shd w:val="clear" w:color="auto" w:fill="auto"/>
            <w:noWrap w:val="0"/>
            <w:vAlign w:val="center"/>
          </w:tcPr>
          <w:p>
            <w:pPr>
              <w:rPr>
                <w:rFonts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10</w:t>
            </w:r>
          </w:p>
        </w:tc>
        <w:tc>
          <w:tcPr>
            <w:tcW w:w="720" w:type="dxa"/>
            <w:vMerge w:val="continue"/>
            <w:shd w:val="clear" w:color="auto" w:fill="auto"/>
            <w:noWrap w:val="0"/>
            <w:vAlign w:val="center"/>
          </w:tcPr>
          <w:p>
            <w:pPr>
              <w:jc w:val="center"/>
              <w:rPr>
                <w:rFonts w:hint="eastAsia" w:ascii="仿宋_GB2312" w:hAnsi="宋体" w:eastAsia="仿宋_GB2312"/>
                <w:color w:val="000000"/>
                <w:sz w:val="18"/>
                <w:szCs w:val="18"/>
              </w:rPr>
            </w:pPr>
          </w:p>
        </w:tc>
        <w:tc>
          <w:tcPr>
            <w:tcW w:w="1274"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基本建成项目清单</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项目名称；建设地址；建设单位；竣工套数；竣工时间等。</w:t>
            </w:r>
          </w:p>
        </w:tc>
        <w:tc>
          <w:tcPr>
            <w:tcW w:w="3600" w:type="dxa"/>
            <w:vMerge w:val="continue"/>
            <w:shd w:val="clear" w:color="auto" w:fill="auto"/>
            <w:noWrap w:val="0"/>
            <w:vAlign w:val="center"/>
          </w:tcPr>
          <w:p>
            <w:pPr>
              <w:rPr>
                <w:rFonts w:ascii="仿宋_GB2312" w:hAnsi="宋体" w:eastAsia="仿宋_GB2312"/>
                <w:color w:val="000000"/>
                <w:sz w:val="18"/>
                <w:szCs w:val="18"/>
              </w:rPr>
            </w:pPr>
          </w:p>
        </w:tc>
        <w:tc>
          <w:tcPr>
            <w:tcW w:w="1080" w:type="dxa"/>
            <w:vMerge w:val="continue"/>
            <w:shd w:val="clear" w:color="auto" w:fill="auto"/>
            <w:noWrap w:val="0"/>
            <w:vAlign w:val="center"/>
          </w:tcPr>
          <w:p>
            <w:pPr>
              <w:rPr>
                <w:rFonts w:ascii="仿宋_GB2312" w:hAnsi="宋体" w:eastAsia="仿宋_GB2312"/>
                <w:color w:val="000000"/>
                <w:sz w:val="18"/>
                <w:szCs w:val="18"/>
              </w:rPr>
            </w:pPr>
          </w:p>
        </w:tc>
        <w:tc>
          <w:tcPr>
            <w:tcW w:w="1080" w:type="dxa"/>
            <w:vMerge w:val="continue"/>
            <w:shd w:val="clear" w:color="auto" w:fill="auto"/>
            <w:noWrap w:val="0"/>
            <w:vAlign w:val="center"/>
          </w:tcPr>
          <w:p>
            <w:pPr>
              <w:rPr>
                <w:rFonts w:ascii="仿宋_GB2312" w:hAnsi="宋体" w:eastAsia="仿宋_GB2312"/>
                <w:color w:val="000000"/>
                <w:sz w:val="18"/>
                <w:szCs w:val="18"/>
              </w:rPr>
            </w:pPr>
          </w:p>
        </w:tc>
        <w:tc>
          <w:tcPr>
            <w:tcW w:w="1246" w:type="dxa"/>
            <w:vMerge w:val="continue"/>
            <w:shd w:val="clear" w:color="auto" w:fill="auto"/>
            <w:noWrap w:val="0"/>
            <w:vAlign w:val="center"/>
          </w:tcPr>
          <w:p>
            <w:pPr>
              <w:rPr>
                <w:rFonts w:ascii="仿宋_GB2312" w:hAnsi="宋体" w:eastAsia="仿宋_GB2312"/>
                <w:color w:val="000000"/>
                <w:sz w:val="18"/>
                <w:szCs w:val="18"/>
              </w:rPr>
            </w:pPr>
          </w:p>
        </w:tc>
        <w:tc>
          <w:tcPr>
            <w:tcW w:w="720" w:type="dxa"/>
            <w:vMerge w:val="continue"/>
            <w:shd w:val="clear" w:color="auto" w:fill="auto"/>
            <w:noWrap w:val="0"/>
            <w:vAlign w:val="center"/>
          </w:tcPr>
          <w:p>
            <w:pPr>
              <w:rPr>
                <w:rFonts w:ascii="仿宋_GB2312" w:hAnsi="宋体" w:eastAsia="仿宋_GB2312"/>
                <w:color w:val="000000"/>
                <w:sz w:val="18"/>
                <w:szCs w:val="18"/>
              </w:rPr>
            </w:pPr>
          </w:p>
        </w:tc>
        <w:tc>
          <w:tcPr>
            <w:tcW w:w="709" w:type="dxa"/>
            <w:vMerge w:val="continue"/>
            <w:shd w:val="clear" w:color="auto" w:fill="auto"/>
            <w:noWrap w:val="0"/>
            <w:vAlign w:val="center"/>
          </w:tcPr>
          <w:p>
            <w:pPr>
              <w:rPr>
                <w:rFonts w:ascii="仿宋_GB2312" w:hAnsi="宋体" w:eastAsia="仿宋_GB2312"/>
                <w:color w:val="000000"/>
                <w:sz w:val="18"/>
                <w:szCs w:val="18"/>
              </w:rPr>
            </w:pPr>
          </w:p>
        </w:tc>
        <w:tc>
          <w:tcPr>
            <w:tcW w:w="551" w:type="dxa"/>
            <w:vMerge w:val="continue"/>
            <w:shd w:val="clear" w:color="auto" w:fill="auto"/>
            <w:noWrap w:val="0"/>
            <w:vAlign w:val="center"/>
          </w:tcPr>
          <w:p>
            <w:pPr>
              <w:rPr>
                <w:rFonts w:ascii="仿宋_GB2312" w:hAnsi="宋体" w:eastAsia="仿宋_GB2312"/>
                <w:color w:val="000000"/>
                <w:sz w:val="18"/>
                <w:szCs w:val="18"/>
              </w:rPr>
            </w:pPr>
          </w:p>
        </w:tc>
        <w:tc>
          <w:tcPr>
            <w:tcW w:w="720" w:type="dxa"/>
            <w:vMerge w:val="continue"/>
            <w:shd w:val="clear" w:color="auto" w:fill="auto"/>
            <w:noWrap w:val="0"/>
            <w:vAlign w:val="center"/>
          </w:tcPr>
          <w:p>
            <w:pPr>
              <w:rPr>
                <w:rFonts w:ascii="仿宋_GB2312" w:hAnsi="宋体" w:eastAsia="仿宋_GB2312"/>
                <w:color w:val="000000"/>
                <w:sz w:val="18"/>
                <w:szCs w:val="18"/>
              </w:rPr>
            </w:pPr>
          </w:p>
        </w:tc>
        <w:tc>
          <w:tcPr>
            <w:tcW w:w="720" w:type="dxa"/>
            <w:vMerge w:val="continue"/>
            <w:shd w:val="clear" w:color="auto" w:fill="auto"/>
            <w:noWrap w:val="0"/>
            <w:vAlign w:val="center"/>
          </w:tcPr>
          <w:p>
            <w:pPr>
              <w:rPr>
                <w:rFonts w:ascii="仿宋_GB2312" w:hAnsi="宋体" w:eastAsia="仿宋_GB2312"/>
                <w:color w:val="000000"/>
                <w:sz w:val="18"/>
                <w:szCs w:val="18"/>
              </w:rPr>
            </w:pPr>
          </w:p>
        </w:tc>
        <w:tc>
          <w:tcPr>
            <w:tcW w:w="720" w:type="dxa"/>
            <w:vMerge w:val="continue"/>
            <w:shd w:val="clear" w:color="auto" w:fill="auto"/>
            <w:noWrap w:val="0"/>
            <w:vAlign w:val="center"/>
          </w:tcPr>
          <w:p>
            <w:pPr>
              <w:rPr>
                <w:rFonts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11</w:t>
            </w:r>
          </w:p>
        </w:tc>
        <w:tc>
          <w:tcPr>
            <w:tcW w:w="720" w:type="dxa"/>
            <w:vMerge w:val="continue"/>
            <w:shd w:val="clear" w:color="auto" w:fill="auto"/>
            <w:noWrap w:val="0"/>
            <w:vAlign w:val="center"/>
          </w:tcPr>
          <w:p>
            <w:pPr>
              <w:jc w:val="center"/>
              <w:rPr>
                <w:rFonts w:hint="eastAsia" w:ascii="仿宋_GB2312" w:hAnsi="宋体" w:eastAsia="仿宋_GB2312"/>
                <w:color w:val="000000"/>
                <w:sz w:val="18"/>
                <w:szCs w:val="18"/>
              </w:rPr>
            </w:pPr>
          </w:p>
        </w:tc>
        <w:tc>
          <w:tcPr>
            <w:tcW w:w="1274"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竣工项目清单</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项目名称；建设地址；建设单位；竣工套数；竣工时间等。</w:t>
            </w:r>
          </w:p>
        </w:tc>
        <w:tc>
          <w:tcPr>
            <w:tcW w:w="3600" w:type="dxa"/>
            <w:vMerge w:val="continue"/>
            <w:shd w:val="clear" w:color="auto" w:fill="auto"/>
            <w:noWrap w:val="0"/>
            <w:vAlign w:val="center"/>
          </w:tcPr>
          <w:p>
            <w:pPr>
              <w:rPr>
                <w:rFonts w:ascii="仿宋_GB2312" w:hAnsi="宋体" w:eastAsia="仿宋_GB2312"/>
                <w:color w:val="000000"/>
                <w:sz w:val="18"/>
                <w:szCs w:val="18"/>
              </w:rPr>
            </w:pPr>
          </w:p>
        </w:tc>
        <w:tc>
          <w:tcPr>
            <w:tcW w:w="1080" w:type="dxa"/>
            <w:vMerge w:val="continue"/>
            <w:shd w:val="clear" w:color="auto" w:fill="auto"/>
            <w:noWrap w:val="0"/>
            <w:vAlign w:val="center"/>
          </w:tcPr>
          <w:p>
            <w:pPr>
              <w:rPr>
                <w:rFonts w:ascii="仿宋_GB2312" w:hAnsi="宋体" w:eastAsia="仿宋_GB2312"/>
                <w:color w:val="000000"/>
                <w:sz w:val="18"/>
                <w:szCs w:val="18"/>
              </w:rPr>
            </w:pPr>
          </w:p>
        </w:tc>
        <w:tc>
          <w:tcPr>
            <w:tcW w:w="1080" w:type="dxa"/>
            <w:vMerge w:val="continue"/>
            <w:shd w:val="clear" w:color="auto" w:fill="auto"/>
            <w:noWrap w:val="0"/>
            <w:vAlign w:val="center"/>
          </w:tcPr>
          <w:p>
            <w:pPr>
              <w:rPr>
                <w:rFonts w:ascii="仿宋_GB2312" w:hAnsi="宋体" w:eastAsia="仿宋_GB2312"/>
                <w:color w:val="000000"/>
                <w:sz w:val="18"/>
                <w:szCs w:val="18"/>
              </w:rPr>
            </w:pPr>
          </w:p>
        </w:tc>
        <w:tc>
          <w:tcPr>
            <w:tcW w:w="1246" w:type="dxa"/>
            <w:vMerge w:val="continue"/>
            <w:shd w:val="clear" w:color="auto" w:fill="auto"/>
            <w:noWrap w:val="0"/>
            <w:vAlign w:val="center"/>
          </w:tcPr>
          <w:p>
            <w:pPr>
              <w:rPr>
                <w:rFonts w:ascii="仿宋_GB2312" w:hAnsi="宋体" w:eastAsia="仿宋_GB2312"/>
                <w:color w:val="000000"/>
                <w:sz w:val="18"/>
                <w:szCs w:val="18"/>
              </w:rPr>
            </w:pPr>
          </w:p>
        </w:tc>
        <w:tc>
          <w:tcPr>
            <w:tcW w:w="720" w:type="dxa"/>
            <w:vMerge w:val="continue"/>
            <w:shd w:val="clear" w:color="auto" w:fill="auto"/>
            <w:noWrap w:val="0"/>
            <w:vAlign w:val="center"/>
          </w:tcPr>
          <w:p>
            <w:pPr>
              <w:rPr>
                <w:rFonts w:ascii="仿宋_GB2312" w:hAnsi="宋体" w:eastAsia="仿宋_GB2312"/>
                <w:color w:val="000000"/>
                <w:sz w:val="18"/>
                <w:szCs w:val="18"/>
              </w:rPr>
            </w:pPr>
          </w:p>
        </w:tc>
        <w:tc>
          <w:tcPr>
            <w:tcW w:w="709" w:type="dxa"/>
            <w:vMerge w:val="continue"/>
            <w:shd w:val="clear" w:color="auto" w:fill="auto"/>
            <w:noWrap w:val="0"/>
            <w:vAlign w:val="center"/>
          </w:tcPr>
          <w:p>
            <w:pPr>
              <w:rPr>
                <w:rFonts w:ascii="仿宋_GB2312" w:hAnsi="宋体" w:eastAsia="仿宋_GB2312"/>
                <w:color w:val="000000"/>
                <w:sz w:val="18"/>
                <w:szCs w:val="18"/>
              </w:rPr>
            </w:pPr>
          </w:p>
        </w:tc>
        <w:tc>
          <w:tcPr>
            <w:tcW w:w="551" w:type="dxa"/>
            <w:vMerge w:val="continue"/>
            <w:shd w:val="clear" w:color="auto" w:fill="auto"/>
            <w:noWrap w:val="0"/>
            <w:vAlign w:val="center"/>
          </w:tcPr>
          <w:p>
            <w:pPr>
              <w:rPr>
                <w:rFonts w:ascii="仿宋_GB2312" w:hAnsi="宋体" w:eastAsia="仿宋_GB2312"/>
                <w:color w:val="000000"/>
                <w:sz w:val="18"/>
                <w:szCs w:val="18"/>
              </w:rPr>
            </w:pPr>
          </w:p>
        </w:tc>
        <w:tc>
          <w:tcPr>
            <w:tcW w:w="720" w:type="dxa"/>
            <w:vMerge w:val="continue"/>
            <w:shd w:val="clear" w:color="auto" w:fill="auto"/>
            <w:noWrap w:val="0"/>
            <w:vAlign w:val="center"/>
          </w:tcPr>
          <w:p>
            <w:pPr>
              <w:rPr>
                <w:rFonts w:ascii="仿宋_GB2312" w:hAnsi="宋体" w:eastAsia="仿宋_GB2312"/>
                <w:color w:val="000000"/>
                <w:sz w:val="18"/>
                <w:szCs w:val="18"/>
              </w:rPr>
            </w:pPr>
          </w:p>
        </w:tc>
        <w:tc>
          <w:tcPr>
            <w:tcW w:w="720" w:type="dxa"/>
            <w:vMerge w:val="continue"/>
            <w:shd w:val="clear" w:color="auto" w:fill="auto"/>
            <w:noWrap w:val="0"/>
            <w:vAlign w:val="center"/>
          </w:tcPr>
          <w:p>
            <w:pPr>
              <w:rPr>
                <w:rFonts w:ascii="仿宋_GB2312" w:hAnsi="宋体" w:eastAsia="仿宋_GB2312"/>
                <w:color w:val="000000"/>
                <w:sz w:val="18"/>
                <w:szCs w:val="18"/>
              </w:rPr>
            </w:pPr>
          </w:p>
        </w:tc>
        <w:tc>
          <w:tcPr>
            <w:tcW w:w="720" w:type="dxa"/>
            <w:vMerge w:val="continue"/>
            <w:shd w:val="clear" w:color="auto" w:fill="auto"/>
            <w:noWrap w:val="0"/>
            <w:vAlign w:val="center"/>
          </w:tcPr>
          <w:p>
            <w:pPr>
              <w:rPr>
                <w:rFonts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12</w:t>
            </w:r>
          </w:p>
        </w:tc>
        <w:tc>
          <w:tcPr>
            <w:tcW w:w="720" w:type="dxa"/>
            <w:vMerge w:val="continue"/>
            <w:shd w:val="clear" w:color="auto" w:fill="auto"/>
            <w:noWrap w:val="0"/>
            <w:vAlign w:val="center"/>
          </w:tcPr>
          <w:p>
            <w:pPr>
              <w:jc w:val="center"/>
              <w:rPr>
                <w:rFonts w:hint="eastAsia" w:ascii="仿宋_GB2312" w:hAnsi="宋体" w:eastAsia="仿宋_GB2312"/>
                <w:color w:val="000000"/>
                <w:sz w:val="18"/>
                <w:szCs w:val="18"/>
              </w:rPr>
            </w:pPr>
          </w:p>
        </w:tc>
        <w:tc>
          <w:tcPr>
            <w:tcW w:w="1274"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配套设施建设情况</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项目名称；建设地址；建设方式；开工时间；建设、设计、施工和监理单位名称等。</w:t>
            </w:r>
          </w:p>
        </w:tc>
        <w:tc>
          <w:tcPr>
            <w:tcW w:w="3600" w:type="dxa"/>
            <w:vMerge w:val="continue"/>
            <w:shd w:val="clear" w:color="auto" w:fill="auto"/>
            <w:noWrap w:val="0"/>
            <w:vAlign w:val="center"/>
          </w:tcPr>
          <w:p>
            <w:pPr>
              <w:rPr>
                <w:rFonts w:ascii="仿宋_GB2312" w:hAnsi="宋体" w:eastAsia="仿宋_GB2312"/>
                <w:color w:val="000000"/>
                <w:sz w:val="18"/>
                <w:szCs w:val="18"/>
              </w:rPr>
            </w:pPr>
          </w:p>
        </w:tc>
        <w:tc>
          <w:tcPr>
            <w:tcW w:w="1080" w:type="dxa"/>
            <w:vMerge w:val="continue"/>
            <w:shd w:val="clear" w:color="auto" w:fill="auto"/>
            <w:noWrap w:val="0"/>
            <w:vAlign w:val="center"/>
          </w:tcPr>
          <w:p>
            <w:pPr>
              <w:rPr>
                <w:rFonts w:ascii="仿宋_GB2312" w:hAnsi="宋体" w:eastAsia="仿宋_GB2312"/>
                <w:color w:val="000000"/>
                <w:sz w:val="18"/>
                <w:szCs w:val="18"/>
              </w:rPr>
            </w:pPr>
          </w:p>
        </w:tc>
        <w:tc>
          <w:tcPr>
            <w:tcW w:w="1080" w:type="dxa"/>
            <w:vMerge w:val="continue"/>
            <w:shd w:val="clear" w:color="auto" w:fill="auto"/>
            <w:noWrap w:val="0"/>
            <w:vAlign w:val="center"/>
          </w:tcPr>
          <w:p>
            <w:pPr>
              <w:rPr>
                <w:rFonts w:ascii="仿宋_GB2312" w:hAnsi="宋体" w:eastAsia="仿宋_GB2312"/>
                <w:color w:val="000000"/>
                <w:sz w:val="18"/>
                <w:szCs w:val="18"/>
              </w:rPr>
            </w:pPr>
          </w:p>
        </w:tc>
        <w:tc>
          <w:tcPr>
            <w:tcW w:w="1246" w:type="dxa"/>
            <w:vMerge w:val="continue"/>
            <w:shd w:val="clear" w:color="auto" w:fill="auto"/>
            <w:noWrap w:val="0"/>
            <w:vAlign w:val="center"/>
          </w:tcPr>
          <w:p>
            <w:pPr>
              <w:rPr>
                <w:rFonts w:ascii="仿宋_GB2312" w:hAnsi="宋体" w:eastAsia="仿宋_GB2312"/>
                <w:color w:val="000000"/>
                <w:sz w:val="18"/>
                <w:szCs w:val="18"/>
              </w:rPr>
            </w:pPr>
          </w:p>
        </w:tc>
        <w:tc>
          <w:tcPr>
            <w:tcW w:w="720" w:type="dxa"/>
            <w:vMerge w:val="continue"/>
            <w:shd w:val="clear" w:color="auto" w:fill="auto"/>
            <w:noWrap w:val="0"/>
            <w:vAlign w:val="center"/>
          </w:tcPr>
          <w:p>
            <w:pPr>
              <w:rPr>
                <w:rFonts w:ascii="仿宋_GB2312" w:hAnsi="宋体" w:eastAsia="仿宋_GB2312"/>
                <w:color w:val="000000"/>
                <w:sz w:val="18"/>
                <w:szCs w:val="18"/>
              </w:rPr>
            </w:pPr>
          </w:p>
        </w:tc>
        <w:tc>
          <w:tcPr>
            <w:tcW w:w="709" w:type="dxa"/>
            <w:vMerge w:val="continue"/>
            <w:shd w:val="clear" w:color="auto" w:fill="auto"/>
            <w:noWrap w:val="0"/>
            <w:vAlign w:val="center"/>
          </w:tcPr>
          <w:p>
            <w:pPr>
              <w:rPr>
                <w:rFonts w:ascii="仿宋_GB2312" w:hAnsi="宋体" w:eastAsia="仿宋_GB2312"/>
                <w:color w:val="000000"/>
                <w:sz w:val="18"/>
                <w:szCs w:val="18"/>
              </w:rPr>
            </w:pPr>
          </w:p>
        </w:tc>
        <w:tc>
          <w:tcPr>
            <w:tcW w:w="551" w:type="dxa"/>
            <w:vMerge w:val="continue"/>
            <w:shd w:val="clear" w:color="auto" w:fill="auto"/>
            <w:noWrap w:val="0"/>
            <w:vAlign w:val="center"/>
          </w:tcPr>
          <w:p>
            <w:pPr>
              <w:rPr>
                <w:rFonts w:ascii="仿宋_GB2312" w:hAnsi="宋体" w:eastAsia="仿宋_GB2312"/>
                <w:color w:val="000000"/>
                <w:sz w:val="18"/>
                <w:szCs w:val="18"/>
              </w:rPr>
            </w:pPr>
          </w:p>
        </w:tc>
        <w:tc>
          <w:tcPr>
            <w:tcW w:w="720" w:type="dxa"/>
            <w:vMerge w:val="continue"/>
            <w:shd w:val="clear" w:color="auto" w:fill="auto"/>
            <w:noWrap w:val="0"/>
            <w:vAlign w:val="center"/>
          </w:tcPr>
          <w:p>
            <w:pPr>
              <w:rPr>
                <w:rFonts w:ascii="仿宋_GB2312" w:hAnsi="宋体" w:eastAsia="仿宋_GB2312"/>
                <w:color w:val="000000"/>
                <w:sz w:val="18"/>
                <w:szCs w:val="18"/>
              </w:rPr>
            </w:pPr>
          </w:p>
        </w:tc>
        <w:tc>
          <w:tcPr>
            <w:tcW w:w="720" w:type="dxa"/>
            <w:vMerge w:val="continue"/>
            <w:shd w:val="clear" w:color="auto" w:fill="auto"/>
            <w:noWrap w:val="0"/>
            <w:vAlign w:val="center"/>
          </w:tcPr>
          <w:p>
            <w:pPr>
              <w:rPr>
                <w:rFonts w:ascii="仿宋_GB2312" w:hAnsi="宋体" w:eastAsia="仿宋_GB2312"/>
                <w:color w:val="000000"/>
                <w:sz w:val="18"/>
                <w:szCs w:val="18"/>
              </w:rPr>
            </w:pPr>
          </w:p>
        </w:tc>
        <w:tc>
          <w:tcPr>
            <w:tcW w:w="720" w:type="dxa"/>
            <w:vMerge w:val="continue"/>
            <w:shd w:val="clear" w:color="auto" w:fill="auto"/>
            <w:noWrap w:val="0"/>
            <w:vAlign w:val="center"/>
          </w:tcPr>
          <w:p>
            <w:pPr>
              <w:rPr>
                <w:rFonts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13</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配给管理</w:t>
            </w:r>
          </w:p>
        </w:tc>
        <w:tc>
          <w:tcPr>
            <w:tcW w:w="1274"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保障性住房申请受理</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申请受理公告；</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申请条件、程序、期限和所需材料；</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租赁补贴发放计划。</w:t>
            </w:r>
          </w:p>
        </w:tc>
        <w:tc>
          <w:tcPr>
            <w:tcW w:w="360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                           </w:t>
            </w:r>
          </w:p>
        </w:tc>
        <w:tc>
          <w:tcPr>
            <w:tcW w:w="108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080" w:type="dxa"/>
            <w:vMerge w:val="restart"/>
            <w:shd w:val="clear" w:color="auto" w:fill="auto"/>
            <w:noWrap w:val="0"/>
            <w:vAlign w:val="center"/>
          </w:tcPr>
          <w:p>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平南县住建局</w:t>
            </w:r>
          </w:p>
          <w:p>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平南县住建局</w:t>
            </w:r>
          </w:p>
          <w:p>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平南县住建局</w:t>
            </w:r>
          </w:p>
          <w:p>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平南县住建局</w:t>
            </w:r>
          </w:p>
        </w:tc>
        <w:tc>
          <w:tcPr>
            <w:tcW w:w="1246"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■政府网站       </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■两微一端            </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■政务服务中心</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14</w:t>
            </w:r>
          </w:p>
        </w:tc>
        <w:tc>
          <w:tcPr>
            <w:tcW w:w="720" w:type="dxa"/>
            <w:vMerge w:val="continue"/>
            <w:shd w:val="clear" w:color="auto" w:fill="auto"/>
            <w:noWrap w:val="0"/>
            <w:vAlign w:val="center"/>
          </w:tcPr>
          <w:p>
            <w:pPr>
              <w:jc w:val="center"/>
              <w:rPr>
                <w:rFonts w:hint="eastAsia" w:ascii="仿宋_GB2312" w:hAnsi="宋体" w:eastAsia="仿宋_GB2312"/>
                <w:color w:val="000000"/>
                <w:sz w:val="18"/>
                <w:szCs w:val="18"/>
              </w:rPr>
            </w:pPr>
          </w:p>
        </w:tc>
        <w:tc>
          <w:tcPr>
            <w:tcW w:w="1274"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公租房承租资格审核</w:t>
            </w:r>
          </w:p>
        </w:tc>
        <w:tc>
          <w:tcPr>
            <w:tcW w:w="180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申请受理；</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审核结果：申请对象姓名、身份证号(隐藏部分号码)、申请房源类型；</w:t>
            </w:r>
          </w:p>
        </w:tc>
        <w:tc>
          <w:tcPr>
            <w:tcW w:w="360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246"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09" w:type="dxa"/>
            <w:vMerge w:val="continue"/>
            <w:shd w:val="clear" w:color="auto" w:fill="auto"/>
            <w:noWrap w:val="0"/>
            <w:vAlign w:val="center"/>
          </w:tcPr>
          <w:p>
            <w:pPr>
              <w:rPr>
                <w:rFonts w:hint="eastAsia" w:ascii="仿宋_GB2312" w:hAnsi="宋体" w:eastAsia="仿宋_GB2312"/>
                <w:color w:val="000000"/>
                <w:sz w:val="18"/>
                <w:szCs w:val="18"/>
              </w:rPr>
            </w:pPr>
          </w:p>
        </w:tc>
        <w:tc>
          <w:tcPr>
            <w:tcW w:w="551"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15</w:t>
            </w:r>
          </w:p>
        </w:tc>
        <w:tc>
          <w:tcPr>
            <w:tcW w:w="720" w:type="dxa"/>
            <w:vMerge w:val="continue"/>
            <w:shd w:val="clear" w:color="auto" w:fill="auto"/>
            <w:noWrap w:val="0"/>
            <w:vAlign w:val="center"/>
          </w:tcPr>
          <w:p>
            <w:pPr>
              <w:jc w:val="center"/>
              <w:rPr>
                <w:rFonts w:hint="eastAsia" w:ascii="仿宋_GB2312" w:hAnsi="宋体" w:eastAsia="仿宋_GB2312"/>
                <w:color w:val="000000"/>
                <w:sz w:val="18"/>
                <w:szCs w:val="18"/>
              </w:rPr>
            </w:pPr>
          </w:p>
        </w:tc>
        <w:tc>
          <w:tcPr>
            <w:tcW w:w="1274"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公租房租赁补贴或租金减免审批</w:t>
            </w:r>
          </w:p>
        </w:tc>
        <w:tc>
          <w:tcPr>
            <w:tcW w:w="1800" w:type="dxa"/>
            <w:vMerge w:val="continue"/>
            <w:shd w:val="clear" w:color="auto" w:fill="auto"/>
            <w:noWrap w:val="0"/>
            <w:vAlign w:val="center"/>
          </w:tcPr>
          <w:p>
            <w:pPr>
              <w:rPr>
                <w:rFonts w:hint="eastAsia" w:ascii="仿宋_GB2312" w:hAnsi="宋体" w:eastAsia="仿宋_GB2312"/>
                <w:color w:val="000000"/>
                <w:sz w:val="18"/>
                <w:szCs w:val="18"/>
              </w:rPr>
            </w:pPr>
          </w:p>
        </w:tc>
        <w:tc>
          <w:tcPr>
            <w:tcW w:w="360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246"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09" w:type="dxa"/>
            <w:vMerge w:val="continue"/>
            <w:shd w:val="clear" w:color="auto" w:fill="auto"/>
            <w:noWrap w:val="0"/>
            <w:vAlign w:val="center"/>
          </w:tcPr>
          <w:p>
            <w:pPr>
              <w:rPr>
                <w:rFonts w:hint="eastAsia" w:ascii="仿宋_GB2312" w:hAnsi="宋体" w:eastAsia="仿宋_GB2312"/>
                <w:color w:val="000000"/>
                <w:sz w:val="18"/>
                <w:szCs w:val="18"/>
              </w:rPr>
            </w:pPr>
          </w:p>
        </w:tc>
        <w:tc>
          <w:tcPr>
            <w:tcW w:w="551"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16</w:t>
            </w:r>
          </w:p>
        </w:tc>
        <w:tc>
          <w:tcPr>
            <w:tcW w:w="720" w:type="dxa"/>
            <w:vMerge w:val="continue"/>
            <w:shd w:val="clear" w:color="auto" w:fill="auto"/>
            <w:noWrap w:val="0"/>
            <w:vAlign w:val="center"/>
          </w:tcPr>
          <w:p>
            <w:pPr>
              <w:jc w:val="center"/>
              <w:rPr>
                <w:rFonts w:hint="eastAsia" w:ascii="仿宋_GB2312" w:hAnsi="宋体" w:eastAsia="仿宋_GB2312"/>
                <w:color w:val="000000"/>
                <w:sz w:val="18"/>
                <w:szCs w:val="18"/>
              </w:rPr>
            </w:pPr>
          </w:p>
        </w:tc>
        <w:tc>
          <w:tcPr>
            <w:tcW w:w="1274"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经济适用住房购买资格审核</w:t>
            </w:r>
          </w:p>
        </w:tc>
        <w:tc>
          <w:tcPr>
            <w:tcW w:w="1800" w:type="dxa"/>
            <w:vMerge w:val="continue"/>
            <w:shd w:val="clear" w:color="auto" w:fill="auto"/>
            <w:noWrap w:val="0"/>
            <w:vAlign w:val="center"/>
          </w:tcPr>
          <w:p>
            <w:pPr>
              <w:rPr>
                <w:rFonts w:hint="eastAsia" w:ascii="仿宋_GB2312" w:hAnsi="宋体" w:eastAsia="仿宋_GB2312"/>
                <w:color w:val="000000"/>
                <w:sz w:val="18"/>
                <w:szCs w:val="18"/>
              </w:rPr>
            </w:pPr>
          </w:p>
        </w:tc>
        <w:tc>
          <w:tcPr>
            <w:tcW w:w="360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246"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09" w:type="dxa"/>
            <w:vMerge w:val="continue"/>
            <w:shd w:val="clear" w:color="auto" w:fill="auto"/>
            <w:noWrap w:val="0"/>
            <w:vAlign w:val="center"/>
          </w:tcPr>
          <w:p>
            <w:pPr>
              <w:rPr>
                <w:rFonts w:hint="eastAsia" w:ascii="仿宋_GB2312" w:hAnsi="宋体" w:eastAsia="仿宋_GB2312"/>
                <w:color w:val="000000"/>
                <w:sz w:val="18"/>
                <w:szCs w:val="18"/>
              </w:rPr>
            </w:pPr>
          </w:p>
        </w:tc>
        <w:tc>
          <w:tcPr>
            <w:tcW w:w="551"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17</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配给管理</w:t>
            </w:r>
          </w:p>
        </w:tc>
        <w:tc>
          <w:tcPr>
            <w:tcW w:w="1274"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房源信息</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项目名称；保障性住房类型；竣工日期；地址；住房套数；待分配套数；已分配套数；套型；面积；配租配售价格；分配日期等。</w:t>
            </w:r>
          </w:p>
        </w:tc>
        <w:tc>
          <w:tcPr>
            <w:tcW w:w="36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政府信息公开条例》、《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08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平南县住建局</w:t>
            </w:r>
          </w:p>
        </w:tc>
        <w:tc>
          <w:tcPr>
            <w:tcW w:w="1246"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■政府网站       </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■两微一端            </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■政务服务中心</w:t>
            </w:r>
          </w:p>
        </w:tc>
        <w:tc>
          <w:tcPr>
            <w:tcW w:w="72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18</w:t>
            </w:r>
          </w:p>
        </w:tc>
        <w:tc>
          <w:tcPr>
            <w:tcW w:w="720" w:type="dxa"/>
            <w:vMerge w:val="continue"/>
            <w:shd w:val="clear" w:color="auto" w:fill="auto"/>
            <w:noWrap w:val="0"/>
            <w:vAlign w:val="center"/>
          </w:tcPr>
          <w:p>
            <w:pPr>
              <w:jc w:val="center"/>
              <w:rPr>
                <w:rFonts w:hint="eastAsia" w:ascii="仿宋_GB2312" w:hAnsi="宋体" w:eastAsia="仿宋_GB2312"/>
                <w:color w:val="000000"/>
                <w:sz w:val="18"/>
                <w:szCs w:val="18"/>
              </w:rPr>
            </w:pPr>
          </w:p>
        </w:tc>
        <w:tc>
          <w:tcPr>
            <w:tcW w:w="1274"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选房或摇号公告</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公告名称；发布部门；发布日期；正文，包括时间、地点、流程、注意事项等。</w:t>
            </w:r>
          </w:p>
        </w:tc>
        <w:tc>
          <w:tcPr>
            <w:tcW w:w="360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政府信息公开条例》、《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080" w:type="dxa"/>
            <w:vMerge w:val="restart"/>
            <w:shd w:val="clear" w:color="auto" w:fill="auto"/>
            <w:noWrap w:val="0"/>
            <w:vAlign w:val="center"/>
          </w:tcPr>
          <w:p>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平南县住建局</w:t>
            </w:r>
          </w:p>
          <w:p>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平南县住建局</w:t>
            </w:r>
          </w:p>
          <w:p>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平南县住建局</w:t>
            </w:r>
          </w:p>
        </w:tc>
        <w:tc>
          <w:tcPr>
            <w:tcW w:w="1246"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■政府网站       </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■两微一端       </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19</w:t>
            </w:r>
          </w:p>
        </w:tc>
        <w:tc>
          <w:tcPr>
            <w:tcW w:w="720" w:type="dxa"/>
            <w:vMerge w:val="continue"/>
            <w:shd w:val="clear" w:color="auto" w:fill="auto"/>
            <w:noWrap w:val="0"/>
            <w:vAlign w:val="center"/>
          </w:tcPr>
          <w:p>
            <w:pPr>
              <w:jc w:val="center"/>
              <w:rPr>
                <w:rFonts w:hint="eastAsia" w:ascii="仿宋_GB2312" w:hAnsi="宋体" w:eastAsia="仿宋_GB2312"/>
                <w:color w:val="000000"/>
                <w:sz w:val="18"/>
                <w:szCs w:val="18"/>
              </w:rPr>
            </w:pPr>
          </w:p>
        </w:tc>
        <w:tc>
          <w:tcPr>
            <w:tcW w:w="1274"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分配结果</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保障对象姓名；保障性住房类型；房号、面积、套型；所在建设项目名称等。</w:t>
            </w:r>
          </w:p>
        </w:tc>
        <w:tc>
          <w:tcPr>
            <w:tcW w:w="360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246"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09" w:type="dxa"/>
            <w:vMerge w:val="continue"/>
            <w:shd w:val="clear" w:color="auto" w:fill="auto"/>
            <w:noWrap w:val="0"/>
            <w:vAlign w:val="center"/>
          </w:tcPr>
          <w:p>
            <w:pPr>
              <w:rPr>
                <w:rFonts w:hint="eastAsia" w:ascii="仿宋_GB2312" w:hAnsi="宋体" w:eastAsia="仿宋_GB2312"/>
                <w:color w:val="000000"/>
                <w:sz w:val="18"/>
                <w:szCs w:val="18"/>
              </w:rPr>
            </w:pPr>
          </w:p>
        </w:tc>
        <w:tc>
          <w:tcPr>
            <w:tcW w:w="551"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20</w:t>
            </w:r>
          </w:p>
        </w:tc>
        <w:tc>
          <w:tcPr>
            <w:tcW w:w="720" w:type="dxa"/>
            <w:vMerge w:val="continue"/>
            <w:shd w:val="clear" w:color="auto" w:fill="auto"/>
            <w:noWrap w:val="0"/>
            <w:vAlign w:val="center"/>
          </w:tcPr>
          <w:p>
            <w:pPr>
              <w:jc w:val="center"/>
              <w:rPr>
                <w:rFonts w:hint="eastAsia" w:ascii="仿宋_GB2312" w:hAnsi="宋体" w:eastAsia="仿宋_GB2312"/>
                <w:color w:val="000000"/>
                <w:sz w:val="18"/>
                <w:szCs w:val="18"/>
              </w:rPr>
            </w:pPr>
          </w:p>
        </w:tc>
        <w:tc>
          <w:tcPr>
            <w:tcW w:w="1274"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办理配租配售公告</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公告名称；发布部门；发布日期；正文，包括时间、地点、流程、注意事项等。</w:t>
            </w:r>
          </w:p>
        </w:tc>
        <w:tc>
          <w:tcPr>
            <w:tcW w:w="360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246"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09" w:type="dxa"/>
            <w:vMerge w:val="continue"/>
            <w:shd w:val="clear" w:color="auto" w:fill="auto"/>
            <w:noWrap w:val="0"/>
            <w:vAlign w:val="center"/>
          </w:tcPr>
          <w:p>
            <w:pPr>
              <w:rPr>
                <w:rFonts w:hint="eastAsia" w:ascii="仿宋_GB2312" w:hAnsi="宋体" w:eastAsia="仿宋_GB2312"/>
                <w:color w:val="000000"/>
                <w:sz w:val="18"/>
                <w:szCs w:val="18"/>
              </w:rPr>
            </w:pPr>
          </w:p>
        </w:tc>
        <w:tc>
          <w:tcPr>
            <w:tcW w:w="551"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21</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配后管理</w:t>
            </w:r>
          </w:p>
        </w:tc>
        <w:tc>
          <w:tcPr>
            <w:tcW w:w="1274"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公租房资格定期审核</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年审或定期审核家庭信息，含保障对象编号、姓名、身份证号﹝隐藏部分号码﹞；配租房源；套型；面积；是否审核通过；未通过原因等。</w:t>
            </w:r>
          </w:p>
        </w:tc>
        <w:tc>
          <w:tcPr>
            <w:tcW w:w="36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《公共租赁住房管理办法》、《国务院办公厅关于推进公共资源配置领域政府信息公开的意见》</w:t>
            </w:r>
          </w:p>
        </w:tc>
        <w:tc>
          <w:tcPr>
            <w:tcW w:w="108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08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平南县住建局</w:t>
            </w:r>
          </w:p>
        </w:tc>
        <w:tc>
          <w:tcPr>
            <w:tcW w:w="1246"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■政府网站       </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■两微一端   </w:t>
            </w:r>
          </w:p>
        </w:tc>
        <w:tc>
          <w:tcPr>
            <w:tcW w:w="72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22</w:t>
            </w:r>
          </w:p>
        </w:tc>
        <w:tc>
          <w:tcPr>
            <w:tcW w:w="720" w:type="dxa"/>
            <w:vMerge w:val="continue"/>
            <w:shd w:val="clear" w:color="auto" w:fill="auto"/>
            <w:noWrap w:val="0"/>
            <w:vAlign w:val="center"/>
          </w:tcPr>
          <w:p>
            <w:pPr>
              <w:jc w:val="center"/>
              <w:rPr>
                <w:rFonts w:hint="eastAsia" w:ascii="仿宋_GB2312" w:hAnsi="宋体" w:eastAsia="仿宋_GB2312"/>
                <w:color w:val="000000"/>
                <w:sz w:val="18"/>
                <w:szCs w:val="18"/>
              </w:rPr>
            </w:pPr>
          </w:p>
        </w:tc>
        <w:tc>
          <w:tcPr>
            <w:tcW w:w="1274"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自愿退出</w:t>
            </w:r>
          </w:p>
        </w:tc>
        <w:tc>
          <w:tcPr>
            <w:tcW w:w="180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原保障对象姓名、身份证号（隐藏部分号码）；原租购项目名称、地址、类型、套型、面积等；原享受补贴面积、标准等。</w:t>
            </w:r>
          </w:p>
        </w:tc>
        <w:tc>
          <w:tcPr>
            <w:tcW w:w="360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080" w:type="dxa"/>
            <w:vMerge w:val="restart"/>
            <w:shd w:val="clear" w:color="auto" w:fill="auto"/>
            <w:noWrap w:val="0"/>
            <w:vAlign w:val="center"/>
          </w:tcPr>
          <w:p>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平南县住建局</w:t>
            </w:r>
          </w:p>
          <w:p>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平南县住建局</w:t>
            </w:r>
          </w:p>
          <w:p>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平南县住建局</w:t>
            </w:r>
          </w:p>
          <w:p>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平南县住建局</w:t>
            </w:r>
          </w:p>
        </w:tc>
        <w:tc>
          <w:tcPr>
            <w:tcW w:w="1246"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■政府网站       </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■两微一端  </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23</w:t>
            </w:r>
          </w:p>
        </w:tc>
        <w:tc>
          <w:tcPr>
            <w:tcW w:w="720" w:type="dxa"/>
            <w:vMerge w:val="continue"/>
            <w:shd w:val="clear" w:color="auto" w:fill="auto"/>
            <w:noWrap w:val="0"/>
            <w:vAlign w:val="center"/>
          </w:tcPr>
          <w:p>
            <w:pPr>
              <w:jc w:val="center"/>
              <w:rPr>
                <w:rFonts w:hint="eastAsia" w:ascii="仿宋_GB2312" w:hAnsi="宋体" w:eastAsia="仿宋_GB2312"/>
                <w:color w:val="000000"/>
                <w:sz w:val="18"/>
                <w:szCs w:val="18"/>
              </w:rPr>
            </w:pPr>
          </w:p>
        </w:tc>
        <w:tc>
          <w:tcPr>
            <w:tcW w:w="1274"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到期退出</w:t>
            </w:r>
          </w:p>
        </w:tc>
        <w:tc>
          <w:tcPr>
            <w:tcW w:w="1800" w:type="dxa"/>
            <w:vMerge w:val="continue"/>
            <w:shd w:val="clear" w:color="auto" w:fill="auto"/>
            <w:noWrap w:val="0"/>
            <w:vAlign w:val="center"/>
          </w:tcPr>
          <w:p>
            <w:pPr>
              <w:rPr>
                <w:rFonts w:hint="eastAsia" w:ascii="仿宋_GB2312" w:hAnsi="宋体" w:eastAsia="仿宋_GB2312"/>
                <w:color w:val="000000"/>
                <w:sz w:val="18"/>
                <w:szCs w:val="18"/>
              </w:rPr>
            </w:pPr>
          </w:p>
        </w:tc>
        <w:tc>
          <w:tcPr>
            <w:tcW w:w="360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246"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09" w:type="dxa"/>
            <w:vMerge w:val="continue"/>
            <w:shd w:val="clear" w:color="auto" w:fill="auto"/>
            <w:noWrap w:val="0"/>
            <w:vAlign w:val="center"/>
          </w:tcPr>
          <w:p>
            <w:pPr>
              <w:rPr>
                <w:rFonts w:hint="eastAsia" w:ascii="仿宋_GB2312" w:hAnsi="宋体" w:eastAsia="仿宋_GB2312"/>
                <w:color w:val="000000"/>
                <w:sz w:val="18"/>
                <w:szCs w:val="18"/>
              </w:rPr>
            </w:pPr>
          </w:p>
        </w:tc>
        <w:tc>
          <w:tcPr>
            <w:tcW w:w="551"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24</w:t>
            </w:r>
          </w:p>
        </w:tc>
        <w:tc>
          <w:tcPr>
            <w:tcW w:w="720" w:type="dxa"/>
            <w:vMerge w:val="continue"/>
            <w:shd w:val="clear" w:color="auto" w:fill="auto"/>
            <w:noWrap w:val="0"/>
            <w:vAlign w:val="center"/>
          </w:tcPr>
          <w:p>
            <w:pPr>
              <w:jc w:val="center"/>
              <w:rPr>
                <w:rFonts w:hint="eastAsia" w:ascii="仿宋_GB2312" w:hAnsi="宋体" w:eastAsia="仿宋_GB2312"/>
                <w:color w:val="000000"/>
                <w:sz w:val="18"/>
                <w:szCs w:val="18"/>
              </w:rPr>
            </w:pPr>
          </w:p>
        </w:tc>
        <w:tc>
          <w:tcPr>
            <w:tcW w:w="1274"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不符合条件退出</w:t>
            </w:r>
          </w:p>
        </w:tc>
        <w:tc>
          <w:tcPr>
            <w:tcW w:w="1800" w:type="dxa"/>
            <w:vMerge w:val="continue"/>
            <w:shd w:val="clear" w:color="auto" w:fill="auto"/>
            <w:noWrap w:val="0"/>
            <w:vAlign w:val="center"/>
          </w:tcPr>
          <w:p>
            <w:pPr>
              <w:rPr>
                <w:rFonts w:hint="eastAsia" w:ascii="仿宋_GB2312" w:hAnsi="宋体" w:eastAsia="仿宋_GB2312"/>
                <w:color w:val="000000"/>
                <w:sz w:val="18"/>
                <w:szCs w:val="18"/>
              </w:rPr>
            </w:pPr>
          </w:p>
        </w:tc>
        <w:tc>
          <w:tcPr>
            <w:tcW w:w="360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246"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09" w:type="dxa"/>
            <w:vMerge w:val="continue"/>
            <w:shd w:val="clear" w:color="auto" w:fill="auto"/>
            <w:noWrap w:val="0"/>
            <w:vAlign w:val="center"/>
          </w:tcPr>
          <w:p>
            <w:pPr>
              <w:rPr>
                <w:rFonts w:hint="eastAsia" w:ascii="仿宋_GB2312" w:hAnsi="宋体" w:eastAsia="仿宋_GB2312"/>
                <w:color w:val="000000"/>
                <w:sz w:val="18"/>
                <w:szCs w:val="18"/>
              </w:rPr>
            </w:pPr>
          </w:p>
        </w:tc>
        <w:tc>
          <w:tcPr>
            <w:tcW w:w="551"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25</w:t>
            </w:r>
          </w:p>
        </w:tc>
        <w:tc>
          <w:tcPr>
            <w:tcW w:w="720" w:type="dxa"/>
            <w:vMerge w:val="continue"/>
            <w:shd w:val="clear" w:color="auto" w:fill="auto"/>
            <w:noWrap w:val="0"/>
            <w:vAlign w:val="center"/>
          </w:tcPr>
          <w:p>
            <w:pPr>
              <w:jc w:val="center"/>
              <w:rPr>
                <w:rFonts w:hint="eastAsia" w:ascii="仿宋_GB2312" w:hAnsi="宋体" w:eastAsia="仿宋_GB2312"/>
                <w:color w:val="000000"/>
                <w:sz w:val="18"/>
                <w:szCs w:val="18"/>
              </w:rPr>
            </w:pPr>
          </w:p>
        </w:tc>
        <w:tc>
          <w:tcPr>
            <w:tcW w:w="1274"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违规处罚退出</w:t>
            </w:r>
          </w:p>
        </w:tc>
        <w:tc>
          <w:tcPr>
            <w:tcW w:w="1800" w:type="dxa"/>
            <w:vMerge w:val="continue"/>
            <w:shd w:val="clear" w:color="auto" w:fill="auto"/>
            <w:noWrap w:val="0"/>
            <w:vAlign w:val="center"/>
          </w:tcPr>
          <w:p>
            <w:pPr>
              <w:rPr>
                <w:rFonts w:hint="eastAsia" w:ascii="仿宋_GB2312" w:hAnsi="宋体" w:eastAsia="仿宋_GB2312"/>
                <w:color w:val="000000"/>
                <w:sz w:val="18"/>
                <w:szCs w:val="18"/>
              </w:rPr>
            </w:pPr>
          </w:p>
        </w:tc>
        <w:tc>
          <w:tcPr>
            <w:tcW w:w="360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246"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09" w:type="dxa"/>
            <w:vMerge w:val="continue"/>
            <w:shd w:val="clear" w:color="auto" w:fill="auto"/>
            <w:noWrap w:val="0"/>
            <w:vAlign w:val="center"/>
          </w:tcPr>
          <w:p>
            <w:pPr>
              <w:rPr>
                <w:rFonts w:hint="eastAsia" w:ascii="仿宋_GB2312" w:hAnsi="宋体" w:eastAsia="仿宋_GB2312"/>
                <w:color w:val="000000"/>
                <w:sz w:val="18"/>
                <w:szCs w:val="18"/>
              </w:rPr>
            </w:pPr>
          </w:p>
        </w:tc>
        <w:tc>
          <w:tcPr>
            <w:tcW w:w="551"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26</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配后管理</w:t>
            </w:r>
          </w:p>
        </w:tc>
        <w:tc>
          <w:tcPr>
            <w:tcW w:w="1274"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租赁补贴发放</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保障对象姓名、身份证号（隐藏部分号码）；发放金额；发放年度、月份、日期；发放方式。</w:t>
            </w:r>
          </w:p>
        </w:tc>
        <w:tc>
          <w:tcPr>
            <w:tcW w:w="360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080" w:type="dxa"/>
            <w:vMerge w:val="restart"/>
            <w:shd w:val="clear" w:color="auto" w:fill="auto"/>
            <w:noWrap w:val="0"/>
            <w:vAlign w:val="center"/>
          </w:tcPr>
          <w:p>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平南县住建局</w:t>
            </w:r>
          </w:p>
          <w:p>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平南县住建局</w:t>
            </w:r>
          </w:p>
        </w:tc>
        <w:tc>
          <w:tcPr>
            <w:tcW w:w="1246"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■政府网站       </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■两微一端  </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27</w:t>
            </w:r>
          </w:p>
        </w:tc>
        <w:tc>
          <w:tcPr>
            <w:tcW w:w="720" w:type="dxa"/>
            <w:vMerge w:val="continue"/>
            <w:shd w:val="clear" w:color="auto" w:fill="auto"/>
            <w:noWrap w:val="0"/>
            <w:vAlign w:val="center"/>
          </w:tcPr>
          <w:p>
            <w:pPr>
              <w:jc w:val="center"/>
              <w:rPr>
                <w:rFonts w:hint="eastAsia" w:ascii="仿宋_GB2312" w:hAnsi="宋体" w:eastAsia="仿宋_GB2312"/>
                <w:color w:val="000000"/>
                <w:sz w:val="18"/>
                <w:szCs w:val="18"/>
              </w:rPr>
            </w:pPr>
          </w:p>
        </w:tc>
        <w:tc>
          <w:tcPr>
            <w:tcW w:w="1274"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租金收取</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保障对象姓名、身份证号（隐藏部分号码）；应缴租金；实收租金；未足额收取原因；租金年度、月份；收取日期；收取方式。</w:t>
            </w:r>
          </w:p>
        </w:tc>
        <w:tc>
          <w:tcPr>
            <w:tcW w:w="360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ascii="仿宋_GB2312" w:hAnsi="宋体" w:eastAsia="仿宋_GB2312"/>
                <w:color w:val="000000"/>
                <w:sz w:val="18"/>
                <w:szCs w:val="18"/>
              </w:rPr>
            </w:pPr>
          </w:p>
        </w:tc>
        <w:tc>
          <w:tcPr>
            <w:tcW w:w="1080" w:type="dxa"/>
            <w:vMerge w:val="continue"/>
            <w:shd w:val="clear" w:color="auto" w:fill="auto"/>
            <w:noWrap w:val="0"/>
            <w:vAlign w:val="center"/>
          </w:tcPr>
          <w:p>
            <w:pPr>
              <w:rPr>
                <w:rFonts w:ascii="仿宋_GB2312" w:hAnsi="宋体" w:eastAsia="仿宋_GB2312"/>
                <w:color w:val="000000"/>
                <w:sz w:val="18"/>
                <w:szCs w:val="18"/>
              </w:rPr>
            </w:pPr>
          </w:p>
        </w:tc>
        <w:tc>
          <w:tcPr>
            <w:tcW w:w="1246" w:type="dxa"/>
            <w:vMerge w:val="continue"/>
            <w:shd w:val="clear" w:color="auto" w:fill="auto"/>
            <w:noWrap w:val="0"/>
            <w:vAlign w:val="center"/>
          </w:tcPr>
          <w:p>
            <w:pPr>
              <w:rPr>
                <w:rFonts w:ascii="仿宋_GB2312" w:hAnsi="宋体" w:eastAsia="仿宋_GB2312"/>
                <w:color w:val="000000"/>
                <w:sz w:val="18"/>
                <w:szCs w:val="18"/>
              </w:rPr>
            </w:pPr>
          </w:p>
        </w:tc>
        <w:tc>
          <w:tcPr>
            <w:tcW w:w="720" w:type="dxa"/>
            <w:vMerge w:val="continue"/>
            <w:shd w:val="clear" w:color="auto" w:fill="auto"/>
            <w:noWrap w:val="0"/>
            <w:vAlign w:val="center"/>
          </w:tcPr>
          <w:p>
            <w:pPr>
              <w:rPr>
                <w:rFonts w:ascii="仿宋_GB2312" w:hAnsi="宋体" w:eastAsia="仿宋_GB2312"/>
                <w:color w:val="000000"/>
                <w:sz w:val="18"/>
                <w:szCs w:val="18"/>
              </w:rPr>
            </w:pPr>
          </w:p>
        </w:tc>
        <w:tc>
          <w:tcPr>
            <w:tcW w:w="709" w:type="dxa"/>
            <w:vMerge w:val="continue"/>
            <w:shd w:val="clear" w:color="auto" w:fill="auto"/>
            <w:noWrap w:val="0"/>
            <w:vAlign w:val="center"/>
          </w:tcPr>
          <w:p>
            <w:pPr>
              <w:rPr>
                <w:rFonts w:ascii="仿宋_GB2312" w:hAnsi="宋体" w:eastAsia="仿宋_GB2312"/>
                <w:color w:val="000000"/>
                <w:sz w:val="18"/>
                <w:szCs w:val="18"/>
              </w:rPr>
            </w:pPr>
          </w:p>
        </w:tc>
        <w:tc>
          <w:tcPr>
            <w:tcW w:w="551" w:type="dxa"/>
            <w:vMerge w:val="continue"/>
            <w:shd w:val="clear" w:color="auto" w:fill="auto"/>
            <w:noWrap w:val="0"/>
            <w:vAlign w:val="center"/>
          </w:tcPr>
          <w:p>
            <w:pPr>
              <w:rPr>
                <w:rFonts w:ascii="仿宋_GB2312" w:hAnsi="宋体" w:eastAsia="仿宋_GB2312"/>
                <w:color w:val="000000"/>
                <w:sz w:val="18"/>
                <w:szCs w:val="18"/>
              </w:rPr>
            </w:pPr>
          </w:p>
        </w:tc>
        <w:tc>
          <w:tcPr>
            <w:tcW w:w="720" w:type="dxa"/>
            <w:vMerge w:val="continue"/>
            <w:shd w:val="clear" w:color="auto" w:fill="auto"/>
            <w:noWrap w:val="0"/>
            <w:vAlign w:val="center"/>
          </w:tcPr>
          <w:p>
            <w:pPr>
              <w:rPr>
                <w:rFonts w:ascii="仿宋_GB2312" w:hAnsi="宋体" w:eastAsia="仿宋_GB2312"/>
                <w:color w:val="000000"/>
                <w:sz w:val="18"/>
                <w:szCs w:val="18"/>
              </w:rPr>
            </w:pPr>
          </w:p>
        </w:tc>
        <w:tc>
          <w:tcPr>
            <w:tcW w:w="720" w:type="dxa"/>
            <w:vMerge w:val="continue"/>
            <w:shd w:val="clear" w:color="auto" w:fill="auto"/>
            <w:noWrap w:val="0"/>
            <w:vAlign w:val="center"/>
          </w:tcPr>
          <w:p>
            <w:pPr>
              <w:rPr>
                <w:rFonts w:ascii="仿宋_GB2312" w:hAnsi="宋体" w:eastAsia="仿宋_GB2312"/>
                <w:color w:val="000000"/>
                <w:sz w:val="18"/>
                <w:szCs w:val="18"/>
              </w:rPr>
            </w:pPr>
          </w:p>
        </w:tc>
        <w:tc>
          <w:tcPr>
            <w:tcW w:w="720" w:type="dxa"/>
            <w:vMerge w:val="continue"/>
            <w:shd w:val="clear" w:color="auto" w:fill="auto"/>
            <w:noWrap w:val="0"/>
            <w:vAlign w:val="center"/>
          </w:tcPr>
          <w:p>
            <w:pPr>
              <w:rPr>
                <w:rFonts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28</w:t>
            </w:r>
          </w:p>
        </w:tc>
        <w:tc>
          <w:tcPr>
            <w:tcW w:w="720" w:type="dxa"/>
            <w:vMerge w:val="continue"/>
            <w:shd w:val="clear" w:color="auto" w:fill="auto"/>
            <w:noWrap w:val="0"/>
            <w:vAlign w:val="center"/>
          </w:tcPr>
          <w:p>
            <w:pPr>
              <w:jc w:val="center"/>
              <w:rPr>
                <w:rFonts w:hint="eastAsia" w:ascii="仿宋_GB2312" w:hAnsi="宋体" w:eastAsia="仿宋_GB2312"/>
                <w:color w:val="000000"/>
                <w:sz w:val="18"/>
                <w:szCs w:val="18"/>
              </w:rPr>
            </w:pPr>
          </w:p>
        </w:tc>
        <w:tc>
          <w:tcPr>
            <w:tcW w:w="1274"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租金减免</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保障对象姓名、身份证号（隐藏部分号码）；保障项目名称、类型、套型、面积；原应缴租金标准、现应缴租金标准。</w:t>
            </w:r>
          </w:p>
        </w:tc>
        <w:tc>
          <w:tcPr>
            <w:tcW w:w="360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080" w:type="dxa"/>
            <w:vMerge w:val="restart"/>
            <w:shd w:val="clear" w:color="auto" w:fill="auto"/>
            <w:noWrap w:val="0"/>
            <w:vAlign w:val="center"/>
          </w:tcPr>
          <w:p>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平南县住建局</w:t>
            </w:r>
          </w:p>
          <w:p>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平南县住建局</w:t>
            </w:r>
          </w:p>
          <w:p>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平南县住建局</w:t>
            </w:r>
          </w:p>
          <w:p>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平南县住建局</w:t>
            </w:r>
          </w:p>
        </w:tc>
        <w:tc>
          <w:tcPr>
            <w:tcW w:w="1246"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                                      ■政府网站       </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■两微一端  </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29</w:t>
            </w:r>
          </w:p>
        </w:tc>
        <w:tc>
          <w:tcPr>
            <w:tcW w:w="720" w:type="dxa"/>
            <w:vMerge w:val="continue"/>
            <w:shd w:val="clear" w:color="auto" w:fill="auto"/>
            <w:noWrap w:val="0"/>
            <w:vAlign w:val="center"/>
          </w:tcPr>
          <w:p>
            <w:pPr>
              <w:jc w:val="center"/>
              <w:rPr>
                <w:rFonts w:hint="eastAsia" w:ascii="仿宋_GB2312" w:hAnsi="宋体" w:eastAsia="仿宋_GB2312"/>
                <w:color w:val="000000"/>
                <w:sz w:val="18"/>
                <w:szCs w:val="18"/>
              </w:rPr>
            </w:pPr>
          </w:p>
        </w:tc>
        <w:tc>
          <w:tcPr>
            <w:tcW w:w="1274"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腾退管理</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腾退对象；腾退日期；腾退原因；实退租金。</w:t>
            </w:r>
          </w:p>
        </w:tc>
        <w:tc>
          <w:tcPr>
            <w:tcW w:w="360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246"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09" w:type="dxa"/>
            <w:vMerge w:val="continue"/>
            <w:shd w:val="clear" w:color="auto" w:fill="auto"/>
            <w:noWrap w:val="0"/>
            <w:vAlign w:val="center"/>
          </w:tcPr>
          <w:p>
            <w:pPr>
              <w:rPr>
                <w:rFonts w:hint="eastAsia" w:ascii="仿宋_GB2312" w:hAnsi="宋体" w:eastAsia="仿宋_GB2312"/>
                <w:color w:val="000000"/>
                <w:sz w:val="18"/>
                <w:szCs w:val="18"/>
              </w:rPr>
            </w:pPr>
          </w:p>
        </w:tc>
        <w:tc>
          <w:tcPr>
            <w:tcW w:w="551"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30</w:t>
            </w:r>
          </w:p>
        </w:tc>
        <w:tc>
          <w:tcPr>
            <w:tcW w:w="720" w:type="dxa"/>
            <w:vMerge w:val="continue"/>
            <w:shd w:val="clear" w:color="auto" w:fill="auto"/>
            <w:noWrap w:val="0"/>
            <w:vAlign w:val="center"/>
          </w:tcPr>
          <w:p>
            <w:pPr>
              <w:jc w:val="center"/>
              <w:rPr>
                <w:rFonts w:hint="eastAsia" w:ascii="仿宋_GB2312" w:hAnsi="宋体" w:eastAsia="仿宋_GB2312"/>
                <w:color w:val="000000"/>
                <w:sz w:val="18"/>
                <w:szCs w:val="18"/>
              </w:rPr>
            </w:pPr>
          </w:p>
        </w:tc>
        <w:tc>
          <w:tcPr>
            <w:tcW w:w="1274"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房屋维修</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维修内容；维修标准；维修资金来源渠道；维修单位名称；联系人，联系方式。</w:t>
            </w:r>
          </w:p>
        </w:tc>
        <w:tc>
          <w:tcPr>
            <w:tcW w:w="360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246"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09" w:type="dxa"/>
            <w:vMerge w:val="continue"/>
            <w:shd w:val="clear" w:color="auto" w:fill="auto"/>
            <w:noWrap w:val="0"/>
            <w:vAlign w:val="center"/>
          </w:tcPr>
          <w:p>
            <w:pPr>
              <w:rPr>
                <w:rFonts w:hint="eastAsia" w:ascii="仿宋_GB2312" w:hAnsi="宋体" w:eastAsia="仿宋_GB2312"/>
                <w:color w:val="000000"/>
                <w:sz w:val="18"/>
                <w:szCs w:val="18"/>
              </w:rPr>
            </w:pPr>
          </w:p>
        </w:tc>
        <w:tc>
          <w:tcPr>
            <w:tcW w:w="551"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31</w:t>
            </w:r>
          </w:p>
        </w:tc>
        <w:tc>
          <w:tcPr>
            <w:tcW w:w="720" w:type="dxa"/>
            <w:vMerge w:val="continue"/>
            <w:shd w:val="clear" w:color="auto" w:fill="auto"/>
            <w:noWrap w:val="0"/>
            <w:vAlign w:val="center"/>
          </w:tcPr>
          <w:p>
            <w:pPr>
              <w:jc w:val="center"/>
              <w:rPr>
                <w:rFonts w:hint="eastAsia" w:ascii="仿宋_GB2312" w:hAnsi="宋体" w:eastAsia="仿宋_GB2312"/>
                <w:color w:val="000000"/>
                <w:sz w:val="18"/>
                <w:szCs w:val="18"/>
              </w:rPr>
            </w:pPr>
          </w:p>
        </w:tc>
        <w:tc>
          <w:tcPr>
            <w:tcW w:w="1274"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保障性住房调整</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保障对象姓名、身份证号（隐藏部分号码）；调整前和调整后保障项目名称、类型、套型、面积等；不予调整原因。</w:t>
            </w:r>
          </w:p>
        </w:tc>
        <w:tc>
          <w:tcPr>
            <w:tcW w:w="360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246"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09" w:type="dxa"/>
            <w:vMerge w:val="continue"/>
            <w:shd w:val="clear" w:color="auto" w:fill="auto"/>
            <w:noWrap w:val="0"/>
            <w:vAlign w:val="center"/>
          </w:tcPr>
          <w:p>
            <w:pPr>
              <w:rPr>
                <w:rFonts w:hint="eastAsia" w:ascii="仿宋_GB2312" w:hAnsi="宋体" w:eastAsia="仿宋_GB2312"/>
                <w:color w:val="000000"/>
                <w:sz w:val="18"/>
                <w:szCs w:val="18"/>
              </w:rPr>
            </w:pPr>
          </w:p>
        </w:tc>
        <w:tc>
          <w:tcPr>
            <w:tcW w:w="551"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32</w:t>
            </w:r>
          </w:p>
        </w:tc>
        <w:tc>
          <w:tcPr>
            <w:tcW w:w="72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配后管理</w:t>
            </w:r>
          </w:p>
        </w:tc>
        <w:tc>
          <w:tcPr>
            <w:tcW w:w="1274"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运营承接主体管理</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单位名称；获取运营资格方式；运营承接主体统一社会信用代码；负责人姓名；办公地址、联系电话；注册资金；服务范围；监督考核情况等。</w:t>
            </w:r>
          </w:p>
        </w:tc>
        <w:tc>
          <w:tcPr>
            <w:tcW w:w="36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《经济适用住房管理办法》、《公共租赁住房管理办法》、《国务院办公厅关于推进公共资源配置领域政府信息公开的意见》</w:t>
            </w:r>
          </w:p>
        </w:tc>
        <w:tc>
          <w:tcPr>
            <w:tcW w:w="108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08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平南县住建局</w:t>
            </w:r>
          </w:p>
        </w:tc>
        <w:tc>
          <w:tcPr>
            <w:tcW w:w="1246"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■政府网站       </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■两微一端  </w:t>
            </w:r>
          </w:p>
        </w:tc>
        <w:tc>
          <w:tcPr>
            <w:tcW w:w="72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33</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办事指南</w:t>
            </w:r>
          </w:p>
        </w:tc>
        <w:tc>
          <w:tcPr>
            <w:tcW w:w="1274"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申请保障</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申请条件；申请所需材料及范本；申请流程和办理时限；申请受理（办理）机构；受理地点；咨询电话、监督电话等。</w:t>
            </w:r>
          </w:p>
        </w:tc>
        <w:tc>
          <w:tcPr>
            <w:tcW w:w="360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《关于全面推进政务公开工作的意见》、《国务院关于加快推进“互联网+政务服务”工作的指导意见》</w:t>
            </w:r>
          </w:p>
        </w:tc>
        <w:tc>
          <w:tcPr>
            <w:tcW w:w="108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080" w:type="dxa"/>
            <w:vMerge w:val="restart"/>
            <w:shd w:val="clear" w:color="auto" w:fill="auto"/>
            <w:noWrap w:val="0"/>
            <w:vAlign w:val="center"/>
          </w:tcPr>
          <w:p>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平南县住建局</w:t>
            </w:r>
          </w:p>
          <w:p>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平南县住建局</w:t>
            </w:r>
          </w:p>
          <w:p>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平南县住建局</w:t>
            </w:r>
          </w:p>
        </w:tc>
        <w:tc>
          <w:tcPr>
            <w:tcW w:w="1246"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■政府网站       </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 xml:space="preserve">■两微一端       </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 xml:space="preserve">■公开查阅点     </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■政务服务中心</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 xml:space="preserve">   </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34</w:t>
            </w:r>
          </w:p>
        </w:tc>
        <w:tc>
          <w:tcPr>
            <w:tcW w:w="720" w:type="dxa"/>
            <w:vMerge w:val="continue"/>
            <w:shd w:val="clear" w:color="auto" w:fill="auto"/>
            <w:noWrap w:val="0"/>
            <w:vAlign w:val="center"/>
          </w:tcPr>
          <w:p>
            <w:pPr>
              <w:jc w:val="center"/>
              <w:rPr>
                <w:rFonts w:hint="eastAsia" w:ascii="仿宋_GB2312" w:hAnsi="宋体" w:eastAsia="仿宋_GB2312"/>
                <w:color w:val="000000"/>
                <w:sz w:val="18"/>
                <w:szCs w:val="18"/>
              </w:rPr>
            </w:pPr>
          </w:p>
        </w:tc>
        <w:tc>
          <w:tcPr>
            <w:tcW w:w="1274"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合同备案</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合同范本；备案机构；受理地点；咨询电话等。</w:t>
            </w:r>
          </w:p>
        </w:tc>
        <w:tc>
          <w:tcPr>
            <w:tcW w:w="360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246"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09" w:type="dxa"/>
            <w:vMerge w:val="continue"/>
            <w:shd w:val="clear" w:color="auto" w:fill="auto"/>
            <w:noWrap w:val="0"/>
            <w:vAlign w:val="center"/>
          </w:tcPr>
          <w:p>
            <w:pPr>
              <w:rPr>
                <w:rFonts w:hint="eastAsia" w:ascii="仿宋_GB2312" w:hAnsi="宋体" w:eastAsia="仿宋_GB2312"/>
                <w:color w:val="000000"/>
                <w:sz w:val="18"/>
                <w:szCs w:val="18"/>
              </w:rPr>
            </w:pPr>
          </w:p>
        </w:tc>
        <w:tc>
          <w:tcPr>
            <w:tcW w:w="551"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35</w:t>
            </w:r>
          </w:p>
        </w:tc>
        <w:tc>
          <w:tcPr>
            <w:tcW w:w="720" w:type="dxa"/>
            <w:vMerge w:val="continue"/>
            <w:shd w:val="clear" w:color="auto" w:fill="auto"/>
            <w:noWrap w:val="0"/>
            <w:vAlign w:val="center"/>
          </w:tcPr>
          <w:p>
            <w:pPr>
              <w:jc w:val="center"/>
              <w:rPr>
                <w:rFonts w:hint="eastAsia" w:ascii="仿宋_GB2312" w:hAnsi="宋体" w:eastAsia="仿宋_GB2312"/>
                <w:color w:val="000000"/>
                <w:sz w:val="18"/>
                <w:szCs w:val="18"/>
              </w:rPr>
            </w:pPr>
          </w:p>
        </w:tc>
        <w:tc>
          <w:tcPr>
            <w:tcW w:w="1274"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申请租金减免</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申请所需材料及范本；申请流程和办理时限；申请受理（办理）机构；受理地点；咨询电话、监督电话等。</w:t>
            </w:r>
          </w:p>
        </w:tc>
        <w:tc>
          <w:tcPr>
            <w:tcW w:w="360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246"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09" w:type="dxa"/>
            <w:vMerge w:val="continue"/>
            <w:shd w:val="clear" w:color="auto" w:fill="auto"/>
            <w:noWrap w:val="0"/>
            <w:vAlign w:val="center"/>
          </w:tcPr>
          <w:p>
            <w:pPr>
              <w:rPr>
                <w:rFonts w:hint="eastAsia" w:ascii="仿宋_GB2312" w:hAnsi="宋体" w:eastAsia="仿宋_GB2312"/>
                <w:color w:val="000000"/>
                <w:sz w:val="18"/>
                <w:szCs w:val="18"/>
              </w:rPr>
            </w:pPr>
          </w:p>
        </w:tc>
        <w:tc>
          <w:tcPr>
            <w:tcW w:w="551"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36</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办事指南</w:t>
            </w:r>
          </w:p>
        </w:tc>
        <w:tc>
          <w:tcPr>
            <w:tcW w:w="1274"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缴纳租金</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租金标准；缴纳方式、时限；受理（办理）机构；咨询电话、监督电话等。</w:t>
            </w:r>
          </w:p>
        </w:tc>
        <w:tc>
          <w:tcPr>
            <w:tcW w:w="360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《关于全面推进政务公开工作的意见》、《国务院关于加快推进“互联网+政务服务”工作的指导意见》</w:t>
            </w:r>
          </w:p>
        </w:tc>
        <w:tc>
          <w:tcPr>
            <w:tcW w:w="108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080" w:type="dxa"/>
            <w:vMerge w:val="restart"/>
            <w:shd w:val="clear" w:color="auto" w:fill="auto"/>
            <w:noWrap w:val="0"/>
            <w:vAlign w:val="center"/>
          </w:tcPr>
          <w:p>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平南县住建局</w:t>
            </w:r>
          </w:p>
          <w:p>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平南县住建局</w:t>
            </w:r>
          </w:p>
          <w:p>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平南县住建局</w:t>
            </w:r>
          </w:p>
          <w:p>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平南县住建局</w:t>
            </w:r>
          </w:p>
          <w:p>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平南县住建局</w:t>
            </w:r>
          </w:p>
        </w:tc>
        <w:tc>
          <w:tcPr>
            <w:tcW w:w="1246"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■政府网站       </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 xml:space="preserve">■两微一端       </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 xml:space="preserve">■公开查阅点     </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■政务服务中心</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 xml:space="preserve"> </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37</w:t>
            </w:r>
          </w:p>
        </w:tc>
        <w:tc>
          <w:tcPr>
            <w:tcW w:w="720" w:type="dxa"/>
            <w:vMerge w:val="continue"/>
            <w:shd w:val="clear" w:color="auto" w:fill="auto"/>
            <w:noWrap w:val="0"/>
            <w:vAlign w:val="center"/>
          </w:tcPr>
          <w:p>
            <w:pPr>
              <w:jc w:val="center"/>
              <w:rPr>
                <w:rFonts w:hint="eastAsia" w:ascii="仿宋_GB2312" w:hAnsi="宋体" w:eastAsia="仿宋_GB2312"/>
                <w:color w:val="000000"/>
                <w:sz w:val="18"/>
                <w:szCs w:val="18"/>
              </w:rPr>
            </w:pPr>
          </w:p>
        </w:tc>
        <w:tc>
          <w:tcPr>
            <w:tcW w:w="1274"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保障性住房调换</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申请所需材料及范本；申请方式、流程；申请受理（办理）机构；受理地点；咨询电话、监督电话等。</w:t>
            </w:r>
          </w:p>
        </w:tc>
        <w:tc>
          <w:tcPr>
            <w:tcW w:w="360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246"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09" w:type="dxa"/>
            <w:vMerge w:val="continue"/>
            <w:shd w:val="clear" w:color="auto" w:fill="auto"/>
            <w:noWrap w:val="0"/>
            <w:vAlign w:val="center"/>
          </w:tcPr>
          <w:p>
            <w:pPr>
              <w:rPr>
                <w:rFonts w:hint="eastAsia" w:ascii="仿宋_GB2312" w:hAnsi="宋体" w:eastAsia="仿宋_GB2312"/>
                <w:color w:val="000000"/>
                <w:sz w:val="18"/>
                <w:szCs w:val="18"/>
              </w:rPr>
            </w:pPr>
          </w:p>
        </w:tc>
        <w:tc>
          <w:tcPr>
            <w:tcW w:w="551"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38</w:t>
            </w:r>
          </w:p>
        </w:tc>
        <w:tc>
          <w:tcPr>
            <w:tcW w:w="720" w:type="dxa"/>
            <w:vMerge w:val="continue"/>
            <w:shd w:val="clear" w:color="auto" w:fill="auto"/>
            <w:noWrap w:val="0"/>
            <w:vAlign w:val="center"/>
          </w:tcPr>
          <w:p>
            <w:pPr>
              <w:jc w:val="center"/>
              <w:rPr>
                <w:rFonts w:hint="eastAsia" w:ascii="仿宋_GB2312" w:hAnsi="宋体" w:eastAsia="仿宋_GB2312"/>
                <w:color w:val="000000"/>
                <w:sz w:val="18"/>
                <w:szCs w:val="18"/>
              </w:rPr>
            </w:pPr>
          </w:p>
        </w:tc>
        <w:tc>
          <w:tcPr>
            <w:tcW w:w="1274"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自愿退出</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申请所需材料及范本；申请方式、流程；申请受理（办理）机构；受理地点；咨询电话、监督电话等。</w:t>
            </w:r>
          </w:p>
        </w:tc>
        <w:tc>
          <w:tcPr>
            <w:tcW w:w="360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246"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09" w:type="dxa"/>
            <w:vMerge w:val="continue"/>
            <w:shd w:val="clear" w:color="auto" w:fill="auto"/>
            <w:noWrap w:val="0"/>
            <w:vAlign w:val="center"/>
          </w:tcPr>
          <w:p>
            <w:pPr>
              <w:rPr>
                <w:rFonts w:hint="eastAsia" w:ascii="仿宋_GB2312" w:hAnsi="宋体" w:eastAsia="仿宋_GB2312"/>
                <w:color w:val="000000"/>
                <w:sz w:val="18"/>
                <w:szCs w:val="18"/>
              </w:rPr>
            </w:pPr>
          </w:p>
        </w:tc>
        <w:tc>
          <w:tcPr>
            <w:tcW w:w="551"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39</w:t>
            </w:r>
          </w:p>
        </w:tc>
        <w:tc>
          <w:tcPr>
            <w:tcW w:w="72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政策解读</w:t>
            </w:r>
          </w:p>
        </w:tc>
        <w:tc>
          <w:tcPr>
            <w:tcW w:w="1274"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本级政策解读</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解读主体；解读内容；解读方式；解读时间等。</w:t>
            </w:r>
          </w:p>
        </w:tc>
        <w:tc>
          <w:tcPr>
            <w:tcW w:w="360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246"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09" w:type="dxa"/>
            <w:vMerge w:val="continue"/>
            <w:shd w:val="clear" w:color="auto" w:fill="auto"/>
            <w:noWrap w:val="0"/>
            <w:vAlign w:val="center"/>
          </w:tcPr>
          <w:p>
            <w:pPr>
              <w:rPr>
                <w:rFonts w:hint="eastAsia" w:ascii="仿宋_GB2312" w:hAnsi="宋体" w:eastAsia="仿宋_GB2312"/>
                <w:color w:val="000000"/>
                <w:sz w:val="18"/>
                <w:szCs w:val="18"/>
              </w:rPr>
            </w:pPr>
          </w:p>
        </w:tc>
        <w:tc>
          <w:tcPr>
            <w:tcW w:w="551"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40</w:t>
            </w:r>
          </w:p>
        </w:tc>
        <w:tc>
          <w:tcPr>
            <w:tcW w:w="72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回应关切</w:t>
            </w:r>
          </w:p>
        </w:tc>
        <w:tc>
          <w:tcPr>
            <w:tcW w:w="1274"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主动回应</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公众提出的意见建议及回复情况；公开突发事件应对情况等。</w:t>
            </w:r>
          </w:p>
        </w:tc>
        <w:tc>
          <w:tcPr>
            <w:tcW w:w="360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246"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09" w:type="dxa"/>
            <w:vMerge w:val="continue"/>
            <w:shd w:val="clear" w:color="auto" w:fill="auto"/>
            <w:noWrap w:val="0"/>
            <w:vAlign w:val="center"/>
          </w:tcPr>
          <w:p>
            <w:pPr>
              <w:rPr>
                <w:rFonts w:hint="eastAsia" w:ascii="仿宋_GB2312" w:hAnsi="宋体" w:eastAsia="仿宋_GB2312"/>
                <w:color w:val="000000"/>
                <w:sz w:val="18"/>
                <w:szCs w:val="18"/>
              </w:rPr>
            </w:pPr>
          </w:p>
        </w:tc>
        <w:tc>
          <w:tcPr>
            <w:tcW w:w="551"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41</w:t>
            </w:r>
          </w:p>
        </w:tc>
        <w:tc>
          <w:tcPr>
            <w:tcW w:w="72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回应关切</w:t>
            </w:r>
          </w:p>
        </w:tc>
        <w:tc>
          <w:tcPr>
            <w:tcW w:w="1274"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互动回应</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在收集分析研判舆情的基础上，针对舆论关注的焦点、热点和关键问题的互动回应内容。</w:t>
            </w:r>
          </w:p>
        </w:tc>
        <w:tc>
          <w:tcPr>
            <w:tcW w:w="360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《关于全面推进政务公开工作的意见》、《国务院办公厅关于推进公共资源配置领域政府信息公开的意见》</w:t>
            </w:r>
          </w:p>
        </w:tc>
        <w:tc>
          <w:tcPr>
            <w:tcW w:w="108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08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平南县住建局</w:t>
            </w:r>
          </w:p>
        </w:tc>
        <w:tc>
          <w:tcPr>
            <w:tcW w:w="1246"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■政府网站       </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 xml:space="preserve">■两微一端       </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42</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评价结果</w:t>
            </w:r>
          </w:p>
        </w:tc>
        <w:tc>
          <w:tcPr>
            <w:tcW w:w="1274"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上级评价、表彰情况</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上级对本地区保障性住房领域年度工作完成情况的评价、通报、排名；获上级表彰、入围上级推广示范情况等。</w:t>
            </w:r>
          </w:p>
        </w:tc>
        <w:tc>
          <w:tcPr>
            <w:tcW w:w="360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246"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09" w:type="dxa"/>
            <w:vMerge w:val="continue"/>
            <w:shd w:val="clear" w:color="auto" w:fill="auto"/>
            <w:noWrap w:val="0"/>
            <w:vAlign w:val="center"/>
          </w:tcPr>
          <w:p>
            <w:pPr>
              <w:rPr>
                <w:rFonts w:hint="eastAsia" w:ascii="仿宋_GB2312" w:hAnsi="宋体" w:eastAsia="仿宋_GB2312"/>
                <w:color w:val="000000"/>
                <w:sz w:val="18"/>
                <w:szCs w:val="18"/>
              </w:rPr>
            </w:pPr>
          </w:p>
        </w:tc>
        <w:tc>
          <w:tcPr>
            <w:tcW w:w="551"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43</w:t>
            </w: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1274"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社会评价情况</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公众对保障性住房工作满意度评价。</w:t>
            </w:r>
          </w:p>
        </w:tc>
        <w:tc>
          <w:tcPr>
            <w:tcW w:w="360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246"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09" w:type="dxa"/>
            <w:vMerge w:val="continue"/>
            <w:shd w:val="clear" w:color="auto" w:fill="auto"/>
            <w:noWrap w:val="0"/>
            <w:vAlign w:val="center"/>
          </w:tcPr>
          <w:p>
            <w:pPr>
              <w:rPr>
                <w:rFonts w:hint="eastAsia" w:ascii="仿宋_GB2312" w:hAnsi="宋体" w:eastAsia="仿宋_GB2312"/>
                <w:color w:val="000000"/>
                <w:sz w:val="18"/>
                <w:szCs w:val="18"/>
              </w:rPr>
            </w:pPr>
          </w:p>
        </w:tc>
        <w:tc>
          <w:tcPr>
            <w:tcW w:w="551"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1668D5"/>
    <w:rsid w:val="3D96534B"/>
    <w:rsid w:val="5F1668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2020-11-09T00:50:00Z</dcterms:created>
  <dc:creator>Administrator</dc:creator>
  <cp:lastModifiedBy>覃兰斌</cp:lastModifiedBy>
  <dcterms:modified xsi:type="dcterms:W3CDTF">2020-12-15T17:04:24Z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