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3900" w:firstLineChars="1300"/>
        <w:rPr>
          <w:rFonts w:ascii="方正小标宋_GBK" w:hAnsi="方正小标宋_GBK" w:eastAsia="方正小标宋_GBK"/>
          <w:b w:val="0"/>
          <w:bCs w:val="0"/>
          <w:color w:val="000000"/>
          <w:sz w:val="30"/>
        </w:rPr>
      </w:pPr>
      <w:bookmarkStart w:id="0" w:name="_GoBack"/>
      <w:bookmarkEnd w:id="0"/>
      <w:r>
        <w:rPr>
          <w:rFonts w:hint="eastAsia" w:ascii="方正小标宋_GBK" w:hAnsi="方正小标宋_GBK" w:eastAsia="方正小标宋_GBK"/>
          <w:b w:val="0"/>
          <w:bCs w:val="0"/>
          <w:color w:val="000000"/>
          <w:sz w:val="30"/>
          <w:lang w:eastAsia="zh-CN"/>
        </w:rPr>
        <w:t>港南区</w:t>
      </w:r>
      <w:r>
        <w:rPr>
          <w:rFonts w:hint="eastAsia" w:ascii="方正小标宋_GBK" w:hAnsi="方正小标宋_GBK" w:eastAsia="方正小标宋_GBK"/>
          <w:b w:val="0"/>
          <w:bCs w:val="0"/>
          <w:color w:val="000000"/>
          <w:sz w:val="30"/>
        </w:rPr>
        <w:t>保障性住房领域基层政务公开标准目录</w:t>
      </w:r>
    </w:p>
    <w:tbl>
      <w:tblPr>
        <w:tblStyle w:val="5"/>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360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color w:val="000000"/>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信息获取（形成、变更）20个工作日内</w:t>
            </w:r>
          </w:p>
        </w:tc>
        <w:tc>
          <w:tcPr>
            <w:tcW w:w="108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区人民政府、</w:t>
            </w:r>
            <w:r>
              <w:rPr>
                <w:rFonts w:hint="eastAsia" w:ascii="仿宋_GB2312" w:hAnsi="宋体" w:eastAsia="仿宋_GB2312"/>
                <w:color w:val="000000"/>
                <w:sz w:val="18"/>
                <w:szCs w:val="18"/>
                <w:lang w:eastAsia="zh-CN"/>
              </w:rPr>
              <w:t>港南区</w:t>
            </w:r>
            <w:r>
              <w:rPr>
                <w:rFonts w:hint="eastAsia" w:ascii="仿宋_GB2312" w:hAnsi="宋体" w:eastAsia="仿宋_GB2312"/>
                <w:color w:val="000000"/>
                <w:sz w:val="18"/>
                <w:szCs w:val="18"/>
              </w:rPr>
              <w:t>住房和城乡建设局</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 xml:space="preserve">区政府门户网站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continue"/>
            <w:vAlign w:val="center"/>
          </w:tcPr>
          <w:p>
            <w:pPr>
              <w:rPr>
                <w:rFonts w:hint="eastAsia" w:ascii="仿宋_GB2312" w:hAnsi="宋体" w:eastAsia="仿宋_GB2312"/>
                <w:color w:val="000000"/>
                <w:sz w:val="18"/>
                <w:szCs w:val="18"/>
              </w:rPr>
            </w:pPr>
          </w:p>
        </w:tc>
        <w:tc>
          <w:tcPr>
            <w:tcW w:w="1080" w:type="dxa"/>
            <w:vMerge w:val="continue"/>
            <w:vAlign w:val="center"/>
          </w:tcPr>
          <w:p>
            <w:pPr>
              <w:rPr>
                <w:rFonts w:hint="eastAsia" w:ascii="仿宋_GB2312" w:hAnsi="宋体" w:eastAsia="仿宋_GB2312"/>
                <w:color w:val="000000"/>
                <w:sz w:val="18"/>
                <w:szCs w:val="18"/>
              </w:rPr>
            </w:pPr>
          </w:p>
        </w:tc>
        <w:tc>
          <w:tcPr>
            <w:tcW w:w="1080"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1" w:hRule="atLeas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1800" w:type="dxa"/>
            <w:vAlign w:val="center"/>
          </w:tcPr>
          <w:p>
            <w:pPr>
              <w:rPr>
                <w:rFonts w:hint="eastAsia" w:ascii="仿宋_GB2312" w:hAnsi="宋体" w:eastAsia="仿宋_GB2312"/>
                <w:color w:val="000000"/>
                <w:sz w:val="18"/>
                <w:szCs w:val="18"/>
              </w:rPr>
            </w:pP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审核结果：申请对象姓名、身份证号(隐藏部分号码)、申请房源类型；</w:t>
            </w:r>
          </w:p>
        </w:tc>
        <w:tc>
          <w:tcPr>
            <w:tcW w:w="36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区住房和城乡建设局</w:t>
            </w:r>
          </w:p>
        </w:tc>
        <w:tc>
          <w:tcPr>
            <w:tcW w:w="1246"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 xml:space="preserve">区政府门户网站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房源信息</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项目名称；保障性住房类型；竣工日期；地址；住房套数；待分配套数；已分配套数；套型；面积；配租配售价格；分配日期等。</w:t>
            </w:r>
          </w:p>
        </w:tc>
        <w:tc>
          <w:tcPr>
            <w:tcW w:w="36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区住房和城乡建设局</w:t>
            </w:r>
          </w:p>
        </w:tc>
        <w:tc>
          <w:tcPr>
            <w:tcW w:w="1246"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 xml:space="preserve">区政府门户网站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选房或摇号公告</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36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区住房和城乡建设局</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 xml:space="preserve">区政府门户网站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6</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3600" w:type="dxa"/>
            <w:vAlign w:val="center"/>
          </w:tcPr>
          <w:p>
            <w:pPr>
              <w:rPr>
                <w:rFonts w:hint="eastAsia" w:ascii="仿宋_GB2312" w:hAnsi="宋体" w:eastAsia="仿宋_GB2312"/>
                <w:color w:val="000000"/>
                <w:sz w:val="18"/>
                <w:szCs w:val="18"/>
              </w:rPr>
            </w:pPr>
          </w:p>
        </w:tc>
        <w:tc>
          <w:tcPr>
            <w:tcW w:w="1080" w:type="dxa"/>
            <w:vMerge w:val="continue"/>
            <w:vAlign w:val="center"/>
          </w:tcPr>
          <w:p>
            <w:pPr>
              <w:rPr>
                <w:rFonts w:hint="eastAsia" w:ascii="仿宋_GB2312" w:hAnsi="宋体" w:eastAsia="仿宋_GB2312"/>
                <w:color w:val="000000"/>
                <w:sz w:val="18"/>
                <w:szCs w:val="18"/>
              </w:rPr>
            </w:pPr>
          </w:p>
        </w:tc>
        <w:tc>
          <w:tcPr>
            <w:tcW w:w="1080"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jc w:val="center"/>
        </w:trPr>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7</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36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区住房和城乡建设局</w:t>
            </w:r>
          </w:p>
        </w:tc>
        <w:tc>
          <w:tcPr>
            <w:tcW w:w="1246"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■港</w:t>
            </w:r>
            <w:r>
              <w:rPr>
                <w:rFonts w:hint="eastAsia" w:ascii="仿宋_GB2312" w:hAnsi="宋体" w:eastAsia="仿宋_GB2312"/>
                <w:color w:val="000000"/>
                <w:sz w:val="18"/>
                <w:szCs w:val="18"/>
                <w:lang w:eastAsia="zh-CN"/>
              </w:rPr>
              <w:t>南</w:t>
            </w:r>
            <w:r>
              <w:rPr>
                <w:rFonts w:hint="eastAsia" w:ascii="仿宋_GB2312" w:hAnsi="宋体" w:eastAsia="仿宋_GB2312"/>
                <w:color w:val="000000"/>
                <w:sz w:val="18"/>
                <w:szCs w:val="18"/>
              </w:rPr>
              <w:t xml:space="preserve">区政府门户网站  </w:t>
            </w:r>
          </w:p>
          <w:p>
            <w:pPr>
              <w:rPr>
                <w:rFonts w:hint="eastAsia" w:ascii="仿宋_GB2312" w:hAnsi="宋体" w:eastAsia="仿宋_GB2312"/>
                <w:color w:val="000000"/>
                <w:sz w:val="18"/>
                <w:szCs w:val="18"/>
              </w:rPr>
            </w:pP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1736"/>
    <w:rsid w:val="001F4794"/>
    <w:rsid w:val="00451F21"/>
    <w:rsid w:val="008F1736"/>
    <w:rsid w:val="214B0FDB"/>
    <w:rsid w:val="486711C5"/>
    <w:rsid w:val="50DF406D"/>
    <w:rsid w:val="7B97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1 Char"/>
    <w:basedOn w:val="6"/>
    <w:link w:val="2"/>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224</Words>
  <Characters>1280</Characters>
  <Lines>10</Lines>
  <Paragraphs>3</Paragraphs>
  <TotalTime>2</TotalTime>
  <ScaleCrop>false</ScaleCrop>
  <LinksUpToDate>false</LinksUpToDate>
  <CharactersWithSpaces>1501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2020-09-25T09:50:00Z</dcterms:created>
  <dc:creator>港北区港北区大数据发展政务局办公室</dc:creator>
  <cp:lastModifiedBy>Administrator</cp:lastModifiedBy>
  <dcterms:modified xsi:type="dcterms:W3CDTF">2020-12-02T03:53:32Z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