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3300" w:firstLineChars="1100"/>
        <w:rPr>
          <w:rFonts w:ascii="方正小标宋_GBK" w:hAnsi="方正小标宋_GBK" w:eastAsia="方正小标宋_GBK"/>
          <w:b w:val="0"/>
          <w:bCs w:val="0"/>
          <w:color w:val="000000"/>
          <w:sz w:val="30"/>
        </w:rPr>
      </w:pPr>
      <w:r>
        <w:rPr>
          <w:rFonts w:hint="eastAsia" w:ascii="方正小标宋_GBK" w:hAnsi="方正小标宋_GBK" w:eastAsia="方正小标宋_GBK"/>
          <w:b w:val="0"/>
          <w:bCs w:val="0"/>
          <w:color w:val="000000"/>
          <w:sz w:val="30"/>
          <w:lang w:eastAsia="zh-CN"/>
        </w:rPr>
        <w:t>港北区</w:t>
      </w:r>
      <w:r>
        <w:rPr>
          <w:rFonts w:hint="eastAsia" w:ascii="方正小标宋_GBK" w:hAnsi="方正小标宋_GBK" w:eastAsia="方正小标宋_GBK"/>
          <w:b w:val="0"/>
          <w:bCs w:val="0"/>
          <w:color w:val="000000"/>
          <w:sz w:val="30"/>
        </w:rPr>
        <w:t>国有土地上房屋征收与补偿领域基层政务公开标准目录</w:t>
      </w:r>
    </w:p>
    <w:tbl>
      <w:tblPr>
        <w:tblStyle w:val="5"/>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080"/>
        <w:gridCol w:w="1800"/>
        <w:gridCol w:w="2958"/>
        <w:gridCol w:w="1542"/>
        <w:gridCol w:w="1440"/>
        <w:gridCol w:w="1080"/>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8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80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958"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542"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4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08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公开渠道和载体</w:t>
            </w:r>
          </w:p>
        </w:tc>
        <w:tc>
          <w:tcPr>
            <w:tcW w:w="1429"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pPr>
              <w:widowControl/>
              <w:jc w:val="left"/>
              <w:rPr>
                <w:rFonts w:ascii="Times New Roman" w:hAnsi="Times New Roman"/>
                <w:color w:val="000000"/>
                <w:kern w:val="0"/>
                <w:sz w:val="22"/>
              </w:rPr>
            </w:pPr>
          </w:p>
        </w:tc>
        <w:tc>
          <w:tcPr>
            <w:tcW w:w="90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08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800" w:type="dxa"/>
            <w:vMerge w:val="continue"/>
            <w:vAlign w:val="center"/>
          </w:tcPr>
          <w:p>
            <w:pPr>
              <w:widowControl/>
              <w:jc w:val="left"/>
              <w:rPr>
                <w:rFonts w:ascii="黑体" w:hAnsi="宋体" w:eastAsia="黑体" w:cs="宋体"/>
                <w:color w:val="000000"/>
                <w:kern w:val="0"/>
                <w:sz w:val="22"/>
              </w:rPr>
            </w:pPr>
          </w:p>
        </w:tc>
        <w:tc>
          <w:tcPr>
            <w:tcW w:w="2958" w:type="dxa"/>
            <w:vMerge w:val="continue"/>
            <w:vAlign w:val="center"/>
          </w:tcPr>
          <w:p>
            <w:pPr>
              <w:widowControl/>
              <w:jc w:val="left"/>
              <w:rPr>
                <w:rFonts w:ascii="黑体" w:hAnsi="宋体" w:eastAsia="黑体" w:cs="宋体"/>
                <w:color w:val="000000"/>
                <w:kern w:val="0"/>
                <w:sz w:val="22"/>
              </w:rPr>
            </w:pPr>
          </w:p>
        </w:tc>
        <w:tc>
          <w:tcPr>
            <w:tcW w:w="1542" w:type="dxa"/>
            <w:vMerge w:val="continue"/>
            <w:vAlign w:val="center"/>
          </w:tcPr>
          <w:p>
            <w:pPr>
              <w:widowControl/>
              <w:jc w:val="left"/>
              <w:rPr>
                <w:rFonts w:ascii="黑体" w:hAnsi="宋体" w:eastAsia="黑体" w:cs="宋体"/>
                <w:color w:val="000000"/>
                <w:kern w:val="0"/>
                <w:sz w:val="22"/>
              </w:rPr>
            </w:pPr>
          </w:p>
        </w:tc>
        <w:tc>
          <w:tcPr>
            <w:tcW w:w="1440" w:type="dxa"/>
            <w:vMerge w:val="continue"/>
            <w:vAlign w:val="center"/>
          </w:tcPr>
          <w:p>
            <w:pPr>
              <w:widowControl/>
              <w:jc w:val="left"/>
              <w:rPr>
                <w:rFonts w:ascii="黑体" w:hAnsi="宋体" w:eastAsia="黑体" w:cs="宋体"/>
                <w:color w:val="000000"/>
                <w:kern w:val="0"/>
                <w:sz w:val="22"/>
              </w:rPr>
            </w:pPr>
          </w:p>
        </w:tc>
        <w:tc>
          <w:tcPr>
            <w:tcW w:w="1080" w:type="dxa"/>
            <w:vMerge w:val="continue"/>
            <w:vAlign w:val="center"/>
          </w:tcPr>
          <w:p>
            <w:pPr>
              <w:widowControl/>
              <w:jc w:val="left"/>
              <w:rPr>
                <w:rFonts w:ascii="黑体" w:hAnsi="宋体" w:eastAsia="黑体" w:cs="宋体"/>
                <w:color w:val="000000"/>
                <w:kern w:val="0"/>
                <w:sz w:val="22"/>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vAlign w:val="center"/>
          </w:tcPr>
          <w:p>
            <w:pPr>
              <w:widowControl/>
              <w:jc w:val="center"/>
              <w:rPr>
                <w:rFonts w:hint="eastAsia" w:ascii="黑体" w:hAnsi="宋体" w:eastAsia="黑体" w:cs="宋体"/>
                <w:color w:val="000000"/>
                <w:kern w:val="0"/>
                <w:sz w:val="22"/>
                <w:lang w:eastAsia="zh-CN"/>
              </w:rPr>
            </w:pPr>
            <w:r>
              <w:rPr>
                <w:rFonts w:hint="eastAsia" w:ascii="黑体" w:hAnsi="宋体" w:eastAsia="黑体" w:cs="宋体"/>
                <w:color w:val="000000"/>
                <w:kern w:val="0"/>
                <w:sz w:val="22"/>
                <w:lang w:eastAsia="zh-CN"/>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w:t>
            </w:r>
          </w:p>
        </w:tc>
        <w:tc>
          <w:tcPr>
            <w:tcW w:w="90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法规</w:t>
            </w:r>
          </w:p>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政策</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国家层面法规政策</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国有土地上房屋征收评估办法》；《关于推进国有土地上房屋征收与补偿信息公开工作的实施意见》；《关于进一步加强国有土地上房屋征收与补偿信息公开工作的通知》。</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港北区人民政府、港北区住房和城乡建设局</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■港北区政府门户网站</w:t>
            </w:r>
            <w:bookmarkStart w:id="0" w:name="_GoBack"/>
            <w:bookmarkEnd w:id="0"/>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w:t>
            </w:r>
          </w:p>
        </w:tc>
        <w:tc>
          <w:tcPr>
            <w:tcW w:w="900" w:type="dxa"/>
            <w:vMerge w:val="continue"/>
            <w:vAlign w:val="center"/>
          </w:tcPr>
          <w:p>
            <w:pPr>
              <w:jc w:val="center"/>
              <w:rPr>
                <w:rFonts w:hint="eastAsia" w:ascii="仿宋_GB2312" w:hAnsi="宋体" w:eastAsia="仿宋_GB2312"/>
                <w:color w:val="000000"/>
                <w:sz w:val="18"/>
                <w:szCs w:val="18"/>
              </w:rPr>
            </w:pP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地方层面法规政策</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w:t>
            </w:r>
            <w:r>
              <w:rPr>
                <w:rFonts w:hint="eastAsia" w:ascii="仿宋_GB2312" w:hAnsi="仿宋" w:eastAsia="仿宋_GB2312"/>
                <w:sz w:val="18"/>
                <w:szCs w:val="18"/>
              </w:rPr>
              <w:t>广西壮族自治区人民政府关于贯彻国有土地上房屋征收与补偿条例的通知</w:t>
            </w:r>
            <w:r>
              <w:rPr>
                <w:rFonts w:hint="eastAsia" w:ascii="仿宋_GB2312" w:hAnsi="宋体" w:eastAsia="仿宋_GB2312"/>
                <w:color w:val="000000"/>
                <w:sz w:val="18"/>
                <w:szCs w:val="18"/>
              </w:rPr>
              <w:t>》；《</w:t>
            </w:r>
            <w:r>
              <w:rPr>
                <w:rFonts w:hint="eastAsia" w:ascii="仿宋_GB2312" w:hAnsi="仿宋" w:eastAsia="仿宋_GB2312"/>
                <w:sz w:val="18"/>
                <w:szCs w:val="18"/>
              </w:rPr>
              <w:t>贵港市人民政府关于印发贵港市市本级房屋征收与补偿暂行办法的通知</w:t>
            </w:r>
            <w:r>
              <w:rPr>
                <w:rFonts w:hint="eastAsia" w:ascii="仿宋_GB2312" w:hAnsi="宋体" w:eastAsia="仿宋_GB2312"/>
                <w:color w:val="000000"/>
                <w:sz w:val="18"/>
                <w:szCs w:val="18"/>
              </w:rPr>
              <w:t>》；《</w:t>
            </w:r>
            <w:r>
              <w:rPr>
                <w:rFonts w:hint="eastAsia" w:ascii="仿宋_GB2312" w:hAnsi="仿宋" w:eastAsia="仿宋_GB2312"/>
                <w:sz w:val="18"/>
                <w:szCs w:val="18"/>
              </w:rPr>
              <w:t>贵港市人民政府办公室关于印发贵港市国有土地上房屋征收评估管理暂行办法的通知</w:t>
            </w:r>
            <w:r>
              <w:rPr>
                <w:rFonts w:hint="eastAsia" w:ascii="仿宋_GB2312" w:hAnsi="宋体" w:eastAsia="仿宋_GB2312"/>
                <w:color w:val="000000"/>
                <w:sz w:val="18"/>
                <w:szCs w:val="18"/>
              </w:rPr>
              <w:t>》；《</w:t>
            </w:r>
            <w:r>
              <w:rPr>
                <w:rFonts w:hint="eastAsia" w:ascii="仿宋_GB2312" w:hAnsi="仿宋" w:eastAsia="仿宋_GB2312"/>
                <w:sz w:val="18"/>
                <w:szCs w:val="18"/>
              </w:rPr>
              <w:t>贵港市人民政府办公室关于市本级项目房屋征收面积复核有关问题的通知</w:t>
            </w:r>
            <w:r>
              <w:rPr>
                <w:rFonts w:hint="eastAsia" w:ascii="仿宋_GB2312" w:hAnsi="宋体" w:eastAsia="仿宋_GB2312"/>
                <w:color w:val="000000"/>
                <w:sz w:val="18"/>
                <w:szCs w:val="18"/>
              </w:rPr>
              <w:t>》；《</w:t>
            </w:r>
            <w:r>
              <w:rPr>
                <w:rFonts w:hint="eastAsia" w:ascii="仿宋_GB2312" w:hAnsi="仿宋" w:eastAsia="仿宋_GB2312"/>
                <w:sz w:val="18"/>
                <w:szCs w:val="18"/>
              </w:rPr>
              <w:t>贵港市人民政府办公室关于调整国有土地上房屋征收主体的通知</w:t>
            </w:r>
            <w:r>
              <w:rPr>
                <w:rFonts w:hint="eastAsia" w:ascii="仿宋_GB2312" w:hAnsi="宋体" w:eastAsia="仿宋_GB2312"/>
                <w:color w:val="000000"/>
                <w:sz w:val="18"/>
                <w:szCs w:val="18"/>
              </w:rPr>
              <w:t>》；《</w:t>
            </w:r>
            <w:r>
              <w:rPr>
                <w:rFonts w:hint="eastAsia" w:ascii="仿宋_GB2312" w:hAnsi="仿宋" w:eastAsia="仿宋_GB2312"/>
                <w:sz w:val="18"/>
                <w:szCs w:val="18"/>
              </w:rPr>
              <w:t>贵港市人民政府关于明确土地房屋征收有关问题的通知</w:t>
            </w:r>
            <w:r>
              <w:rPr>
                <w:rFonts w:hint="eastAsia" w:ascii="仿宋_GB2312" w:hAnsi="宋体" w:eastAsia="仿宋_GB2312"/>
                <w:color w:val="000000"/>
                <w:sz w:val="18"/>
                <w:szCs w:val="18"/>
              </w:rPr>
              <w:t>》；</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港北区人民政府、港北区住房和城乡建设局</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■港北区政府门户网站</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w:t>
            </w:r>
          </w:p>
        </w:tc>
        <w:tc>
          <w:tcPr>
            <w:tcW w:w="90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征收</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启动要件</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建设项目审批、备案、核准文件;建设项目符合城乡总体规划的证明、规划蓝线图等;建设项目用地符合土地利用总体规划的证明；符合公共利益的相关材料。</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自收到申请之日起20个工作日内公开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港北区人民政府、港北区住房和城乡建设局</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■其他_</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09"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申请人</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w:t>
            </w:r>
          </w:p>
        </w:tc>
        <w:tc>
          <w:tcPr>
            <w:tcW w:w="900" w:type="dxa"/>
            <w:vMerge w:val="continue"/>
            <w:vAlign w:val="center"/>
          </w:tcPr>
          <w:p>
            <w:pPr>
              <w:jc w:val="center"/>
              <w:rPr>
                <w:rFonts w:hint="eastAsia" w:ascii="仿宋_GB2312" w:hAnsi="宋体" w:eastAsia="仿宋_GB2312"/>
                <w:color w:val="000000"/>
                <w:sz w:val="18"/>
                <w:szCs w:val="18"/>
              </w:rPr>
            </w:pP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社会稳定风险评估</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社会稳定风险评估结果。</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自收到申请之日起20个工作日内公开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港北区人民政府</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■其他_</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09"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申请人</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5</w:t>
            </w:r>
          </w:p>
        </w:tc>
        <w:tc>
          <w:tcPr>
            <w:tcW w:w="90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征收</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房屋调查登记</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入户调查通知；调查结果；认定结果。</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《国有土地上房屋征收与补偿条例》；《国有土地上房屋征收评估办法》；《关于推进国有土地上房屋征收与补偿信息公开工作的实施意见》；《关于进一步加强国有土地上房屋征收与补偿信息公开工作的通知》</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港北区人民政府、港北区住房和城乡建设局</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09"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在征收范围内向被征收人</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5" w:hRule="atLeast"/>
        </w:trPr>
        <w:tc>
          <w:tcPr>
            <w:tcW w:w="54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6</w:t>
            </w:r>
          </w:p>
        </w:tc>
        <w:tc>
          <w:tcPr>
            <w:tcW w:w="900" w:type="dxa"/>
            <w:vMerge w:val="continue"/>
            <w:vAlign w:val="center"/>
          </w:tcPr>
          <w:p>
            <w:pPr>
              <w:jc w:val="center"/>
              <w:rPr>
                <w:rFonts w:hint="eastAsia" w:ascii="仿宋_GB2312" w:hAnsi="宋体" w:eastAsia="仿宋_GB2312"/>
                <w:color w:val="000000"/>
                <w:sz w:val="18"/>
                <w:szCs w:val="18"/>
              </w:rPr>
            </w:pP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房屋征收补偿方案拟订</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征求意见情况。</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征求意见期限不得少于30日</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港北区人民政府</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■港北区政府门户网站</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vAlign w:val="center"/>
          </w:tcPr>
          <w:p>
            <w:pPr>
              <w:jc w:val="center"/>
              <w:rPr>
                <w:rFonts w:hint="eastAsia" w:ascii="仿宋_GB2312" w:hAnsi="宋体" w:eastAsia="仿宋_GB2312"/>
                <w:color w:val="000000"/>
                <w:sz w:val="18"/>
                <w:szCs w:val="18"/>
              </w:rPr>
            </w:pPr>
          </w:p>
        </w:tc>
        <w:tc>
          <w:tcPr>
            <w:tcW w:w="709" w:type="dxa"/>
            <w:vAlign w:val="center"/>
          </w:tcPr>
          <w:p>
            <w:pPr>
              <w:ind w:left="-151" w:leftChars="-72" w:right="-97" w:rightChars="-46"/>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在征收范围内</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hint="eastAsia"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5" w:hRule="atLeast"/>
        </w:trPr>
        <w:tc>
          <w:tcPr>
            <w:tcW w:w="540" w:type="dxa"/>
            <w:vMerge w:val="continue"/>
            <w:vAlign w:val="center"/>
          </w:tcPr>
          <w:p>
            <w:pPr>
              <w:jc w:val="center"/>
            </w:pPr>
          </w:p>
        </w:tc>
        <w:tc>
          <w:tcPr>
            <w:tcW w:w="900" w:type="dxa"/>
            <w:vMerge w:val="continue"/>
            <w:vAlign w:val="center"/>
          </w:tcPr>
          <w:p>
            <w:pPr>
              <w:jc w:val="center"/>
            </w:pPr>
          </w:p>
        </w:tc>
        <w:tc>
          <w:tcPr>
            <w:tcW w:w="1080" w:type="dxa"/>
            <w:vAlign w:val="center"/>
          </w:tcPr>
          <w:p>
            <w:pPr>
              <w:jc w:val="center"/>
              <w:rPr>
                <w:rFonts w:hint="eastAsia" w:ascii="仿宋_GB2312" w:hAnsi="宋体" w:eastAsia="仿宋_GB2312"/>
                <w:color w:val="000000"/>
                <w:sz w:val="18"/>
                <w:szCs w:val="18"/>
              </w:rPr>
            </w:pP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论证结论;根据公众意见修改情况。</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港北区人民政府</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■其他</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09" w:type="dxa"/>
            <w:vAlign w:val="center"/>
          </w:tcPr>
          <w:p>
            <w:pPr>
              <w:ind w:left="-151" w:leftChars="-72" w:right="-97" w:rightChars="-46"/>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申请人</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7</w:t>
            </w:r>
          </w:p>
        </w:tc>
        <w:tc>
          <w:tcPr>
            <w:tcW w:w="900" w:type="dxa"/>
            <w:vMerge w:val="continue"/>
            <w:vAlign w:val="center"/>
          </w:tcPr>
          <w:p>
            <w:pPr>
              <w:jc w:val="center"/>
              <w:rPr>
                <w:rFonts w:hint="eastAsia" w:ascii="仿宋_GB2312" w:hAnsi="宋体" w:eastAsia="仿宋_GB2312"/>
                <w:color w:val="000000"/>
                <w:sz w:val="18"/>
                <w:szCs w:val="18"/>
              </w:rPr>
            </w:pP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房屋征收决定</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房屋征收决定公告（包括补偿方案和行政复议、行政诉讼权利等事项）。</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港北区人民政府</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■港北区政府门户网站</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09" w:type="dxa"/>
            <w:vAlign w:val="center"/>
          </w:tcPr>
          <w:p>
            <w:pPr>
              <w:ind w:left="-151" w:leftChars="-72" w:right="-97" w:rightChars="-46"/>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在征收范围内</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8</w:t>
            </w:r>
          </w:p>
        </w:tc>
        <w:tc>
          <w:tcPr>
            <w:tcW w:w="90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评估</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房地产估价机构确定</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房地产估价机构选定或确定通知。</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《国有土地上房屋征收与补偿条例》；《国有土地上房屋征收评估办法》；《关于推进国有土地上房屋征收与补偿信息公开工作的实施意见》；《关于进一步加强国有土地上房屋征收与补偿信息公开工作的通知》</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港北区住房和城乡建设局</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09" w:type="dxa"/>
            <w:vMerge w:val="restart"/>
            <w:vAlign w:val="center"/>
          </w:tcPr>
          <w:p>
            <w:pPr>
              <w:ind w:left="-151" w:leftChars="-72" w:right="-97" w:rightChars="-46"/>
              <w:jc w:val="center"/>
              <w:rPr>
                <w:rFonts w:ascii="仿宋_GB2312" w:hAnsi="宋体" w:eastAsia="仿宋_GB2312"/>
                <w:color w:val="000000"/>
                <w:sz w:val="18"/>
                <w:szCs w:val="18"/>
              </w:rPr>
            </w:pPr>
            <w:r>
              <w:rPr>
                <w:rFonts w:hint="eastAsia" w:ascii="仿宋_GB2312" w:hAnsi="宋体" w:eastAsia="仿宋_GB2312"/>
                <w:color w:val="000000"/>
                <w:sz w:val="18"/>
                <w:szCs w:val="18"/>
              </w:rPr>
              <w:t>在征收范围内向被征收人</w:t>
            </w:r>
          </w:p>
          <w:p>
            <w:pPr>
              <w:jc w:val="center"/>
              <w:rPr>
                <w:rFonts w:hint="eastAsia" w:ascii="仿宋_GB2312" w:hAnsi="宋体" w:eastAsia="仿宋_GB2312"/>
                <w:color w:val="000000"/>
                <w:sz w:val="18"/>
                <w:szCs w:val="18"/>
              </w:rPr>
            </w:pP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9</w:t>
            </w:r>
          </w:p>
        </w:tc>
        <w:tc>
          <w:tcPr>
            <w:tcW w:w="900" w:type="dxa"/>
            <w:vMerge w:val="continue"/>
            <w:vAlign w:val="center"/>
          </w:tcPr>
          <w:p>
            <w:pPr>
              <w:jc w:val="center"/>
              <w:rPr>
                <w:rFonts w:hint="eastAsia" w:ascii="仿宋_GB2312" w:hAnsi="宋体" w:eastAsia="仿宋_GB2312"/>
                <w:color w:val="000000"/>
                <w:sz w:val="18"/>
                <w:szCs w:val="18"/>
              </w:rPr>
            </w:pP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被征收房屋评估</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分户的初步评估结果。</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《国有土地上房屋征收与补偿条例》；《国有土地上房屋征收评估办法》；《关于推进国有土地上房屋征收与补偿信息公开工作的实施意见》；《关于进一步加强国有土地上房屋征收与补偿信息公开工作的通知》</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港北区住房和城乡建设局</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09" w:type="dxa"/>
            <w:vMerge w:val="continue"/>
            <w:vAlign w:val="center"/>
          </w:tcPr>
          <w:p>
            <w:pPr>
              <w:jc w:val="center"/>
              <w:rPr>
                <w:rFonts w:hint="eastAsia" w:ascii="仿宋_GB2312" w:hAnsi="宋体" w:eastAsia="仿宋_GB2312"/>
                <w:color w:val="000000"/>
                <w:sz w:val="18"/>
                <w:szCs w:val="18"/>
              </w:rPr>
            </w:pP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10</w:t>
            </w:r>
          </w:p>
        </w:tc>
        <w:tc>
          <w:tcPr>
            <w:tcW w:w="90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补偿</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分户补偿情况</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分户补偿结果。</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港北区住房和城乡建设局</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09" w:type="dxa"/>
            <w:vAlign w:val="center"/>
          </w:tcPr>
          <w:p>
            <w:pPr>
              <w:ind w:left="-151" w:leftChars="-72" w:right="-97" w:rightChars="-46"/>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在征收范围内向被征收人</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11</w:t>
            </w:r>
          </w:p>
        </w:tc>
        <w:tc>
          <w:tcPr>
            <w:tcW w:w="90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补偿</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产权调换房屋</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房源信息；选房办法；选房结果。</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港北区住房和城乡建设局</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09" w:type="dxa"/>
            <w:vAlign w:val="center"/>
          </w:tcPr>
          <w:p>
            <w:pPr>
              <w:ind w:left="-151" w:leftChars="-72" w:right="-97" w:rightChars="-46"/>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在征收范围内向被征收人</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12</w:t>
            </w:r>
          </w:p>
        </w:tc>
        <w:tc>
          <w:tcPr>
            <w:tcW w:w="900" w:type="dxa"/>
            <w:vMerge w:val="continue"/>
            <w:vAlign w:val="center"/>
          </w:tcPr>
          <w:p>
            <w:pPr>
              <w:jc w:val="center"/>
              <w:rPr>
                <w:rFonts w:hint="eastAsia" w:ascii="仿宋_GB2312" w:hAnsi="宋体" w:eastAsia="仿宋_GB2312"/>
                <w:color w:val="000000"/>
                <w:sz w:val="18"/>
                <w:szCs w:val="18"/>
              </w:rPr>
            </w:pP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房屋征收补偿决定</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房屋征收补偿决定公告。</w:t>
            </w:r>
          </w:p>
        </w:tc>
        <w:tc>
          <w:tcPr>
            <w:tcW w:w="295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54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港北区人民政府</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09" w:type="dxa"/>
            <w:vAlign w:val="center"/>
          </w:tcPr>
          <w:p>
            <w:pPr>
              <w:ind w:left="-151" w:leftChars="-72" w:right="-97" w:rightChars="-46"/>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在征收范围内向被征收人</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B64D9"/>
    <w:rsid w:val="00B65FBE"/>
    <w:rsid w:val="00BB64D9"/>
    <w:rsid w:val="0BD3707F"/>
    <w:rsid w:val="209F7ADF"/>
    <w:rsid w:val="2C01569A"/>
    <w:rsid w:val="57A24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标题 1 Char"/>
    <w:basedOn w:val="6"/>
    <w:link w:val="2"/>
    <w:qFormat/>
    <w:uiPriority w:val="0"/>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Pages>
  <Words>358</Words>
  <Characters>2046</Characters>
  <Lines>17</Lines>
  <Paragraphs>4</Paragraphs>
  <TotalTime>0</TotalTime>
  <ScaleCrop>false</ScaleCrop>
  <LinksUpToDate>false</LinksUpToDate>
  <CharactersWithSpaces>2400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2020-09-27T01:23:00Z</dcterms:created>
  <dc:creator>港北区港北区大数据发展政务局办公室</dc:creator>
  <cp:lastModifiedBy>Administrator</cp:lastModifiedBy>
  <dcterms:modified xsi:type="dcterms:W3CDTF">2020-11-16T09:11:05Z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