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  <w:lang w:val="en-US" w:eastAsia="zh-CN"/>
        </w:rPr>
        <w:t>桂平市</w:t>
      </w:r>
      <w:bookmarkStart w:id="0" w:name="_GoBack"/>
      <w:bookmarkEnd w:id="0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市政服务领域基层政务公开标准目录</w:t>
      </w:r>
    </w:p>
    <w:p/>
    <w:tbl>
      <w:tblPr>
        <w:tblStyle w:val="5"/>
        <w:tblW w:w="0" w:type="auto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60"/>
        <w:gridCol w:w="1980"/>
        <w:gridCol w:w="1800"/>
        <w:gridCol w:w="1620"/>
        <w:gridCol w:w="1800"/>
        <w:gridCol w:w="144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城镇燃气管理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燃气经营许可证核发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(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瓶装燃气供应站点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申请材料、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申请流程、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法定依据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《中华人民共和国行政许可法》、《城镇燃气管理条例》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政府公报、政府网站、新闻发布会、报刊、广播、电视或其他便于公众知晓的方式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燃气经营者改动市政燃气设施审批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申请材料、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申请流程、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法定依据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《中华人民共和国行政许可法》、《城镇燃气管理条例》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市政设施建设类审批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占用、挖掘城市道路审批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申请材料、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申请流程、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法定依据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《中华人民共和国行政许可法》、《城镇燃气管理条例》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政府公报、政府网站、新闻发布会、报刊、广播、电视或其他便于公众知晓的方式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依附城市道路建设各种管线及城市桥梁上架设各类市政管线审批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申请材料、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申请流程、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法定依据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《中华人民共和国行政许可法》、《城镇燃气管理条例》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特殊车辆在城市道路上行驶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申请材料、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申请流程、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法定依据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《中华人民共和国行政许可法》、《城镇燃气管理条例》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城市园林绿化管理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城市园林绿化行政审批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对临时占用城市绿化用地，砍伐城市树木，迁移古树名木，改变绿化规划、绿化用地的使用性质等审批事项申请条件、申请材料、申请流程、法定依据、受理机构、办理结果。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《中华人民共和国行政许可法》、《政府信息公开条例》、《城市绿化条例》、《国务院对确需保留的行政审批项目设定行政许可的决定》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政府网站、公开查阅点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城市园林绿化行政处罚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对违规占用城市绿化用地、砍伐城市树木、迁移古树名木等城市绿化违法违规行为的处罚内容、处罚依据、处罚流程和实施机关。对城市绿化违法违规行为的处罚结果。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《中华人民共和国行政许可法》、《政府信息公开条例》、《城市绿化条例》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政府网站、公开查阅点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城市供水、城镇排水与污水处理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因工程建设需要拆除、改动、迁移供水、排水与污水处理设施审核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申请材料、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申请流程、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法定依据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《中华人民共和国行政许可法》、《城市供水条例》《城镇排水与污水处理条例》《国务院关于印发清理规范投资项目报建审批事项实施方案的通知》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政府门户网站、公开查阅点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城市供水、城镇排水与污水处理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因工程施工、设备维修等确需停止供水的审批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申请材料、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申请流程、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法定依据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《中华人民共和国行政许可法》、《城市供水条例》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政府门户网站</w:t>
            </w:r>
          </w:p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公开查阅点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对从事工业、建筑、餐饮、医疗等活动的企业事业单位、个体工商户向城镇排水设施排放污水许可的审批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申请材料、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申请流程、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法定依据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《中华人民共和国行政许可法》、《城镇排水与污水处理条例》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桂平市住房和城乡建设局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政府门户网站、公开查阅点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63827"/>
    <w:rsid w:val="001B0314"/>
    <w:rsid w:val="00213B71"/>
    <w:rsid w:val="00CD1CF4"/>
    <w:rsid w:val="39063827"/>
    <w:rsid w:val="4FFB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245</Words>
  <Characters>1397</Characters>
  <Lines>11</Lines>
  <Paragraphs>3</Paragraphs>
  <TotalTime>0</TotalTime>
  <ScaleCrop>false</ScaleCrop>
  <LinksUpToDate>false</LinksUpToDate>
  <CharactersWithSpaces>1639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2020-12-04T09:20:00Z</dcterms:created>
  <dc:creator>Administrator</dc:creator>
  <cp:lastModifiedBy>覃兰斌</cp:lastModifiedBy>
  <dcterms:modified xsi:type="dcterms:W3CDTF">2020-12-15T17:06:10Z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