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1" w:name="_GoBack"/>
      <w:bookmarkEnd w:id="1"/>
      <w:bookmarkStart w:id="0" w:name="_Toc24724717"/>
      <w:r>
        <w:rPr>
          <w:rFonts w:hint="eastAsia" w:ascii="方正小标宋_GBK" w:hAnsi="方正小标宋_GBK" w:eastAsia="方正小标宋_GBK"/>
          <w:b w:val="0"/>
          <w:bCs w:val="0"/>
          <w:sz w:val="30"/>
          <w:lang w:eastAsia="zh-CN"/>
        </w:rPr>
        <w:t>覃塘区</w:t>
      </w:r>
      <w:r>
        <w:rPr>
          <w:rFonts w:hint="eastAsia" w:ascii="方正小标宋_GBK" w:hAnsi="方正小标宋_GBK" w:eastAsia="方正小标宋_GBK"/>
          <w:b w:val="0"/>
          <w:bCs w:val="0"/>
          <w:sz w:val="30"/>
        </w:rPr>
        <w:t>保障性住房领域基层政务公开标准目录</w:t>
      </w:r>
      <w:bookmarkEnd w:id="0"/>
    </w:p>
    <w:tbl>
      <w:tblPr>
        <w:tblStyle w:val="3"/>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800"/>
        <w:gridCol w:w="3600"/>
        <w:gridCol w:w="1080"/>
        <w:gridCol w:w="1080"/>
        <w:gridCol w:w="1246"/>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shd w:val="clear" w:color="auto" w:fill="auto"/>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0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360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8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8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246" w:type="dxa"/>
            <w:vMerge w:val="restart"/>
            <w:shd w:val="clear" w:color="auto" w:fill="auto"/>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shd w:val="clear" w:color="auto" w:fill="auto"/>
            <w:noWrap w:val="0"/>
            <w:vAlign w:val="center"/>
          </w:tcPr>
          <w:p>
            <w:pPr>
              <w:widowControl/>
              <w:jc w:val="left"/>
              <w:rPr>
                <w:rFonts w:ascii="Times New Roman" w:hAnsi="Times New Roman"/>
                <w:color w:val="000000"/>
                <w:kern w:val="0"/>
                <w:sz w:val="22"/>
              </w:rPr>
            </w:pP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0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360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108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108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1246" w:type="dxa"/>
            <w:vMerge w:val="continue"/>
            <w:shd w:val="clear" w:color="auto" w:fill="auto"/>
            <w:noWrap w:val="0"/>
            <w:vAlign w:val="center"/>
          </w:tcPr>
          <w:p>
            <w:pPr>
              <w:widowControl/>
              <w:jc w:val="left"/>
              <w:rPr>
                <w:rFonts w:ascii="黑体" w:hAnsi="宋体" w:eastAsia="黑体" w:cs="宋体"/>
                <w:kern w:val="0"/>
                <w:sz w:val="22"/>
              </w:rPr>
            </w:pP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4" w:hRule="atLeast"/>
          <w:jc w:val="center"/>
        </w:trPr>
        <w:tc>
          <w:tcPr>
            <w:tcW w:w="540" w:type="dxa"/>
            <w:shd w:val="clear" w:color="auto" w:fill="auto"/>
            <w:noWrap w:val="0"/>
            <w:vAlign w:val="center"/>
          </w:tcPr>
          <w:p>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val="en-US" w:eastAsia="zh-CN"/>
              </w:rPr>
              <w:t>1</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规划计划</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中长期规划</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保障性住房专项规划。</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保障性住房政务信息制作部门、保存部门</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26" w:hRule="atLeast"/>
          <w:jc w:val="center"/>
        </w:trPr>
        <w:tc>
          <w:tcPr>
            <w:tcW w:w="540" w:type="dxa"/>
            <w:shd w:val="clear" w:color="auto" w:fill="auto"/>
            <w:noWrap w:val="0"/>
            <w:vAlign w:val="center"/>
          </w:tcPr>
          <w:p>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val="en-US" w:eastAsia="zh-CN"/>
              </w:rPr>
              <w:t>2</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年度计划</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年度建设计划任务量：开工套数、基本建成套数；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年度计划项目：项目名称、建设地点、总建筑面积、住宅面积、计划开工时间、计划竣工时间。</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val="en-US" w:eastAsia="zh-CN"/>
              </w:rPr>
              <w:t>3</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建设管理</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立项信息</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项目名称；建设地点；投资金额；计划安排。</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保障性住房政务信息制作部门、保存部门</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3" w:hRule="atLeast"/>
          <w:jc w:val="center"/>
        </w:trPr>
        <w:tc>
          <w:tcPr>
            <w:tcW w:w="540" w:type="dxa"/>
            <w:shd w:val="clear" w:color="auto" w:fill="auto"/>
            <w:noWrap w:val="0"/>
            <w:vAlign w:val="center"/>
          </w:tcPr>
          <w:p>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val="en-US" w:eastAsia="zh-CN"/>
              </w:rPr>
              <w:t>4</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开工项目清单</w:t>
            </w:r>
          </w:p>
        </w:tc>
        <w:tc>
          <w:tcPr>
            <w:tcW w:w="18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项目名称；建设地址；建设方式；建设总套数；开工时间；年度计划开工套数、实际开工套数；年度计划基本建成套数；建设、设计、施工和监理单位名称等。</w:t>
            </w:r>
          </w:p>
        </w:tc>
        <w:tc>
          <w:tcPr>
            <w:tcW w:w="360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080" w:type="dxa"/>
            <w:vMerge w:val="continue"/>
            <w:shd w:val="clear" w:color="auto" w:fill="auto"/>
            <w:noWrap w:val="0"/>
            <w:vAlign w:val="center"/>
          </w:tcPr>
          <w:p>
            <w:pPr>
              <w:rPr>
                <w:rFonts w:ascii="仿宋_GB2312" w:hAnsi="宋体" w:eastAsia="仿宋_GB2312"/>
                <w:color w:val="000000"/>
                <w:sz w:val="18"/>
                <w:szCs w:val="18"/>
              </w:rPr>
            </w:pPr>
          </w:p>
        </w:tc>
        <w:tc>
          <w:tcPr>
            <w:tcW w:w="1246"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09" w:type="dxa"/>
            <w:vMerge w:val="continue"/>
            <w:shd w:val="clear" w:color="auto" w:fill="auto"/>
            <w:noWrap w:val="0"/>
            <w:vAlign w:val="center"/>
          </w:tcPr>
          <w:p>
            <w:pPr>
              <w:rPr>
                <w:rFonts w:ascii="仿宋_GB2312" w:hAnsi="宋体" w:eastAsia="仿宋_GB2312"/>
                <w:color w:val="000000"/>
                <w:sz w:val="18"/>
                <w:szCs w:val="18"/>
              </w:rPr>
            </w:pPr>
          </w:p>
        </w:tc>
        <w:tc>
          <w:tcPr>
            <w:tcW w:w="551"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c>
          <w:tcPr>
            <w:tcW w:w="720" w:type="dxa"/>
            <w:vMerge w:val="continue"/>
            <w:shd w:val="clear" w:color="auto" w:fill="auto"/>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540" w:type="dxa"/>
            <w:shd w:val="clear" w:color="auto" w:fill="auto"/>
            <w:noWrap w:val="0"/>
            <w:vAlign w:val="center"/>
          </w:tcPr>
          <w:p>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val="en-US" w:eastAsia="zh-CN"/>
              </w:rPr>
              <w:t>5</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自愿退出</w:t>
            </w:r>
          </w:p>
        </w:tc>
        <w:tc>
          <w:tcPr>
            <w:tcW w:w="18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原保障对象姓名；原租购项目名称、地址、类型、套型、面积等；原享受补贴面积、标准等。</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保障性住房政务信息制作部门、保存部门</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540" w:type="dxa"/>
            <w:shd w:val="clear" w:color="auto" w:fill="auto"/>
            <w:noWrap w:val="0"/>
            <w:vAlign w:val="center"/>
          </w:tcPr>
          <w:p>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val="en-US" w:eastAsia="zh-CN"/>
              </w:rPr>
              <w:t>6</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到期退出</w:t>
            </w:r>
          </w:p>
        </w:tc>
        <w:tc>
          <w:tcPr>
            <w:tcW w:w="1800" w:type="dxa"/>
            <w:vMerge w:val="continue"/>
            <w:shd w:val="clear" w:color="auto" w:fill="auto"/>
            <w:noWrap w:val="0"/>
            <w:vAlign w:val="center"/>
          </w:tcPr>
          <w:p>
            <w:pPr>
              <w:rPr>
                <w:rFonts w:hint="eastAsia" w:ascii="仿宋_GB2312" w:hAnsi="宋体" w:eastAsia="仿宋_GB2312"/>
                <w:color w:val="000000"/>
                <w:sz w:val="18"/>
                <w:szCs w:val="18"/>
              </w:rPr>
            </w:pP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7</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不符合条件退出</w:t>
            </w:r>
          </w:p>
        </w:tc>
        <w:tc>
          <w:tcPr>
            <w:tcW w:w="1800" w:type="dxa"/>
            <w:vMerge w:val="continue"/>
            <w:shd w:val="clear" w:color="auto" w:fill="auto"/>
            <w:noWrap w:val="0"/>
            <w:vAlign w:val="center"/>
          </w:tcPr>
          <w:p>
            <w:pPr>
              <w:rPr>
                <w:rFonts w:hint="eastAsia" w:ascii="仿宋_GB2312" w:hAnsi="宋体" w:eastAsia="仿宋_GB2312"/>
                <w:color w:val="000000"/>
                <w:sz w:val="18"/>
                <w:szCs w:val="18"/>
              </w:rPr>
            </w:pP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8</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违规处罚退出</w:t>
            </w:r>
          </w:p>
        </w:tc>
        <w:tc>
          <w:tcPr>
            <w:tcW w:w="1800" w:type="dxa"/>
            <w:vMerge w:val="continue"/>
            <w:shd w:val="clear" w:color="auto" w:fill="auto"/>
            <w:noWrap w:val="0"/>
            <w:vAlign w:val="center"/>
          </w:tcPr>
          <w:p>
            <w:pPr>
              <w:rPr>
                <w:rFonts w:hint="eastAsia" w:ascii="仿宋_GB2312" w:hAnsi="宋体" w:eastAsia="仿宋_GB2312"/>
                <w:color w:val="000000"/>
                <w:sz w:val="18"/>
                <w:szCs w:val="18"/>
              </w:rPr>
            </w:pP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4" w:hRule="atLeas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9</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腾退管理</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腾退对象；腾退日期；腾退原因；实退租金。</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保障性住房政务信息制作部门、保存部门</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                                      ■政府网站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10</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房屋维修</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维修内容；维修标准；维修资金来源渠道；维修单位名称；联系人，联系方式。</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11</w:t>
            </w:r>
          </w:p>
        </w:tc>
        <w:tc>
          <w:tcPr>
            <w:tcW w:w="720" w:type="dxa"/>
            <w:vMerge w:val="continue"/>
            <w:shd w:val="clear" w:color="auto" w:fill="auto"/>
            <w:noWrap w:val="0"/>
            <w:vAlign w:val="center"/>
          </w:tcPr>
          <w:p>
            <w:pPr>
              <w:jc w:val="cente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保障性住房调整</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保障对象姓名；调整前和调整后保障项目名称、类型、套型、面积等；不予调整原因。</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6" w:hRule="atLeas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12</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解读主体；解读内容；解读方式；解读时间等。</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《关于全面推进政务公开工作的意见》、《国务院关于加快推进“互联网+政务服务”工作的指导意见》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保障性住房信息制作部门、保存部门</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■两微一端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■公开查阅点     </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■便民服务站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13</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主动回应</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公众提出的意见建议及回复情况；公开突发事件应对情况等。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14</w:t>
            </w:r>
          </w:p>
        </w:tc>
        <w:tc>
          <w:tcPr>
            <w:tcW w:w="720"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在收集分析研判舆情的基础上，针对舆论关注的焦点、热点和关键问题的互动回应内容。</w:t>
            </w:r>
          </w:p>
        </w:tc>
        <w:tc>
          <w:tcPr>
            <w:tcW w:w="360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《关于全面推进政务公开工作的意见》、《国务院办公厅关于推进公共资源配置领域政府信息公开的意见》</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080"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住房保障行政主管部门</w:t>
            </w:r>
          </w:p>
        </w:tc>
        <w:tc>
          <w:tcPr>
            <w:tcW w:w="1246" w:type="dxa"/>
            <w:vMerge w:val="restart"/>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 xml:space="preserve">■两微一端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15</w:t>
            </w:r>
          </w:p>
        </w:tc>
        <w:tc>
          <w:tcPr>
            <w:tcW w:w="720" w:type="dxa"/>
            <w:vMerge w:val="restart"/>
            <w:shd w:val="clear" w:color="auto" w:fill="auto"/>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评价结果</w:t>
            </w: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上级评价、表彰情况</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上级对本地区保障性住房领域年度工作完成情况的评价、通报、排名；获上级表彰、入围上级推广示范情况等。</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shd w:val="clear" w:color="auto" w:fill="auto"/>
            <w:noWrap w:val="0"/>
            <w:vAlign w:val="center"/>
          </w:tcPr>
          <w:p>
            <w:pPr>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16</w:t>
            </w: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1274"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社会评价情况</w:t>
            </w:r>
          </w:p>
        </w:tc>
        <w:tc>
          <w:tcPr>
            <w:tcW w:w="1800" w:type="dxa"/>
            <w:shd w:val="clear" w:color="auto" w:fill="auto"/>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公众对保障性住房工作满意度评价。</w:t>
            </w:r>
          </w:p>
        </w:tc>
        <w:tc>
          <w:tcPr>
            <w:tcW w:w="360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080" w:type="dxa"/>
            <w:vMerge w:val="continue"/>
            <w:shd w:val="clear" w:color="auto" w:fill="auto"/>
            <w:noWrap w:val="0"/>
            <w:vAlign w:val="center"/>
          </w:tcPr>
          <w:p>
            <w:pPr>
              <w:rPr>
                <w:rFonts w:hint="eastAsia" w:ascii="仿宋_GB2312" w:hAnsi="宋体" w:eastAsia="仿宋_GB2312"/>
                <w:color w:val="000000"/>
                <w:sz w:val="18"/>
                <w:szCs w:val="18"/>
              </w:rPr>
            </w:pPr>
          </w:p>
        </w:tc>
        <w:tc>
          <w:tcPr>
            <w:tcW w:w="1246"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09" w:type="dxa"/>
            <w:vMerge w:val="continue"/>
            <w:shd w:val="clear" w:color="auto" w:fill="auto"/>
            <w:noWrap w:val="0"/>
            <w:vAlign w:val="center"/>
          </w:tcPr>
          <w:p>
            <w:pPr>
              <w:rPr>
                <w:rFonts w:hint="eastAsia" w:ascii="仿宋_GB2312" w:hAnsi="宋体" w:eastAsia="仿宋_GB2312"/>
                <w:color w:val="000000"/>
                <w:sz w:val="18"/>
                <w:szCs w:val="18"/>
              </w:rPr>
            </w:pPr>
          </w:p>
        </w:tc>
        <w:tc>
          <w:tcPr>
            <w:tcW w:w="551"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c>
          <w:tcPr>
            <w:tcW w:w="720" w:type="dxa"/>
            <w:vMerge w:val="continue"/>
            <w:shd w:val="clear" w:color="auto" w:fill="auto"/>
            <w:noWrap w:val="0"/>
            <w:vAlign w:val="center"/>
          </w:tcPr>
          <w:p>
            <w:pPr>
              <w:rPr>
                <w:rFonts w:hint="eastAsia" w:ascii="仿宋_GB2312" w:hAnsi="宋体" w:eastAsia="仿宋_GB2312"/>
                <w:color w:val="000000"/>
                <w:sz w:val="18"/>
                <w:szCs w:val="18"/>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72AF1"/>
    <w:rsid w:val="04F15CEB"/>
    <w:rsid w:val="0EB86502"/>
    <w:rsid w:val="10BE08E7"/>
    <w:rsid w:val="13D437E0"/>
    <w:rsid w:val="14A658FC"/>
    <w:rsid w:val="181B58E2"/>
    <w:rsid w:val="18575F98"/>
    <w:rsid w:val="1B401592"/>
    <w:rsid w:val="2DD24C4C"/>
    <w:rsid w:val="30420834"/>
    <w:rsid w:val="32565B0F"/>
    <w:rsid w:val="34BD20B7"/>
    <w:rsid w:val="38EE2E7B"/>
    <w:rsid w:val="427E1E43"/>
    <w:rsid w:val="4BAB4AE7"/>
    <w:rsid w:val="50382C6E"/>
    <w:rsid w:val="5389712D"/>
    <w:rsid w:val="5D110C9A"/>
    <w:rsid w:val="6BF659DE"/>
    <w:rsid w:val="6F387D59"/>
    <w:rsid w:val="70086A35"/>
    <w:rsid w:val="73D249FC"/>
    <w:rsid w:val="778A66AF"/>
    <w:rsid w:val="78956A41"/>
    <w:rsid w:val="7ABC4DD7"/>
    <w:rsid w:val="7B421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2020-09-07T09:44:00Z</dcterms:created>
  <dc:creator>Administrator.USER-20191010FS</dc:creator>
  <cp:lastModifiedBy>覃兰斌</cp:lastModifiedBy>
  <cp:lastPrinted>2020-09-21T08:23:00Z</cp:lastPrinted>
  <dcterms:modified xsi:type="dcterms:W3CDTF">2020-12-15T17:04:44Z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