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eastAsia" w:ascii="方正小标宋简体" w:hAnsi="方正小标宋简体" w:eastAsia="方正小标宋简体" w:cs="方正小标宋简体"/>
          <w:b w:val="0"/>
          <w:bCs w:val="0"/>
          <w:color w:val="000000"/>
          <w:kern w:val="0"/>
          <w:sz w:val="44"/>
          <w:szCs w:val="44"/>
          <w:lang w:val="en-US" w:eastAsia="zh-CN" w:bidi="ar"/>
        </w:rPr>
      </w:pPr>
      <w:r>
        <w:rPr>
          <w:rFonts w:hint="eastAsia" w:ascii="方正小标宋简体" w:hAnsi="方正小标宋简体" w:eastAsia="方正小标宋简体" w:cs="方正小标宋简体"/>
          <w:b w:val="0"/>
          <w:bCs w:val="0"/>
          <w:color w:val="000000"/>
          <w:kern w:val="0"/>
          <w:sz w:val="44"/>
          <w:szCs w:val="44"/>
          <w:lang w:val="en-US" w:eastAsia="zh-CN" w:bidi="ar"/>
        </w:rPr>
        <w:t>合浦县城市综合执法领域基层政务公开标准目录</w:t>
      </w:r>
    </w:p>
    <w:p>
      <w:pPr>
        <w:pStyle w:val="2"/>
        <w:rPr>
          <w:rFonts w:hint="eastAsia"/>
          <w:lang w:val="en-US" w:eastAsia="zh-CN"/>
        </w:rPr>
      </w:pPr>
    </w:p>
    <w:tbl>
      <w:tblPr>
        <w:tblStyle w:val="3"/>
        <w:tblW w:w="15480"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20"/>
        <w:gridCol w:w="1800"/>
        <w:gridCol w:w="1980"/>
        <w:gridCol w:w="1532"/>
        <w:gridCol w:w="2054"/>
        <w:gridCol w:w="1634"/>
        <w:gridCol w:w="1440"/>
        <w:gridCol w:w="540"/>
        <w:gridCol w:w="720"/>
        <w:gridCol w:w="596"/>
        <w:gridCol w:w="664"/>
        <w:gridCol w:w="54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540" w:type="dxa"/>
            <w:vMerge w:val="restart"/>
            <w:noWrap w:val="0"/>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序号</w:t>
            </w:r>
          </w:p>
        </w:tc>
        <w:tc>
          <w:tcPr>
            <w:tcW w:w="2520" w:type="dxa"/>
            <w:gridSpan w:val="2"/>
            <w:noWrap w:val="0"/>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公开事项</w:t>
            </w:r>
          </w:p>
        </w:tc>
        <w:tc>
          <w:tcPr>
            <w:tcW w:w="1980" w:type="dxa"/>
            <w:vMerge w:val="restart"/>
            <w:noWrap w:val="0"/>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公开内容（要素）</w:t>
            </w:r>
          </w:p>
        </w:tc>
        <w:tc>
          <w:tcPr>
            <w:tcW w:w="1532" w:type="dxa"/>
            <w:vMerge w:val="restart"/>
            <w:noWrap w:val="0"/>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公开主体</w:t>
            </w:r>
          </w:p>
        </w:tc>
        <w:tc>
          <w:tcPr>
            <w:tcW w:w="2054" w:type="dxa"/>
            <w:vMerge w:val="restart"/>
            <w:shd w:val="clear" w:color="auto" w:fill="auto"/>
            <w:noWrap w:val="0"/>
            <w:vAlign w:val="center"/>
          </w:tcPr>
          <w:p>
            <w:pPr>
              <w:widowControl/>
              <w:jc w:val="center"/>
              <w:rPr>
                <w:rFonts w:hint="eastAsia" w:ascii="仿宋_GB2312" w:hAnsi="仿宋_GB2312" w:eastAsia="仿宋_GB2312" w:cs="仿宋_GB2312"/>
                <w:b/>
                <w:bCs/>
                <w:color w:val="auto"/>
                <w:kern w:val="0"/>
                <w:sz w:val="21"/>
                <w:szCs w:val="21"/>
              </w:rPr>
            </w:pPr>
            <w:r>
              <w:rPr>
                <w:rFonts w:hint="eastAsia" w:ascii="仿宋_GB2312" w:hAnsi="仿宋_GB2312" w:eastAsia="仿宋_GB2312" w:cs="仿宋_GB2312"/>
                <w:b/>
                <w:bCs/>
                <w:color w:val="auto"/>
                <w:kern w:val="0"/>
                <w:sz w:val="21"/>
                <w:szCs w:val="21"/>
              </w:rPr>
              <w:t>公开依据</w:t>
            </w:r>
          </w:p>
        </w:tc>
        <w:tc>
          <w:tcPr>
            <w:tcW w:w="1634" w:type="dxa"/>
            <w:vMerge w:val="restart"/>
            <w:noWrap w:val="0"/>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公开时限</w:t>
            </w:r>
          </w:p>
        </w:tc>
        <w:tc>
          <w:tcPr>
            <w:tcW w:w="1440" w:type="dxa"/>
            <w:vMerge w:val="restart"/>
            <w:noWrap w:val="0"/>
            <w:vAlign w:val="center"/>
          </w:tcPr>
          <w:p>
            <w:pPr>
              <w:widowControl/>
              <w:jc w:val="center"/>
              <w:rPr>
                <w:rFonts w:hint="eastAsia" w:ascii="仿宋_GB2312" w:hAnsi="仿宋_GB2312" w:eastAsia="仿宋_GB2312" w:cs="仿宋_GB2312"/>
                <w:b/>
                <w:bCs/>
                <w:kern w:val="0"/>
                <w:sz w:val="21"/>
                <w:szCs w:val="21"/>
              </w:rPr>
            </w:pPr>
            <w:r>
              <w:rPr>
                <w:rFonts w:hint="eastAsia" w:ascii="仿宋_GB2312" w:hAnsi="仿宋_GB2312" w:eastAsia="仿宋_GB2312" w:cs="仿宋_GB2312"/>
                <w:b/>
                <w:bCs/>
                <w:kern w:val="0"/>
                <w:sz w:val="21"/>
                <w:szCs w:val="21"/>
              </w:rPr>
              <w:t>公开渠道和载体</w:t>
            </w:r>
          </w:p>
        </w:tc>
        <w:tc>
          <w:tcPr>
            <w:tcW w:w="1260" w:type="dxa"/>
            <w:gridSpan w:val="2"/>
            <w:noWrap w:val="0"/>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公开对象</w:t>
            </w:r>
          </w:p>
        </w:tc>
        <w:tc>
          <w:tcPr>
            <w:tcW w:w="1260" w:type="dxa"/>
            <w:gridSpan w:val="2"/>
            <w:noWrap w:val="0"/>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公开方式</w:t>
            </w:r>
          </w:p>
        </w:tc>
        <w:tc>
          <w:tcPr>
            <w:tcW w:w="1260" w:type="dxa"/>
            <w:gridSpan w:val="2"/>
            <w:noWrap w:val="0"/>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3" w:hRule="atLeast"/>
        </w:trPr>
        <w:tc>
          <w:tcPr>
            <w:tcW w:w="540" w:type="dxa"/>
            <w:vMerge w:val="continue"/>
            <w:noWrap w:val="0"/>
            <w:vAlign w:val="center"/>
          </w:tcPr>
          <w:p>
            <w:pPr>
              <w:widowControl/>
              <w:jc w:val="left"/>
              <w:rPr>
                <w:rFonts w:hint="eastAsia" w:ascii="仿宋_GB2312" w:hAnsi="仿宋_GB2312" w:eastAsia="仿宋_GB2312" w:cs="仿宋_GB2312"/>
                <w:b/>
                <w:bCs/>
                <w:color w:val="000000"/>
                <w:kern w:val="0"/>
                <w:sz w:val="21"/>
                <w:szCs w:val="21"/>
              </w:rPr>
            </w:pPr>
          </w:p>
        </w:tc>
        <w:tc>
          <w:tcPr>
            <w:tcW w:w="720" w:type="dxa"/>
            <w:noWrap w:val="0"/>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一级事项</w:t>
            </w:r>
          </w:p>
        </w:tc>
        <w:tc>
          <w:tcPr>
            <w:tcW w:w="1800" w:type="dxa"/>
            <w:noWrap w:val="0"/>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二级事项</w:t>
            </w:r>
          </w:p>
        </w:tc>
        <w:tc>
          <w:tcPr>
            <w:tcW w:w="1980" w:type="dxa"/>
            <w:vMerge w:val="continue"/>
            <w:noWrap w:val="0"/>
            <w:vAlign w:val="center"/>
          </w:tcPr>
          <w:p>
            <w:pPr>
              <w:widowControl/>
              <w:jc w:val="left"/>
              <w:rPr>
                <w:rFonts w:hint="eastAsia" w:ascii="仿宋_GB2312" w:hAnsi="仿宋_GB2312" w:eastAsia="仿宋_GB2312" w:cs="仿宋_GB2312"/>
                <w:b/>
                <w:bCs/>
                <w:color w:val="000000"/>
                <w:kern w:val="0"/>
                <w:sz w:val="21"/>
                <w:szCs w:val="21"/>
              </w:rPr>
            </w:pPr>
          </w:p>
        </w:tc>
        <w:tc>
          <w:tcPr>
            <w:tcW w:w="1532" w:type="dxa"/>
            <w:vMerge w:val="continue"/>
            <w:noWrap w:val="0"/>
            <w:vAlign w:val="center"/>
          </w:tcPr>
          <w:p>
            <w:pPr>
              <w:widowControl/>
              <w:jc w:val="left"/>
              <w:rPr>
                <w:rFonts w:hint="eastAsia" w:ascii="仿宋_GB2312" w:hAnsi="仿宋_GB2312" w:eastAsia="仿宋_GB2312" w:cs="仿宋_GB2312"/>
                <w:b/>
                <w:bCs/>
                <w:color w:val="000000"/>
                <w:kern w:val="0"/>
                <w:sz w:val="21"/>
                <w:szCs w:val="21"/>
              </w:rPr>
            </w:pPr>
          </w:p>
        </w:tc>
        <w:tc>
          <w:tcPr>
            <w:tcW w:w="2054" w:type="dxa"/>
            <w:vMerge w:val="continue"/>
            <w:shd w:val="clear" w:color="auto" w:fill="auto"/>
            <w:noWrap w:val="0"/>
            <w:vAlign w:val="center"/>
          </w:tcPr>
          <w:p>
            <w:pPr>
              <w:widowControl/>
              <w:jc w:val="left"/>
              <w:rPr>
                <w:rFonts w:hint="eastAsia" w:ascii="仿宋_GB2312" w:hAnsi="仿宋_GB2312" w:eastAsia="仿宋_GB2312" w:cs="仿宋_GB2312"/>
                <w:b/>
                <w:bCs/>
                <w:color w:val="auto"/>
                <w:kern w:val="0"/>
                <w:sz w:val="21"/>
                <w:szCs w:val="21"/>
              </w:rPr>
            </w:pPr>
          </w:p>
        </w:tc>
        <w:tc>
          <w:tcPr>
            <w:tcW w:w="1634" w:type="dxa"/>
            <w:vMerge w:val="continue"/>
            <w:noWrap w:val="0"/>
            <w:vAlign w:val="center"/>
          </w:tcPr>
          <w:p>
            <w:pPr>
              <w:widowControl/>
              <w:jc w:val="left"/>
              <w:rPr>
                <w:rFonts w:hint="eastAsia" w:ascii="仿宋_GB2312" w:hAnsi="仿宋_GB2312" w:eastAsia="仿宋_GB2312" w:cs="仿宋_GB2312"/>
                <w:b/>
                <w:bCs/>
                <w:color w:val="000000"/>
                <w:kern w:val="0"/>
                <w:sz w:val="21"/>
                <w:szCs w:val="21"/>
              </w:rPr>
            </w:pPr>
          </w:p>
        </w:tc>
        <w:tc>
          <w:tcPr>
            <w:tcW w:w="1440" w:type="dxa"/>
            <w:vMerge w:val="continue"/>
            <w:noWrap w:val="0"/>
            <w:vAlign w:val="center"/>
          </w:tcPr>
          <w:p>
            <w:pPr>
              <w:widowControl/>
              <w:jc w:val="left"/>
              <w:rPr>
                <w:rFonts w:hint="eastAsia" w:ascii="仿宋_GB2312" w:hAnsi="仿宋_GB2312" w:eastAsia="仿宋_GB2312" w:cs="仿宋_GB2312"/>
                <w:b/>
                <w:bCs/>
                <w:kern w:val="0"/>
                <w:sz w:val="21"/>
                <w:szCs w:val="21"/>
              </w:rPr>
            </w:pPr>
          </w:p>
        </w:tc>
        <w:tc>
          <w:tcPr>
            <w:tcW w:w="540" w:type="dxa"/>
            <w:noWrap w:val="0"/>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全社会</w:t>
            </w:r>
          </w:p>
        </w:tc>
        <w:tc>
          <w:tcPr>
            <w:tcW w:w="720" w:type="dxa"/>
            <w:noWrap w:val="0"/>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特定群众</w:t>
            </w:r>
          </w:p>
        </w:tc>
        <w:tc>
          <w:tcPr>
            <w:tcW w:w="596" w:type="dxa"/>
            <w:noWrap w:val="0"/>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主动</w:t>
            </w:r>
          </w:p>
        </w:tc>
        <w:tc>
          <w:tcPr>
            <w:tcW w:w="664" w:type="dxa"/>
            <w:noWrap w:val="0"/>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依申请公开</w:t>
            </w:r>
          </w:p>
        </w:tc>
        <w:tc>
          <w:tcPr>
            <w:tcW w:w="540" w:type="dxa"/>
            <w:noWrap w:val="0"/>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县级</w:t>
            </w:r>
          </w:p>
        </w:tc>
        <w:tc>
          <w:tcPr>
            <w:tcW w:w="720" w:type="dxa"/>
            <w:noWrap w:val="0"/>
            <w:vAlign w:val="center"/>
          </w:tcPr>
          <w:p>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1" w:hRule="atLeast"/>
        </w:trPr>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w:t>
            </w:r>
          </w:p>
        </w:tc>
        <w:tc>
          <w:tcPr>
            <w:tcW w:w="720" w:type="dxa"/>
            <w:vMerge w:val="restart"/>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房地产管理</w:t>
            </w:r>
          </w:p>
        </w:tc>
        <w:tc>
          <w:tcPr>
            <w:tcW w:w="1800"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不符合预售条件预售商品房</w:t>
            </w:r>
          </w:p>
        </w:tc>
        <w:tc>
          <w:tcPr>
            <w:tcW w:w="1980" w:type="dxa"/>
            <w:vMerge w:val="restart"/>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1.机构职能、权责清单、执法人员名单；</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2.执法程序或行政强制流程图；</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3.执法依据；</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4.行政处罚自由裁量基准；</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5.咨询、监督投诉方式；</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6.处罚决定；</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7.救济渠道。</w:t>
            </w:r>
          </w:p>
        </w:tc>
        <w:tc>
          <w:tcPr>
            <w:tcW w:w="1532" w:type="dxa"/>
            <w:noWrap w:val="0"/>
            <w:vAlign w:val="center"/>
          </w:tcPr>
          <w:p>
            <w:pPr>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合浦县住房和城乡建设局</w:t>
            </w:r>
          </w:p>
        </w:tc>
        <w:tc>
          <w:tcPr>
            <w:tcW w:w="2054" w:type="dxa"/>
            <w:shd w:val="clear" w:color="auto" w:fill="auto"/>
            <w:noWrap w:val="0"/>
            <w:vAlign w:val="center"/>
          </w:tcPr>
          <w:p>
            <w:pP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xml:space="preserve">《城市房地产管理法》  </w:t>
            </w:r>
          </w:p>
        </w:tc>
        <w:tc>
          <w:tcPr>
            <w:tcW w:w="1634"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1.除处罚决定外其他内容：长期公开（动态调整）；2.处罚决定：20个工作日内。</w:t>
            </w:r>
          </w:p>
        </w:tc>
        <w:tc>
          <w:tcPr>
            <w:tcW w:w="1440" w:type="dxa"/>
            <w:vMerge w:val="restart"/>
            <w:noWrap w:val="0"/>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 xml:space="preserve">政府网站                                                                                                                                                                                                       </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公开查阅点</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政务服务中心</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□公示栏</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□发布会</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□两微一端</w:t>
            </w:r>
          </w:p>
          <w:p>
            <w:pP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 xml:space="preserve">□其他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96"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664"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7" w:hRule="atLeast"/>
        </w:trPr>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w:t>
            </w:r>
          </w:p>
        </w:tc>
        <w:tc>
          <w:tcPr>
            <w:tcW w:w="720" w:type="dxa"/>
            <w:vMerge w:val="continue"/>
            <w:noWrap w:val="0"/>
            <w:vAlign w:val="center"/>
          </w:tcPr>
          <w:p>
            <w:pPr>
              <w:jc w:val="center"/>
              <w:rPr>
                <w:rFonts w:hint="eastAsia" w:ascii="仿宋_GB2312" w:hAnsi="仿宋_GB2312" w:eastAsia="仿宋_GB2312" w:cs="仿宋_GB2312"/>
                <w:sz w:val="21"/>
                <w:szCs w:val="21"/>
              </w:rPr>
            </w:pPr>
          </w:p>
        </w:tc>
        <w:tc>
          <w:tcPr>
            <w:tcW w:w="1800"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未取得资质等级证书或者超越资质等级从事房地产开发经营</w:t>
            </w:r>
          </w:p>
        </w:tc>
        <w:tc>
          <w:tcPr>
            <w:tcW w:w="1980" w:type="dxa"/>
            <w:vMerge w:val="continue"/>
            <w:noWrap w:val="0"/>
            <w:vAlign w:val="center"/>
          </w:tcPr>
          <w:p>
            <w:pPr>
              <w:rPr>
                <w:rFonts w:hint="eastAsia" w:ascii="仿宋_GB2312" w:hAnsi="仿宋_GB2312" w:eastAsia="仿宋_GB2312" w:cs="仿宋_GB2312"/>
                <w:sz w:val="21"/>
                <w:szCs w:val="21"/>
              </w:rPr>
            </w:pPr>
          </w:p>
        </w:tc>
        <w:tc>
          <w:tcPr>
            <w:tcW w:w="1532"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合浦县住房和城乡建设局</w:t>
            </w:r>
          </w:p>
        </w:tc>
        <w:tc>
          <w:tcPr>
            <w:tcW w:w="2054" w:type="dxa"/>
            <w:shd w:val="clear" w:color="auto" w:fill="auto"/>
            <w:noWrap w:val="0"/>
            <w:vAlign w:val="center"/>
          </w:tcPr>
          <w:p>
            <w:pP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《城市房地产开发经营管理条例》</w:t>
            </w:r>
          </w:p>
        </w:tc>
        <w:tc>
          <w:tcPr>
            <w:tcW w:w="1634"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1.除处罚决定外其他内容：长期公开（动态调整）；2.处罚决定：20个工作日内。</w:t>
            </w:r>
          </w:p>
        </w:tc>
        <w:tc>
          <w:tcPr>
            <w:tcW w:w="1440" w:type="dxa"/>
            <w:vMerge w:val="continue"/>
            <w:noWrap w:val="0"/>
            <w:vAlign w:val="center"/>
          </w:tcPr>
          <w:p>
            <w:pPr>
              <w:rPr>
                <w:rFonts w:hint="eastAsia" w:ascii="仿宋_GB2312" w:hAnsi="仿宋_GB2312" w:eastAsia="仿宋_GB2312" w:cs="仿宋_GB2312"/>
                <w:sz w:val="21"/>
                <w:szCs w:val="21"/>
              </w:rPr>
            </w:pP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96"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664"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6" w:hRule="atLeast"/>
        </w:trPr>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w:t>
            </w:r>
          </w:p>
        </w:tc>
        <w:tc>
          <w:tcPr>
            <w:tcW w:w="720" w:type="dxa"/>
            <w:vMerge w:val="continue"/>
            <w:noWrap w:val="0"/>
            <w:vAlign w:val="center"/>
          </w:tcPr>
          <w:p>
            <w:pPr>
              <w:jc w:val="center"/>
              <w:rPr>
                <w:rFonts w:hint="eastAsia" w:ascii="仿宋_GB2312" w:hAnsi="仿宋_GB2312" w:eastAsia="仿宋_GB2312" w:cs="仿宋_GB2312"/>
                <w:sz w:val="21"/>
                <w:szCs w:val="21"/>
              </w:rPr>
            </w:pPr>
          </w:p>
        </w:tc>
        <w:tc>
          <w:tcPr>
            <w:tcW w:w="1800"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擅自预售商品房</w:t>
            </w:r>
          </w:p>
        </w:tc>
        <w:tc>
          <w:tcPr>
            <w:tcW w:w="1980" w:type="dxa"/>
            <w:vMerge w:val="continue"/>
            <w:noWrap w:val="0"/>
            <w:vAlign w:val="center"/>
          </w:tcPr>
          <w:p>
            <w:pPr>
              <w:rPr>
                <w:rFonts w:hint="eastAsia" w:ascii="仿宋_GB2312" w:hAnsi="仿宋_GB2312" w:eastAsia="仿宋_GB2312" w:cs="仿宋_GB2312"/>
                <w:sz w:val="21"/>
                <w:szCs w:val="21"/>
              </w:rPr>
            </w:pPr>
          </w:p>
        </w:tc>
        <w:tc>
          <w:tcPr>
            <w:tcW w:w="1532"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合浦县住房和城乡建设局</w:t>
            </w:r>
          </w:p>
        </w:tc>
        <w:tc>
          <w:tcPr>
            <w:tcW w:w="2054" w:type="dxa"/>
            <w:shd w:val="clear" w:color="auto" w:fill="auto"/>
            <w:noWrap w:val="0"/>
            <w:vAlign w:val="center"/>
          </w:tcPr>
          <w:p>
            <w:pP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《城市房地产开发经营管理条例》、《商品房销售管理办法》</w:t>
            </w:r>
          </w:p>
        </w:tc>
        <w:tc>
          <w:tcPr>
            <w:tcW w:w="1634"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1.除处罚决定外其他内容：长期公开（动态调整）；2.处罚决定：20个工作日内。</w:t>
            </w:r>
          </w:p>
        </w:tc>
        <w:tc>
          <w:tcPr>
            <w:tcW w:w="1440" w:type="dxa"/>
            <w:vMerge w:val="continue"/>
            <w:noWrap w:val="0"/>
            <w:vAlign w:val="center"/>
          </w:tcPr>
          <w:p>
            <w:pPr>
              <w:rPr>
                <w:rFonts w:hint="eastAsia" w:ascii="仿宋_GB2312" w:hAnsi="仿宋_GB2312" w:eastAsia="仿宋_GB2312" w:cs="仿宋_GB2312"/>
                <w:sz w:val="21"/>
                <w:szCs w:val="21"/>
              </w:rPr>
            </w:pP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96"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664"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68" w:hRule="atLeast"/>
        </w:trPr>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720" w:type="dxa"/>
            <w:vMerge w:val="continue"/>
            <w:noWrap w:val="0"/>
            <w:vAlign w:val="center"/>
          </w:tcPr>
          <w:p>
            <w:pPr>
              <w:jc w:val="center"/>
              <w:rPr>
                <w:rFonts w:hint="eastAsia" w:ascii="仿宋_GB2312" w:hAnsi="仿宋_GB2312" w:eastAsia="仿宋_GB2312" w:cs="仿宋_GB2312"/>
                <w:sz w:val="21"/>
                <w:szCs w:val="21"/>
              </w:rPr>
            </w:pPr>
          </w:p>
        </w:tc>
        <w:tc>
          <w:tcPr>
            <w:tcW w:w="1800"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房产测绘单位在房产面积测算中不执行国家标准、规范和规定</w:t>
            </w:r>
          </w:p>
        </w:tc>
        <w:tc>
          <w:tcPr>
            <w:tcW w:w="1980" w:type="dxa"/>
            <w:vMerge w:val="continue"/>
            <w:noWrap w:val="0"/>
            <w:vAlign w:val="center"/>
          </w:tcPr>
          <w:p>
            <w:pPr>
              <w:rPr>
                <w:rFonts w:hint="eastAsia" w:ascii="仿宋_GB2312" w:hAnsi="仿宋_GB2312" w:eastAsia="仿宋_GB2312" w:cs="仿宋_GB2312"/>
                <w:sz w:val="21"/>
                <w:szCs w:val="21"/>
              </w:rPr>
            </w:pPr>
          </w:p>
        </w:tc>
        <w:tc>
          <w:tcPr>
            <w:tcW w:w="1532"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合浦县住房和城乡建设局</w:t>
            </w:r>
          </w:p>
        </w:tc>
        <w:tc>
          <w:tcPr>
            <w:tcW w:w="2054" w:type="dxa"/>
            <w:shd w:val="clear" w:color="auto" w:fill="auto"/>
            <w:noWrap w:val="0"/>
            <w:vAlign w:val="center"/>
          </w:tcPr>
          <w:p>
            <w:pP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《房产测绘管理办法》</w:t>
            </w:r>
          </w:p>
        </w:tc>
        <w:tc>
          <w:tcPr>
            <w:tcW w:w="1634"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1.除处罚决定外其他内容：长期公开（动态调整）；2.处罚决定：20个工作日内。</w:t>
            </w:r>
          </w:p>
        </w:tc>
        <w:tc>
          <w:tcPr>
            <w:tcW w:w="1440" w:type="dxa"/>
            <w:vMerge w:val="continue"/>
            <w:noWrap w:val="0"/>
            <w:vAlign w:val="center"/>
          </w:tcPr>
          <w:p>
            <w:pPr>
              <w:rPr>
                <w:rFonts w:hint="eastAsia" w:ascii="仿宋_GB2312" w:hAnsi="仿宋_GB2312" w:eastAsia="仿宋_GB2312" w:cs="仿宋_GB2312"/>
                <w:sz w:val="21"/>
                <w:szCs w:val="21"/>
              </w:rPr>
            </w:pP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96"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664"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2" w:hRule="atLeast"/>
        </w:trPr>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720" w:type="dxa"/>
            <w:vMerge w:val="restart"/>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房地产管理</w:t>
            </w:r>
          </w:p>
        </w:tc>
        <w:tc>
          <w:tcPr>
            <w:tcW w:w="1800"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房产测绘单位在房产面积测算中弄虚作假、欺骗房屋权利人</w:t>
            </w:r>
          </w:p>
        </w:tc>
        <w:tc>
          <w:tcPr>
            <w:tcW w:w="1980" w:type="dxa"/>
            <w:vMerge w:val="restart"/>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1.机构职能、权责清单、执法人员名单；</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2.执法程序或行政强制流程图；</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3.执法依据；</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4.行政处罚自由裁量基准；</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5.咨询、监督投诉方式；</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6.处罚决定；</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7.救济渠道。</w:t>
            </w:r>
          </w:p>
        </w:tc>
        <w:tc>
          <w:tcPr>
            <w:tcW w:w="1532"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合浦县住房和城乡建设局</w:t>
            </w:r>
          </w:p>
        </w:tc>
        <w:tc>
          <w:tcPr>
            <w:tcW w:w="2054" w:type="dxa"/>
            <w:shd w:val="clear" w:color="auto" w:fill="auto"/>
            <w:noWrap w:val="0"/>
            <w:vAlign w:val="center"/>
          </w:tcPr>
          <w:p>
            <w:pP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《房产测绘管理办法》</w:t>
            </w:r>
          </w:p>
        </w:tc>
        <w:tc>
          <w:tcPr>
            <w:tcW w:w="1634"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1.除处罚决定外其他内容：长期公开（动态调整）；2.处罚决定：20个工作日内。</w:t>
            </w:r>
          </w:p>
        </w:tc>
        <w:tc>
          <w:tcPr>
            <w:tcW w:w="1440" w:type="dxa"/>
            <w:noWrap w:val="0"/>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 xml:space="preserve">政府网站                                                                                                                                                                                                       </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公开查阅点</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政务服务中心</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□公示栏</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□发布会</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□两微一端</w:t>
            </w:r>
          </w:p>
          <w:p>
            <w:pP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 xml:space="preserve">□其他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96"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664"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5" w:hRule="atLeast"/>
        </w:trPr>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w:t>
            </w:r>
          </w:p>
        </w:tc>
        <w:tc>
          <w:tcPr>
            <w:tcW w:w="720" w:type="dxa"/>
            <w:vMerge w:val="continue"/>
            <w:noWrap w:val="0"/>
            <w:vAlign w:val="center"/>
          </w:tcPr>
          <w:p>
            <w:pPr>
              <w:jc w:val="center"/>
              <w:rPr>
                <w:rFonts w:hint="eastAsia" w:ascii="仿宋_GB2312" w:hAnsi="仿宋_GB2312" w:eastAsia="仿宋_GB2312" w:cs="仿宋_GB2312"/>
                <w:sz w:val="21"/>
                <w:szCs w:val="21"/>
              </w:rPr>
            </w:pPr>
          </w:p>
        </w:tc>
        <w:tc>
          <w:tcPr>
            <w:tcW w:w="1800"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房产测绘单位房产面积测算失误，造成重大损失</w:t>
            </w:r>
          </w:p>
        </w:tc>
        <w:tc>
          <w:tcPr>
            <w:tcW w:w="1980" w:type="dxa"/>
            <w:vMerge w:val="continue"/>
            <w:noWrap w:val="0"/>
            <w:vAlign w:val="center"/>
          </w:tcPr>
          <w:p>
            <w:pPr>
              <w:rPr>
                <w:rFonts w:hint="eastAsia" w:ascii="仿宋_GB2312" w:hAnsi="仿宋_GB2312" w:eastAsia="仿宋_GB2312" w:cs="仿宋_GB2312"/>
                <w:sz w:val="21"/>
                <w:szCs w:val="21"/>
              </w:rPr>
            </w:pPr>
          </w:p>
        </w:tc>
        <w:tc>
          <w:tcPr>
            <w:tcW w:w="1532"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合浦县住房和城乡建设局</w:t>
            </w:r>
          </w:p>
        </w:tc>
        <w:tc>
          <w:tcPr>
            <w:tcW w:w="2054" w:type="dxa"/>
            <w:shd w:val="clear" w:color="auto" w:fill="auto"/>
            <w:noWrap w:val="0"/>
            <w:vAlign w:val="center"/>
          </w:tcPr>
          <w:p>
            <w:pP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《房产测绘管理办法》</w:t>
            </w:r>
          </w:p>
        </w:tc>
        <w:tc>
          <w:tcPr>
            <w:tcW w:w="1634"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1.除处罚决定外其他内容：长期公开（动态调整）；2.处罚决定：20个工作日内。</w:t>
            </w:r>
          </w:p>
        </w:tc>
        <w:tc>
          <w:tcPr>
            <w:tcW w:w="1440" w:type="dxa"/>
            <w:noWrap w:val="0"/>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 xml:space="preserve">政府网站                                                                                                                                                                                                       </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公开查阅点</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政务服务中心</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□公示栏</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□发布会</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□两微一端</w:t>
            </w:r>
          </w:p>
          <w:p>
            <w:pP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 xml:space="preserve">□其他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96"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664"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0" w:hRule="atLeast"/>
        </w:trPr>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7</w:t>
            </w:r>
          </w:p>
        </w:tc>
        <w:tc>
          <w:tcPr>
            <w:tcW w:w="720" w:type="dxa"/>
            <w:vMerge w:val="continue"/>
            <w:noWrap w:val="0"/>
            <w:vAlign w:val="center"/>
          </w:tcPr>
          <w:p>
            <w:pPr>
              <w:jc w:val="center"/>
              <w:rPr>
                <w:rFonts w:hint="eastAsia" w:ascii="仿宋_GB2312" w:hAnsi="仿宋_GB2312" w:eastAsia="仿宋_GB2312" w:cs="仿宋_GB2312"/>
                <w:sz w:val="21"/>
                <w:szCs w:val="21"/>
              </w:rPr>
            </w:pPr>
          </w:p>
        </w:tc>
        <w:tc>
          <w:tcPr>
            <w:tcW w:w="1800"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房地产经纪人员以个人名义承接房地产经纪业务和收取费用</w:t>
            </w:r>
          </w:p>
        </w:tc>
        <w:tc>
          <w:tcPr>
            <w:tcW w:w="1980" w:type="dxa"/>
            <w:vMerge w:val="continue"/>
            <w:noWrap w:val="0"/>
            <w:vAlign w:val="center"/>
          </w:tcPr>
          <w:p>
            <w:pPr>
              <w:rPr>
                <w:rFonts w:hint="eastAsia" w:ascii="仿宋_GB2312" w:hAnsi="仿宋_GB2312" w:eastAsia="仿宋_GB2312" w:cs="仿宋_GB2312"/>
                <w:sz w:val="21"/>
                <w:szCs w:val="21"/>
              </w:rPr>
            </w:pPr>
          </w:p>
        </w:tc>
        <w:tc>
          <w:tcPr>
            <w:tcW w:w="1532"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合浦县住房和城乡建设局</w:t>
            </w:r>
          </w:p>
        </w:tc>
        <w:tc>
          <w:tcPr>
            <w:tcW w:w="2054" w:type="dxa"/>
            <w:shd w:val="clear" w:color="auto" w:fill="auto"/>
            <w:noWrap w:val="0"/>
            <w:vAlign w:val="center"/>
          </w:tcPr>
          <w:p>
            <w:pP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《房地产经纪管理办法》</w:t>
            </w:r>
          </w:p>
        </w:tc>
        <w:tc>
          <w:tcPr>
            <w:tcW w:w="1634"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1.除处罚决定外其他内容：长期公开（动态调整）；2.处罚决定：20个工作日内。</w:t>
            </w:r>
          </w:p>
        </w:tc>
        <w:tc>
          <w:tcPr>
            <w:tcW w:w="1440" w:type="dxa"/>
            <w:noWrap w:val="0"/>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 xml:space="preserve">政府网站                                                                                                                                                                                                       </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公开查阅点</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政务服务中心</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□公示栏</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□发布会</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□两微一端</w:t>
            </w:r>
          </w:p>
          <w:p>
            <w:pP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 xml:space="preserve">□其他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96"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664"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1" w:hRule="atLeast"/>
        </w:trPr>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7</w:t>
            </w:r>
          </w:p>
        </w:tc>
        <w:tc>
          <w:tcPr>
            <w:tcW w:w="720" w:type="dxa"/>
            <w:vMerge w:val="continue"/>
            <w:noWrap w:val="0"/>
            <w:vAlign w:val="center"/>
          </w:tcPr>
          <w:p>
            <w:pPr>
              <w:jc w:val="center"/>
              <w:rPr>
                <w:rFonts w:hint="eastAsia" w:ascii="仿宋_GB2312" w:hAnsi="仿宋_GB2312" w:eastAsia="仿宋_GB2312" w:cs="仿宋_GB2312"/>
                <w:sz w:val="21"/>
                <w:szCs w:val="21"/>
              </w:rPr>
            </w:pPr>
          </w:p>
        </w:tc>
        <w:tc>
          <w:tcPr>
            <w:tcW w:w="1800"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房地产经纪人员以个人名义承接房地产经纪业务和收取费用</w:t>
            </w:r>
          </w:p>
        </w:tc>
        <w:tc>
          <w:tcPr>
            <w:tcW w:w="1980" w:type="dxa"/>
            <w:vMerge w:val="continue"/>
            <w:noWrap w:val="0"/>
            <w:vAlign w:val="center"/>
          </w:tcPr>
          <w:p>
            <w:pPr>
              <w:rPr>
                <w:rFonts w:hint="eastAsia" w:ascii="仿宋_GB2312" w:hAnsi="仿宋_GB2312" w:eastAsia="仿宋_GB2312" w:cs="仿宋_GB2312"/>
                <w:sz w:val="21"/>
                <w:szCs w:val="21"/>
              </w:rPr>
            </w:pPr>
          </w:p>
        </w:tc>
        <w:tc>
          <w:tcPr>
            <w:tcW w:w="1532"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合浦县住房和城乡建设局</w:t>
            </w:r>
          </w:p>
        </w:tc>
        <w:tc>
          <w:tcPr>
            <w:tcW w:w="2054" w:type="dxa"/>
            <w:shd w:val="clear" w:color="auto" w:fill="auto"/>
            <w:noWrap w:val="0"/>
            <w:vAlign w:val="center"/>
          </w:tcPr>
          <w:p>
            <w:pP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《房产测绘管理办法》</w:t>
            </w:r>
          </w:p>
        </w:tc>
        <w:tc>
          <w:tcPr>
            <w:tcW w:w="1634"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1.除处罚决定外其他内容：长期公开（动态调整）；2.处罚决定：20个工作日内。</w:t>
            </w:r>
          </w:p>
        </w:tc>
        <w:tc>
          <w:tcPr>
            <w:tcW w:w="1440" w:type="dxa"/>
            <w:noWrap w:val="0"/>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 xml:space="preserve">政府网站                                                                                                                                                                                                       </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公开查阅点</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政务服务中心</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□公示栏</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□发布会</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□两微一端</w:t>
            </w:r>
          </w:p>
          <w:p>
            <w:pP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 xml:space="preserve">□其他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96"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664"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4" w:hRule="atLeast"/>
        </w:trPr>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w:t>
            </w:r>
          </w:p>
        </w:tc>
        <w:tc>
          <w:tcPr>
            <w:tcW w:w="720" w:type="dxa"/>
            <w:vMerge w:val="continue"/>
            <w:noWrap w:val="0"/>
            <w:vAlign w:val="center"/>
          </w:tcPr>
          <w:p>
            <w:pPr>
              <w:jc w:val="center"/>
              <w:rPr>
                <w:rFonts w:hint="eastAsia" w:ascii="仿宋_GB2312" w:hAnsi="仿宋_GB2312" w:eastAsia="仿宋_GB2312" w:cs="仿宋_GB2312"/>
                <w:sz w:val="21"/>
                <w:szCs w:val="21"/>
              </w:rPr>
            </w:pPr>
          </w:p>
        </w:tc>
        <w:tc>
          <w:tcPr>
            <w:tcW w:w="1800"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房地产经纪机构提供代办贷款、代办房地产登记等其他服务，未向委托人说明服务内容、收费标准等情况，并未经委托人同意</w:t>
            </w:r>
          </w:p>
        </w:tc>
        <w:tc>
          <w:tcPr>
            <w:tcW w:w="1980" w:type="dxa"/>
            <w:vMerge w:val="continue"/>
            <w:noWrap w:val="0"/>
            <w:vAlign w:val="center"/>
          </w:tcPr>
          <w:p>
            <w:pPr>
              <w:rPr>
                <w:rFonts w:hint="eastAsia" w:ascii="仿宋_GB2312" w:hAnsi="仿宋_GB2312" w:eastAsia="仿宋_GB2312" w:cs="仿宋_GB2312"/>
                <w:color w:val="000000"/>
                <w:sz w:val="21"/>
                <w:szCs w:val="21"/>
              </w:rPr>
            </w:pPr>
          </w:p>
        </w:tc>
        <w:tc>
          <w:tcPr>
            <w:tcW w:w="1532"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合浦县住房和城乡建设局</w:t>
            </w:r>
          </w:p>
        </w:tc>
        <w:tc>
          <w:tcPr>
            <w:tcW w:w="2054" w:type="dxa"/>
            <w:shd w:val="clear" w:color="auto" w:fill="auto"/>
            <w:noWrap w:val="0"/>
            <w:vAlign w:val="center"/>
          </w:tcPr>
          <w:p>
            <w:pP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《房产测绘管理办法》</w:t>
            </w:r>
          </w:p>
        </w:tc>
        <w:tc>
          <w:tcPr>
            <w:tcW w:w="1634"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1.除处罚决定外其他内容：长期公开（动态调整）；2.处罚决定：20个工作日内。</w:t>
            </w:r>
          </w:p>
        </w:tc>
        <w:tc>
          <w:tcPr>
            <w:tcW w:w="1440" w:type="dxa"/>
            <w:noWrap w:val="0"/>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 xml:space="preserve">政府网站                                                                                                                                                                                                       </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公开查阅点</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政务服务中心</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□公示栏</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□发布会</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□两微一端</w:t>
            </w:r>
          </w:p>
          <w:p>
            <w:pP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 xml:space="preserve">□其他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96"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664"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66" w:hRule="atLeast"/>
        </w:trPr>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9</w:t>
            </w:r>
          </w:p>
        </w:tc>
        <w:tc>
          <w:tcPr>
            <w:tcW w:w="720" w:type="dxa"/>
            <w:vMerge w:val="restart"/>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房地产管理</w:t>
            </w:r>
          </w:p>
        </w:tc>
        <w:tc>
          <w:tcPr>
            <w:tcW w:w="1800"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房地产经纪服务合同未由从事该业务的一名房地产经纪人或者两名房地产经纪人协理签名</w:t>
            </w:r>
          </w:p>
        </w:tc>
        <w:tc>
          <w:tcPr>
            <w:tcW w:w="1980" w:type="dxa"/>
            <w:vMerge w:val="restart"/>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1.机构职能、权责清单、执法人员名单；</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2.执法程序或行政强制流程图；</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3.执法依据；</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4.行政处罚自由裁量基准；</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5.咨询、监督投诉方式；</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6.处罚决定；</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7.救济渠道。</w:t>
            </w:r>
          </w:p>
        </w:tc>
        <w:tc>
          <w:tcPr>
            <w:tcW w:w="1532"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合浦县住房和城乡建设局</w:t>
            </w:r>
          </w:p>
        </w:tc>
        <w:tc>
          <w:tcPr>
            <w:tcW w:w="2054" w:type="dxa"/>
            <w:shd w:val="clear" w:color="auto" w:fill="auto"/>
            <w:noWrap w:val="0"/>
            <w:vAlign w:val="center"/>
          </w:tcPr>
          <w:p>
            <w:pP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《房产测绘管理办法》</w:t>
            </w:r>
          </w:p>
        </w:tc>
        <w:tc>
          <w:tcPr>
            <w:tcW w:w="1634"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1.除处罚决定外其他内容：长期公开（动态调整）；2.处罚决定：20个工作日内。</w:t>
            </w:r>
          </w:p>
        </w:tc>
        <w:tc>
          <w:tcPr>
            <w:tcW w:w="1440" w:type="dxa"/>
            <w:noWrap w:val="0"/>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 xml:space="preserve">政府网站                                                                                                                                                                                                       </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公开查阅点</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政务服务中心</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□公示栏</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□发布会</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□两微一端</w:t>
            </w:r>
          </w:p>
          <w:p>
            <w:pP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 xml:space="preserve">□其他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96"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664"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80" w:hRule="atLeast"/>
        </w:trPr>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720" w:type="dxa"/>
            <w:vMerge w:val="continue"/>
            <w:noWrap w:val="0"/>
            <w:vAlign w:val="center"/>
          </w:tcPr>
          <w:p>
            <w:pPr>
              <w:jc w:val="center"/>
              <w:rPr>
                <w:rFonts w:hint="eastAsia" w:ascii="仿宋_GB2312" w:hAnsi="仿宋_GB2312" w:eastAsia="仿宋_GB2312" w:cs="仿宋_GB2312"/>
                <w:sz w:val="21"/>
                <w:szCs w:val="21"/>
              </w:rPr>
            </w:pPr>
          </w:p>
        </w:tc>
        <w:tc>
          <w:tcPr>
            <w:tcW w:w="1800"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房地产经纪机构签订房地产经纪服务合同前，不向交易当事人说明和书面告知规定事项</w:t>
            </w:r>
          </w:p>
        </w:tc>
        <w:tc>
          <w:tcPr>
            <w:tcW w:w="1980" w:type="dxa"/>
            <w:vMerge w:val="continue"/>
            <w:noWrap w:val="0"/>
            <w:vAlign w:val="center"/>
          </w:tcPr>
          <w:p>
            <w:pPr>
              <w:rPr>
                <w:rFonts w:hint="eastAsia" w:ascii="仿宋_GB2312" w:hAnsi="仿宋_GB2312" w:eastAsia="仿宋_GB2312" w:cs="仿宋_GB2312"/>
                <w:sz w:val="21"/>
                <w:szCs w:val="21"/>
              </w:rPr>
            </w:pPr>
          </w:p>
        </w:tc>
        <w:tc>
          <w:tcPr>
            <w:tcW w:w="1532"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合浦县住房和城乡建设局</w:t>
            </w:r>
          </w:p>
        </w:tc>
        <w:tc>
          <w:tcPr>
            <w:tcW w:w="2054" w:type="dxa"/>
            <w:shd w:val="clear" w:color="auto" w:fill="auto"/>
            <w:noWrap w:val="0"/>
            <w:vAlign w:val="center"/>
          </w:tcPr>
          <w:p>
            <w:pP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《房产测绘管理办法》</w:t>
            </w:r>
          </w:p>
        </w:tc>
        <w:tc>
          <w:tcPr>
            <w:tcW w:w="1634"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1.除处罚决定外其他内容：长期公开（动态调整）；2.处罚决定：20个工作日内。</w:t>
            </w:r>
          </w:p>
        </w:tc>
        <w:tc>
          <w:tcPr>
            <w:tcW w:w="1440" w:type="dxa"/>
            <w:noWrap w:val="0"/>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 xml:space="preserve">政府网站                                                                                                                                                                                                       </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公开查阅点</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政务服务中心</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□公示栏</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□发布会</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□两微一端</w:t>
            </w:r>
          </w:p>
          <w:p>
            <w:pP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 xml:space="preserve">□其他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96"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664"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11" w:hRule="atLeast"/>
        </w:trPr>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w:t>
            </w:r>
          </w:p>
        </w:tc>
        <w:tc>
          <w:tcPr>
            <w:tcW w:w="720" w:type="dxa"/>
            <w:vMerge w:val="continue"/>
            <w:noWrap w:val="0"/>
            <w:vAlign w:val="center"/>
          </w:tcPr>
          <w:p>
            <w:pPr>
              <w:jc w:val="center"/>
              <w:rPr>
                <w:rFonts w:hint="eastAsia" w:ascii="仿宋_GB2312" w:hAnsi="仿宋_GB2312" w:eastAsia="仿宋_GB2312" w:cs="仿宋_GB2312"/>
                <w:sz w:val="21"/>
                <w:szCs w:val="21"/>
              </w:rPr>
            </w:pPr>
          </w:p>
        </w:tc>
        <w:tc>
          <w:tcPr>
            <w:tcW w:w="1800"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房地产经纪机构未按照规定如实记录业务情况或者保存房地产经纪服务合同</w:t>
            </w:r>
          </w:p>
        </w:tc>
        <w:tc>
          <w:tcPr>
            <w:tcW w:w="1980" w:type="dxa"/>
            <w:vMerge w:val="continue"/>
            <w:noWrap w:val="0"/>
            <w:vAlign w:val="center"/>
          </w:tcPr>
          <w:p>
            <w:pPr>
              <w:rPr>
                <w:rFonts w:hint="eastAsia" w:ascii="仿宋_GB2312" w:hAnsi="仿宋_GB2312" w:eastAsia="仿宋_GB2312" w:cs="仿宋_GB2312"/>
                <w:sz w:val="21"/>
                <w:szCs w:val="21"/>
              </w:rPr>
            </w:pPr>
          </w:p>
        </w:tc>
        <w:tc>
          <w:tcPr>
            <w:tcW w:w="1532"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合浦县住房和城乡建设局</w:t>
            </w:r>
          </w:p>
        </w:tc>
        <w:tc>
          <w:tcPr>
            <w:tcW w:w="2054" w:type="dxa"/>
            <w:shd w:val="clear" w:color="auto" w:fill="auto"/>
            <w:noWrap w:val="0"/>
            <w:vAlign w:val="center"/>
          </w:tcPr>
          <w:p>
            <w:pP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《房产测绘管理办法》</w:t>
            </w:r>
          </w:p>
        </w:tc>
        <w:tc>
          <w:tcPr>
            <w:tcW w:w="1634"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1.除处罚决定外其他内容：长期公开（动态调整）；2.处罚决定：20个工作日内。</w:t>
            </w:r>
          </w:p>
        </w:tc>
        <w:tc>
          <w:tcPr>
            <w:tcW w:w="1440" w:type="dxa"/>
            <w:noWrap w:val="0"/>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 xml:space="preserve">政府网站                                                                                                                                                                                                       </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公开查阅点</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政务服务中心</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□公示栏</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□发布会</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□两微一端</w:t>
            </w:r>
          </w:p>
          <w:p>
            <w:pP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 xml:space="preserve">□其他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96"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664"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57" w:hRule="atLeast"/>
        </w:trPr>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w:t>
            </w:r>
          </w:p>
        </w:tc>
        <w:tc>
          <w:tcPr>
            <w:tcW w:w="720" w:type="dxa"/>
            <w:vMerge w:val="continue"/>
            <w:noWrap w:val="0"/>
            <w:vAlign w:val="center"/>
          </w:tcPr>
          <w:p>
            <w:pPr>
              <w:jc w:val="center"/>
              <w:rPr>
                <w:rFonts w:hint="eastAsia" w:ascii="仿宋_GB2312" w:hAnsi="仿宋_GB2312" w:eastAsia="仿宋_GB2312" w:cs="仿宋_GB2312"/>
                <w:sz w:val="21"/>
                <w:szCs w:val="21"/>
              </w:rPr>
            </w:pPr>
          </w:p>
        </w:tc>
        <w:tc>
          <w:tcPr>
            <w:tcW w:w="1800"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房地产经纪机构擅自对外发布房源信息</w:t>
            </w:r>
          </w:p>
        </w:tc>
        <w:tc>
          <w:tcPr>
            <w:tcW w:w="1980" w:type="dxa"/>
            <w:vMerge w:val="continue"/>
            <w:noWrap w:val="0"/>
            <w:vAlign w:val="center"/>
          </w:tcPr>
          <w:p>
            <w:pPr>
              <w:rPr>
                <w:rFonts w:hint="eastAsia" w:ascii="仿宋_GB2312" w:hAnsi="仿宋_GB2312" w:eastAsia="仿宋_GB2312" w:cs="仿宋_GB2312"/>
                <w:sz w:val="21"/>
                <w:szCs w:val="21"/>
              </w:rPr>
            </w:pPr>
          </w:p>
        </w:tc>
        <w:tc>
          <w:tcPr>
            <w:tcW w:w="1532"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合浦县住房和城乡建设局</w:t>
            </w:r>
          </w:p>
        </w:tc>
        <w:tc>
          <w:tcPr>
            <w:tcW w:w="2054" w:type="dxa"/>
            <w:shd w:val="clear" w:color="auto" w:fill="auto"/>
            <w:noWrap w:val="0"/>
            <w:vAlign w:val="center"/>
          </w:tcPr>
          <w:p>
            <w:pP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《房产测绘管理办法》</w:t>
            </w:r>
          </w:p>
        </w:tc>
        <w:tc>
          <w:tcPr>
            <w:tcW w:w="1634"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1.除处罚决定外其他内容：长期公开（动态调整）；2.处罚决定：20个工作日内。</w:t>
            </w:r>
          </w:p>
        </w:tc>
        <w:tc>
          <w:tcPr>
            <w:tcW w:w="1440" w:type="dxa"/>
            <w:noWrap w:val="0"/>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 xml:space="preserve">政府网站                                                                                                                                                                                                       </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公开查阅点</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政务服务中心</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□公示栏</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□发布会</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□两微一端</w:t>
            </w:r>
          </w:p>
          <w:p>
            <w:pP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 xml:space="preserve">□其他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96"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664"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1" w:hRule="atLeast"/>
        </w:trPr>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13</w:t>
            </w:r>
          </w:p>
        </w:tc>
        <w:tc>
          <w:tcPr>
            <w:tcW w:w="720" w:type="dxa"/>
            <w:vMerge w:val="restart"/>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房地产管理</w:t>
            </w:r>
          </w:p>
        </w:tc>
        <w:tc>
          <w:tcPr>
            <w:tcW w:w="1800"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房地产经纪机构擅自划转客户交易结算资金</w:t>
            </w:r>
          </w:p>
        </w:tc>
        <w:tc>
          <w:tcPr>
            <w:tcW w:w="1980" w:type="dxa"/>
            <w:vMerge w:val="restart"/>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1.机构职能、权责清单、执法人员名单；</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2.执法程序或行政强制流程图；</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3.执法依据；</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4.行政处罚自由裁量基准；</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5.咨询、监督投诉方式；</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6.处罚决定；</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7.救济渠道。</w:t>
            </w:r>
          </w:p>
        </w:tc>
        <w:tc>
          <w:tcPr>
            <w:tcW w:w="1532"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合浦县住房和城乡建设局</w:t>
            </w:r>
          </w:p>
        </w:tc>
        <w:tc>
          <w:tcPr>
            <w:tcW w:w="2054" w:type="dxa"/>
            <w:shd w:val="clear" w:color="auto" w:fill="auto"/>
            <w:noWrap w:val="0"/>
            <w:vAlign w:val="center"/>
          </w:tcPr>
          <w:p>
            <w:pP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《房产测绘管理办法》</w:t>
            </w:r>
          </w:p>
        </w:tc>
        <w:tc>
          <w:tcPr>
            <w:tcW w:w="1634"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1.除处罚决定外其他内容：长期公开（动态调整）；2.处罚决定：20个工作日内。</w:t>
            </w:r>
          </w:p>
        </w:tc>
        <w:tc>
          <w:tcPr>
            <w:tcW w:w="1440" w:type="dxa"/>
            <w:noWrap w:val="0"/>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 xml:space="preserve">政府网站                                                                                                                                                                                                       </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公开查阅点</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政务服务中心</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□公示栏</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□发布会</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□两微一端</w:t>
            </w:r>
          </w:p>
          <w:p>
            <w:pP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 xml:space="preserve">□其他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96"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664"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57" w:hRule="atLeast"/>
        </w:trPr>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14</w:t>
            </w:r>
          </w:p>
        </w:tc>
        <w:tc>
          <w:tcPr>
            <w:tcW w:w="720" w:type="dxa"/>
            <w:vMerge w:val="continue"/>
            <w:noWrap w:val="0"/>
            <w:vAlign w:val="center"/>
          </w:tcPr>
          <w:p>
            <w:pPr>
              <w:jc w:val="center"/>
              <w:rPr>
                <w:rFonts w:hint="eastAsia" w:ascii="仿宋_GB2312" w:hAnsi="仿宋_GB2312" w:eastAsia="仿宋_GB2312" w:cs="仿宋_GB2312"/>
                <w:sz w:val="21"/>
                <w:szCs w:val="21"/>
              </w:rPr>
            </w:pPr>
          </w:p>
        </w:tc>
        <w:tc>
          <w:tcPr>
            <w:tcW w:w="1800"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房地产经纪机构和房地产经纪人员以隐瞒、欺诈、胁迫、贿赂等不正当手段招揽业务，诱骗消费者交易或者强制交易</w:t>
            </w:r>
          </w:p>
        </w:tc>
        <w:tc>
          <w:tcPr>
            <w:tcW w:w="1980" w:type="dxa"/>
            <w:vMerge w:val="continue"/>
            <w:noWrap w:val="0"/>
            <w:vAlign w:val="center"/>
          </w:tcPr>
          <w:p>
            <w:pPr>
              <w:rPr>
                <w:rFonts w:hint="eastAsia" w:ascii="仿宋_GB2312" w:hAnsi="仿宋_GB2312" w:eastAsia="仿宋_GB2312" w:cs="仿宋_GB2312"/>
                <w:sz w:val="21"/>
                <w:szCs w:val="21"/>
              </w:rPr>
            </w:pPr>
          </w:p>
        </w:tc>
        <w:tc>
          <w:tcPr>
            <w:tcW w:w="1532"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合浦县住房和城乡建设局</w:t>
            </w:r>
          </w:p>
        </w:tc>
        <w:tc>
          <w:tcPr>
            <w:tcW w:w="2054" w:type="dxa"/>
            <w:shd w:val="clear" w:color="auto" w:fill="auto"/>
            <w:noWrap w:val="0"/>
            <w:vAlign w:val="center"/>
          </w:tcPr>
          <w:p>
            <w:pP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《房产测绘管理办法》</w:t>
            </w:r>
          </w:p>
        </w:tc>
        <w:tc>
          <w:tcPr>
            <w:tcW w:w="1634"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1.除处罚决定外其他内容：长期公开（动态调整）；2.处罚决定：20个工作日内。</w:t>
            </w:r>
          </w:p>
        </w:tc>
        <w:tc>
          <w:tcPr>
            <w:tcW w:w="1440" w:type="dxa"/>
            <w:noWrap w:val="0"/>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 xml:space="preserve">政府网站                                                                                                                                                                                                       </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公开查阅点</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政务服务中心</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□公示栏</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□发布会</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□两微一端</w:t>
            </w:r>
          </w:p>
          <w:p>
            <w:pP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 xml:space="preserve">□其他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96"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664"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6" w:hRule="atLeast"/>
        </w:trPr>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15</w:t>
            </w:r>
          </w:p>
        </w:tc>
        <w:tc>
          <w:tcPr>
            <w:tcW w:w="720" w:type="dxa"/>
            <w:vMerge w:val="continue"/>
            <w:noWrap w:val="0"/>
            <w:vAlign w:val="center"/>
          </w:tcPr>
          <w:p>
            <w:pPr>
              <w:jc w:val="center"/>
              <w:rPr>
                <w:rFonts w:hint="eastAsia" w:ascii="仿宋_GB2312" w:hAnsi="仿宋_GB2312" w:eastAsia="仿宋_GB2312" w:cs="仿宋_GB2312"/>
                <w:sz w:val="21"/>
                <w:szCs w:val="21"/>
              </w:rPr>
            </w:pPr>
          </w:p>
        </w:tc>
        <w:tc>
          <w:tcPr>
            <w:tcW w:w="1800"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房地产经纪机构和房地产经纪人员泄露或者不当使用委托人的个人信息或者商业秘密，谋取不正当利益</w:t>
            </w:r>
          </w:p>
        </w:tc>
        <w:tc>
          <w:tcPr>
            <w:tcW w:w="1980" w:type="dxa"/>
            <w:vMerge w:val="continue"/>
            <w:noWrap w:val="0"/>
            <w:vAlign w:val="center"/>
          </w:tcPr>
          <w:p>
            <w:pPr>
              <w:rPr>
                <w:rFonts w:hint="eastAsia" w:ascii="仿宋_GB2312" w:hAnsi="仿宋_GB2312" w:eastAsia="仿宋_GB2312" w:cs="仿宋_GB2312"/>
                <w:sz w:val="21"/>
                <w:szCs w:val="21"/>
              </w:rPr>
            </w:pPr>
          </w:p>
        </w:tc>
        <w:tc>
          <w:tcPr>
            <w:tcW w:w="1532"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合浦县住房和城乡建设局</w:t>
            </w:r>
          </w:p>
        </w:tc>
        <w:tc>
          <w:tcPr>
            <w:tcW w:w="2054" w:type="dxa"/>
            <w:shd w:val="clear" w:color="auto" w:fill="auto"/>
            <w:noWrap w:val="0"/>
            <w:vAlign w:val="center"/>
          </w:tcPr>
          <w:p>
            <w:pP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《房产测绘管理办法》</w:t>
            </w:r>
          </w:p>
        </w:tc>
        <w:tc>
          <w:tcPr>
            <w:tcW w:w="1634"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1.除处罚决定外其他内容：长期公开（动态调整）；2.处罚决定：20个工作日内。</w:t>
            </w:r>
          </w:p>
        </w:tc>
        <w:tc>
          <w:tcPr>
            <w:tcW w:w="1440" w:type="dxa"/>
            <w:noWrap w:val="0"/>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 xml:space="preserve">政府网站                                                                                                                                                                                                       </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公开查阅点</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政务服务中心</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□公示栏</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□发布会</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□两微一端</w:t>
            </w:r>
          </w:p>
          <w:p>
            <w:pP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 xml:space="preserve">□其他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96"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664"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6" w:hRule="atLeast"/>
        </w:trPr>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16</w:t>
            </w:r>
          </w:p>
        </w:tc>
        <w:tc>
          <w:tcPr>
            <w:tcW w:w="720" w:type="dxa"/>
            <w:vMerge w:val="continue"/>
            <w:noWrap w:val="0"/>
            <w:vAlign w:val="center"/>
          </w:tcPr>
          <w:p>
            <w:pPr>
              <w:jc w:val="center"/>
              <w:rPr>
                <w:rFonts w:hint="eastAsia" w:ascii="仿宋_GB2312" w:hAnsi="仿宋_GB2312" w:eastAsia="仿宋_GB2312" w:cs="仿宋_GB2312"/>
                <w:sz w:val="21"/>
                <w:szCs w:val="21"/>
              </w:rPr>
            </w:pPr>
          </w:p>
        </w:tc>
        <w:tc>
          <w:tcPr>
            <w:tcW w:w="1800"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为交易当事人规避房屋交易税费等非法目的，房地产经纪机构和房地产经纪人员就同一房屋签订不同交易价款的合同提供便利</w:t>
            </w:r>
          </w:p>
        </w:tc>
        <w:tc>
          <w:tcPr>
            <w:tcW w:w="1980" w:type="dxa"/>
            <w:vMerge w:val="continue"/>
            <w:noWrap w:val="0"/>
            <w:vAlign w:val="center"/>
          </w:tcPr>
          <w:p>
            <w:pPr>
              <w:rPr>
                <w:rFonts w:hint="eastAsia" w:ascii="仿宋_GB2312" w:hAnsi="仿宋_GB2312" w:eastAsia="仿宋_GB2312" w:cs="仿宋_GB2312"/>
                <w:sz w:val="21"/>
                <w:szCs w:val="21"/>
              </w:rPr>
            </w:pPr>
          </w:p>
        </w:tc>
        <w:tc>
          <w:tcPr>
            <w:tcW w:w="1532"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合浦县住房和城乡建设局</w:t>
            </w:r>
          </w:p>
        </w:tc>
        <w:tc>
          <w:tcPr>
            <w:tcW w:w="2054" w:type="dxa"/>
            <w:shd w:val="clear" w:color="auto" w:fill="auto"/>
            <w:noWrap w:val="0"/>
            <w:vAlign w:val="center"/>
          </w:tcPr>
          <w:p>
            <w:pP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《房产测绘管理办法》</w:t>
            </w:r>
          </w:p>
        </w:tc>
        <w:tc>
          <w:tcPr>
            <w:tcW w:w="1634" w:type="dxa"/>
            <w:noWrap w:val="0"/>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1.除处罚决定外其他内容：长期公开（动态调整）；2.处罚决定：20个工作日内。</w:t>
            </w:r>
          </w:p>
        </w:tc>
        <w:tc>
          <w:tcPr>
            <w:tcW w:w="1440" w:type="dxa"/>
            <w:noWrap w:val="0"/>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 xml:space="preserve">政府网站                                                                                                                                                                                                       </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公开查阅点</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fldChar w:fldCharType="begin"/>
            </w:r>
            <w:r>
              <w:rPr>
                <w:rFonts w:hint="eastAsia" w:ascii="仿宋_GB2312" w:hAnsi="仿宋_GB2312" w:eastAsia="仿宋_GB2312" w:cs="仿宋_GB2312"/>
                <w:color w:val="000000"/>
                <w:sz w:val="21"/>
                <w:szCs w:val="21"/>
              </w:rPr>
              <w:instrText xml:space="preserve"> EQ \o\ac(</w:instrText>
            </w:r>
            <w:r>
              <w:rPr>
                <w:rFonts w:hint="eastAsia" w:ascii="仿宋_GB2312" w:hAnsi="仿宋_GB2312" w:eastAsia="仿宋_GB2312" w:cs="仿宋_GB2312"/>
                <w:color w:val="000000"/>
                <w:position w:val="-4"/>
                <w:sz w:val="3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position w:val="0"/>
                <w:sz w:val="21"/>
                <w:szCs w:val="21"/>
                <w:lang w:val="en-US" w:eastAsia="zh-CN"/>
              </w:rPr>
              <w:instrText xml:space="preserve">√</w:instrText>
            </w:r>
            <w:r>
              <w:rPr>
                <w:rFonts w:hint="eastAsia" w:ascii="仿宋_GB2312" w:hAnsi="仿宋_GB2312" w:eastAsia="仿宋_GB2312" w:cs="仿宋_GB2312"/>
                <w:color w:val="000000"/>
                <w:position w:val="0"/>
                <w:sz w:val="21"/>
                <w:szCs w:val="21"/>
              </w:rPr>
              <w:instrText xml:space="preserve">)</w:instrText>
            </w:r>
            <w:r>
              <w:rPr>
                <w:rFonts w:hint="eastAsia" w:ascii="仿宋_GB2312" w:hAnsi="仿宋_GB2312" w:eastAsia="仿宋_GB2312" w:cs="仿宋_GB2312"/>
                <w:color w:val="000000"/>
                <w:sz w:val="21"/>
                <w:szCs w:val="21"/>
              </w:rPr>
              <w:fldChar w:fldCharType="end"/>
            </w:r>
            <w:r>
              <w:rPr>
                <w:rFonts w:hint="eastAsia" w:ascii="仿宋_GB2312" w:hAnsi="仿宋_GB2312" w:eastAsia="仿宋_GB2312" w:cs="仿宋_GB2312"/>
                <w:color w:val="000000"/>
                <w:sz w:val="21"/>
                <w:szCs w:val="21"/>
              </w:rPr>
              <w:t>政务服务中心</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□公示栏</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□发布会</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□两微一端</w:t>
            </w:r>
          </w:p>
          <w:p>
            <w:pP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 w:val="21"/>
                <w:szCs w:val="21"/>
              </w:rPr>
              <w:t xml:space="preserve">□其他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96"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664"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w:t>
            </w:r>
          </w:p>
        </w:tc>
        <w:tc>
          <w:tcPr>
            <w:tcW w:w="54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0" w:type="dxa"/>
            <w:noWrap w:val="0"/>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r>
    </w:tbl>
    <w:p>
      <w:pPr>
        <w:pStyle w:val="2"/>
        <w:rPr>
          <w:rFonts w:hint="eastAsia"/>
          <w:lang w:val="en-US" w:eastAsia="zh-CN"/>
        </w:rPr>
      </w:pPr>
    </w:p>
    <w:p>
      <w:pPr>
        <w:rPr>
          <w:b w:val="0"/>
          <w:bCs w:val="0"/>
          <w:sz w:val="44"/>
          <w:szCs w:val="44"/>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F24658"/>
    <w:rsid w:val="03F24658"/>
    <w:rsid w:val="20FF59FD"/>
    <w:rsid w:val="42507F33"/>
    <w:rsid w:val="5F034EE1"/>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UANGF\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2020-10-30T08:52:00Z</dcterms:created>
  <dc:creator>叶凛</dc:creator>
  <cp:lastModifiedBy>释、然</cp:lastModifiedBy>
  <dcterms:modified xsi:type="dcterms:W3CDTF">2020-11-06T00:11:15Z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