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17"/>
      <w:r>
        <w:rPr>
          <w:rFonts w:hint="eastAsia" w:ascii="方正小标宋_GBK" w:hAnsi="方正小标宋_GBK" w:eastAsia="方正小标宋_GBK"/>
          <w:b w:val="0"/>
          <w:bCs w:val="0"/>
          <w:sz w:val="30"/>
          <w:lang w:eastAsia="zh-CN"/>
        </w:rPr>
        <w:t>龙州县</w:t>
      </w:r>
      <w:bookmarkStart w:id="1" w:name="_GoBack"/>
      <w:bookmarkEnd w:id="1"/>
      <w:r>
        <w:rPr>
          <w:rFonts w:hint="eastAsia" w:ascii="方正小标宋_GBK" w:hAnsi="方正小标宋_GBK" w:eastAsia="方正小标宋_GBK"/>
          <w:b w:val="0"/>
          <w:bCs w:val="0"/>
          <w:sz w:val="30"/>
        </w:rPr>
        <w:t>保障性住房领域基层政务公开标准目录</w:t>
      </w:r>
      <w:bookmarkEnd w:id="0"/>
    </w:p>
    <w:tbl>
      <w:tblPr>
        <w:tblStyle w:val="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1224"/>
        <w:gridCol w:w="1368"/>
        <w:gridCol w:w="1054"/>
        <w:gridCol w:w="1258"/>
        <w:gridCol w:w="3687"/>
        <w:gridCol w:w="836"/>
        <w:gridCol w:w="972"/>
        <w:gridCol w:w="553"/>
        <w:gridCol w:w="550"/>
        <w:gridCol w:w="436"/>
        <w:gridCol w:w="575"/>
        <w:gridCol w:w="556"/>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jc w:val="center"/>
        </w:trPr>
        <w:tc>
          <w:tcPr>
            <w:tcW w:w="153" w:type="pct"/>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915" w:type="pct"/>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372" w:type="pct"/>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444" w:type="pct"/>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301" w:type="pct"/>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295" w:type="pct"/>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343" w:type="pct"/>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389" w:type="pct"/>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356" w:type="pct"/>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428" w:type="pct"/>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153" w:type="pct"/>
            <w:vMerge w:val="continue"/>
            <w:noWrap w:val="0"/>
            <w:vAlign w:val="center"/>
          </w:tcPr>
          <w:p>
            <w:pPr>
              <w:widowControl/>
              <w:jc w:val="left"/>
              <w:rPr>
                <w:rFonts w:ascii="Times New Roman" w:hAnsi="Times New Roman"/>
                <w:color w:val="000000"/>
                <w:kern w:val="0"/>
                <w:sz w:val="22"/>
              </w:rPr>
            </w:pPr>
          </w:p>
        </w:tc>
        <w:tc>
          <w:tcPr>
            <w:tcW w:w="432"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482"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372" w:type="pct"/>
            <w:vMerge w:val="continue"/>
            <w:noWrap w:val="0"/>
            <w:vAlign w:val="center"/>
          </w:tcPr>
          <w:p>
            <w:pPr>
              <w:widowControl/>
              <w:jc w:val="left"/>
              <w:rPr>
                <w:rFonts w:ascii="黑体" w:hAnsi="宋体" w:eastAsia="黑体" w:cs="宋体"/>
                <w:color w:val="000000"/>
                <w:kern w:val="0"/>
                <w:sz w:val="22"/>
              </w:rPr>
            </w:pPr>
          </w:p>
        </w:tc>
        <w:tc>
          <w:tcPr>
            <w:tcW w:w="444" w:type="pct"/>
            <w:vMerge w:val="continue"/>
            <w:noWrap w:val="0"/>
            <w:vAlign w:val="center"/>
          </w:tcPr>
          <w:p>
            <w:pPr>
              <w:widowControl/>
              <w:jc w:val="center"/>
              <w:rPr>
                <w:rFonts w:ascii="黑体" w:hAnsi="宋体" w:eastAsia="黑体" w:cs="宋体"/>
                <w:color w:val="000000"/>
                <w:kern w:val="0"/>
                <w:sz w:val="22"/>
              </w:rPr>
            </w:pPr>
          </w:p>
        </w:tc>
        <w:tc>
          <w:tcPr>
            <w:tcW w:w="1301" w:type="pct"/>
            <w:vMerge w:val="continue"/>
            <w:noWrap w:val="0"/>
            <w:vAlign w:val="center"/>
          </w:tcPr>
          <w:p>
            <w:pPr>
              <w:widowControl/>
              <w:jc w:val="left"/>
              <w:rPr>
                <w:rFonts w:ascii="黑体" w:hAnsi="宋体" w:eastAsia="黑体" w:cs="宋体"/>
                <w:color w:val="000000"/>
                <w:kern w:val="0"/>
                <w:sz w:val="22"/>
              </w:rPr>
            </w:pPr>
          </w:p>
        </w:tc>
        <w:tc>
          <w:tcPr>
            <w:tcW w:w="295" w:type="pct"/>
            <w:vMerge w:val="continue"/>
            <w:noWrap w:val="0"/>
            <w:vAlign w:val="center"/>
          </w:tcPr>
          <w:p>
            <w:pPr>
              <w:widowControl/>
              <w:jc w:val="left"/>
              <w:rPr>
                <w:rFonts w:ascii="黑体" w:hAnsi="宋体" w:eastAsia="黑体" w:cs="宋体"/>
                <w:color w:val="000000"/>
                <w:kern w:val="0"/>
                <w:sz w:val="22"/>
              </w:rPr>
            </w:pPr>
          </w:p>
        </w:tc>
        <w:tc>
          <w:tcPr>
            <w:tcW w:w="343" w:type="pct"/>
            <w:vMerge w:val="continue"/>
            <w:noWrap w:val="0"/>
            <w:vAlign w:val="center"/>
          </w:tcPr>
          <w:p>
            <w:pPr>
              <w:widowControl/>
              <w:jc w:val="left"/>
              <w:rPr>
                <w:rFonts w:ascii="黑体" w:hAnsi="宋体" w:eastAsia="黑体" w:cs="宋体"/>
                <w:kern w:val="0"/>
                <w:sz w:val="22"/>
              </w:rPr>
            </w:pPr>
          </w:p>
        </w:tc>
        <w:tc>
          <w:tcPr>
            <w:tcW w:w="195"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194"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153"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202"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196"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232" w:type="pc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432"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法规政策</w:t>
            </w:r>
          </w:p>
        </w:tc>
        <w:tc>
          <w:tcPr>
            <w:tcW w:w="48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法律法规</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444" w:type="pct"/>
            <w:vMerge w:val="restart"/>
            <w:noWrap w:val="0"/>
            <w:vAlign w:val="center"/>
          </w:tcPr>
          <w:p>
            <w:pPr>
              <w:rPr>
                <w:rFonts w:hint="eastAsia" w:ascii="仿宋_GB2312" w:hAnsi="宋体" w:eastAsia="仿宋_GB2312"/>
                <w:color w:val="000000"/>
                <w:sz w:val="18"/>
                <w:szCs w:val="18"/>
                <w:lang w:eastAsia="zh-CN"/>
              </w:rPr>
            </w:pPr>
          </w:p>
          <w:p>
            <w:pPr>
              <w:rPr>
                <w:rFonts w:hint="eastAsia" w:ascii="仿宋_GB2312" w:hAnsi="宋体" w:eastAsia="仿宋_GB2312"/>
                <w:color w:val="000000"/>
                <w:sz w:val="18"/>
                <w:szCs w:val="18"/>
                <w:lang w:eastAsia="zh-CN"/>
              </w:rPr>
            </w:pP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县</w:t>
            </w:r>
            <w:r>
              <w:rPr>
                <w:rFonts w:hint="eastAsia" w:ascii="仿宋_GB2312" w:hAnsi="宋体" w:eastAsia="仿宋_GB2312"/>
                <w:color w:val="000000"/>
                <w:sz w:val="18"/>
                <w:szCs w:val="18"/>
              </w:rPr>
              <w:t>人民政府、</w:t>
            </w: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301" w:type="pct"/>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政府信息公开条例》、《中共中央办公厅国务院办公厅印发〈关于全面推进政务公开工作的意见〉的通知》、《国务院办公厅印发〈关于全面推进政务公开工作的意见〉实施细则的通知》</w:t>
            </w:r>
          </w:p>
        </w:tc>
        <w:tc>
          <w:tcPr>
            <w:tcW w:w="295" w:type="pct"/>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信息获取（形成、变更）20个工作日内</w:t>
            </w:r>
          </w:p>
        </w:tc>
        <w:tc>
          <w:tcPr>
            <w:tcW w:w="343" w:type="pct"/>
            <w:vMerge w:val="restar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w:t>
            </w:r>
          </w:p>
        </w:tc>
        <w:tc>
          <w:tcPr>
            <w:tcW w:w="195"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194"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53"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02"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96"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32"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432" w:type="pct"/>
            <w:vMerge w:val="continue"/>
            <w:noWrap w:val="0"/>
            <w:vAlign w:val="center"/>
          </w:tcPr>
          <w:p>
            <w:pPr>
              <w:jc w:val="center"/>
              <w:rPr>
                <w:rFonts w:hint="eastAsia" w:ascii="仿宋_GB2312" w:hAnsi="宋体" w:eastAsia="仿宋_GB2312"/>
                <w:color w:val="000000"/>
                <w:sz w:val="18"/>
                <w:szCs w:val="18"/>
              </w:rPr>
            </w:pPr>
          </w:p>
        </w:tc>
        <w:tc>
          <w:tcPr>
            <w:tcW w:w="48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政策文件</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444" w:type="pct"/>
            <w:vMerge w:val="continue"/>
            <w:noWrap w:val="0"/>
            <w:vAlign w:val="center"/>
          </w:tcPr>
          <w:p>
            <w:pPr>
              <w:rPr>
                <w:rFonts w:hint="eastAsia" w:ascii="仿宋_GB2312" w:hAnsi="宋体" w:eastAsia="仿宋_GB2312"/>
                <w:color w:val="000000"/>
                <w:sz w:val="18"/>
                <w:szCs w:val="18"/>
              </w:rPr>
            </w:pPr>
          </w:p>
        </w:tc>
        <w:tc>
          <w:tcPr>
            <w:tcW w:w="1301" w:type="pct"/>
            <w:vMerge w:val="continue"/>
            <w:noWrap w:val="0"/>
            <w:vAlign w:val="center"/>
          </w:tcPr>
          <w:p>
            <w:pPr>
              <w:rPr>
                <w:rFonts w:hint="eastAsia" w:ascii="仿宋_GB2312" w:hAnsi="宋体" w:eastAsia="仿宋_GB2312"/>
                <w:color w:val="000000"/>
                <w:sz w:val="18"/>
                <w:szCs w:val="18"/>
              </w:rPr>
            </w:pPr>
          </w:p>
        </w:tc>
        <w:tc>
          <w:tcPr>
            <w:tcW w:w="295" w:type="pct"/>
            <w:vMerge w:val="continue"/>
            <w:noWrap w:val="0"/>
            <w:vAlign w:val="center"/>
          </w:tcPr>
          <w:p>
            <w:pPr>
              <w:rPr>
                <w:rFonts w:hint="eastAsia" w:ascii="仿宋_GB2312" w:hAnsi="宋体" w:eastAsia="仿宋_GB2312"/>
                <w:color w:val="000000"/>
                <w:sz w:val="18"/>
                <w:szCs w:val="18"/>
              </w:rPr>
            </w:pPr>
          </w:p>
        </w:tc>
        <w:tc>
          <w:tcPr>
            <w:tcW w:w="343" w:type="pct"/>
            <w:vMerge w:val="continue"/>
            <w:noWrap w:val="0"/>
            <w:vAlign w:val="center"/>
          </w:tcPr>
          <w:p>
            <w:pPr>
              <w:rPr>
                <w:rFonts w:hint="eastAsia" w:ascii="仿宋_GB2312" w:hAnsi="宋体" w:eastAsia="仿宋_GB2312"/>
                <w:color w:val="000000"/>
                <w:sz w:val="18"/>
                <w:szCs w:val="18"/>
              </w:rPr>
            </w:pPr>
          </w:p>
        </w:tc>
        <w:tc>
          <w:tcPr>
            <w:tcW w:w="195" w:type="pct"/>
            <w:vMerge w:val="continue"/>
            <w:noWrap w:val="0"/>
            <w:vAlign w:val="center"/>
          </w:tcPr>
          <w:p>
            <w:pPr>
              <w:rPr>
                <w:rFonts w:hint="eastAsia" w:ascii="仿宋_GB2312" w:hAnsi="宋体" w:eastAsia="仿宋_GB2312"/>
                <w:color w:val="000000"/>
                <w:sz w:val="18"/>
                <w:szCs w:val="18"/>
              </w:rPr>
            </w:pPr>
          </w:p>
        </w:tc>
        <w:tc>
          <w:tcPr>
            <w:tcW w:w="194" w:type="pct"/>
            <w:vMerge w:val="continue"/>
            <w:noWrap w:val="0"/>
            <w:vAlign w:val="center"/>
          </w:tcPr>
          <w:p>
            <w:pPr>
              <w:rPr>
                <w:rFonts w:hint="eastAsia" w:ascii="仿宋_GB2312" w:hAnsi="宋体" w:eastAsia="仿宋_GB2312"/>
                <w:color w:val="000000"/>
                <w:sz w:val="18"/>
                <w:szCs w:val="18"/>
              </w:rPr>
            </w:pPr>
          </w:p>
        </w:tc>
        <w:tc>
          <w:tcPr>
            <w:tcW w:w="153" w:type="pct"/>
            <w:vMerge w:val="continue"/>
            <w:noWrap w:val="0"/>
            <w:vAlign w:val="center"/>
          </w:tcPr>
          <w:p>
            <w:pPr>
              <w:rPr>
                <w:rFonts w:hint="eastAsia" w:ascii="仿宋_GB2312" w:hAnsi="宋体" w:eastAsia="仿宋_GB2312"/>
                <w:color w:val="000000"/>
                <w:sz w:val="18"/>
                <w:szCs w:val="18"/>
              </w:rPr>
            </w:pPr>
          </w:p>
        </w:tc>
        <w:tc>
          <w:tcPr>
            <w:tcW w:w="202" w:type="pct"/>
            <w:vMerge w:val="continue"/>
            <w:noWrap w:val="0"/>
            <w:vAlign w:val="center"/>
          </w:tcPr>
          <w:p>
            <w:pPr>
              <w:rPr>
                <w:rFonts w:hint="eastAsia" w:ascii="仿宋_GB2312" w:hAnsi="宋体" w:eastAsia="仿宋_GB2312"/>
                <w:color w:val="000000"/>
                <w:sz w:val="18"/>
                <w:szCs w:val="18"/>
              </w:rPr>
            </w:pPr>
          </w:p>
        </w:tc>
        <w:tc>
          <w:tcPr>
            <w:tcW w:w="196" w:type="pct"/>
            <w:vMerge w:val="continue"/>
            <w:noWrap w:val="0"/>
            <w:vAlign w:val="center"/>
          </w:tcPr>
          <w:p>
            <w:pPr>
              <w:rPr>
                <w:rFonts w:hint="eastAsia" w:ascii="仿宋_GB2312" w:hAnsi="宋体" w:eastAsia="仿宋_GB2312"/>
                <w:color w:val="000000"/>
                <w:sz w:val="18"/>
                <w:szCs w:val="18"/>
              </w:rPr>
            </w:pPr>
          </w:p>
        </w:tc>
        <w:tc>
          <w:tcPr>
            <w:tcW w:w="232" w:type="pct"/>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 w:type="pct"/>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3</w:t>
            </w:r>
          </w:p>
        </w:tc>
        <w:tc>
          <w:tcPr>
            <w:tcW w:w="432" w:type="pct"/>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48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公租房承租资格审核</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审核结果：申请对象姓名、身份证号(隐藏部分号码)、申请房源类型；</w:t>
            </w:r>
          </w:p>
        </w:tc>
        <w:tc>
          <w:tcPr>
            <w:tcW w:w="444"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301" w:type="pct"/>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295"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343" w:type="pc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p>
        </w:tc>
        <w:tc>
          <w:tcPr>
            <w:tcW w:w="195"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194" w:type="pct"/>
            <w:noWrap w:val="0"/>
            <w:vAlign w:val="center"/>
          </w:tcPr>
          <w:p>
            <w:pPr>
              <w:rPr>
                <w:rFonts w:hint="eastAsia" w:ascii="仿宋_GB2312" w:hAnsi="宋体" w:eastAsia="仿宋_GB2312"/>
                <w:color w:val="000000"/>
                <w:sz w:val="18"/>
                <w:szCs w:val="18"/>
              </w:rPr>
            </w:pPr>
          </w:p>
        </w:tc>
        <w:tc>
          <w:tcPr>
            <w:tcW w:w="153"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02" w:type="pct"/>
            <w:noWrap w:val="0"/>
            <w:vAlign w:val="center"/>
          </w:tcPr>
          <w:p>
            <w:pPr>
              <w:rPr>
                <w:rFonts w:hint="eastAsia" w:ascii="仿宋_GB2312" w:hAnsi="宋体" w:eastAsia="仿宋_GB2312"/>
                <w:color w:val="000000"/>
                <w:sz w:val="18"/>
                <w:szCs w:val="18"/>
              </w:rPr>
            </w:pPr>
          </w:p>
        </w:tc>
        <w:tc>
          <w:tcPr>
            <w:tcW w:w="196" w:type="pct"/>
            <w:noWrap w:val="0"/>
            <w:vAlign w:val="center"/>
          </w:tcPr>
          <w:p>
            <w:pPr>
              <w:jc w:val="cente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232" w:type="pct"/>
            <w:noWrap w:val="0"/>
            <w:vAlign w:val="center"/>
          </w:tcPr>
          <w:p>
            <w:pPr>
              <w:jc w:val="cente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0" w:hRule="atLeast"/>
          <w:jc w:val="center"/>
        </w:trPr>
        <w:tc>
          <w:tcPr>
            <w:tcW w:w="153" w:type="pct"/>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4</w:t>
            </w:r>
          </w:p>
        </w:tc>
        <w:tc>
          <w:tcPr>
            <w:tcW w:w="432" w:type="pct"/>
            <w:vMerge w:val="continue"/>
            <w:noWrap w:val="0"/>
            <w:vAlign w:val="center"/>
          </w:tcPr>
          <w:p>
            <w:pPr>
              <w:jc w:val="center"/>
              <w:rPr>
                <w:rFonts w:hint="eastAsia" w:ascii="仿宋_GB2312" w:hAnsi="宋体" w:eastAsia="仿宋_GB2312"/>
                <w:color w:val="000000"/>
                <w:sz w:val="18"/>
                <w:szCs w:val="18"/>
              </w:rPr>
            </w:pPr>
          </w:p>
        </w:tc>
        <w:tc>
          <w:tcPr>
            <w:tcW w:w="48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保障对象姓名；保障性住房类型；房号、面积、套型；所在建设项目名称等。</w:t>
            </w:r>
          </w:p>
        </w:tc>
        <w:tc>
          <w:tcPr>
            <w:tcW w:w="444"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301" w:type="pct"/>
            <w:vMerge w:val="continue"/>
            <w:noWrap w:val="0"/>
            <w:vAlign w:val="center"/>
          </w:tcPr>
          <w:p>
            <w:pPr>
              <w:rPr>
                <w:rFonts w:hint="eastAsia" w:ascii="仿宋_GB2312" w:hAnsi="宋体" w:eastAsia="仿宋_GB2312"/>
                <w:color w:val="000000"/>
                <w:sz w:val="18"/>
                <w:szCs w:val="18"/>
              </w:rPr>
            </w:pPr>
          </w:p>
        </w:tc>
        <w:tc>
          <w:tcPr>
            <w:tcW w:w="295" w:type="pct"/>
            <w:noWrap w:val="0"/>
            <w:vAlign w:val="center"/>
          </w:tcPr>
          <w:p>
            <w:pPr>
              <w:rPr>
                <w:rFonts w:hint="eastAsia" w:ascii="仿宋_GB2312" w:hAnsi="宋体" w:eastAsia="仿宋_GB2312"/>
                <w:color w:val="000000"/>
                <w:sz w:val="18"/>
                <w:szCs w:val="18"/>
              </w:rPr>
            </w:pPr>
          </w:p>
        </w:tc>
        <w:tc>
          <w:tcPr>
            <w:tcW w:w="343" w:type="pc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p>
        </w:tc>
        <w:tc>
          <w:tcPr>
            <w:tcW w:w="195" w:type="pct"/>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194" w:type="pct"/>
            <w:noWrap w:val="0"/>
            <w:vAlign w:val="center"/>
          </w:tcPr>
          <w:p>
            <w:pPr>
              <w:rPr>
                <w:rFonts w:hint="eastAsia" w:ascii="仿宋_GB2312" w:hAnsi="宋体" w:eastAsia="仿宋_GB2312" w:cs="Times New Roman"/>
                <w:color w:val="000000"/>
                <w:kern w:val="2"/>
                <w:sz w:val="18"/>
                <w:szCs w:val="18"/>
                <w:lang w:val="en-US" w:eastAsia="zh-CN" w:bidi="ar-SA"/>
              </w:rPr>
            </w:pPr>
          </w:p>
        </w:tc>
        <w:tc>
          <w:tcPr>
            <w:tcW w:w="153" w:type="pct"/>
            <w:noWrap w:val="0"/>
            <w:vAlign w:val="center"/>
          </w:tcPr>
          <w:p>
            <w:pP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202" w:type="pct"/>
            <w:noWrap w:val="0"/>
            <w:vAlign w:val="center"/>
          </w:tcPr>
          <w:p>
            <w:pPr>
              <w:rPr>
                <w:rFonts w:hint="eastAsia" w:ascii="仿宋_GB2312" w:hAnsi="宋体" w:eastAsia="仿宋_GB2312" w:cs="Times New Roman"/>
                <w:color w:val="000000"/>
                <w:kern w:val="2"/>
                <w:sz w:val="18"/>
                <w:szCs w:val="18"/>
                <w:lang w:val="en-US" w:eastAsia="zh-CN" w:bidi="ar-SA"/>
              </w:rPr>
            </w:pPr>
          </w:p>
        </w:tc>
        <w:tc>
          <w:tcPr>
            <w:tcW w:w="196" w:type="pct"/>
            <w:noWrap w:val="0"/>
            <w:vAlign w:val="center"/>
          </w:tcPr>
          <w:p>
            <w:pPr>
              <w:jc w:val="cente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232" w:type="pct"/>
            <w:noWrap w:val="0"/>
            <w:vAlign w:val="center"/>
          </w:tcPr>
          <w:p>
            <w:pPr>
              <w:jc w:val="center"/>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 w:type="pct"/>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5</w:t>
            </w:r>
          </w:p>
        </w:tc>
        <w:tc>
          <w:tcPr>
            <w:tcW w:w="43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48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公租房资格定期审核</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年审或定期审核家庭信息，含保障对象编号、姓名、身份证号﹝隐藏部分号码﹞；配租房源；套型；面积；是否审核通过；未通过原因等。</w:t>
            </w:r>
          </w:p>
        </w:tc>
        <w:tc>
          <w:tcPr>
            <w:tcW w:w="444"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301"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《公共租赁住房管理办法》、《国务院办公厅关于推进公共资源配置领域政府信息公开的意见》</w:t>
            </w:r>
          </w:p>
        </w:tc>
        <w:tc>
          <w:tcPr>
            <w:tcW w:w="295"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343" w:type="pc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w:t>
            </w:r>
          </w:p>
        </w:tc>
        <w:tc>
          <w:tcPr>
            <w:tcW w:w="195"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194"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53"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0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96"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3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 w:type="pct"/>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6</w:t>
            </w:r>
          </w:p>
        </w:tc>
        <w:tc>
          <w:tcPr>
            <w:tcW w:w="43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48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运营承接主体管理</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单位名称；获取运营资格方式；运营承接主体统一社会信用代码；负责人姓名；办公地址、联系电话；注册资金；服务范围；监督考核情况等。</w:t>
            </w:r>
          </w:p>
        </w:tc>
        <w:tc>
          <w:tcPr>
            <w:tcW w:w="444"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301"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《经济适用住房管理办法》、《公共租赁住房管理办法》、《国务院办公厅关于推进公共资源配置领域政府信息公开的意见》</w:t>
            </w:r>
          </w:p>
        </w:tc>
        <w:tc>
          <w:tcPr>
            <w:tcW w:w="295"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343" w:type="pc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p>
        </w:tc>
        <w:tc>
          <w:tcPr>
            <w:tcW w:w="195"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194"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53"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0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96"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3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9" w:hRule="atLeast"/>
          <w:jc w:val="center"/>
        </w:trPr>
        <w:tc>
          <w:tcPr>
            <w:tcW w:w="153" w:type="pct"/>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7</w:t>
            </w:r>
          </w:p>
        </w:tc>
        <w:tc>
          <w:tcPr>
            <w:tcW w:w="43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48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申请保障</w:t>
            </w:r>
          </w:p>
        </w:tc>
        <w:tc>
          <w:tcPr>
            <w:tcW w:w="372"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申请条件；申请所需材料及范本；申请流程和办理时限；申请受理（办理）机构；受理地点；咨询电话、监督电话等。</w:t>
            </w:r>
          </w:p>
        </w:tc>
        <w:tc>
          <w:tcPr>
            <w:tcW w:w="444"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县级</w:t>
            </w:r>
            <w:r>
              <w:rPr>
                <w:rFonts w:hint="eastAsia" w:ascii="仿宋_GB2312" w:hAnsi="宋体" w:eastAsia="仿宋_GB2312"/>
                <w:color w:val="000000"/>
                <w:sz w:val="18"/>
                <w:szCs w:val="18"/>
              </w:rPr>
              <w:t>住建</w:t>
            </w:r>
            <w:r>
              <w:rPr>
                <w:rFonts w:hint="eastAsia" w:ascii="仿宋_GB2312" w:hAnsi="宋体" w:eastAsia="仿宋_GB2312"/>
                <w:color w:val="000000"/>
                <w:sz w:val="18"/>
                <w:szCs w:val="18"/>
                <w:lang w:eastAsia="zh-CN"/>
              </w:rPr>
              <w:t>部门、乡镇人民政府</w:t>
            </w:r>
          </w:p>
        </w:tc>
        <w:tc>
          <w:tcPr>
            <w:tcW w:w="1301"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295" w:type="pc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343" w:type="pc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政府门户网站</w:t>
            </w:r>
          </w:p>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w:t>
            </w:r>
          </w:p>
        </w:tc>
        <w:tc>
          <w:tcPr>
            <w:tcW w:w="195"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194"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53"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0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196"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232" w:type="pc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F47939"/>
    <w:rsid w:val="35F47939"/>
    <w:rsid w:val="4D6B4117"/>
    <w:rsid w:val="50107E37"/>
    <w:rsid w:val="56221110"/>
    <w:rsid w:val="69B3272A"/>
    <w:rsid w:val="72D46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2020-11-12T10:01:00Z</dcterms:created>
  <dc:creator>小┏ (^ω^)=☞-_-</dc:creator>
  <cp:lastModifiedBy>覃兰斌</cp:lastModifiedBy>
  <cp:lastPrinted>2020-11-13T07:16:00Z</cp:lastPrinted>
  <dcterms:modified xsi:type="dcterms:W3CDTF">2020-12-15T16:38:42Z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