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overflowPunct/>
        <w:topLinePunct w:val="0"/>
        <w:bidi w:val="0"/>
        <w:spacing w:before="0" w:beforeAutospacing="0" w:after="0" w:afterAutospacing="0"/>
        <w:ind w:left="0" w:leftChars="0" w:right="0" w:rightChars="0"/>
        <w:jc w:val="center"/>
        <w:rPr>
          <w:rFonts w:hint="eastAsia" w:ascii="方正小标宋_GBK" w:hAnsi="方正小标宋_GBK" w:eastAsia="方正小标宋_GBK"/>
          <w:b w:val="0"/>
          <w:bCs w:val="0"/>
          <w:sz w:val="30"/>
        </w:rPr>
      </w:pPr>
      <w:r>
        <w:rPr>
          <w:rFonts w:hint="eastAsia" w:ascii="方正小标宋简体" w:hAnsi="方正小标宋简体" w:eastAsia="方正小标宋简体" w:cs="方正小标宋简体"/>
          <w:b w:val="0"/>
          <w:bCs w:val="0"/>
          <w:sz w:val="44"/>
          <w:szCs w:val="44"/>
          <w:lang w:eastAsia="zh-CN"/>
        </w:rPr>
        <w:t>大新县</w:t>
      </w:r>
      <w:bookmarkStart w:id="0" w:name="_GoBack"/>
      <w:bookmarkEnd w:id="0"/>
      <w:r>
        <w:rPr>
          <w:rFonts w:hint="eastAsia" w:ascii="方正小标宋简体" w:hAnsi="方正小标宋简体" w:eastAsia="方正小标宋简体" w:cs="方正小标宋简体"/>
          <w:b w:val="0"/>
          <w:bCs w:val="0"/>
          <w:sz w:val="44"/>
          <w:szCs w:val="44"/>
        </w:rPr>
        <w:t>农村危房改造领域基层政务公开标准目录</w:t>
      </w:r>
    </w:p>
    <w:tbl>
      <w:tblPr>
        <w:tblStyle w:val="4"/>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序号</w:t>
            </w:r>
          </w:p>
        </w:tc>
        <w:tc>
          <w:tcPr>
            <w:tcW w:w="2160" w:type="dxa"/>
            <w:gridSpan w:val="2"/>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公开事项</w:t>
            </w:r>
          </w:p>
        </w:tc>
        <w:tc>
          <w:tcPr>
            <w:tcW w:w="1980" w:type="dxa"/>
            <w:vMerge w:val="restart"/>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公开内容（要素）</w:t>
            </w:r>
          </w:p>
        </w:tc>
        <w:tc>
          <w:tcPr>
            <w:tcW w:w="1800" w:type="dxa"/>
            <w:vMerge w:val="restart"/>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公开依据</w:t>
            </w:r>
          </w:p>
        </w:tc>
        <w:tc>
          <w:tcPr>
            <w:tcW w:w="1402" w:type="dxa"/>
            <w:vMerge w:val="restart"/>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公开时限</w:t>
            </w:r>
          </w:p>
        </w:tc>
        <w:tc>
          <w:tcPr>
            <w:tcW w:w="1440" w:type="dxa"/>
            <w:vMerge w:val="restart"/>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公开主体</w:t>
            </w:r>
          </w:p>
        </w:tc>
        <w:tc>
          <w:tcPr>
            <w:tcW w:w="2018" w:type="dxa"/>
            <w:vMerge w:val="restart"/>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公开渠道和载体</w:t>
            </w:r>
          </w:p>
        </w:tc>
        <w:tc>
          <w:tcPr>
            <w:tcW w:w="1429" w:type="dxa"/>
            <w:gridSpan w:val="2"/>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公开对象</w:t>
            </w:r>
          </w:p>
        </w:tc>
        <w:tc>
          <w:tcPr>
            <w:tcW w:w="1271" w:type="dxa"/>
            <w:gridSpan w:val="2"/>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公开方式</w:t>
            </w:r>
          </w:p>
        </w:tc>
        <w:tc>
          <w:tcPr>
            <w:tcW w:w="1440" w:type="dxa"/>
            <w:gridSpan w:val="2"/>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p>
        </w:tc>
        <w:tc>
          <w:tcPr>
            <w:tcW w:w="90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一级事项</w:t>
            </w:r>
          </w:p>
        </w:tc>
        <w:tc>
          <w:tcPr>
            <w:tcW w:w="126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二级事项</w:t>
            </w:r>
          </w:p>
        </w:tc>
        <w:tc>
          <w:tcPr>
            <w:tcW w:w="1980" w:type="dxa"/>
            <w:vMerge w:val="continue"/>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p>
        </w:tc>
        <w:tc>
          <w:tcPr>
            <w:tcW w:w="1800" w:type="dxa"/>
            <w:vMerge w:val="continue"/>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p>
        </w:tc>
        <w:tc>
          <w:tcPr>
            <w:tcW w:w="1402" w:type="dxa"/>
            <w:vMerge w:val="continue"/>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p>
        </w:tc>
        <w:tc>
          <w:tcPr>
            <w:tcW w:w="1440" w:type="dxa"/>
            <w:vMerge w:val="continue"/>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p>
        </w:tc>
        <w:tc>
          <w:tcPr>
            <w:tcW w:w="2018" w:type="dxa"/>
            <w:vMerge w:val="continue"/>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kern w:val="0"/>
                <w:sz w:val="24"/>
                <w:szCs w:val="24"/>
              </w:rPr>
            </w:pPr>
          </w:p>
        </w:tc>
        <w:tc>
          <w:tcPr>
            <w:tcW w:w="72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全社会</w:t>
            </w:r>
          </w:p>
        </w:tc>
        <w:tc>
          <w:tcPr>
            <w:tcW w:w="709"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特定群众</w:t>
            </w:r>
          </w:p>
        </w:tc>
        <w:tc>
          <w:tcPr>
            <w:tcW w:w="551"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主动</w:t>
            </w:r>
          </w:p>
        </w:tc>
        <w:tc>
          <w:tcPr>
            <w:tcW w:w="72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依申请公开</w:t>
            </w:r>
          </w:p>
        </w:tc>
        <w:tc>
          <w:tcPr>
            <w:tcW w:w="72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县级</w:t>
            </w:r>
          </w:p>
        </w:tc>
        <w:tc>
          <w:tcPr>
            <w:tcW w:w="72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7</w:t>
            </w:r>
          </w:p>
        </w:tc>
        <w:tc>
          <w:tcPr>
            <w:tcW w:w="900" w:type="dxa"/>
            <w:vMerge w:val="restart"/>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80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住房和城乡建设等相关职能部门</w:t>
            </w:r>
          </w:p>
        </w:tc>
        <w:tc>
          <w:tcPr>
            <w:tcW w:w="2018"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kern w:val="2"/>
                <w:position w:val="0"/>
                <w:sz w:val="16"/>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政府门户网站</w:t>
            </w:r>
          </w:p>
          <w:p>
            <w:pPr>
              <w:pageBreakBefore w:val="0"/>
              <w:widowControl/>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kern w:val="2"/>
                <w:position w:val="0"/>
                <w:sz w:val="16"/>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公示栏等平台</w:t>
            </w:r>
          </w:p>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办事大厅、便民服务窗口等场所</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551"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continue"/>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126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住房和城乡建设部门、财政等部门</w:t>
            </w:r>
          </w:p>
        </w:tc>
        <w:tc>
          <w:tcPr>
            <w:tcW w:w="2018"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政府门户网站</w:t>
            </w:r>
          </w:p>
          <w:p>
            <w:pPr>
              <w:pageBreakBefore w:val="0"/>
              <w:widowControl/>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kern w:val="2"/>
                <w:position w:val="0"/>
                <w:sz w:val="16"/>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公示栏等平台</w:t>
            </w:r>
          </w:p>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办事大厅、便民服务窗口等场所</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551"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11</w:t>
            </w:r>
          </w:p>
        </w:tc>
        <w:tc>
          <w:tcPr>
            <w:tcW w:w="90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6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80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乡镇人民政府、村委会</w:t>
            </w:r>
          </w:p>
        </w:tc>
        <w:tc>
          <w:tcPr>
            <w:tcW w:w="2018" w:type="dxa"/>
            <w:noWrap w:val="0"/>
            <w:vAlign w:val="center"/>
          </w:tcPr>
          <w:p>
            <w:pPr>
              <w:pageBreakBefore w:val="0"/>
              <w:widowControl/>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kern w:val="2"/>
                <w:position w:val="0"/>
                <w:sz w:val="16"/>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公示栏等平台</w:t>
            </w:r>
          </w:p>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仿宋_GB2312" w:eastAsia="仿宋_GB2312" w:cs="仿宋_GB2312"/>
                <w:b w:val="0"/>
                <w:bCs w:val="0"/>
                <w:color w:val="000000"/>
                <w:sz w:val="24"/>
                <w:szCs w:val="24"/>
              </w:rPr>
              <w:fldChar w:fldCharType="begin"/>
            </w:r>
            <w:r>
              <w:rPr>
                <w:rFonts w:hint="eastAsia" w:ascii="仿宋_GB2312" w:hAnsi="仿宋_GB2312" w:eastAsia="仿宋_GB2312" w:cs="仿宋_GB2312"/>
                <w:b w:val="0"/>
                <w:bCs w:val="0"/>
                <w:color w:val="000000"/>
                <w:sz w:val="24"/>
                <w:szCs w:val="24"/>
              </w:rPr>
              <w:instrText xml:space="preserve"> EQ \o\ac(</w:instrText>
            </w:r>
            <w:r>
              <w:rPr>
                <w:rFonts w:hint="eastAsia" w:ascii="仿宋_GB2312" w:hAnsi="仿宋_GB2312" w:eastAsia="仿宋_GB2312" w:cs="仿宋_GB2312"/>
                <w:b w:val="0"/>
                <w:bCs w:val="0"/>
                <w:color w:val="000000"/>
                <w:kern w:val="2"/>
                <w:position w:val="-3"/>
                <w:sz w:val="24"/>
                <w:szCs w:val="24"/>
                <w:lang w:val="en-US" w:eastAsia="zh-CN" w:bidi="ar-SA"/>
              </w:rPr>
              <w:instrText xml:space="preserve">□</w:instrText>
            </w:r>
            <w:r>
              <w:rPr>
                <w:rFonts w:hint="eastAsia" w:ascii="仿宋_GB2312" w:hAnsi="仿宋_GB2312" w:eastAsia="仿宋_GB2312" w:cs="仿宋_GB2312"/>
                <w:b w:val="0"/>
                <w:bCs w:val="0"/>
                <w:color w:val="000000"/>
                <w:position w:val="0"/>
                <w:sz w:val="24"/>
                <w:szCs w:val="24"/>
              </w:rPr>
              <w:instrText xml:space="preserve">)</w:instrText>
            </w:r>
            <w:r>
              <w:rPr>
                <w:rFonts w:hint="eastAsia" w:ascii="仿宋_GB2312" w:hAnsi="仿宋_GB2312" w:eastAsia="仿宋_GB2312" w:cs="仿宋_GB2312"/>
                <w:b w:val="0"/>
                <w:bCs w:val="0"/>
                <w:color w:val="000000"/>
                <w:sz w:val="24"/>
                <w:szCs w:val="24"/>
              </w:rPr>
              <w:fldChar w:fldCharType="end"/>
            </w:r>
            <w:r>
              <w:rPr>
                <w:rFonts w:hint="eastAsia" w:ascii="仿宋_GB2312" w:hAnsi="宋体" w:eastAsia="仿宋_GB2312"/>
                <w:color w:val="000000"/>
                <w:sz w:val="18"/>
                <w:szCs w:val="18"/>
              </w:rPr>
              <w:t>办事大厅、便民服务窗口等场所</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551"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p>
        </w:tc>
        <w:tc>
          <w:tcPr>
            <w:tcW w:w="720" w:type="dxa"/>
            <w:noWrap w:val="0"/>
            <w:vAlign w:val="center"/>
          </w:tcPr>
          <w:p>
            <w:pPr>
              <w:pageBreakBefore w:val="0"/>
              <w:kinsoku/>
              <w:wordWrap/>
              <w:overflowPunct/>
              <w:topLinePunct w:val="0"/>
              <w:bidi w:val="0"/>
              <w:spacing w:beforeAutospacing="0" w:afterAutospacing="0"/>
              <w:ind w:left="0" w:leftChars="0" w:right="0" w:rightChars="0"/>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bl>
    <w:p>
      <w:pPr>
        <w:pageBreakBefore w:val="0"/>
        <w:kinsoku/>
        <w:wordWrap/>
        <w:overflowPunct/>
        <w:topLinePunct w:val="0"/>
        <w:bidi w:val="0"/>
        <w:spacing w:beforeAutospacing="0" w:afterAutospacing="0"/>
        <w:ind w:left="0" w:leftChars="0" w:right="0" w:rightChars="0"/>
        <w:jc w:val="center"/>
        <w:rPr>
          <w:rFonts w:ascii="仿宋_GB2312" w:hAnsi="Times New Roman" w:eastAsia="仿宋_GB2312"/>
          <w:sz w:val="18"/>
          <w:szCs w:val="18"/>
        </w:rPr>
      </w:pPr>
    </w:p>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F1F19"/>
    <w:rsid w:val="192D679B"/>
    <w:rsid w:val="199336BA"/>
    <w:rsid w:val="2D4F2256"/>
    <w:rsid w:val="39F66BD6"/>
    <w:rsid w:val="67713138"/>
    <w:rsid w:val="6911755D"/>
    <w:rsid w:val="6AE43FA3"/>
    <w:rsid w:val="74990353"/>
    <w:rsid w:val="7C4B47F7"/>
    <w:rsid w:val="7DCD3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2020-10-28T10:30:00Z</dcterms:created>
  <dc:creator>Administrator</dc:creator>
  <cp:lastModifiedBy>覃兰斌</cp:lastModifiedBy>
  <dcterms:modified xsi:type="dcterms:W3CDTF">2020-12-15T16:32:55Z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