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val="0"/>
          <w:bCs w:val="0"/>
          <w:sz w:val="30"/>
        </w:rPr>
      </w:pPr>
      <w:r>
        <w:rPr>
          <w:rFonts w:hint="eastAsia" w:ascii="方正小标宋_GBK" w:hAnsi="方正小标宋_GBK" w:eastAsia="方正小标宋_GBK"/>
          <w:b w:val="0"/>
          <w:bCs w:val="0"/>
          <w:sz w:val="30"/>
          <w:lang w:eastAsia="zh-CN"/>
        </w:rPr>
        <w:t>龙州县</w:t>
      </w:r>
      <w:bookmarkStart w:id="0" w:name="_GoBack"/>
      <w:bookmarkEnd w:id="0"/>
      <w:r>
        <w:rPr>
          <w:rFonts w:hint="eastAsia" w:ascii="方正小标宋_GBK" w:hAnsi="方正小标宋_GBK" w:eastAsia="方正小标宋_GBK"/>
          <w:b w:val="0"/>
          <w:bCs w:val="0"/>
          <w:sz w:val="30"/>
        </w:rPr>
        <w:t>农村危房改造领域基层政务公开标准目录</w:t>
      </w:r>
    </w:p>
    <w:tbl>
      <w:tblPr>
        <w:tblStyle w:val="3"/>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440"/>
        <w:gridCol w:w="1800"/>
        <w:gridCol w:w="1402"/>
        <w:gridCol w:w="201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540" w:type="dxa"/>
            <w:vMerge w:val="restart"/>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6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440" w:type="dxa"/>
            <w:vMerge w:val="restart"/>
            <w:noWrap w:val="0"/>
            <w:vAlign w:val="center"/>
          </w:tcPr>
          <w:p>
            <w:pPr>
              <w:widowControl/>
              <w:jc w:val="center"/>
              <w:rPr>
                <w:rFonts w:hint="eastAsia" w:ascii="黑体" w:hAnsi="宋体" w:eastAsia="黑体" w:cs="宋体"/>
                <w:color w:val="000000"/>
                <w:kern w:val="0"/>
                <w:sz w:val="22"/>
                <w:szCs w:val="22"/>
                <w:lang w:val="en-US" w:eastAsia="zh-CN" w:bidi="ar-SA"/>
              </w:rPr>
            </w:pPr>
            <w:r>
              <w:rPr>
                <w:rFonts w:hint="eastAsia" w:ascii="黑体" w:hAnsi="宋体" w:eastAsia="黑体" w:cs="宋体"/>
                <w:color w:val="000000"/>
                <w:kern w:val="0"/>
                <w:sz w:val="22"/>
              </w:rPr>
              <w:t>公开主体</w:t>
            </w:r>
          </w:p>
        </w:tc>
        <w:tc>
          <w:tcPr>
            <w:tcW w:w="180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402"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2018"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540" w:type="dxa"/>
            <w:vMerge w:val="continue"/>
            <w:noWrap w:val="0"/>
            <w:vAlign w:val="center"/>
          </w:tcPr>
          <w:p>
            <w:pPr>
              <w:widowControl/>
              <w:jc w:val="left"/>
              <w:rPr>
                <w:rFonts w:ascii="Times New Roman" w:hAnsi="Times New Roman"/>
                <w:color w:val="000000"/>
                <w:kern w:val="0"/>
                <w:sz w:val="22"/>
              </w:rPr>
            </w:pPr>
          </w:p>
        </w:tc>
        <w:tc>
          <w:tcPr>
            <w:tcW w:w="90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6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0" w:type="dxa"/>
            <w:vMerge w:val="continue"/>
            <w:noWrap w:val="0"/>
            <w:vAlign w:val="center"/>
          </w:tcPr>
          <w:p>
            <w:pPr>
              <w:widowControl/>
              <w:jc w:val="left"/>
              <w:rPr>
                <w:rFonts w:ascii="黑体" w:hAnsi="宋体" w:eastAsia="黑体" w:cs="宋体"/>
                <w:color w:val="000000"/>
                <w:kern w:val="0"/>
                <w:sz w:val="22"/>
              </w:rPr>
            </w:pPr>
          </w:p>
        </w:tc>
        <w:tc>
          <w:tcPr>
            <w:tcW w:w="1440" w:type="dxa"/>
            <w:vMerge w:val="continue"/>
            <w:noWrap w:val="0"/>
            <w:vAlign w:val="center"/>
          </w:tcPr>
          <w:p>
            <w:pPr>
              <w:widowControl/>
              <w:jc w:val="left"/>
              <w:rPr>
                <w:rFonts w:ascii="黑体" w:hAnsi="宋体" w:eastAsia="黑体" w:cs="宋体"/>
                <w:color w:val="000000"/>
                <w:kern w:val="0"/>
                <w:sz w:val="22"/>
                <w:szCs w:val="22"/>
                <w:lang w:val="en-US" w:eastAsia="zh-CN" w:bidi="ar-SA"/>
              </w:rPr>
            </w:pPr>
          </w:p>
        </w:tc>
        <w:tc>
          <w:tcPr>
            <w:tcW w:w="1800" w:type="dxa"/>
            <w:vMerge w:val="continue"/>
            <w:noWrap w:val="0"/>
            <w:vAlign w:val="center"/>
          </w:tcPr>
          <w:p>
            <w:pPr>
              <w:widowControl/>
              <w:jc w:val="left"/>
              <w:rPr>
                <w:rFonts w:ascii="黑体" w:hAnsi="宋体" w:eastAsia="黑体" w:cs="宋体"/>
                <w:color w:val="000000"/>
                <w:kern w:val="0"/>
                <w:sz w:val="22"/>
              </w:rPr>
            </w:pPr>
          </w:p>
        </w:tc>
        <w:tc>
          <w:tcPr>
            <w:tcW w:w="1402" w:type="dxa"/>
            <w:vMerge w:val="continue"/>
            <w:noWrap w:val="0"/>
            <w:vAlign w:val="center"/>
          </w:tcPr>
          <w:p>
            <w:pPr>
              <w:widowControl/>
              <w:jc w:val="left"/>
              <w:rPr>
                <w:rFonts w:ascii="黑体" w:hAnsi="宋体" w:eastAsia="黑体" w:cs="宋体"/>
                <w:color w:val="000000"/>
                <w:kern w:val="0"/>
                <w:sz w:val="22"/>
              </w:rPr>
            </w:pPr>
          </w:p>
        </w:tc>
        <w:tc>
          <w:tcPr>
            <w:tcW w:w="2018" w:type="dxa"/>
            <w:vMerge w:val="continue"/>
            <w:noWrap w:val="0"/>
            <w:vAlign w:val="center"/>
          </w:tcPr>
          <w:p>
            <w:pPr>
              <w:widowControl/>
              <w:jc w:val="left"/>
              <w:rPr>
                <w:rFonts w:ascii="黑体" w:hAnsi="宋体" w:eastAsia="黑体" w:cs="宋体"/>
                <w:kern w:val="0"/>
                <w:sz w:val="22"/>
              </w:rPr>
            </w:pP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4</w:t>
            </w:r>
          </w:p>
        </w:tc>
        <w:tc>
          <w:tcPr>
            <w:tcW w:w="90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计划实施</w:t>
            </w:r>
          </w:p>
        </w:tc>
        <w:tc>
          <w:tcPr>
            <w:tcW w:w="126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任务分配</w:t>
            </w:r>
          </w:p>
        </w:tc>
        <w:tc>
          <w:tcPr>
            <w:tcW w:w="198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及时公开农村危房改造补助农户名单</w:t>
            </w:r>
          </w:p>
        </w:tc>
        <w:tc>
          <w:tcPr>
            <w:tcW w:w="1440" w:type="dxa"/>
            <w:noWrap w:val="0"/>
            <w:vAlign w:val="center"/>
          </w:tcPr>
          <w:p>
            <w:pP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lang w:eastAsia="zh-CN"/>
              </w:rPr>
              <w:t>乡镇人民政府</w:t>
            </w:r>
          </w:p>
        </w:tc>
        <w:tc>
          <w:tcPr>
            <w:tcW w:w="18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rPr>
              <w:t>《住房城乡建设部 财政部 国务院扶贫办关于加强和完善建档立卡贫困户等重点对象农村危房改造若干问题的通知》等</w:t>
            </w:r>
          </w:p>
        </w:tc>
        <w:tc>
          <w:tcPr>
            <w:tcW w:w="140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rPr>
              <w:t>分配结果确定后20个工作日内</w:t>
            </w:r>
          </w:p>
        </w:tc>
        <w:tc>
          <w:tcPr>
            <w:tcW w:w="201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widowControl/>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jc w:val="center"/>
              <w:rPr>
                <w:rFonts w:hint="eastAsia" w:ascii="仿宋_GB2312" w:hAnsi="宋体" w:eastAsia="仿宋_GB2312"/>
                <w:color w:val="000000"/>
                <w:sz w:val="18"/>
                <w:szCs w:val="18"/>
              </w:rPr>
            </w:pPr>
          </w:p>
        </w:tc>
        <w:tc>
          <w:tcPr>
            <w:tcW w:w="551"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p>
          <w:p>
            <w:pPr>
              <w:jc w:val="center"/>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6</w:t>
            </w:r>
          </w:p>
        </w:tc>
        <w:tc>
          <w:tcPr>
            <w:tcW w:w="90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农村危房等级评定标准</w:t>
            </w:r>
          </w:p>
        </w:tc>
        <w:tc>
          <w:tcPr>
            <w:tcW w:w="198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农村危房等级评定相关标准</w:t>
            </w:r>
          </w:p>
        </w:tc>
        <w:tc>
          <w:tcPr>
            <w:tcW w:w="1440" w:type="dxa"/>
            <w:noWrap w:val="0"/>
            <w:vAlign w:val="center"/>
          </w:tcPr>
          <w:p>
            <w:pP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w:t>
            </w:r>
          </w:p>
        </w:tc>
        <w:tc>
          <w:tcPr>
            <w:tcW w:w="180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201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widowControl/>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jc w:val="center"/>
              <w:rPr>
                <w:rFonts w:hint="eastAsia" w:ascii="仿宋_GB2312" w:hAnsi="宋体" w:eastAsia="仿宋_GB2312"/>
                <w:color w:val="000000"/>
                <w:sz w:val="18"/>
                <w:szCs w:val="18"/>
              </w:rPr>
            </w:pPr>
          </w:p>
        </w:tc>
        <w:tc>
          <w:tcPr>
            <w:tcW w:w="551"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7</w:t>
            </w:r>
          </w:p>
        </w:tc>
        <w:tc>
          <w:tcPr>
            <w:tcW w:w="900" w:type="dxa"/>
            <w:vMerge w:val="continue"/>
            <w:noWrap w:val="0"/>
            <w:vAlign w:val="center"/>
          </w:tcPr>
          <w:p>
            <w:pPr>
              <w:jc w:val="center"/>
              <w:rPr>
                <w:rFonts w:hint="eastAsia" w:ascii="仿宋_GB2312" w:hAnsi="宋体" w:eastAsia="仿宋_GB2312"/>
                <w:color w:val="000000"/>
                <w:sz w:val="18"/>
                <w:szCs w:val="18"/>
              </w:rPr>
            </w:pPr>
          </w:p>
        </w:tc>
        <w:tc>
          <w:tcPr>
            <w:tcW w:w="126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98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1440" w:type="dxa"/>
            <w:noWrap w:val="0"/>
            <w:vAlign w:val="center"/>
          </w:tcPr>
          <w:p>
            <w:pP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w:t>
            </w:r>
          </w:p>
        </w:tc>
        <w:tc>
          <w:tcPr>
            <w:tcW w:w="180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201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widowControl/>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jc w:val="center"/>
              <w:rPr>
                <w:rFonts w:hint="eastAsia" w:ascii="仿宋_GB2312" w:hAnsi="宋体" w:eastAsia="仿宋_GB2312"/>
                <w:color w:val="000000"/>
                <w:sz w:val="18"/>
                <w:szCs w:val="18"/>
              </w:rPr>
            </w:pPr>
          </w:p>
        </w:tc>
        <w:tc>
          <w:tcPr>
            <w:tcW w:w="551"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8</w:t>
            </w:r>
          </w:p>
        </w:tc>
        <w:tc>
          <w:tcPr>
            <w:tcW w:w="90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8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440" w:type="dxa"/>
            <w:noWrap w:val="0"/>
            <w:vAlign w:val="center"/>
          </w:tcPr>
          <w:p>
            <w:pP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部门、乡镇人民政府、县级财政部门</w:t>
            </w:r>
          </w:p>
        </w:tc>
        <w:tc>
          <w:tcPr>
            <w:tcW w:w="180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201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widowControl/>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jc w:val="center"/>
              <w:rPr>
                <w:rFonts w:hint="eastAsia" w:ascii="仿宋_GB2312" w:hAnsi="宋体" w:eastAsia="仿宋_GB2312"/>
                <w:color w:val="000000"/>
                <w:sz w:val="18"/>
                <w:szCs w:val="18"/>
              </w:rPr>
            </w:pPr>
          </w:p>
        </w:tc>
        <w:tc>
          <w:tcPr>
            <w:tcW w:w="551"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9</w:t>
            </w:r>
          </w:p>
        </w:tc>
        <w:tc>
          <w:tcPr>
            <w:tcW w:w="900" w:type="dxa"/>
            <w:vMerge w:val="continue"/>
            <w:noWrap w:val="0"/>
            <w:vAlign w:val="center"/>
          </w:tcPr>
          <w:p>
            <w:pPr>
              <w:jc w:val="center"/>
              <w:rPr>
                <w:rFonts w:hint="eastAsia" w:ascii="仿宋_GB2312" w:hAnsi="宋体" w:eastAsia="仿宋_GB2312"/>
                <w:color w:val="000000"/>
                <w:sz w:val="18"/>
                <w:szCs w:val="18"/>
              </w:rPr>
            </w:pPr>
          </w:p>
        </w:tc>
        <w:tc>
          <w:tcPr>
            <w:tcW w:w="126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98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1440" w:type="dxa"/>
            <w:noWrap w:val="0"/>
            <w:vAlign w:val="center"/>
          </w:tcPr>
          <w:p>
            <w:pP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w:t>
            </w:r>
          </w:p>
        </w:tc>
        <w:tc>
          <w:tcPr>
            <w:tcW w:w="180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201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widowControl/>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jc w:val="center"/>
              <w:rPr>
                <w:rFonts w:hint="eastAsia" w:ascii="仿宋_GB2312" w:hAnsi="宋体" w:eastAsia="仿宋_GB2312"/>
                <w:color w:val="000000"/>
                <w:sz w:val="18"/>
                <w:szCs w:val="18"/>
              </w:rPr>
            </w:pPr>
          </w:p>
        </w:tc>
        <w:tc>
          <w:tcPr>
            <w:tcW w:w="551"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10</w:t>
            </w:r>
          </w:p>
        </w:tc>
        <w:tc>
          <w:tcPr>
            <w:tcW w:w="90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对象认定</w:t>
            </w:r>
          </w:p>
        </w:tc>
        <w:tc>
          <w:tcPr>
            <w:tcW w:w="126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危改户认定程序</w:t>
            </w:r>
          </w:p>
        </w:tc>
        <w:tc>
          <w:tcPr>
            <w:tcW w:w="198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农村危房改造申请程序</w:t>
            </w:r>
          </w:p>
        </w:tc>
        <w:tc>
          <w:tcPr>
            <w:tcW w:w="1440" w:type="dxa"/>
            <w:noWrap w:val="0"/>
            <w:vAlign w:val="center"/>
          </w:tcPr>
          <w:p>
            <w:pPr>
              <w:jc w:val="cente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w:t>
            </w:r>
          </w:p>
        </w:tc>
        <w:tc>
          <w:tcPr>
            <w:tcW w:w="180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2018" w:type="dxa"/>
            <w:noWrap w:val="0"/>
            <w:vAlign w:val="center"/>
          </w:tcPr>
          <w:p>
            <w:pPr>
              <w:widowControl/>
              <w:jc w:val="left"/>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jc w:val="left"/>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widowControl/>
              <w:jc w:val="left"/>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jc w:val="center"/>
              <w:rPr>
                <w:rFonts w:hint="eastAsia" w:ascii="仿宋_GB2312" w:hAnsi="宋体" w:eastAsia="仿宋_GB2312"/>
                <w:color w:val="000000"/>
                <w:sz w:val="18"/>
                <w:szCs w:val="18"/>
              </w:rPr>
            </w:pPr>
          </w:p>
        </w:tc>
        <w:tc>
          <w:tcPr>
            <w:tcW w:w="551"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11</w:t>
            </w:r>
          </w:p>
        </w:tc>
        <w:tc>
          <w:tcPr>
            <w:tcW w:w="900" w:type="dxa"/>
            <w:vMerge w:val="continue"/>
            <w:noWrap w:val="0"/>
            <w:vAlign w:val="center"/>
          </w:tcPr>
          <w:p>
            <w:pPr>
              <w:jc w:val="center"/>
              <w:rPr>
                <w:rFonts w:hint="eastAsia" w:ascii="仿宋_GB2312" w:hAnsi="宋体" w:eastAsia="仿宋_GB2312"/>
                <w:color w:val="000000"/>
                <w:sz w:val="18"/>
                <w:szCs w:val="18"/>
              </w:rPr>
            </w:pPr>
          </w:p>
        </w:tc>
        <w:tc>
          <w:tcPr>
            <w:tcW w:w="126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98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440" w:type="dxa"/>
            <w:noWrap w:val="0"/>
            <w:vAlign w:val="center"/>
          </w:tcPr>
          <w:p>
            <w:pPr>
              <w:jc w:val="cente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乡镇人民政府、村委会</w:t>
            </w:r>
          </w:p>
        </w:tc>
        <w:tc>
          <w:tcPr>
            <w:tcW w:w="180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2018" w:type="dxa"/>
            <w:noWrap w:val="0"/>
            <w:vAlign w:val="center"/>
          </w:tcPr>
          <w:p>
            <w:pPr>
              <w:widowControl/>
              <w:jc w:val="left"/>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jc w:val="left"/>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widowControl/>
              <w:jc w:val="left"/>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jc w:val="center"/>
              <w:rPr>
                <w:rFonts w:hint="eastAsia" w:ascii="仿宋_GB2312" w:hAnsi="宋体" w:eastAsia="仿宋_GB2312"/>
                <w:color w:val="000000"/>
                <w:sz w:val="18"/>
                <w:szCs w:val="18"/>
              </w:rPr>
            </w:pPr>
          </w:p>
        </w:tc>
        <w:tc>
          <w:tcPr>
            <w:tcW w:w="551"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bl>
    <w:p>
      <w:pPr>
        <w:jc w:val="center"/>
        <w:rPr>
          <w:rFonts w:ascii="仿宋_GB2312" w:hAnsi="Times New Roman" w:eastAsia="仿宋_GB2312"/>
          <w:sz w:val="18"/>
          <w:szCs w:val="18"/>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E25DA9"/>
    <w:rsid w:val="01B801AD"/>
    <w:rsid w:val="02A745ED"/>
    <w:rsid w:val="10516A3B"/>
    <w:rsid w:val="28E25DA9"/>
    <w:rsid w:val="2B233389"/>
    <w:rsid w:val="32FC6D31"/>
    <w:rsid w:val="52573FE5"/>
    <w:rsid w:val="662A1A35"/>
    <w:rsid w:val="72D46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2020-11-12T10:03:00Z</dcterms:created>
  <dc:creator>小┏ (^ω^)=☞-_-</dc:creator>
  <cp:lastModifiedBy>覃兰斌</cp:lastModifiedBy>
  <cp:lastPrinted>2020-11-13T03:08:00Z</cp:lastPrinted>
  <dcterms:modified xsi:type="dcterms:W3CDTF">2020-12-15T16:39:02Z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