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仿宋_GB2312" w:eastAsia="仿宋_GB2312" w:cs="仿宋_GB2312"/>
          <w:color w:val="000000" w:themeColor="text1"/>
          <w:sz w:val="32"/>
          <w:szCs w:val="32"/>
          <w14:textFill>
            <w14:solidFill>
              <w14:schemeClr w14:val="tx1"/>
            </w14:solidFill>
          </w14:textFill>
        </w:rPr>
      </w:pPr>
    </w:p>
    <w:p>
      <w:pPr>
        <w:widowControl/>
        <w:spacing w:line="500" w:lineRule="exact"/>
        <w:jc w:val="cente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4"/>
          <w:szCs w:val="44"/>
          <w:lang w:eastAsia="zh-CN" w:bidi="ar"/>
          <w14:textFill>
            <w14:solidFill>
              <w14:schemeClr w14:val="tx1"/>
            </w14:solidFill>
          </w14:textFill>
        </w:rPr>
        <w:t>金秀瑶族自治县</w:t>
      </w:r>
      <w: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t>保障性住房领域基层政务公开事项标准目录</w:t>
      </w:r>
    </w:p>
    <w:p>
      <w:pPr>
        <w:pStyle w:val="2"/>
        <w:rPr>
          <w:rFonts w:hint="eastAsia"/>
        </w:rPr>
      </w:pPr>
      <w:bookmarkStart w:id="0" w:name="_GoBack"/>
      <w:bookmarkEnd w:id="0"/>
    </w:p>
    <w:tbl>
      <w:tblPr>
        <w:tblStyle w:val="8"/>
        <w:tblW w:w="13955" w:type="dxa"/>
        <w:jc w:val="center"/>
        <w:tblInd w:w="0" w:type="dxa"/>
        <w:tblLayout w:type="fixed"/>
        <w:tblCellMar>
          <w:top w:w="0" w:type="dxa"/>
          <w:left w:w="57" w:type="dxa"/>
          <w:bottom w:w="0" w:type="dxa"/>
          <w:right w:w="57" w:type="dxa"/>
        </w:tblCellMar>
      </w:tblPr>
      <w:tblGrid>
        <w:gridCol w:w="378"/>
        <w:gridCol w:w="660"/>
        <w:gridCol w:w="705"/>
        <w:gridCol w:w="1634"/>
        <w:gridCol w:w="1033"/>
        <w:gridCol w:w="2543"/>
        <w:gridCol w:w="900"/>
        <w:gridCol w:w="1690"/>
        <w:gridCol w:w="897"/>
        <w:gridCol w:w="840"/>
        <w:gridCol w:w="885"/>
        <w:gridCol w:w="870"/>
        <w:gridCol w:w="920"/>
      </w:tblGrid>
      <w:tr>
        <w:tblPrEx>
          <w:tblLayout w:type="fixed"/>
          <w:tblCellMar>
            <w:top w:w="0" w:type="dxa"/>
            <w:left w:w="57" w:type="dxa"/>
            <w:bottom w:w="0" w:type="dxa"/>
            <w:right w:w="57" w:type="dxa"/>
          </w:tblCellMar>
        </w:tblPrEx>
        <w:trPr>
          <w:trHeight w:val="454" w:hRule="atLeast"/>
          <w:jc w:val="center"/>
        </w:trPr>
        <w:tc>
          <w:tcPr>
            <w:tcW w:w="37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序号</w:t>
            </w:r>
          </w:p>
        </w:tc>
        <w:tc>
          <w:tcPr>
            <w:tcW w:w="136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公开事项</w:t>
            </w:r>
          </w:p>
        </w:tc>
        <w:tc>
          <w:tcPr>
            <w:tcW w:w="16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公开内容</w:t>
            </w: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（要素）</w:t>
            </w:r>
          </w:p>
        </w:tc>
        <w:tc>
          <w:tcPr>
            <w:tcW w:w="103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w:t>
            </w: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主体</w:t>
            </w:r>
          </w:p>
        </w:tc>
        <w:tc>
          <w:tcPr>
            <w:tcW w:w="254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公开依据</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w:t>
            </w: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时限</w:t>
            </w:r>
          </w:p>
        </w:tc>
        <w:tc>
          <w:tcPr>
            <w:tcW w:w="169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公开渠道和载体</w:t>
            </w:r>
          </w:p>
        </w:tc>
        <w:tc>
          <w:tcPr>
            <w:tcW w:w="1737"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公开对象</w:t>
            </w:r>
          </w:p>
        </w:tc>
        <w:tc>
          <w:tcPr>
            <w:tcW w:w="175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公开方式</w:t>
            </w:r>
          </w:p>
        </w:tc>
        <w:tc>
          <w:tcPr>
            <w:tcW w:w="920" w:type="dxa"/>
            <w:vMerge w:val="restart"/>
            <w:tcBorders>
              <w:top w:val="single" w:color="auto" w:sz="4" w:space="0"/>
              <w:left w:val="nil"/>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公开</w:t>
            </w: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层级</w:t>
            </w:r>
          </w:p>
        </w:tc>
      </w:tr>
      <w:tr>
        <w:tblPrEx>
          <w:tblLayout w:type="fixed"/>
          <w:tblCellMar>
            <w:top w:w="0" w:type="dxa"/>
            <w:left w:w="57" w:type="dxa"/>
            <w:bottom w:w="0" w:type="dxa"/>
            <w:right w:w="57" w:type="dxa"/>
          </w:tblCellMar>
        </w:tblPrEx>
        <w:trPr>
          <w:trHeight w:val="454" w:hRule="atLeast"/>
          <w:jc w:val="center"/>
        </w:trPr>
        <w:tc>
          <w:tcPr>
            <w:tcW w:w="37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660"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一级事项</w:t>
            </w:r>
          </w:p>
        </w:tc>
        <w:tc>
          <w:tcPr>
            <w:tcW w:w="705"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二级事项</w:t>
            </w:r>
          </w:p>
        </w:tc>
        <w:tc>
          <w:tcPr>
            <w:tcW w:w="16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103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254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169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b/>
                <w:bCs/>
                <w:color w:val="000000"/>
                <w:sz w:val="18"/>
                <w:szCs w:val="18"/>
              </w:rPr>
            </w:pPr>
          </w:p>
        </w:tc>
        <w:tc>
          <w:tcPr>
            <w:tcW w:w="897"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全社会</w:t>
            </w:r>
          </w:p>
        </w:tc>
        <w:tc>
          <w:tcPr>
            <w:tcW w:w="840"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特定</w:t>
            </w:r>
          </w:p>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群众</w:t>
            </w:r>
          </w:p>
        </w:tc>
        <w:tc>
          <w:tcPr>
            <w:tcW w:w="885"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主动</w:t>
            </w:r>
          </w:p>
        </w:tc>
        <w:tc>
          <w:tcPr>
            <w:tcW w:w="870" w:type="dxa"/>
            <w:tcBorders>
              <w:top w:val="nil"/>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依申请公开</w:t>
            </w:r>
          </w:p>
        </w:tc>
        <w:tc>
          <w:tcPr>
            <w:tcW w:w="920" w:type="dxa"/>
            <w:vMerge w:val="continue"/>
            <w:tcBorders>
              <w:left w:val="nil"/>
              <w:bottom w:val="single" w:color="auto" w:sz="4" w:space="0"/>
              <w:right w:val="single" w:color="auto" w:sz="4" w:space="0"/>
            </w:tcBorders>
            <w:vAlign w:val="center"/>
          </w:tcPr>
          <w:p>
            <w:pPr>
              <w:snapToGrid w:val="0"/>
              <w:spacing w:line="300" w:lineRule="exact"/>
              <w:jc w:val="center"/>
              <w:rPr>
                <w:rFonts w:hint="eastAsia" w:ascii="宋体" w:hAnsi="宋体" w:eastAsia="宋体" w:cs="宋体"/>
                <w:b/>
                <w:bCs/>
                <w:color w:val="000000"/>
                <w:sz w:val="18"/>
                <w:szCs w:val="18"/>
              </w:rPr>
            </w:pP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法规政策</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政策文件</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文件名称；</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文号；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发布部门；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发布日期；</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实施日期；</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正文。</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年度计划</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年度建设计划任务量：开工套数、基本建成套数；</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年度计划项目：项目名称、建设地点、总建筑面积、住宅面积、计划开工时间、计划竣工时间。</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精准推送</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90"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立项信息</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项目名称；建设地点；投资金额；计划安排。</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116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开工项目清单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项目名称；建设地址；建设方式；建设总套数；开工时间；年度计划开工套数、实际开工套数；年度计划基本建成套数；建设、设计、施工和监理单位名称等。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5</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基本建成项目清单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1902"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6</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竣工项目清单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7</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保障性住房申请受理</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申请受理公告</w:t>
            </w:r>
          </w:p>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申请条件程序期限和所需材料</w:t>
            </w:r>
          </w:p>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sz w:val="18"/>
                <w:szCs w:val="18"/>
              </w:rPr>
              <w:t>租赁补贴发放计划</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 xml:space="preserve">精准推送  </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公租房承租资格审核</w:t>
            </w:r>
          </w:p>
        </w:tc>
        <w:tc>
          <w:tcPr>
            <w:tcW w:w="163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 w:val="18"/>
                <w:szCs w:val="18"/>
              </w:rPr>
            </w:pPr>
          </w:p>
          <w:p>
            <w:pPr>
              <w:keepNext w:val="0"/>
              <w:keepLines w:val="0"/>
              <w:widowControl/>
              <w:suppressLineNumbers w:val="0"/>
              <w:jc w:val="both"/>
              <w:textAlignment w:val="center"/>
              <w:rPr>
                <w:rFonts w:hint="eastAsia" w:ascii="宋体" w:hAnsi="宋体" w:eastAsia="宋体" w:cs="宋体"/>
                <w:sz w:val="18"/>
                <w:szCs w:val="18"/>
              </w:rPr>
            </w:pPr>
          </w:p>
          <w:p>
            <w:pPr>
              <w:keepNext w:val="0"/>
              <w:keepLines w:val="0"/>
              <w:widowControl/>
              <w:suppressLineNumbers w:val="0"/>
              <w:jc w:val="both"/>
              <w:textAlignment w:val="center"/>
              <w:rPr>
                <w:rFonts w:hint="eastAsia" w:ascii="宋体" w:hAnsi="宋体" w:eastAsia="宋体" w:cs="宋体"/>
                <w:sz w:val="18"/>
                <w:szCs w:val="18"/>
              </w:rPr>
            </w:pPr>
          </w:p>
          <w:p>
            <w:pPr>
              <w:keepNext w:val="0"/>
              <w:keepLines w:val="0"/>
              <w:widowControl/>
              <w:suppressLineNumbers w:val="0"/>
              <w:jc w:val="both"/>
              <w:textAlignment w:val="center"/>
              <w:rPr>
                <w:rFonts w:hint="eastAsia" w:ascii="宋体" w:hAnsi="宋体" w:eastAsia="宋体" w:cs="宋体"/>
                <w:sz w:val="18"/>
                <w:szCs w:val="18"/>
              </w:rPr>
            </w:pPr>
          </w:p>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申请受理</w:t>
            </w:r>
          </w:p>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审核结果：申请对象姓名身份证号(隐藏部分号码)申请房源类型</w:t>
            </w:r>
          </w:p>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是否审核通过</w:t>
            </w:r>
          </w:p>
          <w:p>
            <w:pPr>
              <w:keepNext w:val="0"/>
              <w:keepLines w:val="0"/>
              <w:widowControl/>
              <w:suppressLineNumbers w:val="0"/>
              <w:jc w:val="both"/>
              <w:textAlignment w:val="center"/>
              <w:rPr>
                <w:rFonts w:hint="eastAsia" w:ascii="宋体" w:hAnsi="宋体" w:eastAsia="宋体" w:cs="宋体"/>
                <w:sz w:val="18"/>
                <w:szCs w:val="18"/>
              </w:rPr>
            </w:pPr>
            <w:r>
              <w:rPr>
                <w:rFonts w:hint="eastAsia" w:ascii="宋体" w:hAnsi="宋体" w:eastAsia="宋体" w:cs="宋体"/>
                <w:sz w:val="18"/>
                <w:szCs w:val="18"/>
              </w:rPr>
              <w:t>审核未通过原因等</w:t>
            </w:r>
          </w:p>
        </w:tc>
        <w:tc>
          <w:tcPr>
            <w:tcW w:w="1033" w:type="dxa"/>
            <w:vMerge w:val="restart"/>
            <w:tcBorders>
              <w:top w:val="single" w:color="auto" w:sz="4" w:space="0"/>
              <w:left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vMerge w:val="restart"/>
            <w:tcBorders>
              <w:top w:val="single" w:color="auto" w:sz="4" w:space="0"/>
              <w:left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vMerge w:val="restart"/>
            <w:tcBorders>
              <w:top w:val="single" w:color="auto" w:sz="4" w:space="0"/>
              <w:left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vMerge w:val="restart"/>
            <w:tcBorders>
              <w:top w:val="single" w:color="auto" w:sz="4" w:space="0"/>
              <w:left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精准推送</w:t>
            </w:r>
          </w:p>
          <w:p>
            <w:pPr>
              <w:pStyle w:val="2"/>
              <w:rPr>
                <w:rFonts w:hint="eastAsia" w:ascii="宋体" w:hAnsi="宋体" w:eastAsia="宋体" w:cs="宋体"/>
                <w:sz w:val="18"/>
                <w:szCs w:val="18"/>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其他</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                                                                                                                                                                             </w:t>
            </w:r>
          </w:p>
        </w:tc>
        <w:tc>
          <w:tcPr>
            <w:tcW w:w="897"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sz w:val="18"/>
                <w:szCs w:val="18"/>
              </w:rPr>
            </w:pPr>
          </w:p>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9</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sz w:val="18"/>
                <w:szCs w:val="18"/>
              </w:rPr>
              <w:t>公租房租赁补贴或租金减免审批</w:t>
            </w:r>
          </w:p>
        </w:tc>
        <w:tc>
          <w:tcPr>
            <w:tcW w:w="163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p>
        </w:tc>
        <w:tc>
          <w:tcPr>
            <w:tcW w:w="1033" w:type="dxa"/>
            <w:vMerge w:val="continue"/>
            <w:tcBorders>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p>
        </w:tc>
        <w:tc>
          <w:tcPr>
            <w:tcW w:w="2543" w:type="dxa"/>
            <w:vMerge w:val="continue"/>
            <w:tcBorders>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p>
        </w:tc>
        <w:tc>
          <w:tcPr>
            <w:tcW w:w="900" w:type="dxa"/>
            <w:vMerge w:val="continue"/>
            <w:tcBorders>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p>
        </w:tc>
        <w:tc>
          <w:tcPr>
            <w:tcW w:w="1690" w:type="dxa"/>
            <w:vMerge w:val="continue"/>
            <w:tcBorders>
              <w:left w:val="single" w:color="auto" w:sz="4" w:space="0"/>
              <w:bottom w:val="single" w:color="auto" w:sz="4" w:space="0"/>
              <w:right w:val="single" w:color="auto" w:sz="4" w:space="0"/>
            </w:tcBorders>
            <w:vAlign w:val="center"/>
          </w:tcPr>
          <w:p>
            <w:pPr>
              <w:snapToGrid w:val="0"/>
              <w:spacing w:line="300" w:lineRule="exact"/>
              <w:rPr>
                <w:rFonts w:hint="eastAsia" w:ascii="宋体" w:hAnsi="宋体" w:eastAsia="宋体" w:cs="宋体"/>
                <w:color w:val="000000"/>
                <w:kern w:val="2"/>
                <w:sz w:val="18"/>
                <w:szCs w:val="18"/>
                <w:lang w:val="en-US" w:eastAsia="zh-CN" w:bidi="ar-SA"/>
              </w:rPr>
            </w:pPr>
          </w:p>
        </w:tc>
        <w:tc>
          <w:tcPr>
            <w:tcW w:w="897" w:type="dxa"/>
            <w:vMerge w:val="continue"/>
            <w:tcBorders>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p>
        </w:tc>
        <w:tc>
          <w:tcPr>
            <w:tcW w:w="840" w:type="dxa"/>
            <w:vMerge w:val="continue"/>
            <w:tcBorders>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p>
        </w:tc>
        <w:tc>
          <w:tcPr>
            <w:tcW w:w="885" w:type="dxa"/>
            <w:vMerge w:val="continue"/>
            <w:tcBorders>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p>
        </w:tc>
        <w:tc>
          <w:tcPr>
            <w:tcW w:w="870" w:type="dxa"/>
            <w:vMerge w:val="continue"/>
            <w:tcBorders>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p>
        </w:tc>
        <w:tc>
          <w:tcPr>
            <w:tcW w:w="920" w:type="dxa"/>
            <w:vMerge w:val="continue"/>
            <w:tcBorders>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p>
        </w:tc>
      </w:tr>
      <w:tr>
        <w:tblPrEx>
          <w:tblLayout w:type="fixed"/>
          <w:tblCellMar>
            <w:top w:w="0" w:type="dxa"/>
            <w:left w:w="57" w:type="dxa"/>
            <w:bottom w:w="0" w:type="dxa"/>
            <w:right w:w="57" w:type="dxa"/>
          </w:tblCellMar>
        </w:tblPrEx>
        <w:trPr>
          <w:trHeight w:val="182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选房或摇号公告</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公告名称；发布部门；发布日期；正文，包括时间、地点、流程、注意事项等。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精准推送</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11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公租房实物配租分配结果公告</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保障对象姓名；保障性住房类型；房号、面积、套型；所在建设项目名称等分配结果发布公告。</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来宾市金秀瑶族自治县住房和城乡建设局</w:t>
            </w:r>
          </w:p>
        </w:tc>
        <w:tc>
          <w:tcPr>
            <w:tcW w:w="254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《广西壮族自治区大数据发展局关于印发2020 年全区政务公开工作要点的通知》（桂数发〔2020〕21号）；《广西壮族自治区人民政府办公厅关于全面推进基层政务公开标准化规范化工作的通知》（桂政办发〔2020〕35号）；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《住房城乡建设部 财政部 国家发改委关于公共租赁住房和廉租住房并轨运行的通知》（桂建保</w:t>
            </w:r>
            <w:r>
              <w:rPr>
                <w:rFonts w:hint="eastAsia" w:ascii="宋体" w:hAnsi="宋体" w:eastAsia="宋体" w:cs="宋体"/>
                <w:color w:val="000000" w:themeColor="text1"/>
                <w:sz w:val="18"/>
                <w:szCs w:val="18"/>
                <w:lang w:val="en-US" w:eastAsia="zh-CN"/>
                <w14:textFill>
                  <w14:solidFill>
                    <w14:schemeClr w14:val="tx1"/>
                  </w14:solidFill>
                </w14:textFill>
              </w:rPr>
              <w:t>〔2014〕28号）；</w:t>
            </w:r>
            <w:r>
              <w:rPr>
                <w:rFonts w:hint="eastAsia" w:ascii="宋体" w:hAnsi="宋体" w:eastAsia="宋体" w:cs="宋体"/>
                <w:color w:val="000000" w:themeColor="text1"/>
                <w:kern w:val="2"/>
                <w:sz w:val="18"/>
                <w:szCs w:val="18"/>
                <w:lang w:val="en-US" w:eastAsia="zh-CN" w:bidi="ar-SA"/>
                <w14:textFill>
                  <w14:solidFill>
                    <w14:schemeClr w14:val="tx1"/>
                  </w14:solidFill>
                </w14:textFill>
              </w:rPr>
              <w:t>《公共租赁住房管理办法》</w:t>
            </w:r>
            <w:r>
              <w:rPr>
                <w:rFonts w:hint="eastAsia" w:ascii="宋体" w:hAnsi="宋体" w:eastAsia="宋体" w:cs="宋体"/>
                <w:color w:val="000000" w:themeColor="text1"/>
                <w:sz w:val="18"/>
                <w:szCs w:val="18"/>
                <w:lang w:eastAsia="zh-CN"/>
                <w14:textFill>
                  <w14:solidFill>
                    <w14:schemeClr w14:val="tx1"/>
                  </w14:solidFill>
                </w14:textFill>
              </w:rPr>
              <w:t>（住房和城乡建设部第11号令）；</w:t>
            </w:r>
          </w:p>
          <w:p>
            <w:pPr>
              <w:snapToGrid w:val="0"/>
              <w:spacing w:line="300" w:lineRule="exact"/>
              <w:jc w:val="left"/>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《住房和城乡建设部 财政部关于做好城镇住房保障家庭租赁补贴工作的指导意见》（</w:t>
            </w:r>
            <w:r>
              <w:rPr>
                <w:rFonts w:hint="eastAsia" w:ascii="宋体" w:hAnsi="宋体" w:eastAsia="宋体" w:cs="宋体"/>
                <w:color w:val="000000" w:themeColor="text1"/>
                <w:sz w:val="18"/>
                <w:szCs w:val="18"/>
                <w:lang w:val="en-US" w:eastAsia="zh-CN"/>
                <w14:textFill>
                  <w14:solidFill>
                    <w14:schemeClr w14:val="tx1"/>
                  </w14:solidFill>
                </w14:textFill>
              </w:rPr>
              <w:t>建保〔2016〕281号</w:t>
            </w:r>
            <w:r>
              <w:rPr>
                <w:rFonts w:hint="eastAsia" w:ascii="宋体" w:hAnsi="宋体" w:eastAsia="宋体" w:cs="宋体"/>
                <w:color w:val="000000" w:themeColor="text1"/>
                <w:sz w:val="18"/>
                <w:szCs w:val="18"/>
                <w:lang w:eastAsia="zh-CN"/>
                <w14:textFill>
                  <w14:solidFill>
                    <w14:schemeClr w14:val="tx1"/>
                  </w14:solidFill>
                </w14:textFill>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信息形成20个工作日内</w:t>
            </w:r>
          </w:p>
        </w:tc>
        <w:tc>
          <w:tcPr>
            <w:tcW w:w="169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政府网站</w:t>
            </w:r>
          </w:p>
          <w:p>
            <w:pPr>
              <w:snapToGrid w:val="0"/>
              <w:spacing w:line="300" w:lineRule="exact"/>
              <w:jc w:val="lef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FE"/>
            </w:r>
            <w:r>
              <w:rPr>
                <w:rFonts w:hint="eastAsia" w:ascii="宋体" w:hAnsi="宋体" w:eastAsia="宋体" w:cs="宋体"/>
                <w:color w:val="000000"/>
                <w:sz w:val="18"/>
                <w:szCs w:val="18"/>
              </w:rPr>
              <w:t>公开查阅点</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政务服务中心</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两微一端</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FE"/>
            </w:r>
            <w:r>
              <w:rPr>
                <w:rFonts w:hint="eastAsia" w:ascii="宋体" w:hAnsi="宋体" w:eastAsia="宋体" w:cs="宋体"/>
                <w:color w:val="000000"/>
                <w:sz w:val="18"/>
                <w:szCs w:val="18"/>
              </w:rPr>
              <w:t>办事指南</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00A8"/>
            </w:r>
            <w:r>
              <w:rPr>
                <w:rFonts w:hint="eastAsia" w:ascii="宋体" w:hAnsi="宋体" w:eastAsia="宋体" w:cs="宋体"/>
                <w:color w:val="000000"/>
                <w:sz w:val="18"/>
                <w:szCs w:val="18"/>
              </w:rPr>
              <w:t>宣传册</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有线电视</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报纸</w:t>
            </w:r>
          </w:p>
          <w:p>
            <w:pPr>
              <w:snapToGrid w:val="0"/>
              <w:spacing w:line="300" w:lineRule="exact"/>
              <w:rPr>
                <w:rFonts w:hint="eastAsia" w:ascii="宋体" w:hAnsi="宋体" w:eastAsia="宋体" w:cs="宋体"/>
                <w:color w:val="000000"/>
                <w:sz w:val="18"/>
                <w:szCs w:val="18"/>
              </w:rPr>
            </w:pPr>
            <w:r>
              <w:rPr>
                <w:rFonts w:hint="eastAsia" w:ascii="宋体" w:hAnsi="宋体" w:eastAsia="宋体" w:cs="宋体"/>
                <w:color w:val="000000"/>
                <w:sz w:val="18"/>
                <w:szCs w:val="18"/>
              </w:rPr>
              <w:sym w:font="Wingdings" w:char="F0A8"/>
            </w:r>
            <w:r>
              <w:rPr>
                <w:rFonts w:hint="eastAsia" w:ascii="宋体" w:hAnsi="宋体" w:eastAsia="宋体" w:cs="宋体"/>
                <w:color w:val="000000"/>
                <w:sz w:val="18"/>
                <w:szCs w:val="18"/>
              </w:rPr>
              <w:t>精准推送</w:t>
            </w:r>
          </w:p>
          <w:p>
            <w:pPr>
              <w:snapToGrid w:val="0"/>
              <w:spacing w:line="300" w:lineRule="exac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其他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县（区）</w:t>
            </w:r>
          </w:p>
        </w:tc>
      </w:tr>
    </w:tbl>
    <w:p>
      <w:pPr>
        <w:pStyle w:val="7"/>
        <w:widowControl/>
        <w:spacing w:beforeAutospacing="0" w:afterAutospacing="0" w:line="500" w:lineRule="exact"/>
        <w:jc w:val="center"/>
        <w:rPr>
          <w:rFonts w:hint="eastAsia" w:ascii="宋体" w:hAnsi="宋体" w:eastAsia="宋体" w:cs="宋体"/>
          <w:color w:val="000000" w:themeColor="text1"/>
          <w:sz w:val="18"/>
          <w:szCs w:val="18"/>
          <w:lang w:val="zh-CN" w:bidi="zh-CN"/>
          <w14:textFill>
            <w14:solidFill>
              <w14:schemeClr w14:val="tx1"/>
            </w14:solidFill>
          </w14:textFill>
        </w:rPr>
        <w:sectPr>
          <w:footerReference r:id="rId3" w:type="default"/>
          <w:pgSz w:w="16838" w:h="11906" w:orient="landscape"/>
          <w:pgMar w:top="1417" w:right="2098" w:bottom="1417" w:left="1984" w:header="851" w:footer="992" w:gutter="0"/>
          <w:cols w:space="0" w:num="1"/>
          <w:docGrid w:type="lines" w:linePitch="312" w:charSpace="0"/>
        </w:sectPr>
      </w:pPr>
    </w:p>
    <w:p>
      <w:pPr>
        <w:pStyle w:val="2"/>
        <w:rPr>
          <w:rFonts w:ascii="仿宋_GB2312" w:hAnsi="仿宋_GB2312" w:eastAsia="仿宋_GB2312" w:cs="仿宋_GB2312"/>
          <w:kern w:val="2"/>
          <w:sz w:val="21"/>
          <w:szCs w:val="21"/>
          <w:lang w:val="zh-CN"/>
        </w:rPr>
      </w:pPr>
    </w:p>
    <w:sectPr>
      <w:pgSz w:w="16838" w:h="11906" w:orient="landscape"/>
      <w:pgMar w:top="1417" w:right="2098" w:bottom="1417" w:left="198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81962"/>
    <w:rsid w:val="000400E2"/>
    <w:rsid w:val="001A6167"/>
    <w:rsid w:val="0020273A"/>
    <w:rsid w:val="003B08FF"/>
    <w:rsid w:val="007370BC"/>
    <w:rsid w:val="00BA32AD"/>
    <w:rsid w:val="012C1249"/>
    <w:rsid w:val="01EF7FE4"/>
    <w:rsid w:val="02950FF7"/>
    <w:rsid w:val="02F96F7E"/>
    <w:rsid w:val="031B6C41"/>
    <w:rsid w:val="0325084A"/>
    <w:rsid w:val="045C3413"/>
    <w:rsid w:val="046A4E4F"/>
    <w:rsid w:val="05926529"/>
    <w:rsid w:val="064052EA"/>
    <w:rsid w:val="068C5C2B"/>
    <w:rsid w:val="07A62626"/>
    <w:rsid w:val="0824789B"/>
    <w:rsid w:val="089A41B8"/>
    <w:rsid w:val="09D54A1D"/>
    <w:rsid w:val="09E1052E"/>
    <w:rsid w:val="0AC34CB1"/>
    <w:rsid w:val="0AF54716"/>
    <w:rsid w:val="0B2B5554"/>
    <w:rsid w:val="0B7F537A"/>
    <w:rsid w:val="0BD12A23"/>
    <w:rsid w:val="0C441FFE"/>
    <w:rsid w:val="0C585CC6"/>
    <w:rsid w:val="0C900CE5"/>
    <w:rsid w:val="0CD02124"/>
    <w:rsid w:val="0DEF532D"/>
    <w:rsid w:val="1102644A"/>
    <w:rsid w:val="124D1E61"/>
    <w:rsid w:val="127A64CC"/>
    <w:rsid w:val="14E762E5"/>
    <w:rsid w:val="16F3158E"/>
    <w:rsid w:val="19581962"/>
    <w:rsid w:val="1C402860"/>
    <w:rsid w:val="1D4806D1"/>
    <w:rsid w:val="1EE05CB7"/>
    <w:rsid w:val="20A41C43"/>
    <w:rsid w:val="21983B2C"/>
    <w:rsid w:val="22AC210F"/>
    <w:rsid w:val="22B93FE6"/>
    <w:rsid w:val="22E056D2"/>
    <w:rsid w:val="22E5202F"/>
    <w:rsid w:val="23162990"/>
    <w:rsid w:val="24F9259F"/>
    <w:rsid w:val="25CB2C38"/>
    <w:rsid w:val="28DE784A"/>
    <w:rsid w:val="29105963"/>
    <w:rsid w:val="2A2771DF"/>
    <w:rsid w:val="2A3D3455"/>
    <w:rsid w:val="2BA820B6"/>
    <w:rsid w:val="2C0342BC"/>
    <w:rsid w:val="2C1E6C2C"/>
    <w:rsid w:val="2E2B7991"/>
    <w:rsid w:val="2E4F74A6"/>
    <w:rsid w:val="31321598"/>
    <w:rsid w:val="313974FB"/>
    <w:rsid w:val="31936863"/>
    <w:rsid w:val="31E57217"/>
    <w:rsid w:val="322C6B8B"/>
    <w:rsid w:val="327F75C0"/>
    <w:rsid w:val="3286488D"/>
    <w:rsid w:val="32F561BA"/>
    <w:rsid w:val="33851F18"/>
    <w:rsid w:val="34B77385"/>
    <w:rsid w:val="35E32163"/>
    <w:rsid w:val="36504C31"/>
    <w:rsid w:val="36572897"/>
    <w:rsid w:val="36DC0C01"/>
    <w:rsid w:val="37DD33DF"/>
    <w:rsid w:val="38783996"/>
    <w:rsid w:val="38A94592"/>
    <w:rsid w:val="3AEB11F1"/>
    <w:rsid w:val="3B83736F"/>
    <w:rsid w:val="3CA760FE"/>
    <w:rsid w:val="3D494047"/>
    <w:rsid w:val="3EBB3F1E"/>
    <w:rsid w:val="3FFB3BDE"/>
    <w:rsid w:val="40C70ECB"/>
    <w:rsid w:val="41551ACB"/>
    <w:rsid w:val="416033CD"/>
    <w:rsid w:val="41E0331D"/>
    <w:rsid w:val="423C3D38"/>
    <w:rsid w:val="42791827"/>
    <w:rsid w:val="4395292E"/>
    <w:rsid w:val="445C5E93"/>
    <w:rsid w:val="449C34B9"/>
    <w:rsid w:val="44A24696"/>
    <w:rsid w:val="44BC2DEF"/>
    <w:rsid w:val="44E526DF"/>
    <w:rsid w:val="44F56237"/>
    <w:rsid w:val="45D4582A"/>
    <w:rsid w:val="462B53D2"/>
    <w:rsid w:val="4705184E"/>
    <w:rsid w:val="49871BC0"/>
    <w:rsid w:val="4B924643"/>
    <w:rsid w:val="4DAB1E23"/>
    <w:rsid w:val="4E4864AB"/>
    <w:rsid w:val="4F203385"/>
    <w:rsid w:val="5011098E"/>
    <w:rsid w:val="50DC6F17"/>
    <w:rsid w:val="51720D78"/>
    <w:rsid w:val="51D91901"/>
    <w:rsid w:val="520D0079"/>
    <w:rsid w:val="5212121E"/>
    <w:rsid w:val="52B37B0A"/>
    <w:rsid w:val="52D92565"/>
    <w:rsid w:val="533B4535"/>
    <w:rsid w:val="534F1666"/>
    <w:rsid w:val="53824082"/>
    <w:rsid w:val="53C7734E"/>
    <w:rsid w:val="54BC180E"/>
    <w:rsid w:val="5684139A"/>
    <w:rsid w:val="58396C6E"/>
    <w:rsid w:val="583F1A8E"/>
    <w:rsid w:val="58A645D9"/>
    <w:rsid w:val="58F82274"/>
    <w:rsid w:val="5A0D40C9"/>
    <w:rsid w:val="5A213842"/>
    <w:rsid w:val="5A951055"/>
    <w:rsid w:val="5BBA3EA1"/>
    <w:rsid w:val="5C412E9E"/>
    <w:rsid w:val="5CA001F7"/>
    <w:rsid w:val="5D421E01"/>
    <w:rsid w:val="5D5B2877"/>
    <w:rsid w:val="5DC049A0"/>
    <w:rsid w:val="5DED65E7"/>
    <w:rsid w:val="60112FCB"/>
    <w:rsid w:val="60611BCA"/>
    <w:rsid w:val="60BE4798"/>
    <w:rsid w:val="60ED2199"/>
    <w:rsid w:val="610B2B1B"/>
    <w:rsid w:val="6275537F"/>
    <w:rsid w:val="63163E03"/>
    <w:rsid w:val="63235770"/>
    <w:rsid w:val="638A7A92"/>
    <w:rsid w:val="65F0266A"/>
    <w:rsid w:val="68515589"/>
    <w:rsid w:val="68EA4BAB"/>
    <w:rsid w:val="69167828"/>
    <w:rsid w:val="6968547E"/>
    <w:rsid w:val="69AE7546"/>
    <w:rsid w:val="6A585282"/>
    <w:rsid w:val="6A8B554C"/>
    <w:rsid w:val="6A9962E6"/>
    <w:rsid w:val="6B1553F7"/>
    <w:rsid w:val="6BF8501F"/>
    <w:rsid w:val="6CCC5E3D"/>
    <w:rsid w:val="6CCE61DA"/>
    <w:rsid w:val="6D286931"/>
    <w:rsid w:val="6DCD138D"/>
    <w:rsid w:val="6F911ECD"/>
    <w:rsid w:val="6F996E5D"/>
    <w:rsid w:val="71E63F1C"/>
    <w:rsid w:val="72FE3AD8"/>
    <w:rsid w:val="74BC0325"/>
    <w:rsid w:val="764341BD"/>
    <w:rsid w:val="769443FF"/>
    <w:rsid w:val="76EE403E"/>
    <w:rsid w:val="77015474"/>
    <w:rsid w:val="774A0C4B"/>
    <w:rsid w:val="775A5505"/>
    <w:rsid w:val="77796DC9"/>
    <w:rsid w:val="78CF080A"/>
    <w:rsid w:val="7976255D"/>
    <w:rsid w:val="7C743CD7"/>
    <w:rsid w:val="7C943DAE"/>
    <w:rsid w:val="7DAF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character" w:styleId="12">
    <w:name w:val="FollowedHyperlink"/>
    <w:basedOn w:val="10"/>
    <w:qFormat/>
    <w:uiPriority w:val="0"/>
    <w:rPr>
      <w:color w:val="333333"/>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first-child"/>
    <w:basedOn w:val="10"/>
    <w:qFormat/>
    <w:uiPriority w:val="0"/>
  </w:style>
  <w:style w:type="character" w:customStyle="1" w:styleId="21">
    <w:name w:val="layui-this"/>
    <w:basedOn w:val="10"/>
    <w:qFormat/>
    <w:uiPriority w:val="0"/>
    <w:rPr>
      <w:bdr w:val="single" w:color="EEEEEE" w:sz="6" w:space="0"/>
      <w:shd w:val="clear" w:color="auto" w:fill="FFFFFF"/>
    </w:rPr>
  </w:style>
  <w:style w:type="character" w:customStyle="1" w:styleId="22">
    <w:name w:val="hover25"/>
    <w:basedOn w:val="10"/>
    <w:qFormat/>
    <w:uiPriority w:val="0"/>
    <w:rPr>
      <w:color w:val="1258AD"/>
      <w:u w:val="none"/>
      <w:bdr w:val="single" w:color="198F21" w:sz="6" w:space="0"/>
    </w:rPr>
  </w:style>
  <w:style w:type="paragraph" w:styleId="23">
    <w:name w:val="List Paragraph"/>
    <w:basedOn w:val="1"/>
    <w:qFormat/>
    <w:uiPriority w:val="1"/>
    <w:pPr>
      <w:ind w:left="921" w:hanging="527"/>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165</Words>
  <Characters>945</Characters>
  <Lines>7</Lines>
  <Paragraphs>2</Paragraphs>
  <TotalTime>9</TotalTime>
  <ScaleCrop>false</ScaleCrop>
  <LinksUpToDate>false</LinksUpToDate>
  <CharactersWithSpaces>1108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2020-11-09T02:20:00Z</dcterms:created>
  <dc:creator>Administrator</dc:creator>
  <cp:lastModifiedBy>覃兰斌</cp:lastModifiedBy>
  <cp:lastPrinted>2020-11-16T08:04:00Z</cp:lastPrinted>
  <dcterms:modified xsi:type="dcterms:W3CDTF">2020-12-16T01:07:47Z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