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rPr>
      </w:pPr>
      <w:bookmarkStart w:id="0" w:name="_GoBack"/>
      <w:bookmarkEnd w:id="0"/>
      <w:r>
        <w:rPr>
          <w:rFonts w:hint="eastAsia" w:ascii="方正小标宋_GBK" w:hAnsi="方正小标宋_GBK" w:eastAsia="方正小标宋_GBK"/>
          <w:lang w:val="en-US" w:eastAsia="zh-CN"/>
        </w:rPr>
        <w:t>银海区</w:t>
      </w:r>
      <w:r>
        <w:rPr>
          <w:rFonts w:hint="eastAsia" w:ascii="方正小标宋_GBK" w:hAnsi="方正小标宋_GBK" w:eastAsia="方正小标宋_GBK"/>
        </w:rPr>
        <w:t>农村危房改造领域基层政务公开标准目录</w:t>
      </w:r>
    </w:p>
    <w:tbl>
      <w:tblPr>
        <w:tblStyle w:val="5"/>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序号</w:t>
            </w:r>
          </w:p>
        </w:tc>
        <w:tc>
          <w:tcPr>
            <w:tcW w:w="2160"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公开事项</w:t>
            </w:r>
          </w:p>
        </w:tc>
        <w:tc>
          <w:tcPr>
            <w:tcW w:w="1980"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公开内容（要素）</w:t>
            </w:r>
          </w:p>
        </w:tc>
        <w:tc>
          <w:tcPr>
            <w:tcW w:w="1800"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公开依据</w:t>
            </w:r>
          </w:p>
        </w:tc>
        <w:tc>
          <w:tcPr>
            <w:tcW w:w="1402"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公开时限</w:t>
            </w:r>
          </w:p>
        </w:tc>
        <w:tc>
          <w:tcPr>
            <w:tcW w:w="1440"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公开主体</w:t>
            </w:r>
          </w:p>
        </w:tc>
        <w:tc>
          <w:tcPr>
            <w:tcW w:w="2018" w:type="dxa"/>
            <w:vMerge w:val="restart"/>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公开渠道和载体</w:t>
            </w:r>
          </w:p>
        </w:tc>
        <w:tc>
          <w:tcPr>
            <w:tcW w:w="1429"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公开对象</w:t>
            </w:r>
          </w:p>
        </w:tc>
        <w:tc>
          <w:tcPr>
            <w:tcW w:w="1271"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公开方式</w:t>
            </w:r>
          </w:p>
        </w:tc>
        <w:tc>
          <w:tcPr>
            <w:tcW w:w="1440"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仿宋_GB2312" w:hAnsi="仿宋_GB2312" w:eastAsia="仿宋_GB2312" w:cs="仿宋_GB2312"/>
                <w:b/>
                <w:bCs/>
                <w:color w:val="000000"/>
                <w:kern w:val="0"/>
                <w:szCs w:val="21"/>
              </w:rPr>
            </w:pPr>
          </w:p>
        </w:tc>
        <w:tc>
          <w:tcPr>
            <w:tcW w:w="90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一级事项</w:t>
            </w:r>
          </w:p>
        </w:tc>
        <w:tc>
          <w:tcPr>
            <w:tcW w:w="126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二级事项</w:t>
            </w:r>
          </w:p>
        </w:tc>
        <w:tc>
          <w:tcPr>
            <w:tcW w:w="1980" w:type="dxa"/>
            <w:vMerge w:val="continue"/>
            <w:vAlign w:val="center"/>
          </w:tcPr>
          <w:p>
            <w:pPr>
              <w:widowControl/>
              <w:jc w:val="left"/>
              <w:rPr>
                <w:rFonts w:ascii="仿宋_GB2312" w:hAnsi="仿宋_GB2312" w:eastAsia="仿宋_GB2312" w:cs="仿宋_GB2312"/>
                <w:b/>
                <w:bCs/>
                <w:color w:val="000000"/>
                <w:kern w:val="0"/>
                <w:szCs w:val="21"/>
              </w:rPr>
            </w:pPr>
          </w:p>
        </w:tc>
        <w:tc>
          <w:tcPr>
            <w:tcW w:w="1800" w:type="dxa"/>
            <w:vMerge w:val="continue"/>
            <w:vAlign w:val="center"/>
          </w:tcPr>
          <w:p>
            <w:pPr>
              <w:widowControl/>
              <w:jc w:val="left"/>
              <w:rPr>
                <w:rFonts w:ascii="仿宋_GB2312" w:hAnsi="仿宋_GB2312" w:eastAsia="仿宋_GB2312" w:cs="仿宋_GB2312"/>
                <w:b/>
                <w:bCs/>
                <w:color w:val="000000"/>
                <w:kern w:val="0"/>
                <w:szCs w:val="21"/>
              </w:rPr>
            </w:pPr>
          </w:p>
        </w:tc>
        <w:tc>
          <w:tcPr>
            <w:tcW w:w="1402" w:type="dxa"/>
            <w:vMerge w:val="continue"/>
            <w:vAlign w:val="center"/>
          </w:tcPr>
          <w:p>
            <w:pPr>
              <w:widowControl/>
              <w:jc w:val="left"/>
              <w:rPr>
                <w:rFonts w:ascii="仿宋_GB2312" w:hAnsi="仿宋_GB2312" w:eastAsia="仿宋_GB2312" w:cs="仿宋_GB2312"/>
                <w:b/>
                <w:bCs/>
                <w:color w:val="000000"/>
                <w:kern w:val="0"/>
                <w:szCs w:val="21"/>
              </w:rPr>
            </w:pPr>
          </w:p>
        </w:tc>
        <w:tc>
          <w:tcPr>
            <w:tcW w:w="1440" w:type="dxa"/>
            <w:vMerge w:val="continue"/>
            <w:vAlign w:val="center"/>
          </w:tcPr>
          <w:p>
            <w:pPr>
              <w:widowControl/>
              <w:jc w:val="left"/>
              <w:rPr>
                <w:rFonts w:ascii="仿宋_GB2312" w:hAnsi="仿宋_GB2312" w:eastAsia="仿宋_GB2312" w:cs="仿宋_GB2312"/>
                <w:b/>
                <w:bCs/>
                <w:color w:val="000000"/>
                <w:kern w:val="0"/>
                <w:szCs w:val="21"/>
              </w:rPr>
            </w:pPr>
          </w:p>
        </w:tc>
        <w:tc>
          <w:tcPr>
            <w:tcW w:w="2018" w:type="dxa"/>
            <w:vMerge w:val="continue"/>
            <w:vAlign w:val="center"/>
          </w:tcPr>
          <w:p>
            <w:pPr>
              <w:widowControl/>
              <w:jc w:val="left"/>
              <w:rPr>
                <w:rFonts w:ascii="仿宋_GB2312" w:hAnsi="仿宋_GB2312" w:eastAsia="仿宋_GB2312" w:cs="仿宋_GB2312"/>
                <w:b/>
                <w:bCs/>
                <w:kern w:val="0"/>
                <w:szCs w:val="21"/>
              </w:rPr>
            </w:pP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全社会</w:t>
            </w:r>
          </w:p>
        </w:tc>
        <w:tc>
          <w:tcPr>
            <w:tcW w:w="709"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特定群众</w:t>
            </w:r>
          </w:p>
        </w:tc>
        <w:tc>
          <w:tcPr>
            <w:tcW w:w="551"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主动</w:t>
            </w: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依申请公开</w:t>
            </w: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县级</w:t>
            </w: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文件名称：北海市银海区人民政府办公室关于印发 2018年北海市银海区第一批建档立卡贫困户等4类重点对象危房 改造实施方案的通知</w:t>
            </w:r>
          </w:p>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文号：北银政办发〔2018〕92号</w:t>
            </w:r>
          </w:p>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发布日期；2018年9月21日</w:t>
            </w:r>
          </w:p>
        </w:tc>
        <w:tc>
          <w:tcPr>
            <w:tcW w:w="180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widowControl/>
              <w:rPr>
                <w:rFonts w:ascii="仿宋_GB2312" w:hAnsi="仿宋_GB2312" w:eastAsia="仿宋_GB2312" w:cs="仿宋_GB2312"/>
                <w:kern w:val="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6" w:hRule="atLeas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公开内容：北海市银海区2019年农村危房改造对象名单公示。</w:t>
            </w:r>
          </w:p>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公开时间：2019年5月5日</w:t>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3</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文件名称：北海市银海区人民政府办公室关于印发银海区脱贫攻坚住房安全保障相关方案的通知</w:t>
            </w:r>
          </w:p>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文号：北银政办发〔2019〕42号</w:t>
            </w:r>
          </w:p>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发布日期；2019年08月2日</w:t>
            </w:r>
          </w:p>
        </w:tc>
        <w:tc>
          <w:tcPr>
            <w:tcW w:w="180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widowControl/>
              <w:rPr>
                <w:rFonts w:ascii="仿宋_GB2312" w:hAnsi="仿宋_GB2312" w:eastAsia="仿宋_GB2312" w:cs="仿宋_GB2312"/>
                <w:kern w:val="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4</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文件名称：扶贫开发领导小组办公室</w:t>
            </w:r>
          </w:p>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关于印发来宾市兴宾区2019年解决住房特别困难建档立卡贫困户住房问题实施方案的通知。</w:t>
            </w:r>
            <w:r>
              <w:rPr>
                <w:rFonts w:hint="eastAsia" w:ascii="仿宋_GB2312" w:hAnsi="仿宋_GB2312" w:eastAsia="仿宋_GB2312" w:cs="仿宋_GB2312"/>
                <w:color w:val="FF0000"/>
                <w:kern w:val="0"/>
                <w:szCs w:val="21"/>
              </w:rPr>
              <w:br w:type="textWrapping"/>
            </w:r>
            <w:r>
              <w:rPr>
                <w:rFonts w:hint="eastAsia" w:ascii="仿宋_GB2312" w:hAnsi="仿宋_GB2312" w:eastAsia="仿宋_GB2312" w:cs="仿宋_GB2312"/>
                <w:color w:val="FF0000"/>
                <w:kern w:val="0"/>
                <w:szCs w:val="21"/>
              </w:rPr>
              <w:br w:type="textWrapping"/>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公开内容：2019年北海市银海区危房改造扶贫资金使用名单公示。公开时间：2019年4月15日</w:t>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6</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rPr>
                <w:rFonts w:ascii="仿宋_GB2312" w:hAnsi="仿宋_GB2312" w:eastAsia="仿宋_GB2312" w:cs="仿宋_GB2312"/>
                <w:color w:val="FF0000"/>
                <w:szCs w:val="21"/>
              </w:rPr>
            </w:pPr>
            <w:r>
              <w:rPr>
                <w:rFonts w:hint="eastAsia" w:ascii="仿宋_GB2312" w:hAnsi="仿宋_GB2312" w:eastAsia="仿宋_GB2312" w:cs="仿宋_GB2312"/>
                <w:color w:val="000000"/>
                <w:szCs w:val="21"/>
              </w:rPr>
              <w:t>公开内容：2019年危房改造大额补助资金拨付名单公示。</w:t>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7</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文件名称：北海市银海区人民政府办公室关于印发2016年北海市银海区农村危房改造暨脱贫攻坚建档立卡贫困户危房改造实施方案的通知</w:t>
            </w:r>
          </w:p>
          <w:p>
            <w:pPr>
              <w:widowControl/>
              <w:rPr>
                <w:rFonts w:ascii="仿宋_GB2312" w:hAnsi="仿宋_GB2312" w:eastAsia="仿宋_GB2312" w:cs="仿宋_GB2312"/>
                <w:szCs w:val="21"/>
              </w:rPr>
            </w:pPr>
            <w:r>
              <w:rPr>
                <w:rFonts w:hint="eastAsia" w:ascii="仿宋_GB2312" w:hAnsi="仿宋_GB2312" w:eastAsia="仿宋_GB2312" w:cs="仿宋_GB2312"/>
                <w:color w:val="000000"/>
                <w:szCs w:val="21"/>
              </w:rPr>
              <w:t>发布日期；2016年11月18日</w:t>
            </w:r>
            <w:r>
              <w:rPr>
                <w:rFonts w:hint="eastAsia" w:ascii="仿宋_GB2312" w:hAnsi="仿宋_GB2312" w:eastAsia="仿宋_GB2312" w:cs="仿宋_GB2312"/>
                <w:color w:val="000000"/>
                <w:szCs w:val="21"/>
              </w:rPr>
              <w:br w:type="textWrapping"/>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8</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FF0000"/>
                <w:szCs w:val="21"/>
              </w:rPr>
            </w:pPr>
            <w:r>
              <w:rPr>
                <w:rFonts w:hint="eastAsia" w:ascii="仿宋_GB2312" w:hAnsi="仿宋_GB2312" w:eastAsia="仿宋_GB2312" w:cs="仿宋_GB2312"/>
                <w:color w:val="FF0000"/>
                <w:kern w:val="0"/>
                <w:szCs w:val="21"/>
              </w:rPr>
              <w:t>文件名称：来宾市兴宾区人民政府办公室关于印发来宾市兴宾区2020年农村危房改造工作实施方案的通知。</w:t>
            </w:r>
            <w:r>
              <w:rPr>
                <w:rFonts w:hint="eastAsia" w:ascii="仿宋_GB2312" w:hAnsi="仿宋_GB2312" w:eastAsia="仿宋_GB2312" w:cs="仿宋_GB2312"/>
                <w:color w:val="FF0000"/>
                <w:kern w:val="0"/>
                <w:szCs w:val="21"/>
              </w:rPr>
              <w:br w:type="textWrapping"/>
            </w:r>
            <w:r>
              <w:rPr>
                <w:rFonts w:hint="eastAsia" w:ascii="仿宋_GB2312" w:hAnsi="仿宋_GB2312" w:eastAsia="仿宋_GB2312" w:cs="仿宋_GB2312"/>
                <w:color w:val="FF0000"/>
                <w:kern w:val="0"/>
                <w:szCs w:val="21"/>
              </w:rPr>
              <w:t>生成日期：2020年3月10日。发布日期；2020年3月15日</w:t>
            </w:r>
            <w:r>
              <w:rPr>
                <w:rFonts w:hint="eastAsia" w:ascii="仿宋_GB2312" w:hAnsi="仿宋_GB2312" w:eastAsia="仿宋_GB2312" w:cs="仿宋_GB2312"/>
                <w:color w:val="FF0000"/>
                <w:kern w:val="0"/>
                <w:szCs w:val="21"/>
              </w:rPr>
              <w:br w:type="textWrapping"/>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9</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文件名称：北海市银海区人民政府办公室关于印发2020年北海市银海区建档立卡贫困户及边缘户住房安全保障实施方案的通知。</w:t>
            </w:r>
          </w:p>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发布日期；2020年3月9日</w:t>
            </w:r>
            <w:r>
              <w:rPr>
                <w:rFonts w:hint="eastAsia" w:ascii="仿宋_GB2312" w:hAnsi="仿宋_GB2312" w:eastAsia="仿宋_GB2312" w:cs="仿宋_GB2312"/>
                <w:color w:val="000000"/>
                <w:szCs w:val="21"/>
              </w:rPr>
              <w:br w:type="textWrapping"/>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rPr>
                <w:rFonts w:ascii="仿宋_GB2312" w:hAnsi="仿宋_GB2312" w:eastAsia="仿宋_GB2312" w:cs="仿宋_GB2312"/>
                <w:color w:val="FF0000"/>
                <w:szCs w:val="21"/>
              </w:rPr>
            </w:pPr>
            <w:r>
              <w:rPr>
                <w:rFonts w:hint="eastAsia" w:ascii="仿宋_GB2312" w:hAnsi="仿宋_GB2312" w:eastAsia="仿宋_GB2312" w:cs="仿宋_GB2312"/>
                <w:color w:val="FF0000"/>
                <w:szCs w:val="21"/>
              </w:rPr>
              <w:t>公开内容：来宾市兴宾区2020年农村危房改造补助资金名单公示。公开时间：2020年6月10日</w:t>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11</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rPr>
                <w:rFonts w:ascii="仿宋_GB2312" w:hAnsi="仿宋_GB2312" w:eastAsia="仿宋_GB2312" w:cs="仿宋_GB2312"/>
                <w:color w:val="FF0000"/>
                <w:szCs w:val="21"/>
              </w:rPr>
            </w:pPr>
            <w:r>
              <w:rPr>
                <w:rFonts w:hint="eastAsia" w:ascii="仿宋_GB2312" w:hAnsi="仿宋_GB2312" w:eastAsia="仿宋_GB2312" w:cs="仿宋_GB2312"/>
                <w:color w:val="FF0000"/>
                <w:szCs w:val="21"/>
              </w:rPr>
              <w:t>公开内容：来宾市兴宾区2020年危房改造大额补助资金拨付名单公示。公开时间：2020年5月26日</w:t>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12</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公开内容：2019年北海市银海区危房改造第二批名单公示。公开时间：2019年8月11日</w:t>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住房和城乡建设等相关职能部门</w:t>
            </w:r>
          </w:p>
        </w:tc>
        <w:tc>
          <w:tcPr>
            <w:tcW w:w="2018"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1400620"/>
    <w:rsid w:val="001B3A6D"/>
    <w:rsid w:val="001F36FD"/>
    <w:rsid w:val="00250AFB"/>
    <w:rsid w:val="004A68CA"/>
    <w:rsid w:val="00507246"/>
    <w:rsid w:val="00513F85"/>
    <w:rsid w:val="00574B2A"/>
    <w:rsid w:val="005862A7"/>
    <w:rsid w:val="006A6DB9"/>
    <w:rsid w:val="00707EE0"/>
    <w:rsid w:val="0084787D"/>
    <w:rsid w:val="0093571F"/>
    <w:rsid w:val="00AF1170"/>
    <w:rsid w:val="0CBA7A7F"/>
    <w:rsid w:val="21400620"/>
    <w:rsid w:val="38AD47DF"/>
    <w:rsid w:val="440D52C0"/>
    <w:rsid w:val="47CE2C39"/>
    <w:rsid w:val="584341D1"/>
    <w:rsid w:val="6D535020"/>
    <w:rsid w:val="70290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7"/>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8"/>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customStyle="1" w:styleId="7">
    <w:name w:val="标题 2 Char"/>
    <w:basedOn w:val="6"/>
    <w:link w:val="3"/>
    <w:uiPriority w:val="0"/>
    <w:rPr>
      <w:rFonts w:asciiTheme="majorHAnsi" w:hAnsiTheme="majorHAnsi" w:eastAsiaTheme="majorEastAsia" w:cstheme="majorBidi"/>
      <w:b/>
      <w:bCs/>
      <w:kern w:val="2"/>
      <w:sz w:val="32"/>
      <w:szCs w:val="32"/>
    </w:rPr>
  </w:style>
  <w:style w:type="character" w:customStyle="1" w:styleId="8">
    <w:name w:val="标题 4 Char"/>
    <w:basedOn w:val="6"/>
    <w:link w:val="4"/>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ANGF\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6</Pages>
  <Words>329</Words>
  <Characters>1879</Characters>
  <Lines>15</Lines>
  <Paragraphs>4</Paragraphs>
  <TotalTime>117</TotalTime>
  <ScaleCrop>false</ScaleCrop>
  <LinksUpToDate>false</LinksUpToDate>
  <CharactersWithSpaces>2204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2020-11-16T04:04:00Z</dcterms:created>
  <dc:creator>叶凛</dc:creator>
  <cp:lastModifiedBy>覃兰斌</cp:lastModifiedBy>
  <dcterms:modified xsi:type="dcterms:W3CDTF">2020-12-15T16:29:19Z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